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D01FA">
      <w:pPr>
        <w:spacing w:line="360" w:lineRule="auto"/>
        <w:jc w:val="center"/>
        <w:rPr>
          <w:b/>
          <w:bCs/>
          <w:color w:val="auto"/>
          <w:sz w:val="72"/>
          <w:szCs w:val="72"/>
          <w:highlight w:val="none"/>
          <w:u w:val="none"/>
        </w:rPr>
      </w:pPr>
    </w:p>
    <w:p w14:paraId="3B2D305C">
      <w:pPr>
        <w:spacing w:line="360" w:lineRule="auto"/>
        <w:jc w:val="center"/>
        <w:rPr>
          <w:b/>
          <w:bCs/>
          <w:color w:val="auto"/>
          <w:sz w:val="72"/>
          <w:szCs w:val="72"/>
          <w:highlight w:val="none"/>
          <w:u w:val="none"/>
        </w:rPr>
      </w:pPr>
    </w:p>
    <w:p w14:paraId="7D609E01">
      <w:pPr>
        <w:spacing w:line="360" w:lineRule="auto"/>
        <w:jc w:val="center"/>
        <w:rPr>
          <w:b/>
          <w:bCs/>
          <w:color w:val="auto"/>
          <w:sz w:val="72"/>
          <w:szCs w:val="72"/>
          <w:highlight w:val="none"/>
          <w:u w:val="none"/>
        </w:rPr>
      </w:pPr>
      <w:r>
        <w:rPr>
          <w:b/>
          <w:bCs/>
          <w:color w:val="auto"/>
          <w:sz w:val="72"/>
          <w:szCs w:val="72"/>
          <w:highlight w:val="none"/>
          <w:u w:val="none"/>
        </w:rPr>
        <w:t>建设项目环境影响报告表</w:t>
      </w:r>
    </w:p>
    <w:p w14:paraId="18F81FD5">
      <w:pPr>
        <w:jc w:val="center"/>
        <w:rPr>
          <w:color w:val="auto"/>
          <w:sz w:val="48"/>
          <w:szCs w:val="48"/>
          <w:highlight w:val="none"/>
          <w:u w:val="none"/>
        </w:rPr>
      </w:pPr>
      <w:r>
        <w:rPr>
          <w:color w:val="auto"/>
          <w:sz w:val="48"/>
          <w:szCs w:val="48"/>
          <w:highlight w:val="none"/>
          <w:u w:val="none"/>
        </w:rPr>
        <w:t>（污染影响类）</w:t>
      </w:r>
    </w:p>
    <w:p w14:paraId="6645E430">
      <w:pPr>
        <w:spacing w:line="600" w:lineRule="auto"/>
        <w:ind w:left="2573" w:hanging="2573" w:hangingChars="546"/>
        <w:rPr>
          <w:b/>
          <w:bCs/>
          <w:color w:val="auto"/>
          <w:spacing w:val="85"/>
          <w:sz w:val="30"/>
          <w:szCs w:val="30"/>
          <w:highlight w:val="none"/>
          <w:u w:val="none"/>
        </w:rPr>
      </w:pPr>
    </w:p>
    <w:p w14:paraId="7D28F1DE">
      <w:pPr>
        <w:spacing w:line="600" w:lineRule="auto"/>
        <w:ind w:left="2573" w:hanging="2573" w:hangingChars="546"/>
        <w:rPr>
          <w:b/>
          <w:bCs/>
          <w:color w:val="auto"/>
          <w:spacing w:val="85"/>
          <w:sz w:val="30"/>
          <w:szCs w:val="30"/>
          <w:highlight w:val="none"/>
          <w:u w:val="none"/>
        </w:rPr>
      </w:pPr>
    </w:p>
    <w:p w14:paraId="2DACEE7E">
      <w:pPr>
        <w:spacing w:line="600" w:lineRule="auto"/>
        <w:ind w:left="2573" w:hanging="2573" w:hangingChars="546"/>
        <w:jc w:val="center"/>
        <w:rPr>
          <w:b/>
          <w:bCs/>
          <w:color w:val="auto"/>
          <w:spacing w:val="85"/>
          <w:sz w:val="30"/>
          <w:szCs w:val="30"/>
          <w:highlight w:val="none"/>
          <w:u w:val="none"/>
        </w:rPr>
      </w:pPr>
    </w:p>
    <w:p w14:paraId="53C2D203">
      <w:pPr>
        <w:spacing w:line="600" w:lineRule="auto"/>
        <w:ind w:left="2573" w:hanging="2573" w:hangingChars="546"/>
        <w:jc w:val="center"/>
        <w:rPr>
          <w:b/>
          <w:bCs/>
          <w:color w:val="auto"/>
          <w:spacing w:val="85"/>
          <w:sz w:val="30"/>
          <w:szCs w:val="30"/>
          <w:highlight w:val="none"/>
          <w:u w:val="none"/>
        </w:rPr>
      </w:pPr>
    </w:p>
    <w:p w14:paraId="15395E56">
      <w:pPr>
        <w:pStyle w:val="17"/>
        <w:rPr>
          <w:b/>
          <w:bCs/>
          <w:color w:val="auto"/>
          <w:spacing w:val="85"/>
          <w:sz w:val="30"/>
          <w:szCs w:val="30"/>
          <w:highlight w:val="none"/>
          <w:u w:val="none"/>
        </w:rPr>
      </w:pPr>
    </w:p>
    <w:p w14:paraId="3F50A892">
      <w:pPr>
        <w:rPr>
          <w:b/>
          <w:bCs/>
          <w:color w:val="auto"/>
          <w:spacing w:val="85"/>
          <w:sz w:val="30"/>
          <w:szCs w:val="30"/>
          <w:highlight w:val="none"/>
          <w:u w:val="none"/>
        </w:rPr>
      </w:pPr>
    </w:p>
    <w:p w14:paraId="7B93C51D">
      <w:pPr>
        <w:pStyle w:val="17"/>
        <w:rPr>
          <w:b/>
          <w:bCs/>
          <w:color w:val="auto"/>
          <w:spacing w:val="85"/>
          <w:sz w:val="30"/>
          <w:szCs w:val="30"/>
          <w:highlight w:val="none"/>
          <w:u w:val="none"/>
        </w:rPr>
      </w:pPr>
    </w:p>
    <w:p w14:paraId="7CC6B903"/>
    <w:p w14:paraId="76AA539D">
      <w:pPr>
        <w:spacing w:line="360" w:lineRule="auto"/>
        <w:jc w:val="center"/>
        <w:rPr>
          <w:rFonts w:hint="eastAsia" w:ascii="仿宋" w:hAnsi="仿宋" w:eastAsia="仿宋" w:cs="仿宋"/>
          <w:b/>
          <w:bCs/>
          <w:color w:val="auto"/>
          <w:spacing w:val="-13"/>
          <w:kern w:val="0"/>
          <w:sz w:val="36"/>
          <w:szCs w:val="36"/>
          <w:highlight w:val="none"/>
          <w:u w:val="none"/>
        </w:rPr>
      </w:pPr>
    </w:p>
    <w:p w14:paraId="3CF49EF7">
      <w:pPr>
        <w:spacing w:line="360" w:lineRule="auto"/>
        <w:jc w:val="center"/>
        <w:rPr>
          <w:rFonts w:hint="default" w:ascii="仿宋" w:hAnsi="仿宋" w:eastAsia="仿宋" w:cs="仿宋"/>
          <w:b/>
          <w:bCs/>
          <w:color w:val="auto"/>
          <w:spacing w:val="-13"/>
          <w:kern w:val="0"/>
          <w:sz w:val="36"/>
          <w:szCs w:val="36"/>
          <w:highlight w:val="none"/>
          <w:u w:val="none"/>
          <w:lang w:val="en-US" w:eastAsia="zh-CN"/>
        </w:rPr>
      </w:pPr>
      <w:r>
        <w:rPr>
          <w:rFonts w:hint="eastAsia" w:ascii="仿宋" w:hAnsi="仿宋" w:eastAsia="仿宋" w:cs="仿宋"/>
          <w:b/>
          <w:bCs/>
          <w:color w:val="auto"/>
          <w:spacing w:val="-13"/>
          <w:kern w:val="0"/>
          <w:sz w:val="36"/>
          <w:szCs w:val="36"/>
          <w:highlight w:val="none"/>
          <w:u w:val="none"/>
        </w:rPr>
        <w:t>项目名称</w:t>
      </w:r>
      <w:r>
        <w:rPr>
          <w:rFonts w:hint="eastAsia" w:ascii="仿宋" w:hAnsi="仿宋" w:eastAsia="仿宋" w:cs="仿宋"/>
          <w:b/>
          <w:bCs/>
          <w:color w:val="auto"/>
          <w:spacing w:val="-13"/>
          <w:sz w:val="36"/>
          <w:szCs w:val="36"/>
          <w:highlight w:val="none"/>
          <w:u w:val="none"/>
        </w:rPr>
        <w:t>：</w:t>
      </w:r>
      <w:r>
        <w:rPr>
          <w:rFonts w:hint="eastAsia" w:ascii="仿宋" w:hAnsi="仿宋" w:eastAsia="仿宋" w:cs="仿宋"/>
          <w:b/>
          <w:bCs/>
          <w:color w:val="auto"/>
          <w:spacing w:val="-13"/>
          <w:kern w:val="0"/>
          <w:sz w:val="36"/>
          <w:szCs w:val="36"/>
          <w:highlight w:val="none"/>
          <w:u w:val="single"/>
        </w:rPr>
        <w:t>湖南意朴电子有限公司先进电子器件生产制造项目</w:t>
      </w:r>
      <w:r>
        <w:rPr>
          <w:rFonts w:hint="eastAsia" w:ascii="仿宋" w:hAnsi="仿宋" w:eastAsia="仿宋" w:cs="仿宋"/>
          <w:b/>
          <w:bCs/>
          <w:color w:val="auto"/>
          <w:spacing w:val="-13"/>
          <w:kern w:val="0"/>
          <w:sz w:val="36"/>
          <w:szCs w:val="36"/>
          <w:highlight w:val="none"/>
          <w:u w:val="single"/>
          <w:lang w:val="en-US" w:eastAsia="zh-CN"/>
        </w:rPr>
        <w:t>（重新报批）</w:t>
      </w:r>
    </w:p>
    <w:p w14:paraId="290FC2CD">
      <w:pPr>
        <w:pStyle w:val="17"/>
        <w:spacing w:after="0" w:line="360" w:lineRule="auto"/>
        <w:jc w:val="center"/>
        <w:rPr>
          <w:rFonts w:ascii="仿宋" w:hAnsi="仿宋" w:eastAsia="仿宋" w:cs="仿宋"/>
          <w:b/>
          <w:bCs/>
          <w:color w:val="auto"/>
          <w:spacing w:val="-13"/>
          <w:sz w:val="36"/>
          <w:szCs w:val="36"/>
          <w:highlight w:val="none"/>
          <w:u w:val="none"/>
        </w:rPr>
      </w:pPr>
      <w:r>
        <w:rPr>
          <w:rFonts w:hint="eastAsia" w:ascii="仿宋" w:hAnsi="仿宋" w:eastAsia="仿宋" w:cs="仿宋"/>
          <w:b/>
          <w:bCs/>
          <w:color w:val="auto"/>
          <w:spacing w:val="-13"/>
          <w:sz w:val="36"/>
          <w:szCs w:val="36"/>
          <w:highlight w:val="none"/>
          <w:u w:val="none"/>
        </w:rPr>
        <w:t>建设单位</w:t>
      </w:r>
      <w:r>
        <w:rPr>
          <w:rFonts w:hint="eastAsia" w:ascii="仿宋" w:hAnsi="仿宋" w:eastAsia="仿宋" w:cs="仿宋"/>
          <w:b/>
          <w:color w:val="auto"/>
          <w:spacing w:val="-13"/>
          <w:sz w:val="36"/>
          <w:szCs w:val="36"/>
          <w:highlight w:val="none"/>
          <w:u w:val="none"/>
        </w:rPr>
        <w:t>（盖章）</w:t>
      </w:r>
      <w:r>
        <w:rPr>
          <w:rFonts w:hint="eastAsia" w:ascii="仿宋" w:hAnsi="仿宋" w:eastAsia="仿宋" w:cs="仿宋"/>
          <w:b/>
          <w:bCs/>
          <w:color w:val="auto"/>
          <w:spacing w:val="-13"/>
          <w:sz w:val="36"/>
          <w:szCs w:val="36"/>
          <w:highlight w:val="none"/>
          <w:u w:val="none"/>
        </w:rPr>
        <w:t>：</w:t>
      </w:r>
      <w:r>
        <w:rPr>
          <w:rFonts w:hint="eastAsia" w:ascii="仿宋" w:hAnsi="仿宋" w:eastAsia="仿宋" w:cs="仿宋"/>
          <w:b/>
          <w:bCs/>
          <w:color w:val="auto"/>
          <w:spacing w:val="-13"/>
          <w:kern w:val="0"/>
          <w:sz w:val="36"/>
          <w:szCs w:val="36"/>
          <w:highlight w:val="none"/>
          <w:u w:val="single"/>
        </w:rPr>
        <w:t>湖南意朴电子有限公司</w:t>
      </w:r>
    </w:p>
    <w:p w14:paraId="230CE25E">
      <w:pPr>
        <w:spacing w:line="360" w:lineRule="auto"/>
        <w:rPr>
          <w:rFonts w:ascii="仿宋" w:hAnsi="仿宋" w:eastAsia="仿宋" w:cs="仿宋"/>
          <w:b/>
          <w:bCs/>
          <w:color w:val="auto"/>
          <w:spacing w:val="-13"/>
          <w:kern w:val="0"/>
          <w:sz w:val="36"/>
          <w:szCs w:val="36"/>
          <w:highlight w:val="none"/>
          <w:u w:val="none"/>
        </w:rPr>
      </w:pPr>
    </w:p>
    <w:p w14:paraId="0F50B94E">
      <w:pPr>
        <w:spacing w:line="360" w:lineRule="auto"/>
        <w:jc w:val="center"/>
        <w:rPr>
          <w:rFonts w:ascii="仿宋" w:hAnsi="仿宋" w:eastAsia="仿宋" w:cs="仿宋"/>
          <w:b/>
          <w:bCs/>
          <w:color w:val="auto"/>
          <w:spacing w:val="-13"/>
          <w:kern w:val="0"/>
          <w:sz w:val="36"/>
          <w:szCs w:val="36"/>
          <w:highlight w:val="none"/>
          <w:u w:val="none"/>
        </w:rPr>
      </w:pPr>
      <w:r>
        <w:rPr>
          <w:rFonts w:hint="eastAsia" w:ascii="仿宋" w:hAnsi="仿宋" w:eastAsia="仿宋" w:cs="仿宋"/>
          <w:b/>
          <w:bCs/>
          <w:color w:val="auto"/>
          <w:spacing w:val="-13"/>
          <w:kern w:val="0"/>
          <w:sz w:val="36"/>
          <w:szCs w:val="36"/>
          <w:highlight w:val="none"/>
          <w:u w:val="none"/>
        </w:rPr>
        <w:t>编制日期：202</w:t>
      </w:r>
      <w:r>
        <w:rPr>
          <w:rFonts w:hint="eastAsia" w:ascii="仿宋" w:hAnsi="仿宋" w:eastAsia="仿宋" w:cs="仿宋"/>
          <w:b/>
          <w:bCs/>
          <w:color w:val="auto"/>
          <w:spacing w:val="-13"/>
          <w:kern w:val="0"/>
          <w:sz w:val="36"/>
          <w:szCs w:val="36"/>
          <w:highlight w:val="none"/>
          <w:u w:val="none"/>
          <w:lang w:val="en-US" w:eastAsia="zh-CN"/>
        </w:rPr>
        <w:t>6</w:t>
      </w:r>
      <w:r>
        <w:rPr>
          <w:rFonts w:hint="eastAsia" w:ascii="仿宋" w:hAnsi="仿宋" w:eastAsia="仿宋" w:cs="仿宋"/>
          <w:b/>
          <w:bCs/>
          <w:color w:val="auto"/>
          <w:spacing w:val="-13"/>
          <w:kern w:val="0"/>
          <w:sz w:val="36"/>
          <w:szCs w:val="36"/>
          <w:highlight w:val="none"/>
          <w:u w:val="none"/>
        </w:rPr>
        <w:t>年</w:t>
      </w:r>
      <w:r>
        <w:rPr>
          <w:rFonts w:hint="eastAsia" w:ascii="仿宋" w:hAnsi="仿宋" w:eastAsia="仿宋" w:cs="仿宋"/>
          <w:b/>
          <w:bCs/>
          <w:color w:val="auto"/>
          <w:spacing w:val="-13"/>
          <w:kern w:val="0"/>
          <w:sz w:val="36"/>
          <w:szCs w:val="36"/>
          <w:highlight w:val="none"/>
          <w:u w:val="none"/>
          <w:lang w:val="en-US" w:eastAsia="zh-CN"/>
        </w:rPr>
        <w:t>6</w:t>
      </w:r>
      <w:r>
        <w:rPr>
          <w:rFonts w:hint="eastAsia" w:ascii="仿宋" w:hAnsi="仿宋" w:eastAsia="仿宋" w:cs="仿宋"/>
          <w:b/>
          <w:bCs/>
          <w:color w:val="auto"/>
          <w:spacing w:val="-13"/>
          <w:kern w:val="0"/>
          <w:sz w:val="36"/>
          <w:szCs w:val="36"/>
          <w:highlight w:val="none"/>
          <w:u w:val="none"/>
        </w:rPr>
        <w:t>月</w:t>
      </w:r>
    </w:p>
    <w:p w14:paraId="6985DD7F">
      <w:pPr>
        <w:spacing w:line="360" w:lineRule="auto"/>
        <w:jc w:val="center"/>
        <w:rPr>
          <w:rFonts w:ascii="仿宋" w:hAnsi="仿宋" w:eastAsia="仿宋" w:cs="仿宋"/>
          <w:b/>
          <w:bCs/>
          <w:color w:val="auto"/>
          <w:spacing w:val="-13"/>
          <w:kern w:val="0"/>
          <w:sz w:val="36"/>
          <w:szCs w:val="36"/>
          <w:highlight w:val="none"/>
          <w:u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 w:hAnsi="仿宋" w:eastAsia="仿宋" w:cs="仿宋"/>
          <w:b/>
          <w:bCs/>
          <w:color w:val="auto"/>
          <w:spacing w:val="-13"/>
          <w:kern w:val="0"/>
          <w:sz w:val="36"/>
          <w:szCs w:val="36"/>
          <w:highlight w:val="none"/>
          <w:u w:val="none"/>
        </w:rPr>
        <w:t>中华人民共和国生态环境部制</w:t>
      </w:r>
    </w:p>
    <w:sdt>
      <w:sdtPr>
        <w:rPr>
          <w:rFonts w:ascii="宋体" w:hAnsi="宋体" w:eastAsia="宋体" w:cs="Times New Roman"/>
          <w:kern w:val="2"/>
          <w:sz w:val="21"/>
          <w:szCs w:val="21"/>
          <w:lang w:val="en-US" w:eastAsia="zh-CN" w:bidi="ar-SA"/>
        </w:rPr>
        <w:id w:val="147474321"/>
        <w15:color w:val="DBDBDB"/>
        <w:docPartObj>
          <w:docPartGallery w:val="Table of Contents"/>
          <w:docPartUnique/>
        </w:docPartObj>
      </w:sdtPr>
      <w:sdtEndPr>
        <w:rPr>
          <w:rFonts w:ascii="宋体" w:hAnsi="宋体" w:eastAsia="宋体" w:cs="Times New Roman"/>
          <w:kern w:val="2"/>
          <w:sz w:val="21"/>
          <w:szCs w:val="21"/>
          <w:lang w:val="en-US" w:eastAsia="zh-CN" w:bidi="ar-SA"/>
        </w:rPr>
      </w:sdtEndPr>
      <w:sdtContent>
        <w:p w14:paraId="2C049F5A">
          <w:pPr>
            <w:spacing w:before="0" w:beforeLines="0" w:after="0" w:afterLines="0" w:line="360" w:lineRule="auto"/>
            <w:ind w:left="0" w:leftChars="0" w:right="0" w:rightChars="0" w:firstLine="0" w:firstLineChars="0"/>
            <w:jc w:val="center"/>
            <w:rPr>
              <w:sz w:val="24"/>
              <w:szCs w:val="24"/>
            </w:rPr>
          </w:pPr>
          <w:r>
            <w:rPr>
              <w:rFonts w:ascii="宋体" w:hAnsi="宋体" w:eastAsia="宋体"/>
              <w:sz w:val="24"/>
              <w:szCs w:val="24"/>
            </w:rPr>
            <w:t>目录</w:t>
          </w:r>
        </w:p>
        <w:p w14:paraId="172A8706">
          <w:pPr>
            <w:pStyle w:val="25"/>
            <w:tabs>
              <w:tab w:val="right" w:leader="dot" w:pos="8306"/>
            </w:tabs>
            <w:spacing w:line="360" w:lineRule="auto"/>
            <w:rPr>
              <w:sz w:val="24"/>
              <w:szCs w:val="24"/>
            </w:rPr>
          </w:pPr>
          <w:r>
            <w:rPr>
              <w:sz w:val="24"/>
              <w:szCs w:val="24"/>
            </w:rPr>
            <w:fldChar w:fldCharType="begin"/>
          </w:r>
          <w:r>
            <w:rPr>
              <w:sz w:val="24"/>
              <w:szCs w:val="24"/>
            </w:rPr>
            <w:instrText xml:space="preserve">TOC \o "1-3" \h \u </w:instrText>
          </w:r>
          <w:r>
            <w:rPr>
              <w:sz w:val="24"/>
              <w:szCs w:val="24"/>
            </w:rPr>
            <w:fldChar w:fldCharType="separate"/>
          </w:r>
          <w:r>
            <w:rPr>
              <w:sz w:val="24"/>
              <w:szCs w:val="24"/>
            </w:rPr>
            <w:fldChar w:fldCharType="begin"/>
          </w:r>
          <w:r>
            <w:rPr>
              <w:sz w:val="24"/>
              <w:szCs w:val="24"/>
            </w:rPr>
            <w:instrText xml:space="preserve"> HYPERLINK \l _Toc2026 </w:instrText>
          </w:r>
          <w:r>
            <w:rPr>
              <w:sz w:val="24"/>
              <w:szCs w:val="24"/>
            </w:rPr>
            <w:fldChar w:fldCharType="separate"/>
          </w:r>
          <w:r>
            <w:rPr>
              <w:rFonts w:hint="eastAsia"/>
              <w:sz w:val="24"/>
              <w:szCs w:val="24"/>
              <w:highlight w:val="none"/>
            </w:rPr>
            <w:t>一、</w:t>
          </w:r>
          <w:r>
            <w:rPr>
              <w:sz w:val="24"/>
              <w:szCs w:val="24"/>
              <w:highlight w:val="none"/>
            </w:rPr>
            <w:t>建设项目基本情况</w:t>
          </w:r>
          <w:r>
            <w:rPr>
              <w:sz w:val="24"/>
              <w:szCs w:val="24"/>
            </w:rPr>
            <w:tab/>
          </w:r>
          <w:r>
            <w:rPr>
              <w:sz w:val="24"/>
              <w:szCs w:val="24"/>
            </w:rPr>
            <w:fldChar w:fldCharType="begin"/>
          </w:r>
          <w:r>
            <w:rPr>
              <w:sz w:val="24"/>
              <w:szCs w:val="24"/>
            </w:rPr>
            <w:instrText xml:space="preserve"> PAGEREF _Toc2026 \h </w:instrText>
          </w:r>
          <w:r>
            <w:rPr>
              <w:sz w:val="24"/>
              <w:szCs w:val="24"/>
            </w:rPr>
            <w:fldChar w:fldCharType="separate"/>
          </w:r>
          <w:r>
            <w:rPr>
              <w:sz w:val="24"/>
              <w:szCs w:val="24"/>
            </w:rPr>
            <w:t>1</w:t>
          </w:r>
          <w:r>
            <w:rPr>
              <w:sz w:val="24"/>
              <w:szCs w:val="24"/>
            </w:rPr>
            <w:fldChar w:fldCharType="end"/>
          </w:r>
          <w:r>
            <w:rPr>
              <w:sz w:val="24"/>
              <w:szCs w:val="24"/>
            </w:rPr>
            <w:fldChar w:fldCharType="end"/>
          </w:r>
        </w:p>
        <w:p w14:paraId="2963308C">
          <w:pPr>
            <w:pStyle w:val="25"/>
            <w:tabs>
              <w:tab w:val="right" w:leader="dot" w:pos="8306"/>
            </w:tabs>
            <w:spacing w:line="360" w:lineRule="auto"/>
            <w:rPr>
              <w:sz w:val="24"/>
              <w:szCs w:val="24"/>
            </w:rPr>
          </w:pPr>
          <w:r>
            <w:rPr>
              <w:sz w:val="24"/>
              <w:szCs w:val="24"/>
            </w:rPr>
            <w:fldChar w:fldCharType="begin"/>
          </w:r>
          <w:r>
            <w:rPr>
              <w:sz w:val="24"/>
              <w:szCs w:val="24"/>
            </w:rPr>
            <w:instrText xml:space="preserve"> HYPERLINK \l _Toc7073 </w:instrText>
          </w:r>
          <w:r>
            <w:rPr>
              <w:sz w:val="24"/>
              <w:szCs w:val="24"/>
            </w:rPr>
            <w:fldChar w:fldCharType="separate"/>
          </w:r>
          <w:r>
            <w:rPr>
              <w:rFonts w:hint="eastAsia"/>
              <w:sz w:val="24"/>
              <w:szCs w:val="24"/>
              <w:highlight w:val="none"/>
            </w:rPr>
            <w:t>二、建设项目工程分析</w:t>
          </w:r>
          <w:r>
            <w:rPr>
              <w:sz w:val="24"/>
              <w:szCs w:val="24"/>
            </w:rPr>
            <w:tab/>
          </w:r>
          <w:r>
            <w:rPr>
              <w:sz w:val="24"/>
              <w:szCs w:val="24"/>
            </w:rPr>
            <w:fldChar w:fldCharType="begin"/>
          </w:r>
          <w:r>
            <w:rPr>
              <w:sz w:val="24"/>
              <w:szCs w:val="24"/>
            </w:rPr>
            <w:instrText xml:space="preserve"> PAGEREF _Toc7073 \h </w:instrText>
          </w:r>
          <w:r>
            <w:rPr>
              <w:sz w:val="24"/>
              <w:szCs w:val="24"/>
            </w:rPr>
            <w:fldChar w:fldCharType="separate"/>
          </w:r>
          <w:r>
            <w:rPr>
              <w:sz w:val="24"/>
              <w:szCs w:val="24"/>
            </w:rPr>
            <w:t>10</w:t>
          </w:r>
          <w:r>
            <w:rPr>
              <w:sz w:val="24"/>
              <w:szCs w:val="24"/>
            </w:rPr>
            <w:fldChar w:fldCharType="end"/>
          </w:r>
          <w:r>
            <w:rPr>
              <w:sz w:val="24"/>
              <w:szCs w:val="24"/>
            </w:rPr>
            <w:fldChar w:fldCharType="end"/>
          </w:r>
        </w:p>
        <w:p w14:paraId="34117940">
          <w:pPr>
            <w:pStyle w:val="25"/>
            <w:tabs>
              <w:tab w:val="right" w:leader="dot" w:pos="8306"/>
            </w:tabs>
            <w:spacing w:line="360" w:lineRule="auto"/>
            <w:rPr>
              <w:sz w:val="24"/>
              <w:szCs w:val="24"/>
            </w:rPr>
          </w:pPr>
          <w:r>
            <w:rPr>
              <w:sz w:val="24"/>
              <w:szCs w:val="24"/>
            </w:rPr>
            <w:fldChar w:fldCharType="begin"/>
          </w:r>
          <w:r>
            <w:rPr>
              <w:sz w:val="24"/>
              <w:szCs w:val="24"/>
            </w:rPr>
            <w:instrText xml:space="preserve"> HYPERLINK \l _Toc28716 </w:instrText>
          </w:r>
          <w:r>
            <w:rPr>
              <w:sz w:val="24"/>
              <w:szCs w:val="24"/>
            </w:rPr>
            <w:fldChar w:fldCharType="separate"/>
          </w:r>
          <w:r>
            <w:rPr>
              <w:rFonts w:hint="eastAsia"/>
              <w:sz w:val="24"/>
              <w:szCs w:val="24"/>
              <w:highlight w:val="none"/>
            </w:rPr>
            <w:t>三、区域环境质量现状、环境保护目标及评价标准</w:t>
          </w:r>
          <w:r>
            <w:rPr>
              <w:sz w:val="24"/>
              <w:szCs w:val="24"/>
            </w:rPr>
            <w:tab/>
          </w:r>
          <w:r>
            <w:rPr>
              <w:sz w:val="24"/>
              <w:szCs w:val="24"/>
            </w:rPr>
            <w:fldChar w:fldCharType="begin"/>
          </w:r>
          <w:r>
            <w:rPr>
              <w:sz w:val="24"/>
              <w:szCs w:val="24"/>
            </w:rPr>
            <w:instrText xml:space="preserve"> PAGEREF _Toc28716 \h </w:instrText>
          </w:r>
          <w:r>
            <w:rPr>
              <w:sz w:val="24"/>
              <w:szCs w:val="24"/>
            </w:rPr>
            <w:fldChar w:fldCharType="separate"/>
          </w:r>
          <w:r>
            <w:rPr>
              <w:sz w:val="24"/>
              <w:szCs w:val="24"/>
            </w:rPr>
            <w:t>24</w:t>
          </w:r>
          <w:r>
            <w:rPr>
              <w:sz w:val="24"/>
              <w:szCs w:val="24"/>
            </w:rPr>
            <w:fldChar w:fldCharType="end"/>
          </w:r>
          <w:r>
            <w:rPr>
              <w:sz w:val="24"/>
              <w:szCs w:val="24"/>
            </w:rPr>
            <w:fldChar w:fldCharType="end"/>
          </w:r>
        </w:p>
        <w:p w14:paraId="480573A9">
          <w:pPr>
            <w:pStyle w:val="25"/>
            <w:tabs>
              <w:tab w:val="right" w:leader="dot" w:pos="8306"/>
            </w:tabs>
            <w:spacing w:line="360" w:lineRule="auto"/>
            <w:rPr>
              <w:sz w:val="24"/>
              <w:szCs w:val="24"/>
            </w:rPr>
          </w:pPr>
          <w:r>
            <w:rPr>
              <w:sz w:val="24"/>
              <w:szCs w:val="24"/>
            </w:rPr>
            <w:fldChar w:fldCharType="begin"/>
          </w:r>
          <w:r>
            <w:rPr>
              <w:sz w:val="24"/>
              <w:szCs w:val="24"/>
            </w:rPr>
            <w:instrText xml:space="preserve"> HYPERLINK \l _Toc13607 </w:instrText>
          </w:r>
          <w:r>
            <w:rPr>
              <w:sz w:val="24"/>
              <w:szCs w:val="24"/>
            </w:rPr>
            <w:fldChar w:fldCharType="separate"/>
          </w:r>
          <w:r>
            <w:rPr>
              <w:rFonts w:hint="eastAsia"/>
              <w:sz w:val="24"/>
              <w:szCs w:val="24"/>
              <w:highlight w:val="none"/>
            </w:rPr>
            <w:t>四、主要环境影响和保护措施</w:t>
          </w:r>
          <w:r>
            <w:rPr>
              <w:sz w:val="24"/>
              <w:szCs w:val="24"/>
            </w:rPr>
            <w:tab/>
          </w:r>
          <w:r>
            <w:rPr>
              <w:sz w:val="24"/>
              <w:szCs w:val="24"/>
            </w:rPr>
            <w:fldChar w:fldCharType="begin"/>
          </w:r>
          <w:r>
            <w:rPr>
              <w:sz w:val="24"/>
              <w:szCs w:val="24"/>
            </w:rPr>
            <w:instrText xml:space="preserve"> PAGEREF _Toc13607 \h </w:instrText>
          </w:r>
          <w:r>
            <w:rPr>
              <w:sz w:val="24"/>
              <w:szCs w:val="24"/>
            </w:rPr>
            <w:fldChar w:fldCharType="separate"/>
          </w:r>
          <w:r>
            <w:rPr>
              <w:sz w:val="24"/>
              <w:szCs w:val="24"/>
            </w:rPr>
            <w:t>31</w:t>
          </w:r>
          <w:r>
            <w:rPr>
              <w:sz w:val="24"/>
              <w:szCs w:val="24"/>
            </w:rPr>
            <w:fldChar w:fldCharType="end"/>
          </w:r>
          <w:r>
            <w:rPr>
              <w:sz w:val="24"/>
              <w:szCs w:val="24"/>
            </w:rPr>
            <w:fldChar w:fldCharType="end"/>
          </w:r>
        </w:p>
        <w:p w14:paraId="3DB9D12D">
          <w:pPr>
            <w:pStyle w:val="25"/>
            <w:tabs>
              <w:tab w:val="right" w:leader="dot" w:pos="8306"/>
            </w:tabs>
            <w:spacing w:line="360" w:lineRule="auto"/>
            <w:rPr>
              <w:sz w:val="24"/>
              <w:szCs w:val="24"/>
            </w:rPr>
          </w:pPr>
          <w:r>
            <w:rPr>
              <w:sz w:val="24"/>
              <w:szCs w:val="24"/>
            </w:rPr>
            <w:fldChar w:fldCharType="begin"/>
          </w:r>
          <w:r>
            <w:rPr>
              <w:sz w:val="24"/>
              <w:szCs w:val="24"/>
            </w:rPr>
            <w:instrText xml:space="preserve"> HYPERLINK \l _Toc2381 </w:instrText>
          </w:r>
          <w:r>
            <w:rPr>
              <w:sz w:val="24"/>
              <w:szCs w:val="24"/>
            </w:rPr>
            <w:fldChar w:fldCharType="separate"/>
          </w:r>
          <w:r>
            <w:rPr>
              <w:sz w:val="24"/>
              <w:szCs w:val="24"/>
              <w:highlight w:val="none"/>
            </w:rPr>
            <w:t>五、环境保护措施监督检查清单</w:t>
          </w:r>
          <w:r>
            <w:rPr>
              <w:sz w:val="24"/>
              <w:szCs w:val="24"/>
            </w:rPr>
            <w:tab/>
          </w:r>
          <w:r>
            <w:rPr>
              <w:sz w:val="24"/>
              <w:szCs w:val="24"/>
            </w:rPr>
            <w:fldChar w:fldCharType="begin"/>
          </w:r>
          <w:r>
            <w:rPr>
              <w:sz w:val="24"/>
              <w:szCs w:val="24"/>
            </w:rPr>
            <w:instrText xml:space="preserve"> PAGEREF _Toc2381 \h </w:instrText>
          </w:r>
          <w:r>
            <w:rPr>
              <w:sz w:val="24"/>
              <w:szCs w:val="24"/>
            </w:rPr>
            <w:fldChar w:fldCharType="separate"/>
          </w:r>
          <w:r>
            <w:rPr>
              <w:sz w:val="24"/>
              <w:szCs w:val="24"/>
            </w:rPr>
            <w:t>55</w:t>
          </w:r>
          <w:r>
            <w:rPr>
              <w:sz w:val="24"/>
              <w:szCs w:val="24"/>
            </w:rPr>
            <w:fldChar w:fldCharType="end"/>
          </w:r>
          <w:r>
            <w:rPr>
              <w:sz w:val="24"/>
              <w:szCs w:val="24"/>
            </w:rPr>
            <w:fldChar w:fldCharType="end"/>
          </w:r>
        </w:p>
        <w:p w14:paraId="4A0DFCC8">
          <w:pPr>
            <w:pStyle w:val="25"/>
            <w:tabs>
              <w:tab w:val="right" w:leader="dot" w:pos="8306"/>
            </w:tabs>
            <w:spacing w:line="360" w:lineRule="auto"/>
            <w:rPr>
              <w:sz w:val="24"/>
              <w:szCs w:val="24"/>
            </w:rPr>
          </w:pPr>
          <w:r>
            <w:rPr>
              <w:sz w:val="24"/>
              <w:szCs w:val="24"/>
            </w:rPr>
            <w:fldChar w:fldCharType="begin"/>
          </w:r>
          <w:r>
            <w:rPr>
              <w:sz w:val="24"/>
              <w:szCs w:val="24"/>
            </w:rPr>
            <w:instrText xml:space="preserve"> HYPERLINK \l _Toc8906 </w:instrText>
          </w:r>
          <w:r>
            <w:rPr>
              <w:sz w:val="24"/>
              <w:szCs w:val="24"/>
            </w:rPr>
            <w:fldChar w:fldCharType="separate"/>
          </w:r>
          <w:r>
            <w:rPr>
              <w:rFonts w:hint="eastAsia"/>
              <w:sz w:val="24"/>
              <w:szCs w:val="24"/>
              <w:highlight w:val="none"/>
            </w:rPr>
            <w:t>六、结论</w:t>
          </w:r>
          <w:r>
            <w:rPr>
              <w:sz w:val="24"/>
              <w:szCs w:val="24"/>
            </w:rPr>
            <w:tab/>
          </w:r>
          <w:r>
            <w:rPr>
              <w:sz w:val="24"/>
              <w:szCs w:val="24"/>
            </w:rPr>
            <w:fldChar w:fldCharType="begin"/>
          </w:r>
          <w:r>
            <w:rPr>
              <w:sz w:val="24"/>
              <w:szCs w:val="24"/>
            </w:rPr>
            <w:instrText xml:space="preserve"> PAGEREF _Toc8906 \h </w:instrText>
          </w:r>
          <w:r>
            <w:rPr>
              <w:sz w:val="24"/>
              <w:szCs w:val="24"/>
            </w:rPr>
            <w:fldChar w:fldCharType="separate"/>
          </w:r>
          <w:r>
            <w:rPr>
              <w:sz w:val="24"/>
              <w:szCs w:val="24"/>
            </w:rPr>
            <w:t>57</w:t>
          </w:r>
          <w:r>
            <w:rPr>
              <w:sz w:val="24"/>
              <w:szCs w:val="24"/>
            </w:rPr>
            <w:fldChar w:fldCharType="end"/>
          </w:r>
          <w:r>
            <w:rPr>
              <w:sz w:val="24"/>
              <w:szCs w:val="24"/>
            </w:rPr>
            <w:fldChar w:fldCharType="end"/>
          </w:r>
        </w:p>
        <w:p w14:paraId="36033671">
          <w:pPr>
            <w:pStyle w:val="25"/>
            <w:tabs>
              <w:tab w:val="right" w:leader="dot" w:pos="8306"/>
            </w:tabs>
            <w:spacing w:line="360" w:lineRule="auto"/>
            <w:rPr>
              <w:sz w:val="24"/>
              <w:szCs w:val="24"/>
            </w:rPr>
          </w:pPr>
          <w:r>
            <w:rPr>
              <w:sz w:val="24"/>
              <w:szCs w:val="24"/>
            </w:rPr>
            <w:fldChar w:fldCharType="begin"/>
          </w:r>
          <w:r>
            <w:rPr>
              <w:sz w:val="24"/>
              <w:szCs w:val="24"/>
            </w:rPr>
            <w:instrText xml:space="preserve"> HYPERLINK \l _Toc22265 </w:instrText>
          </w:r>
          <w:r>
            <w:rPr>
              <w:sz w:val="24"/>
              <w:szCs w:val="24"/>
            </w:rPr>
            <w:fldChar w:fldCharType="separate"/>
          </w:r>
          <w:r>
            <w:rPr>
              <w:rFonts w:hint="eastAsia"/>
              <w:sz w:val="24"/>
              <w:szCs w:val="24"/>
              <w:highlight w:val="none"/>
            </w:rPr>
            <w:t>附表</w:t>
          </w:r>
          <w:r>
            <w:rPr>
              <w:sz w:val="24"/>
              <w:szCs w:val="24"/>
            </w:rPr>
            <w:tab/>
          </w:r>
          <w:r>
            <w:rPr>
              <w:sz w:val="24"/>
              <w:szCs w:val="24"/>
            </w:rPr>
            <w:fldChar w:fldCharType="begin"/>
          </w:r>
          <w:r>
            <w:rPr>
              <w:sz w:val="24"/>
              <w:szCs w:val="24"/>
            </w:rPr>
            <w:instrText xml:space="preserve"> PAGEREF _Toc22265 \h </w:instrText>
          </w:r>
          <w:r>
            <w:rPr>
              <w:sz w:val="24"/>
              <w:szCs w:val="24"/>
            </w:rPr>
            <w:fldChar w:fldCharType="separate"/>
          </w:r>
          <w:r>
            <w:rPr>
              <w:sz w:val="24"/>
              <w:szCs w:val="24"/>
            </w:rPr>
            <w:t>58</w:t>
          </w:r>
          <w:r>
            <w:rPr>
              <w:sz w:val="24"/>
              <w:szCs w:val="24"/>
            </w:rPr>
            <w:fldChar w:fldCharType="end"/>
          </w:r>
          <w:r>
            <w:rPr>
              <w:sz w:val="24"/>
              <w:szCs w:val="24"/>
            </w:rPr>
            <w:fldChar w:fldCharType="end"/>
          </w:r>
        </w:p>
        <w:p w14:paraId="10E57F63">
          <w:pPr>
            <w:spacing w:line="360" w:lineRule="auto"/>
          </w:pPr>
          <w:r>
            <w:rPr>
              <w:sz w:val="24"/>
              <w:szCs w:val="24"/>
            </w:rPr>
            <w:fldChar w:fldCharType="end"/>
          </w:r>
        </w:p>
      </w:sdtContent>
    </w:sdt>
    <w:p w14:paraId="1C98C3B3"/>
    <w:p w14:paraId="6BF34398">
      <w:pPr>
        <w:rPr>
          <w:b/>
          <w:bCs/>
          <w:sz w:val="24"/>
          <w:szCs w:val="24"/>
          <w:lang w:val="zh-CN"/>
        </w:rPr>
      </w:pPr>
      <w:r>
        <w:rPr>
          <w:rFonts w:hint="eastAsia"/>
          <w:b/>
          <w:bCs/>
          <w:sz w:val="24"/>
          <w:szCs w:val="24"/>
          <w:lang w:val="zh-CN"/>
        </w:rPr>
        <w:t>附图</w:t>
      </w:r>
    </w:p>
    <w:p w14:paraId="33009BBE">
      <w:pPr>
        <w:rPr>
          <w:sz w:val="24"/>
          <w:szCs w:val="24"/>
        </w:rPr>
      </w:pPr>
      <w:r>
        <w:rPr>
          <w:rFonts w:hint="eastAsia"/>
          <w:sz w:val="24"/>
          <w:szCs w:val="24"/>
        </w:rPr>
        <w:t>附图1   项目地理位置图</w:t>
      </w:r>
    </w:p>
    <w:p w14:paraId="149C5485">
      <w:pPr>
        <w:rPr>
          <w:sz w:val="24"/>
          <w:szCs w:val="24"/>
        </w:rPr>
      </w:pPr>
      <w:r>
        <w:rPr>
          <w:rFonts w:hint="eastAsia"/>
          <w:sz w:val="24"/>
          <w:szCs w:val="24"/>
        </w:rPr>
        <w:t>附图2   项目平面布置图</w:t>
      </w:r>
    </w:p>
    <w:p w14:paraId="11370461">
      <w:pPr>
        <w:rPr>
          <w:sz w:val="24"/>
          <w:szCs w:val="24"/>
        </w:rPr>
      </w:pPr>
      <w:r>
        <w:rPr>
          <w:rFonts w:hint="eastAsia"/>
          <w:sz w:val="24"/>
          <w:szCs w:val="24"/>
        </w:rPr>
        <w:t>附图3   项目监测点位图</w:t>
      </w:r>
    </w:p>
    <w:p w14:paraId="6B98DB7D">
      <w:pP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附图4   项目主要环境保护目标图</w:t>
      </w:r>
    </w:p>
    <w:p w14:paraId="7B0797AE">
      <w:pP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附图5   项目厂区四周图片</w:t>
      </w:r>
    </w:p>
    <w:p w14:paraId="0EF03F13">
      <w:pP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附图</w:t>
      </w:r>
      <w:r>
        <w:rPr>
          <w:rFonts w:hint="eastAsia" w:ascii="Times New Roman" w:hAnsi="Times New Roman" w:eastAsia="宋体" w:cs="Times New Roman"/>
          <w:sz w:val="24"/>
          <w:szCs w:val="24"/>
          <w:lang w:val="en-US" w:eastAsia="zh-CN"/>
        </w:rPr>
        <w:t>6   永州市经济技术开发区调区（扩区）控制性详细规划</w:t>
      </w:r>
    </w:p>
    <w:p w14:paraId="67737D5D">
      <w:pP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附图7   项目排水规划</w:t>
      </w:r>
    </w:p>
    <w:p w14:paraId="07FC837B">
      <w:pPr>
        <w:rPr>
          <w:rFonts w:hint="eastAsia" w:ascii="Times New Roman" w:hAnsi="Times New Roman" w:eastAsia="宋体" w:cs="Times New Roman"/>
          <w:b/>
          <w:bCs/>
          <w:sz w:val="24"/>
          <w:szCs w:val="24"/>
        </w:rPr>
      </w:pPr>
      <w:r>
        <w:rPr>
          <w:rFonts w:hint="eastAsia" w:ascii="Times New Roman" w:hAnsi="Times New Roman" w:eastAsia="宋体" w:cs="Times New Roman"/>
          <w:b/>
          <w:bCs/>
          <w:sz w:val="24"/>
          <w:szCs w:val="24"/>
        </w:rPr>
        <w:t>附件</w:t>
      </w:r>
    </w:p>
    <w:p w14:paraId="5F13D134">
      <w:pPr>
        <w:rPr>
          <w:sz w:val="24"/>
          <w:szCs w:val="24"/>
        </w:rPr>
      </w:pPr>
      <w:r>
        <w:rPr>
          <w:rFonts w:hint="eastAsia"/>
          <w:sz w:val="24"/>
          <w:szCs w:val="24"/>
        </w:rPr>
        <w:t>附件1   环评委托书</w:t>
      </w:r>
    </w:p>
    <w:p w14:paraId="0856F678">
      <w:pPr>
        <w:rPr>
          <w:sz w:val="24"/>
          <w:szCs w:val="24"/>
        </w:rPr>
      </w:pPr>
      <w:r>
        <w:rPr>
          <w:rFonts w:hint="eastAsia"/>
          <w:sz w:val="24"/>
          <w:szCs w:val="24"/>
        </w:rPr>
        <w:t>附件2   营业执照</w:t>
      </w:r>
    </w:p>
    <w:p w14:paraId="34A3FB0A">
      <w:pPr>
        <w:rPr>
          <w:rFonts w:hint="eastAsia"/>
          <w:sz w:val="24"/>
          <w:szCs w:val="24"/>
        </w:rPr>
      </w:pPr>
      <w:r>
        <w:rPr>
          <w:rFonts w:hint="eastAsia"/>
          <w:sz w:val="24"/>
          <w:szCs w:val="24"/>
        </w:rPr>
        <w:t xml:space="preserve">附件3  </w:t>
      </w:r>
      <w:r>
        <w:rPr>
          <w:rFonts w:hint="eastAsia"/>
          <w:sz w:val="24"/>
          <w:szCs w:val="24"/>
          <w:lang w:val="en-US" w:eastAsia="zh-CN"/>
        </w:rPr>
        <w:t xml:space="preserve"> </w:t>
      </w:r>
      <w:r>
        <w:rPr>
          <w:rFonts w:hint="eastAsia"/>
          <w:sz w:val="24"/>
          <w:szCs w:val="24"/>
        </w:rPr>
        <w:t>项目备案证明</w:t>
      </w:r>
    </w:p>
    <w:p w14:paraId="0B1D3D2A">
      <w:pPr>
        <w:rPr>
          <w:rFonts w:hint="default" w:eastAsia="宋体"/>
          <w:sz w:val="24"/>
          <w:szCs w:val="24"/>
          <w:lang w:val="en-US" w:eastAsia="zh-CN"/>
        </w:rPr>
      </w:pPr>
      <w:r>
        <w:rPr>
          <w:rFonts w:hint="eastAsia"/>
          <w:sz w:val="24"/>
          <w:szCs w:val="24"/>
        </w:rPr>
        <w:t>附件</w:t>
      </w:r>
      <w:r>
        <w:rPr>
          <w:rFonts w:hint="eastAsia"/>
          <w:sz w:val="24"/>
          <w:szCs w:val="24"/>
          <w:lang w:val="en-US" w:eastAsia="zh-CN"/>
        </w:rPr>
        <w:t>4</w:t>
      </w:r>
      <w:r>
        <w:rPr>
          <w:rFonts w:hint="eastAsia"/>
          <w:sz w:val="24"/>
          <w:szCs w:val="24"/>
        </w:rPr>
        <w:t xml:space="preserve">   </w:t>
      </w:r>
      <w:r>
        <w:rPr>
          <w:rFonts w:hint="eastAsia"/>
          <w:sz w:val="24"/>
          <w:szCs w:val="24"/>
          <w:lang w:val="en-US" w:eastAsia="zh-CN"/>
        </w:rPr>
        <w:t>厂房租赁协议</w:t>
      </w:r>
    </w:p>
    <w:p w14:paraId="791B553D">
      <w:pPr>
        <w:rPr>
          <w:rFonts w:hint="eastAsia"/>
          <w:sz w:val="24"/>
          <w:szCs w:val="24"/>
        </w:rPr>
      </w:pPr>
      <w:r>
        <w:rPr>
          <w:rFonts w:hint="eastAsia"/>
          <w:sz w:val="24"/>
          <w:szCs w:val="24"/>
        </w:rPr>
        <w:t>附件</w:t>
      </w:r>
      <w:r>
        <w:rPr>
          <w:rFonts w:hint="eastAsia"/>
          <w:sz w:val="24"/>
          <w:szCs w:val="24"/>
          <w:lang w:val="en-US" w:eastAsia="zh-CN"/>
        </w:rPr>
        <w:t>5</w:t>
      </w:r>
      <w:r>
        <w:rPr>
          <w:rFonts w:hint="eastAsia"/>
          <w:sz w:val="24"/>
          <w:szCs w:val="24"/>
        </w:rPr>
        <w:t xml:space="preserve">  </w:t>
      </w:r>
      <w:r>
        <w:rPr>
          <w:rFonts w:hint="eastAsia"/>
          <w:sz w:val="24"/>
          <w:szCs w:val="24"/>
          <w:lang w:val="en-US" w:eastAsia="zh-CN"/>
        </w:rPr>
        <w:t xml:space="preserve"> </w:t>
      </w:r>
      <w:r>
        <w:rPr>
          <w:rFonts w:hint="eastAsia"/>
          <w:sz w:val="24"/>
          <w:szCs w:val="24"/>
        </w:rPr>
        <w:t>《永州经济技术开发区调区扩区规划环境影响报告书》审查意见的函</w:t>
      </w:r>
    </w:p>
    <w:p w14:paraId="0F5C1668">
      <w:pPr>
        <w:rPr>
          <w:rFonts w:hint="default"/>
          <w:sz w:val="24"/>
          <w:szCs w:val="24"/>
          <w:lang w:val="en-US" w:eastAsia="zh-CN"/>
        </w:rPr>
      </w:pPr>
      <w:r>
        <w:rPr>
          <w:rFonts w:hint="eastAsia"/>
          <w:sz w:val="24"/>
          <w:szCs w:val="24"/>
          <w:lang w:val="en-US" w:eastAsia="zh-CN"/>
        </w:rPr>
        <w:t>附件6   原料MSDS资料</w:t>
      </w:r>
    </w:p>
    <w:p w14:paraId="07047DE0">
      <w:pPr>
        <w:rPr>
          <w:rFonts w:hint="default" w:eastAsia="宋体"/>
          <w:lang w:val="en-US" w:eastAsia="zh-CN"/>
        </w:rPr>
      </w:pPr>
      <w:r>
        <w:rPr>
          <w:rFonts w:hint="eastAsia"/>
          <w:sz w:val="24"/>
          <w:szCs w:val="24"/>
          <w:lang w:val="en-US" w:eastAsia="zh-CN"/>
        </w:rPr>
        <w:t>附件7   原环评批复文件</w:t>
      </w:r>
    </w:p>
    <w:p w14:paraId="10EFCD65">
      <w:pPr>
        <w:pStyle w:val="3"/>
        <w:spacing w:before="0" w:after="0" w:line="360" w:lineRule="auto"/>
        <w:jc w:val="center"/>
        <w:rPr>
          <w:rFonts w:hint="eastAsia"/>
          <w:color w:val="auto"/>
          <w:sz w:val="32"/>
          <w:highlight w:val="none"/>
          <w:u w:val="none"/>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CF84520">
      <w:pPr>
        <w:pStyle w:val="3"/>
        <w:spacing w:before="0" w:after="0" w:line="360" w:lineRule="auto"/>
        <w:jc w:val="center"/>
        <w:rPr>
          <w:color w:val="auto"/>
          <w:sz w:val="32"/>
          <w:highlight w:val="none"/>
          <w:u w:val="none"/>
        </w:rPr>
      </w:pPr>
      <w:bookmarkStart w:id="0" w:name="_Toc2026"/>
      <w:r>
        <w:rPr>
          <w:rFonts w:hint="eastAsia"/>
          <w:color w:val="auto"/>
          <w:sz w:val="32"/>
          <w:highlight w:val="none"/>
          <w:u w:val="none"/>
        </w:rPr>
        <w:t>一、</w:t>
      </w:r>
      <w:r>
        <w:rPr>
          <w:color w:val="auto"/>
          <w:sz w:val="32"/>
          <w:highlight w:val="none"/>
          <w:u w:val="none"/>
        </w:rPr>
        <w:t>建设项目基本情况</w:t>
      </w:r>
      <w:bookmarkEnd w:id="0"/>
    </w:p>
    <w:tbl>
      <w:tblPr>
        <w:tblStyle w:val="3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4"/>
        <w:gridCol w:w="2537"/>
        <w:gridCol w:w="1669"/>
        <w:gridCol w:w="3151"/>
      </w:tblGrid>
      <w:tr w14:paraId="2679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4" w:type="dxa"/>
            <w:vAlign w:val="center"/>
          </w:tcPr>
          <w:p w14:paraId="467655E7">
            <w:pPr>
              <w:jc w:val="center"/>
              <w:rPr>
                <w:color w:val="auto"/>
                <w:sz w:val="24"/>
                <w:szCs w:val="24"/>
                <w:highlight w:val="none"/>
                <w:u w:val="none"/>
                <w:shd w:val="clear" w:color="auto" w:fill="FFFFFF"/>
              </w:rPr>
            </w:pPr>
            <w:r>
              <w:rPr>
                <w:rFonts w:hint="eastAsia"/>
                <w:color w:val="auto"/>
                <w:sz w:val="24"/>
                <w:szCs w:val="24"/>
                <w:highlight w:val="none"/>
                <w:u w:val="none"/>
                <w:shd w:val="clear" w:color="auto" w:fill="FFFFFF"/>
              </w:rPr>
              <w:t>建设项目名称</w:t>
            </w:r>
          </w:p>
        </w:tc>
        <w:tc>
          <w:tcPr>
            <w:tcW w:w="7357" w:type="dxa"/>
            <w:gridSpan w:val="3"/>
            <w:vAlign w:val="center"/>
          </w:tcPr>
          <w:p w14:paraId="1382F94B">
            <w:pPr>
              <w:spacing w:line="360" w:lineRule="auto"/>
              <w:jc w:val="center"/>
              <w:rPr>
                <w:rFonts w:hint="default" w:ascii="Calibri" w:hAnsi="Calibri" w:eastAsia="宋体"/>
                <w:color w:val="auto"/>
                <w:kern w:val="0"/>
                <w:sz w:val="24"/>
                <w:szCs w:val="24"/>
                <w:highlight w:val="none"/>
                <w:u w:val="none"/>
                <w:lang w:val="en-US" w:eastAsia="zh-CN"/>
              </w:rPr>
            </w:pPr>
            <w:r>
              <w:rPr>
                <w:rFonts w:hint="eastAsia"/>
                <w:color w:val="auto"/>
                <w:sz w:val="24"/>
                <w:szCs w:val="24"/>
                <w:highlight w:val="none"/>
                <w:u w:val="none"/>
                <w:shd w:val="clear" w:color="auto" w:fill="FFFFFF"/>
              </w:rPr>
              <w:t>湖南意朴电子有限公司先进电子器件生产制造项目</w:t>
            </w:r>
            <w:r>
              <w:rPr>
                <w:rFonts w:hint="eastAsia"/>
                <w:color w:val="auto"/>
                <w:sz w:val="24"/>
                <w:szCs w:val="24"/>
                <w:highlight w:val="none"/>
                <w:u w:val="none"/>
                <w:shd w:val="clear" w:color="auto" w:fill="FFFFFF"/>
                <w:lang w:val="en-US" w:eastAsia="zh-CN"/>
              </w:rPr>
              <w:t>（重新报批）</w:t>
            </w:r>
          </w:p>
        </w:tc>
      </w:tr>
      <w:tr w14:paraId="6B43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14" w:type="dxa"/>
            <w:vAlign w:val="center"/>
          </w:tcPr>
          <w:p w14:paraId="27BEA10B">
            <w:pPr>
              <w:jc w:val="center"/>
              <w:rPr>
                <w:color w:val="auto"/>
                <w:sz w:val="24"/>
                <w:szCs w:val="24"/>
                <w:highlight w:val="none"/>
                <w:u w:val="none"/>
                <w:shd w:val="clear" w:color="auto" w:fill="FFFFFF"/>
              </w:rPr>
            </w:pPr>
            <w:r>
              <w:rPr>
                <w:rFonts w:hint="eastAsia"/>
                <w:color w:val="auto"/>
                <w:sz w:val="24"/>
                <w:szCs w:val="24"/>
                <w:highlight w:val="none"/>
                <w:u w:val="none"/>
                <w:shd w:val="clear" w:color="auto" w:fill="FFFFFF"/>
              </w:rPr>
              <w:t>项目代码</w:t>
            </w:r>
          </w:p>
        </w:tc>
        <w:tc>
          <w:tcPr>
            <w:tcW w:w="7357" w:type="dxa"/>
            <w:gridSpan w:val="3"/>
            <w:vAlign w:val="center"/>
          </w:tcPr>
          <w:p w14:paraId="667AF2EE">
            <w:pPr>
              <w:spacing w:line="360" w:lineRule="auto"/>
              <w:jc w:val="center"/>
              <w:rPr>
                <w:rFonts w:hint="default" w:ascii="Calibri" w:hAnsi="Calibri" w:eastAsia="宋体"/>
                <w:color w:val="auto"/>
                <w:kern w:val="0"/>
                <w:sz w:val="24"/>
                <w:szCs w:val="24"/>
                <w:highlight w:val="none"/>
                <w:u w:val="none"/>
                <w:lang w:val="en-US" w:eastAsia="zh-CN"/>
              </w:rPr>
            </w:pPr>
            <w:r>
              <w:rPr>
                <w:rFonts w:hint="eastAsia" w:ascii="Calibri" w:hAnsi="Calibri"/>
                <w:color w:val="auto"/>
                <w:kern w:val="0"/>
                <w:sz w:val="24"/>
                <w:szCs w:val="24"/>
                <w:highlight w:val="none"/>
                <w:u w:val="none"/>
                <w:lang w:val="en-US" w:eastAsia="zh-CN"/>
              </w:rPr>
              <w:t>2403-431171-04-01-856467</w:t>
            </w:r>
          </w:p>
        </w:tc>
      </w:tr>
      <w:tr w14:paraId="483C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4" w:type="dxa"/>
            <w:vAlign w:val="center"/>
          </w:tcPr>
          <w:p w14:paraId="7D8B3D6B">
            <w:pPr>
              <w:jc w:val="center"/>
              <w:rPr>
                <w:color w:val="auto"/>
                <w:sz w:val="24"/>
                <w:szCs w:val="24"/>
                <w:highlight w:val="none"/>
                <w:u w:val="none"/>
                <w:shd w:val="clear" w:color="auto" w:fill="FFFFFF"/>
              </w:rPr>
            </w:pPr>
            <w:r>
              <w:rPr>
                <w:rFonts w:hint="eastAsia"/>
                <w:color w:val="auto"/>
                <w:sz w:val="24"/>
                <w:szCs w:val="24"/>
                <w:highlight w:val="none"/>
                <w:u w:val="none"/>
                <w:shd w:val="clear" w:color="auto" w:fill="FFFFFF"/>
              </w:rPr>
              <w:t>建设单位联系人</w:t>
            </w:r>
          </w:p>
        </w:tc>
        <w:tc>
          <w:tcPr>
            <w:tcW w:w="2537" w:type="dxa"/>
            <w:vAlign w:val="center"/>
          </w:tcPr>
          <w:p w14:paraId="738B1372">
            <w:pPr>
              <w:spacing w:line="360" w:lineRule="auto"/>
              <w:jc w:val="center"/>
              <w:rPr>
                <w:rFonts w:hint="default" w:eastAsia="宋体"/>
                <w:color w:val="auto"/>
                <w:sz w:val="24"/>
                <w:szCs w:val="24"/>
                <w:highlight w:val="none"/>
                <w:u w:val="none"/>
                <w:shd w:val="clear" w:color="auto" w:fill="FFFFFF"/>
                <w:lang w:val="en-US" w:eastAsia="zh-CN"/>
              </w:rPr>
            </w:pPr>
            <w:r>
              <w:rPr>
                <w:rFonts w:hint="eastAsia"/>
                <w:color w:val="auto"/>
                <w:sz w:val="24"/>
                <w:szCs w:val="24"/>
                <w:highlight w:val="none"/>
                <w:u w:val="none"/>
                <w:shd w:val="clear" w:color="auto" w:fill="FFFFFF"/>
                <w:lang w:val="en-US" w:eastAsia="zh-CN"/>
              </w:rPr>
              <w:t>马立新</w:t>
            </w:r>
          </w:p>
        </w:tc>
        <w:tc>
          <w:tcPr>
            <w:tcW w:w="1669" w:type="dxa"/>
            <w:vAlign w:val="center"/>
          </w:tcPr>
          <w:p w14:paraId="6DE12038">
            <w:pPr>
              <w:jc w:val="center"/>
              <w:rPr>
                <w:color w:val="auto"/>
                <w:sz w:val="24"/>
                <w:szCs w:val="24"/>
                <w:highlight w:val="none"/>
                <w:u w:val="none"/>
                <w:shd w:val="clear" w:color="auto" w:fill="FFFFFF"/>
              </w:rPr>
            </w:pPr>
            <w:r>
              <w:rPr>
                <w:rFonts w:hint="eastAsia"/>
                <w:color w:val="auto"/>
                <w:sz w:val="24"/>
                <w:szCs w:val="24"/>
                <w:highlight w:val="none"/>
                <w:u w:val="none"/>
                <w:shd w:val="clear" w:color="auto" w:fill="FFFFFF"/>
              </w:rPr>
              <w:t>联系方式</w:t>
            </w:r>
          </w:p>
        </w:tc>
        <w:tc>
          <w:tcPr>
            <w:tcW w:w="3151" w:type="dxa"/>
            <w:vAlign w:val="center"/>
          </w:tcPr>
          <w:p w14:paraId="600E285B">
            <w:pPr>
              <w:jc w:val="center"/>
              <w:rPr>
                <w:color w:val="auto"/>
                <w:sz w:val="24"/>
                <w:szCs w:val="24"/>
                <w:highlight w:val="none"/>
                <w:u w:val="none"/>
                <w:shd w:val="clear" w:color="auto" w:fill="FFFFFF"/>
              </w:rPr>
            </w:pPr>
            <w:r>
              <w:rPr>
                <w:rFonts w:hint="eastAsia"/>
                <w:color w:val="auto"/>
                <w:sz w:val="24"/>
                <w:szCs w:val="24"/>
                <w:highlight w:val="none"/>
                <w:u w:val="none"/>
                <w:shd w:val="clear" w:color="auto" w:fill="FFFFFF"/>
              </w:rPr>
              <w:t>15213415632</w:t>
            </w:r>
          </w:p>
        </w:tc>
      </w:tr>
      <w:tr w14:paraId="6409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4" w:type="dxa"/>
            <w:vAlign w:val="center"/>
          </w:tcPr>
          <w:p w14:paraId="7367D27E">
            <w:pPr>
              <w:spacing w:line="360" w:lineRule="auto"/>
              <w:jc w:val="center"/>
              <w:rPr>
                <w:rFonts w:ascii="Calibri" w:hAnsi="Calibri"/>
                <w:color w:val="auto"/>
                <w:kern w:val="0"/>
                <w:sz w:val="24"/>
                <w:szCs w:val="24"/>
                <w:highlight w:val="none"/>
                <w:u w:val="none"/>
              </w:rPr>
            </w:pPr>
            <w:r>
              <w:rPr>
                <w:rFonts w:hint="eastAsia" w:ascii="Calibri" w:hAnsi="Calibri"/>
                <w:color w:val="auto"/>
                <w:kern w:val="0"/>
                <w:sz w:val="24"/>
                <w:szCs w:val="24"/>
                <w:highlight w:val="none"/>
                <w:u w:val="none"/>
              </w:rPr>
              <w:t>建设地点</w:t>
            </w:r>
          </w:p>
        </w:tc>
        <w:tc>
          <w:tcPr>
            <w:tcW w:w="7357" w:type="dxa"/>
            <w:gridSpan w:val="3"/>
            <w:vAlign w:val="center"/>
          </w:tcPr>
          <w:p w14:paraId="6AB9CEDE">
            <w:pPr>
              <w:jc w:val="center"/>
              <w:rPr>
                <w:color w:val="auto"/>
                <w:sz w:val="24"/>
                <w:szCs w:val="24"/>
                <w:highlight w:val="none"/>
                <w:u w:val="none"/>
                <w:shd w:val="clear" w:color="auto" w:fill="FFFFFF"/>
              </w:rPr>
            </w:pPr>
            <w:r>
              <w:rPr>
                <w:rFonts w:hint="eastAsia"/>
                <w:color w:val="auto"/>
                <w:sz w:val="24"/>
                <w:szCs w:val="24"/>
                <w:highlight w:val="none"/>
                <w:u w:val="none"/>
                <w:shd w:val="clear" w:color="auto" w:fill="FFFFFF"/>
              </w:rPr>
              <w:t>永州经济技术开发区智能装备产业园标准厂</w:t>
            </w:r>
            <w:r>
              <w:rPr>
                <w:rFonts w:hint="eastAsia"/>
                <w:color w:val="auto"/>
                <w:sz w:val="24"/>
                <w:szCs w:val="24"/>
                <w:highlight w:val="none"/>
                <w:u w:val="none"/>
                <w:shd w:val="clear" w:color="auto" w:fill="FFFFFF"/>
                <w:lang w:val="en-US" w:eastAsia="zh-CN"/>
              </w:rPr>
              <w:t>10、</w:t>
            </w:r>
            <w:r>
              <w:rPr>
                <w:rFonts w:hint="eastAsia"/>
                <w:color w:val="auto"/>
                <w:sz w:val="24"/>
                <w:szCs w:val="24"/>
                <w:highlight w:val="none"/>
                <w:u w:val="none"/>
                <w:shd w:val="clear" w:color="auto" w:fill="FFFFFF"/>
              </w:rPr>
              <w:t>11栋</w:t>
            </w:r>
          </w:p>
        </w:tc>
      </w:tr>
      <w:tr w14:paraId="3128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4" w:type="dxa"/>
            <w:vAlign w:val="center"/>
          </w:tcPr>
          <w:p w14:paraId="22C7832B">
            <w:pPr>
              <w:spacing w:line="360" w:lineRule="auto"/>
              <w:jc w:val="center"/>
              <w:rPr>
                <w:rFonts w:ascii="Calibri" w:hAnsi="Calibri"/>
                <w:color w:val="auto"/>
                <w:kern w:val="0"/>
                <w:sz w:val="24"/>
                <w:szCs w:val="24"/>
                <w:highlight w:val="none"/>
                <w:u w:val="none"/>
              </w:rPr>
            </w:pPr>
            <w:r>
              <w:rPr>
                <w:rFonts w:hint="eastAsia" w:ascii="Calibri" w:hAnsi="Calibri"/>
                <w:color w:val="auto"/>
                <w:kern w:val="0"/>
                <w:sz w:val="24"/>
                <w:szCs w:val="24"/>
                <w:highlight w:val="none"/>
                <w:u w:val="none"/>
              </w:rPr>
              <w:t>地理坐标</w:t>
            </w:r>
          </w:p>
        </w:tc>
        <w:tc>
          <w:tcPr>
            <w:tcW w:w="7357" w:type="dxa"/>
            <w:gridSpan w:val="3"/>
            <w:vAlign w:val="center"/>
          </w:tcPr>
          <w:p w14:paraId="51A79623">
            <w:pPr>
              <w:jc w:val="center"/>
              <w:rPr>
                <w:color w:val="auto"/>
                <w:sz w:val="24"/>
                <w:szCs w:val="24"/>
                <w:highlight w:val="none"/>
                <w:u w:val="none"/>
                <w:shd w:val="clear" w:color="auto" w:fill="FFFFFF"/>
              </w:rPr>
            </w:pPr>
            <w:r>
              <w:rPr>
                <w:rFonts w:hint="default" w:ascii="Times New Roman" w:hAnsi="Times New Roman" w:cs="Times New Roman"/>
                <w:color w:val="auto"/>
                <w:sz w:val="24"/>
                <w:highlight w:val="none"/>
                <w:u w:val="none"/>
              </w:rPr>
              <w:t>（</w:t>
            </w:r>
            <w:r>
              <w:rPr>
                <w:rFonts w:hint="default" w:ascii="Times New Roman" w:hAnsi="Times New Roman" w:cs="Times New Roman"/>
                <w:color w:val="auto"/>
                <w:sz w:val="24"/>
                <w:highlight w:val="none"/>
                <w:u w:val="none"/>
                <w:lang w:val="en-US" w:eastAsia="zh-CN"/>
              </w:rPr>
              <w:t>111</w:t>
            </w:r>
            <w:r>
              <w:rPr>
                <w:rFonts w:hint="default" w:ascii="Times New Roman" w:hAnsi="Times New Roman" w:cs="Times New Roman"/>
                <w:color w:val="auto"/>
                <w:sz w:val="24"/>
                <w:highlight w:val="none"/>
                <w:u w:val="none"/>
              </w:rPr>
              <w:t>度</w:t>
            </w:r>
            <w:r>
              <w:rPr>
                <w:rFonts w:hint="default" w:ascii="Times New Roman" w:hAnsi="Times New Roman" w:cs="Times New Roman"/>
                <w:color w:val="auto"/>
                <w:sz w:val="24"/>
                <w:highlight w:val="none"/>
                <w:u w:val="none"/>
                <w:lang w:val="en-US" w:eastAsia="zh-CN"/>
              </w:rPr>
              <w:t>34</w:t>
            </w:r>
            <w:r>
              <w:rPr>
                <w:rFonts w:hint="default" w:ascii="Times New Roman" w:hAnsi="Times New Roman" w:cs="Times New Roman"/>
                <w:color w:val="auto"/>
                <w:sz w:val="24"/>
                <w:highlight w:val="none"/>
                <w:u w:val="none"/>
              </w:rPr>
              <w:t>分</w:t>
            </w:r>
            <w:r>
              <w:rPr>
                <w:rFonts w:hint="default" w:ascii="Times New Roman" w:hAnsi="Times New Roman" w:cs="Times New Roman"/>
                <w:color w:val="auto"/>
                <w:sz w:val="24"/>
                <w:highlight w:val="none"/>
                <w:u w:val="none"/>
                <w:lang w:val="en-US" w:eastAsia="zh-CN"/>
              </w:rPr>
              <w:t>22.479</w:t>
            </w:r>
            <w:r>
              <w:rPr>
                <w:rFonts w:hint="default" w:ascii="Times New Roman" w:hAnsi="Times New Roman" w:cs="Times New Roman"/>
                <w:color w:val="auto"/>
                <w:sz w:val="24"/>
                <w:highlight w:val="none"/>
                <w:u w:val="none"/>
              </w:rPr>
              <w:t>秒，</w:t>
            </w:r>
            <w:r>
              <w:rPr>
                <w:rFonts w:hint="default" w:ascii="Times New Roman" w:hAnsi="Times New Roman" w:cs="Times New Roman"/>
                <w:color w:val="auto"/>
                <w:sz w:val="24"/>
                <w:highlight w:val="none"/>
                <w:u w:val="none"/>
                <w:lang w:val="en-US" w:eastAsia="zh-CN"/>
              </w:rPr>
              <w:t>26</w:t>
            </w:r>
            <w:r>
              <w:rPr>
                <w:rFonts w:hint="default" w:ascii="Times New Roman" w:hAnsi="Times New Roman" w:cs="Times New Roman"/>
                <w:color w:val="auto"/>
                <w:sz w:val="24"/>
                <w:highlight w:val="none"/>
                <w:u w:val="none"/>
              </w:rPr>
              <w:t>度</w:t>
            </w:r>
            <w:r>
              <w:rPr>
                <w:rFonts w:hint="default" w:ascii="Times New Roman" w:hAnsi="Times New Roman" w:cs="Times New Roman"/>
                <w:color w:val="auto"/>
                <w:sz w:val="24"/>
                <w:highlight w:val="none"/>
                <w:u w:val="none"/>
                <w:lang w:val="en-US" w:eastAsia="zh-CN"/>
              </w:rPr>
              <w:t>24</w:t>
            </w:r>
            <w:r>
              <w:rPr>
                <w:rFonts w:hint="default" w:ascii="Times New Roman" w:hAnsi="Times New Roman" w:cs="Times New Roman"/>
                <w:color w:val="auto"/>
                <w:sz w:val="24"/>
                <w:highlight w:val="none"/>
                <w:u w:val="none"/>
              </w:rPr>
              <w:t>分</w:t>
            </w:r>
            <w:r>
              <w:rPr>
                <w:rFonts w:hint="default" w:ascii="Times New Roman" w:hAnsi="Times New Roman" w:cs="Times New Roman"/>
                <w:color w:val="auto"/>
                <w:sz w:val="24"/>
                <w:highlight w:val="none"/>
                <w:u w:val="none"/>
                <w:lang w:val="en-US" w:eastAsia="zh-CN"/>
              </w:rPr>
              <w:t>24.840</w:t>
            </w:r>
            <w:r>
              <w:rPr>
                <w:rFonts w:hint="default" w:ascii="Times New Roman" w:hAnsi="Times New Roman" w:cs="Times New Roman"/>
                <w:color w:val="auto"/>
                <w:sz w:val="24"/>
                <w:highlight w:val="none"/>
                <w:u w:val="none"/>
              </w:rPr>
              <w:t>秒）</w:t>
            </w:r>
          </w:p>
        </w:tc>
      </w:tr>
      <w:tr w14:paraId="69EC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4" w:type="dxa"/>
            <w:vAlign w:val="center"/>
          </w:tcPr>
          <w:p w14:paraId="56B51182">
            <w:pPr>
              <w:jc w:val="center"/>
              <w:rPr>
                <w:rFonts w:ascii="Calibri" w:hAnsi="Calibri"/>
                <w:color w:val="auto"/>
                <w:kern w:val="0"/>
                <w:sz w:val="24"/>
                <w:szCs w:val="24"/>
                <w:highlight w:val="none"/>
                <w:u w:val="none"/>
              </w:rPr>
            </w:pPr>
            <w:r>
              <w:rPr>
                <w:rFonts w:hint="eastAsia" w:ascii="Calibri" w:hAnsi="Calibri"/>
                <w:color w:val="auto"/>
                <w:kern w:val="0"/>
                <w:sz w:val="24"/>
                <w:szCs w:val="24"/>
                <w:highlight w:val="none"/>
                <w:u w:val="none"/>
              </w:rPr>
              <w:t>国民经济</w:t>
            </w:r>
          </w:p>
          <w:p w14:paraId="2C5114C2">
            <w:pPr>
              <w:jc w:val="center"/>
              <w:rPr>
                <w:rFonts w:ascii="Calibri" w:hAnsi="Calibri"/>
                <w:color w:val="auto"/>
                <w:kern w:val="0"/>
                <w:sz w:val="24"/>
                <w:szCs w:val="24"/>
                <w:highlight w:val="none"/>
                <w:u w:val="none"/>
              </w:rPr>
            </w:pPr>
            <w:r>
              <w:rPr>
                <w:rFonts w:hint="eastAsia" w:ascii="Calibri" w:hAnsi="Calibri"/>
                <w:color w:val="auto"/>
                <w:kern w:val="0"/>
                <w:sz w:val="24"/>
                <w:szCs w:val="24"/>
                <w:highlight w:val="none"/>
                <w:u w:val="none"/>
              </w:rPr>
              <w:t>行业类别</w:t>
            </w:r>
          </w:p>
        </w:tc>
        <w:tc>
          <w:tcPr>
            <w:tcW w:w="2537" w:type="dxa"/>
            <w:vAlign w:val="center"/>
          </w:tcPr>
          <w:p w14:paraId="51AA631F">
            <w:pPr>
              <w:spacing w:line="360" w:lineRule="auto"/>
              <w:jc w:val="center"/>
              <w:rPr>
                <w:rFonts w:hint="default" w:ascii="Calibri" w:hAnsi="Calibri"/>
                <w:color w:val="auto"/>
                <w:kern w:val="0"/>
                <w:sz w:val="24"/>
                <w:szCs w:val="24"/>
                <w:highlight w:val="none"/>
                <w:u w:val="none"/>
                <w:lang w:val="en-US"/>
              </w:rPr>
            </w:pPr>
            <w:r>
              <w:rPr>
                <w:rFonts w:hint="eastAsia" w:hAnsi="宋体"/>
                <w:bCs/>
                <w:color w:val="000000" w:themeColor="text1"/>
                <w:sz w:val="24"/>
                <w:szCs w:val="24"/>
                <w:highlight w:val="none"/>
                <w:lang w:val="en-US" w:eastAsia="zh-CN"/>
                <w14:textFill>
                  <w14:solidFill>
                    <w14:schemeClr w14:val="tx1"/>
                  </w14:solidFill>
                </w14:textFill>
              </w:rPr>
              <w:t>C3989</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其他电子元件制造；</w:t>
            </w:r>
          </w:p>
        </w:tc>
        <w:tc>
          <w:tcPr>
            <w:tcW w:w="1669" w:type="dxa"/>
            <w:vAlign w:val="center"/>
          </w:tcPr>
          <w:p w14:paraId="04E975E3">
            <w:pPr>
              <w:jc w:val="center"/>
              <w:rPr>
                <w:color w:val="auto"/>
                <w:sz w:val="24"/>
                <w:szCs w:val="24"/>
                <w:highlight w:val="none"/>
                <w:u w:val="none"/>
                <w:shd w:val="clear" w:color="auto" w:fill="FFFFFF"/>
              </w:rPr>
            </w:pPr>
            <w:r>
              <w:rPr>
                <w:rFonts w:hint="eastAsia"/>
                <w:color w:val="auto"/>
                <w:sz w:val="24"/>
                <w:szCs w:val="24"/>
                <w:highlight w:val="none"/>
                <w:u w:val="none"/>
                <w:shd w:val="clear" w:color="auto" w:fill="FFFFFF"/>
              </w:rPr>
              <w:t>建设项目</w:t>
            </w:r>
          </w:p>
          <w:p w14:paraId="106706E9">
            <w:pPr>
              <w:jc w:val="center"/>
              <w:rPr>
                <w:color w:val="auto"/>
                <w:sz w:val="24"/>
                <w:szCs w:val="24"/>
                <w:highlight w:val="none"/>
                <w:u w:val="none"/>
                <w:shd w:val="clear" w:color="auto" w:fill="FFFFFF"/>
              </w:rPr>
            </w:pPr>
            <w:r>
              <w:rPr>
                <w:rFonts w:hint="eastAsia"/>
                <w:color w:val="auto"/>
                <w:sz w:val="24"/>
                <w:szCs w:val="24"/>
                <w:highlight w:val="none"/>
                <w:u w:val="none"/>
                <w:shd w:val="clear" w:color="auto" w:fill="FFFFFF"/>
              </w:rPr>
              <w:t>行业类别</w:t>
            </w:r>
          </w:p>
        </w:tc>
        <w:tc>
          <w:tcPr>
            <w:tcW w:w="3151" w:type="dxa"/>
            <w:vAlign w:val="center"/>
          </w:tcPr>
          <w:p w14:paraId="530E417F">
            <w:pPr>
              <w:rPr>
                <w:rFonts w:hint="eastAsia" w:eastAsia="宋体"/>
                <w:color w:val="auto"/>
                <w:sz w:val="24"/>
                <w:szCs w:val="24"/>
                <w:highlight w:val="none"/>
                <w:u w:val="none"/>
                <w:shd w:val="clear" w:color="auto" w:fill="FFFFFF"/>
                <w:lang w:eastAsia="zh-CN"/>
              </w:rPr>
            </w:pPr>
            <w:r>
              <w:rPr>
                <w:rFonts w:hint="eastAsia"/>
                <w:color w:val="auto"/>
                <w:sz w:val="24"/>
                <w:szCs w:val="24"/>
                <w:highlight w:val="none"/>
                <w:u w:val="none"/>
                <w:shd w:val="clear" w:color="auto" w:fill="FFFFFF"/>
              </w:rPr>
              <w:t>三十六、计算机、通信和其他电子设备制造业 39、81电子元件及电子专用材料制造 398</w:t>
            </w:r>
            <w:r>
              <w:rPr>
                <w:rFonts w:hint="eastAsia"/>
                <w:color w:val="auto"/>
                <w:sz w:val="24"/>
                <w:szCs w:val="24"/>
                <w:highlight w:val="none"/>
                <w:u w:val="none"/>
                <w:shd w:val="clear" w:color="auto" w:fill="FFFFFF"/>
                <w:lang w:eastAsia="zh-CN"/>
              </w:rPr>
              <w:t>；</w:t>
            </w:r>
          </w:p>
        </w:tc>
      </w:tr>
      <w:tr w14:paraId="59A0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4" w:type="dxa"/>
            <w:vAlign w:val="center"/>
          </w:tcPr>
          <w:p w14:paraId="5A51031C">
            <w:pPr>
              <w:jc w:val="center"/>
              <w:rPr>
                <w:color w:val="auto"/>
                <w:kern w:val="0"/>
                <w:sz w:val="24"/>
                <w:szCs w:val="24"/>
                <w:highlight w:val="none"/>
                <w:u w:val="none"/>
              </w:rPr>
            </w:pPr>
            <w:r>
              <w:rPr>
                <w:rFonts w:hint="eastAsia"/>
                <w:color w:val="auto"/>
                <w:kern w:val="0"/>
                <w:sz w:val="24"/>
                <w:szCs w:val="24"/>
                <w:highlight w:val="none"/>
                <w:u w:val="none"/>
              </w:rPr>
              <w:t>建设性质</w:t>
            </w:r>
          </w:p>
        </w:tc>
        <w:tc>
          <w:tcPr>
            <w:tcW w:w="2537" w:type="dxa"/>
            <w:vAlign w:val="center"/>
          </w:tcPr>
          <w:p w14:paraId="5AE63586">
            <w:pPr>
              <w:jc w:val="left"/>
              <w:rPr>
                <w:color w:val="auto"/>
                <w:kern w:val="0"/>
                <w:sz w:val="24"/>
                <w:szCs w:val="24"/>
                <w:highlight w:val="none"/>
                <w:u w:val="none"/>
              </w:rPr>
            </w:pPr>
            <w:r>
              <w:rPr>
                <w:color w:val="auto"/>
                <w:kern w:val="0"/>
                <w:sz w:val="24"/>
                <w:szCs w:val="24"/>
                <w:highlight w:val="none"/>
                <w:u w:val="none"/>
              </w:rPr>
              <w:sym w:font="Wingdings" w:char="00FE"/>
            </w:r>
            <w:r>
              <w:rPr>
                <w:rFonts w:hint="eastAsia"/>
                <w:color w:val="auto"/>
                <w:kern w:val="0"/>
                <w:sz w:val="24"/>
                <w:szCs w:val="24"/>
                <w:highlight w:val="none"/>
                <w:u w:val="none"/>
              </w:rPr>
              <w:t>新建（迁建）</w:t>
            </w:r>
          </w:p>
          <w:p w14:paraId="4425CC45">
            <w:pPr>
              <w:jc w:val="left"/>
              <w:rPr>
                <w:color w:val="auto"/>
                <w:kern w:val="0"/>
                <w:sz w:val="24"/>
                <w:szCs w:val="24"/>
                <w:highlight w:val="none"/>
                <w:u w:val="none"/>
              </w:rPr>
            </w:pPr>
            <w:r>
              <w:rPr>
                <w:color w:val="auto"/>
                <w:kern w:val="0"/>
                <w:sz w:val="24"/>
                <w:szCs w:val="24"/>
                <w:highlight w:val="none"/>
                <w:u w:val="none"/>
              </w:rPr>
              <w:sym w:font="Wingdings" w:char="00A8"/>
            </w:r>
            <w:r>
              <w:rPr>
                <w:rFonts w:hint="eastAsia"/>
                <w:color w:val="auto"/>
                <w:kern w:val="0"/>
                <w:sz w:val="24"/>
                <w:szCs w:val="24"/>
                <w:highlight w:val="none"/>
                <w:u w:val="none"/>
              </w:rPr>
              <w:t>改建</w:t>
            </w:r>
          </w:p>
          <w:p w14:paraId="63175F05">
            <w:pPr>
              <w:jc w:val="left"/>
              <w:rPr>
                <w:color w:val="auto"/>
                <w:kern w:val="0"/>
                <w:sz w:val="24"/>
                <w:szCs w:val="24"/>
                <w:highlight w:val="none"/>
                <w:u w:val="none"/>
              </w:rPr>
            </w:pPr>
            <w:r>
              <w:rPr>
                <w:color w:val="auto"/>
                <w:kern w:val="0"/>
                <w:sz w:val="24"/>
                <w:szCs w:val="24"/>
                <w:highlight w:val="none"/>
                <w:u w:val="none"/>
              </w:rPr>
              <w:sym w:font="Wingdings" w:char="00A8"/>
            </w:r>
            <w:r>
              <w:rPr>
                <w:rFonts w:hint="eastAsia"/>
                <w:color w:val="auto"/>
                <w:kern w:val="0"/>
                <w:sz w:val="24"/>
                <w:szCs w:val="24"/>
                <w:highlight w:val="none"/>
                <w:u w:val="none"/>
              </w:rPr>
              <w:t>扩建</w:t>
            </w:r>
          </w:p>
          <w:p w14:paraId="7461B16E">
            <w:pPr>
              <w:jc w:val="left"/>
              <w:rPr>
                <w:color w:val="auto"/>
                <w:kern w:val="0"/>
                <w:sz w:val="24"/>
                <w:szCs w:val="24"/>
                <w:highlight w:val="none"/>
                <w:u w:val="none"/>
              </w:rPr>
            </w:pPr>
            <w:r>
              <w:rPr>
                <w:color w:val="auto"/>
                <w:kern w:val="0"/>
                <w:sz w:val="24"/>
                <w:szCs w:val="24"/>
                <w:highlight w:val="none"/>
                <w:u w:val="none"/>
              </w:rPr>
              <w:sym w:font="Wingdings" w:char="00A8"/>
            </w:r>
            <w:r>
              <w:rPr>
                <w:rFonts w:hint="eastAsia"/>
                <w:color w:val="auto"/>
                <w:kern w:val="0"/>
                <w:sz w:val="24"/>
                <w:szCs w:val="24"/>
                <w:highlight w:val="none"/>
                <w:u w:val="none"/>
              </w:rPr>
              <w:t>技术改造</w:t>
            </w:r>
          </w:p>
        </w:tc>
        <w:tc>
          <w:tcPr>
            <w:tcW w:w="1669" w:type="dxa"/>
            <w:vAlign w:val="center"/>
          </w:tcPr>
          <w:p w14:paraId="036E006F">
            <w:pPr>
              <w:jc w:val="center"/>
              <w:rPr>
                <w:color w:val="auto"/>
                <w:kern w:val="0"/>
                <w:sz w:val="24"/>
                <w:szCs w:val="24"/>
                <w:highlight w:val="none"/>
                <w:u w:val="none"/>
              </w:rPr>
            </w:pPr>
            <w:r>
              <w:rPr>
                <w:rFonts w:hint="eastAsia"/>
                <w:color w:val="auto"/>
                <w:kern w:val="0"/>
                <w:sz w:val="24"/>
                <w:szCs w:val="24"/>
                <w:highlight w:val="none"/>
                <w:u w:val="none"/>
              </w:rPr>
              <w:t>建设项目</w:t>
            </w:r>
          </w:p>
          <w:p w14:paraId="0AB0D571">
            <w:pPr>
              <w:jc w:val="center"/>
              <w:rPr>
                <w:color w:val="auto"/>
                <w:kern w:val="0"/>
                <w:sz w:val="24"/>
                <w:szCs w:val="24"/>
                <w:highlight w:val="none"/>
                <w:u w:val="none"/>
              </w:rPr>
            </w:pPr>
            <w:r>
              <w:rPr>
                <w:rFonts w:hint="eastAsia"/>
                <w:color w:val="auto"/>
                <w:kern w:val="0"/>
                <w:sz w:val="24"/>
                <w:szCs w:val="24"/>
                <w:highlight w:val="none"/>
                <w:u w:val="none"/>
              </w:rPr>
              <w:t>申报情形</w:t>
            </w:r>
          </w:p>
        </w:tc>
        <w:tc>
          <w:tcPr>
            <w:tcW w:w="3151" w:type="dxa"/>
            <w:vAlign w:val="center"/>
          </w:tcPr>
          <w:p w14:paraId="52A10D3F">
            <w:pPr>
              <w:jc w:val="left"/>
              <w:rPr>
                <w:color w:val="auto"/>
                <w:kern w:val="0"/>
                <w:sz w:val="24"/>
                <w:szCs w:val="24"/>
                <w:highlight w:val="none"/>
                <w:u w:val="none"/>
              </w:rPr>
            </w:pPr>
            <w:r>
              <w:rPr>
                <w:color w:val="auto"/>
                <w:kern w:val="0"/>
                <w:sz w:val="24"/>
                <w:szCs w:val="24"/>
                <w:highlight w:val="none"/>
                <w:u w:val="none"/>
              </w:rPr>
              <w:sym w:font="Wingdings" w:char="00A8"/>
            </w:r>
            <w:r>
              <w:rPr>
                <w:rFonts w:hint="eastAsia"/>
                <w:color w:val="auto"/>
                <w:kern w:val="0"/>
                <w:sz w:val="24"/>
                <w:szCs w:val="24"/>
                <w:highlight w:val="none"/>
                <w:u w:val="none"/>
              </w:rPr>
              <w:t>首次申报项目</w:t>
            </w:r>
          </w:p>
          <w:p w14:paraId="36A51730">
            <w:pPr>
              <w:jc w:val="left"/>
              <w:rPr>
                <w:color w:val="auto"/>
                <w:kern w:val="0"/>
                <w:sz w:val="24"/>
                <w:szCs w:val="24"/>
                <w:highlight w:val="none"/>
                <w:u w:val="none"/>
              </w:rPr>
            </w:pPr>
            <w:r>
              <w:rPr>
                <w:color w:val="auto"/>
                <w:kern w:val="0"/>
                <w:sz w:val="24"/>
                <w:szCs w:val="24"/>
                <w:highlight w:val="none"/>
                <w:u w:val="none"/>
              </w:rPr>
              <w:sym w:font="Wingdings" w:char="00A8"/>
            </w:r>
            <w:r>
              <w:rPr>
                <w:rFonts w:hint="eastAsia"/>
                <w:color w:val="auto"/>
                <w:kern w:val="0"/>
                <w:sz w:val="24"/>
                <w:szCs w:val="24"/>
                <w:highlight w:val="none"/>
                <w:u w:val="none"/>
              </w:rPr>
              <w:t>不准预报批后再次申报项目</w:t>
            </w:r>
          </w:p>
          <w:p w14:paraId="4441FB04">
            <w:pPr>
              <w:jc w:val="left"/>
              <w:rPr>
                <w:color w:val="auto"/>
                <w:kern w:val="0"/>
                <w:sz w:val="24"/>
                <w:szCs w:val="24"/>
                <w:highlight w:val="none"/>
                <w:u w:val="none"/>
              </w:rPr>
            </w:pPr>
            <w:r>
              <w:rPr>
                <w:color w:val="auto"/>
                <w:kern w:val="0"/>
                <w:sz w:val="24"/>
                <w:szCs w:val="24"/>
                <w:highlight w:val="none"/>
                <w:u w:val="none"/>
              </w:rPr>
              <w:sym w:font="Wingdings" w:char="00A8"/>
            </w:r>
            <w:r>
              <w:rPr>
                <w:rFonts w:hint="eastAsia"/>
                <w:color w:val="auto"/>
                <w:kern w:val="0"/>
                <w:sz w:val="24"/>
                <w:szCs w:val="24"/>
                <w:highlight w:val="none"/>
                <w:u w:val="none"/>
              </w:rPr>
              <w:t>超五年重新审核项目</w:t>
            </w:r>
          </w:p>
          <w:p w14:paraId="3BC7E652">
            <w:pPr>
              <w:jc w:val="left"/>
              <w:rPr>
                <w:color w:val="auto"/>
                <w:sz w:val="24"/>
                <w:szCs w:val="24"/>
                <w:highlight w:val="none"/>
                <w:u w:val="none"/>
              </w:rPr>
            </w:pPr>
            <w:r>
              <w:rPr>
                <w:color w:val="auto"/>
                <w:kern w:val="0"/>
                <w:sz w:val="24"/>
                <w:szCs w:val="24"/>
                <w:highlight w:val="none"/>
                <w:u w:val="none"/>
              </w:rPr>
              <w:sym w:font="Wingdings" w:char="00FE"/>
            </w:r>
            <w:r>
              <w:rPr>
                <w:rFonts w:hint="eastAsia"/>
                <w:color w:val="auto"/>
                <w:kern w:val="0"/>
                <w:sz w:val="24"/>
                <w:szCs w:val="24"/>
                <w:highlight w:val="none"/>
                <w:u w:val="none"/>
              </w:rPr>
              <w:t>重大变动重新报批项目</w:t>
            </w:r>
          </w:p>
        </w:tc>
      </w:tr>
      <w:tr w14:paraId="1C32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4" w:type="dxa"/>
            <w:vAlign w:val="center"/>
          </w:tcPr>
          <w:p w14:paraId="285877CC">
            <w:pPr>
              <w:jc w:val="center"/>
              <w:rPr>
                <w:color w:val="auto"/>
                <w:kern w:val="0"/>
                <w:sz w:val="24"/>
                <w:szCs w:val="24"/>
                <w:highlight w:val="none"/>
                <w:u w:val="none"/>
              </w:rPr>
            </w:pPr>
            <w:r>
              <w:rPr>
                <w:rFonts w:hint="eastAsia"/>
                <w:color w:val="auto"/>
                <w:kern w:val="0"/>
                <w:sz w:val="24"/>
                <w:szCs w:val="24"/>
                <w:highlight w:val="none"/>
                <w:u w:val="none"/>
              </w:rPr>
              <w:t>项目审批（核准/</w:t>
            </w:r>
          </w:p>
          <w:p w14:paraId="57A4614E">
            <w:pPr>
              <w:jc w:val="center"/>
              <w:rPr>
                <w:color w:val="auto"/>
                <w:kern w:val="0"/>
                <w:sz w:val="24"/>
                <w:szCs w:val="24"/>
                <w:highlight w:val="none"/>
                <w:u w:val="none"/>
              </w:rPr>
            </w:pPr>
            <w:r>
              <w:rPr>
                <w:rFonts w:hint="eastAsia"/>
                <w:color w:val="auto"/>
                <w:kern w:val="0"/>
                <w:sz w:val="24"/>
                <w:szCs w:val="24"/>
                <w:highlight w:val="none"/>
                <w:u w:val="none"/>
              </w:rPr>
              <w:t>备案）部门（选填）</w:t>
            </w:r>
          </w:p>
        </w:tc>
        <w:tc>
          <w:tcPr>
            <w:tcW w:w="2537" w:type="dxa"/>
            <w:vAlign w:val="center"/>
          </w:tcPr>
          <w:p w14:paraId="4043E9AB">
            <w:pPr>
              <w:jc w:val="center"/>
              <w:rPr>
                <w:rFonts w:hint="eastAsia" w:eastAsia="宋体"/>
                <w:color w:val="auto"/>
                <w:kern w:val="0"/>
                <w:sz w:val="24"/>
                <w:szCs w:val="24"/>
                <w:highlight w:val="none"/>
                <w:u w:val="none"/>
                <w:lang w:eastAsia="zh-CN"/>
              </w:rPr>
            </w:pPr>
            <w:r>
              <w:rPr>
                <w:rFonts w:hint="eastAsia"/>
                <w:color w:val="auto"/>
                <w:kern w:val="0"/>
                <w:sz w:val="24"/>
                <w:szCs w:val="24"/>
                <w:highlight w:val="none"/>
                <w:u w:val="none"/>
                <w:lang w:val="en-US" w:eastAsia="zh-CN"/>
              </w:rPr>
              <w:t>/</w:t>
            </w:r>
          </w:p>
        </w:tc>
        <w:tc>
          <w:tcPr>
            <w:tcW w:w="1669" w:type="dxa"/>
            <w:vAlign w:val="center"/>
          </w:tcPr>
          <w:p w14:paraId="22C29418">
            <w:pPr>
              <w:jc w:val="center"/>
              <w:rPr>
                <w:color w:val="auto"/>
                <w:kern w:val="0"/>
                <w:sz w:val="24"/>
                <w:szCs w:val="24"/>
                <w:highlight w:val="none"/>
                <w:u w:val="none"/>
              </w:rPr>
            </w:pPr>
            <w:r>
              <w:rPr>
                <w:rFonts w:hint="eastAsia"/>
                <w:color w:val="auto"/>
                <w:kern w:val="0"/>
                <w:sz w:val="24"/>
                <w:szCs w:val="24"/>
                <w:highlight w:val="none"/>
                <w:u w:val="none"/>
              </w:rPr>
              <w:t>项目审批（核准/备案）文号（选填）</w:t>
            </w:r>
          </w:p>
        </w:tc>
        <w:tc>
          <w:tcPr>
            <w:tcW w:w="3151" w:type="dxa"/>
            <w:vAlign w:val="center"/>
          </w:tcPr>
          <w:p w14:paraId="49DC0332">
            <w:pPr>
              <w:jc w:val="center"/>
              <w:rPr>
                <w:rFonts w:hint="eastAsia" w:eastAsia="宋体"/>
                <w:color w:val="auto"/>
                <w:kern w:val="0"/>
                <w:sz w:val="24"/>
                <w:szCs w:val="24"/>
                <w:highlight w:val="none"/>
                <w:u w:val="none"/>
                <w:lang w:eastAsia="zh-CN"/>
              </w:rPr>
            </w:pPr>
            <w:r>
              <w:rPr>
                <w:rFonts w:hint="eastAsia"/>
                <w:color w:val="auto"/>
                <w:kern w:val="0"/>
                <w:sz w:val="24"/>
                <w:szCs w:val="24"/>
                <w:highlight w:val="none"/>
                <w:u w:val="none"/>
                <w:lang w:val="en-US" w:eastAsia="zh-CN"/>
              </w:rPr>
              <w:t>/</w:t>
            </w:r>
          </w:p>
        </w:tc>
      </w:tr>
      <w:tr w14:paraId="6B67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4" w:type="dxa"/>
            <w:vAlign w:val="center"/>
          </w:tcPr>
          <w:p w14:paraId="3CF97338">
            <w:pPr>
              <w:jc w:val="center"/>
              <w:rPr>
                <w:color w:val="auto"/>
                <w:kern w:val="0"/>
                <w:sz w:val="24"/>
                <w:szCs w:val="24"/>
                <w:highlight w:val="none"/>
                <w:u w:val="none"/>
              </w:rPr>
            </w:pPr>
            <w:r>
              <w:rPr>
                <w:rFonts w:hint="eastAsia"/>
                <w:color w:val="auto"/>
                <w:kern w:val="0"/>
                <w:sz w:val="24"/>
                <w:szCs w:val="24"/>
                <w:highlight w:val="none"/>
                <w:u w:val="none"/>
              </w:rPr>
              <w:t>总投资（万元）</w:t>
            </w:r>
          </w:p>
        </w:tc>
        <w:tc>
          <w:tcPr>
            <w:tcW w:w="2537" w:type="dxa"/>
            <w:vAlign w:val="center"/>
          </w:tcPr>
          <w:p w14:paraId="65B45BB7">
            <w:pPr>
              <w:jc w:val="center"/>
              <w:rPr>
                <w:color w:val="auto"/>
                <w:kern w:val="0"/>
                <w:sz w:val="24"/>
                <w:szCs w:val="24"/>
                <w:highlight w:val="none"/>
                <w:u w:val="none"/>
              </w:rPr>
            </w:pPr>
            <w:r>
              <w:rPr>
                <w:rFonts w:hint="eastAsia"/>
                <w:color w:val="auto"/>
                <w:kern w:val="0"/>
                <w:sz w:val="24"/>
                <w:szCs w:val="24"/>
                <w:highlight w:val="none"/>
                <w:u w:val="none"/>
                <w:lang w:val="en-US" w:eastAsia="zh-CN"/>
              </w:rPr>
              <w:t>5</w:t>
            </w:r>
            <w:r>
              <w:rPr>
                <w:rFonts w:hint="eastAsia"/>
                <w:color w:val="auto"/>
                <w:kern w:val="0"/>
                <w:sz w:val="24"/>
                <w:szCs w:val="24"/>
                <w:highlight w:val="none"/>
                <w:u w:val="none"/>
              </w:rPr>
              <w:t>000</w:t>
            </w:r>
          </w:p>
        </w:tc>
        <w:tc>
          <w:tcPr>
            <w:tcW w:w="1669" w:type="dxa"/>
            <w:vAlign w:val="center"/>
          </w:tcPr>
          <w:p w14:paraId="7FB57526">
            <w:pPr>
              <w:jc w:val="center"/>
              <w:rPr>
                <w:color w:val="auto"/>
                <w:kern w:val="0"/>
                <w:sz w:val="24"/>
                <w:szCs w:val="24"/>
                <w:highlight w:val="none"/>
                <w:u w:val="none"/>
              </w:rPr>
            </w:pPr>
            <w:r>
              <w:rPr>
                <w:rFonts w:hint="eastAsia"/>
                <w:color w:val="auto"/>
                <w:kern w:val="0"/>
                <w:sz w:val="24"/>
                <w:szCs w:val="24"/>
                <w:highlight w:val="none"/>
                <w:u w:val="none"/>
              </w:rPr>
              <w:t>环保投资</w:t>
            </w:r>
          </w:p>
          <w:p w14:paraId="744722C4">
            <w:pPr>
              <w:jc w:val="center"/>
              <w:rPr>
                <w:color w:val="auto"/>
                <w:kern w:val="0"/>
                <w:sz w:val="24"/>
                <w:szCs w:val="24"/>
                <w:highlight w:val="none"/>
                <w:u w:val="none"/>
              </w:rPr>
            </w:pPr>
            <w:r>
              <w:rPr>
                <w:rFonts w:hint="eastAsia"/>
                <w:color w:val="auto"/>
                <w:kern w:val="0"/>
                <w:sz w:val="24"/>
                <w:szCs w:val="24"/>
                <w:highlight w:val="none"/>
                <w:u w:val="none"/>
              </w:rPr>
              <w:t>（万元）</w:t>
            </w:r>
          </w:p>
        </w:tc>
        <w:tc>
          <w:tcPr>
            <w:tcW w:w="3151" w:type="dxa"/>
            <w:vAlign w:val="center"/>
          </w:tcPr>
          <w:p w14:paraId="3CEE6885">
            <w:pPr>
              <w:jc w:val="center"/>
              <w:rPr>
                <w:rFonts w:hint="default" w:eastAsia="宋体"/>
                <w:color w:val="auto"/>
                <w:kern w:val="0"/>
                <w:sz w:val="24"/>
                <w:szCs w:val="24"/>
                <w:highlight w:val="none"/>
                <w:u w:val="none"/>
                <w:lang w:val="en-US" w:eastAsia="zh-CN"/>
              </w:rPr>
            </w:pPr>
            <w:r>
              <w:rPr>
                <w:rFonts w:hint="eastAsia"/>
                <w:color w:val="auto"/>
                <w:kern w:val="0"/>
                <w:sz w:val="24"/>
                <w:szCs w:val="24"/>
                <w:highlight w:val="none"/>
                <w:u w:val="none"/>
              </w:rPr>
              <w:t>2</w:t>
            </w:r>
            <w:r>
              <w:rPr>
                <w:rFonts w:hint="eastAsia"/>
                <w:color w:val="auto"/>
                <w:kern w:val="0"/>
                <w:sz w:val="24"/>
                <w:szCs w:val="24"/>
                <w:highlight w:val="none"/>
                <w:u w:val="none"/>
                <w:lang w:val="en-US" w:eastAsia="zh-CN"/>
              </w:rPr>
              <w:t>7.6</w:t>
            </w:r>
          </w:p>
        </w:tc>
      </w:tr>
      <w:tr w14:paraId="0D59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714" w:type="dxa"/>
            <w:vAlign w:val="center"/>
          </w:tcPr>
          <w:p w14:paraId="71B2F4CF">
            <w:pPr>
              <w:jc w:val="center"/>
              <w:rPr>
                <w:color w:val="auto"/>
                <w:kern w:val="0"/>
                <w:sz w:val="24"/>
                <w:szCs w:val="24"/>
                <w:highlight w:val="none"/>
                <w:u w:val="none"/>
              </w:rPr>
            </w:pPr>
            <w:r>
              <w:rPr>
                <w:rFonts w:hint="eastAsia"/>
                <w:color w:val="auto"/>
                <w:kern w:val="0"/>
                <w:sz w:val="24"/>
                <w:szCs w:val="24"/>
                <w:highlight w:val="none"/>
                <w:u w:val="none"/>
              </w:rPr>
              <w:t>环保投资占地（%）</w:t>
            </w:r>
          </w:p>
        </w:tc>
        <w:tc>
          <w:tcPr>
            <w:tcW w:w="2537" w:type="dxa"/>
            <w:vAlign w:val="center"/>
          </w:tcPr>
          <w:p w14:paraId="09CD8581">
            <w:pPr>
              <w:jc w:val="center"/>
              <w:rPr>
                <w:rFonts w:hint="default"/>
                <w:color w:val="auto"/>
                <w:kern w:val="0"/>
                <w:sz w:val="24"/>
                <w:szCs w:val="24"/>
                <w:highlight w:val="none"/>
                <w:u w:val="none"/>
                <w:lang w:val="en-US"/>
              </w:rPr>
            </w:pPr>
            <w:r>
              <w:rPr>
                <w:rFonts w:hint="eastAsia" w:cs="Times New Roman"/>
                <w:bCs/>
                <w:color w:val="auto"/>
                <w:kern w:val="0"/>
                <w:sz w:val="24"/>
                <w:szCs w:val="24"/>
                <w:highlight w:val="none"/>
                <w:u w:val="none" w:color="auto"/>
                <w:lang w:val="en-US" w:eastAsia="zh-CN" w:bidi="ar-SA"/>
              </w:rPr>
              <w:t>0.552</w:t>
            </w:r>
          </w:p>
        </w:tc>
        <w:tc>
          <w:tcPr>
            <w:tcW w:w="1669" w:type="dxa"/>
            <w:vAlign w:val="center"/>
          </w:tcPr>
          <w:p w14:paraId="35BD4AB0">
            <w:pPr>
              <w:jc w:val="center"/>
              <w:rPr>
                <w:color w:val="auto"/>
                <w:kern w:val="0"/>
                <w:sz w:val="24"/>
                <w:szCs w:val="24"/>
                <w:highlight w:val="none"/>
                <w:u w:val="none"/>
              </w:rPr>
            </w:pPr>
            <w:r>
              <w:rPr>
                <w:rFonts w:hint="eastAsia"/>
                <w:color w:val="auto"/>
                <w:kern w:val="0"/>
                <w:sz w:val="24"/>
                <w:szCs w:val="24"/>
                <w:highlight w:val="none"/>
                <w:u w:val="none"/>
              </w:rPr>
              <w:t>施工工期</w:t>
            </w:r>
          </w:p>
        </w:tc>
        <w:tc>
          <w:tcPr>
            <w:tcW w:w="3151" w:type="dxa"/>
            <w:vAlign w:val="center"/>
          </w:tcPr>
          <w:p w14:paraId="07F94FFE">
            <w:pPr>
              <w:jc w:val="center"/>
              <w:rPr>
                <w:rFonts w:hint="eastAsia" w:eastAsia="宋体"/>
                <w:color w:val="auto"/>
                <w:kern w:val="0"/>
                <w:sz w:val="24"/>
                <w:szCs w:val="24"/>
                <w:highlight w:val="none"/>
                <w:u w:val="none"/>
                <w:lang w:val="en-US" w:eastAsia="zh-CN"/>
              </w:rPr>
            </w:pPr>
            <w:r>
              <w:rPr>
                <w:rFonts w:hint="eastAsia"/>
                <w:color w:val="auto"/>
                <w:kern w:val="0"/>
                <w:sz w:val="24"/>
                <w:szCs w:val="24"/>
                <w:highlight w:val="none"/>
                <w:u w:val="none"/>
                <w:lang w:val="en-US" w:eastAsia="zh-CN"/>
              </w:rPr>
              <w:t>1个月</w:t>
            </w:r>
          </w:p>
        </w:tc>
      </w:tr>
      <w:tr w14:paraId="5262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4" w:type="dxa"/>
            <w:vAlign w:val="center"/>
          </w:tcPr>
          <w:p w14:paraId="45FAD4C2">
            <w:pPr>
              <w:jc w:val="center"/>
              <w:rPr>
                <w:color w:val="auto"/>
                <w:kern w:val="0"/>
                <w:sz w:val="24"/>
                <w:szCs w:val="24"/>
                <w:highlight w:val="none"/>
                <w:u w:val="none"/>
              </w:rPr>
            </w:pPr>
            <w:r>
              <w:rPr>
                <w:rFonts w:hint="eastAsia"/>
                <w:color w:val="auto"/>
                <w:kern w:val="0"/>
                <w:sz w:val="24"/>
                <w:szCs w:val="24"/>
                <w:highlight w:val="none"/>
                <w:u w:val="none"/>
              </w:rPr>
              <w:t>是否开工建设</w:t>
            </w:r>
          </w:p>
        </w:tc>
        <w:tc>
          <w:tcPr>
            <w:tcW w:w="2537" w:type="dxa"/>
            <w:vAlign w:val="center"/>
          </w:tcPr>
          <w:p w14:paraId="5EA1BA92">
            <w:pPr>
              <w:jc w:val="left"/>
              <w:rPr>
                <w:color w:val="auto"/>
                <w:kern w:val="0"/>
                <w:sz w:val="24"/>
                <w:szCs w:val="24"/>
                <w:highlight w:val="none"/>
                <w:u w:val="none"/>
              </w:rPr>
            </w:pPr>
            <w:r>
              <w:rPr>
                <w:color w:val="auto"/>
                <w:kern w:val="0"/>
                <w:sz w:val="24"/>
                <w:szCs w:val="24"/>
                <w:highlight w:val="none"/>
                <w:u w:val="none"/>
              </w:rPr>
              <w:sym w:font="Wingdings" w:char="00FE"/>
            </w:r>
            <w:r>
              <w:rPr>
                <w:rFonts w:hint="eastAsia"/>
                <w:color w:val="auto"/>
                <w:kern w:val="0"/>
                <w:sz w:val="24"/>
                <w:szCs w:val="24"/>
                <w:highlight w:val="none"/>
                <w:u w:val="none"/>
              </w:rPr>
              <w:t>否</w:t>
            </w:r>
          </w:p>
          <w:p w14:paraId="3AFF10C2">
            <w:pPr>
              <w:jc w:val="left"/>
              <w:rPr>
                <w:color w:val="auto"/>
                <w:kern w:val="0"/>
                <w:sz w:val="24"/>
                <w:szCs w:val="24"/>
                <w:highlight w:val="none"/>
                <w:u w:val="none"/>
              </w:rPr>
            </w:pPr>
            <w:r>
              <w:rPr>
                <w:color w:val="auto"/>
                <w:kern w:val="0"/>
                <w:sz w:val="24"/>
                <w:szCs w:val="24"/>
                <w:highlight w:val="none"/>
                <w:u w:val="none"/>
              </w:rPr>
              <w:sym w:font="Wingdings" w:char="00A8"/>
            </w:r>
            <w:r>
              <w:rPr>
                <w:rFonts w:hint="eastAsia"/>
                <w:color w:val="auto"/>
                <w:kern w:val="0"/>
                <w:sz w:val="24"/>
                <w:szCs w:val="24"/>
                <w:highlight w:val="none"/>
                <w:u w:val="none"/>
              </w:rPr>
              <w:t xml:space="preserve">是：           </w:t>
            </w:r>
          </w:p>
        </w:tc>
        <w:tc>
          <w:tcPr>
            <w:tcW w:w="1669" w:type="dxa"/>
            <w:vAlign w:val="center"/>
          </w:tcPr>
          <w:p w14:paraId="6538B108">
            <w:pPr>
              <w:jc w:val="center"/>
              <w:rPr>
                <w:color w:val="auto"/>
                <w:kern w:val="0"/>
                <w:sz w:val="24"/>
                <w:szCs w:val="24"/>
                <w:highlight w:val="none"/>
                <w:u w:val="none"/>
              </w:rPr>
            </w:pPr>
            <w:r>
              <w:rPr>
                <w:rFonts w:hint="eastAsia"/>
                <w:color w:val="auto"/>
                <w:kern w:val="0"/>
                <w:sz w:val="24"/>
                <w:szCs w:val="24"/>
                <w:highlight w:val="none"/>
                <w:u w:val="none"/>
              </w:rPr>
              <w:t>用地（用海）面积（m</w:t>
            </w:r>
            <w:r>
              <w:rPr>
                <w:rFonts w:hint="eastAsia"/>
                <w:color w:val="auto"/>
                <w:kern w:val="0"/>
                <w:sz w:val="24"/>
                <w:szCs w:val="24"/>
                <w:highlight w:val="none"/>
                <w:u w:val="none"/>
                <w:vertAlign w:val="superscript"/>
              </w:rPr>
              <w:t>2</w:t>
            </w:r>
            <w:r>
              <w:rPr>
                <w:rFonts w:hint="eastAsia"/>
                <w:color w:val="auto"/>
                <w:kern w:val="0"/>
                <w:sz w:val="24"/>
                <w:szCs w:val="24"/>
                <w:highlight w:val="none"/>
                <w:u w:val="none"/>
              </w:rPr>
              <w:t>）</w:t>
            </w:r>
          </w:p>
        </w:tc>
        <w:tc>
          <w:tcPr>
            <w:tcW w:w="3151" w:type="dxa"/>
            <w:vAlign w:val="center"/>
          </w:tcPr>
          <w:p w14:paraId="6B139B37">
            <w:pPr>
              <w:jc w:val="center"/>
              <w:rPr>
                <w:rFonts w:hint="default" w:eastAsia="宋体"/>
                <w:color w:val="auto"/>
                <w:kern w:val="0"/>
                <w:sz w:val="24"/>
                <w:szCs w:val="24"/>
                <w:highlight w:val="none"/>
                <w:u w:val="none"/>
                <w:lang w:val="en-US" w:eastAsia="zh-CN"/>
              </w:rPr>
            </w:pPr>
            <w:r>
              <w:rPr>
                <w:rFonts w:hint="eastAsia"/>
                <w:color w:val="auto"/>
                <w:kern w:val="0"/>
                <w:sz w:val="24"/>
                <w:szCs w:val="24"/>
                <w:highlight w:val="none"/>
                <w:u w:val="none"/>
                <w:lang w:val="en-US" w:eastAsia="zh-CN"/>
              </w:rPr>
              <w:t>建筑面积8445.12</w:t>
            </w:r>
          </w:p>
        </w:tc>
      </w:tr>
      <w:tr w14:paraId="1390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714" w:type="dxa"/>
            <w:vAlign w:val="center"/>
          </w:tcPr>
          <w:p w14:paraId="4DE20ECD">
            <w:pPr>
              <w:jc w:val="center"/>
              <w:rPr>
                <w:color w:val="auto"/>
                <w:kern w:val="0"/>
                <w:sz w:val="24"/>
                <w:szCs w:val="24"/>
                <w:highlight w:val="none"/>
                <w:u w:val="none"/>
              </w:rPr>
            </w:pPr>
            <w:r>
              <w:rPr>
                <w:rFonts w:hint="eastAsia"/>
                <w:color w:val="auto"/>
                <w:kern w:val="0"/>
                <w:sz w:val="24"/>
                <w:szCs w:val="24"/>
                <w:highlight w:val="none"/>
                <w:u w:val="none"/>
              </w:rPr>
              <w:t>专项评价设施情况</w:t>
            </w:r>
          </w:p>
        </w:tc>
        <w:tc>
          <w:tcPr>
            <w:tcW w:w="7357" w:type="dxa"/>
            <w:gridSpan w:val="3"/>
            <w:vAlign w:val="center"/>
          </w:tcPr>
          <w:p w14:paraId="738DB78F">
            <w:pPr>
              <w:pStyle w:val="97"/>
              <w:spacing w:line="240" w:lineRule="auto"/>
              <w:rPr>
                <w:rFonts w:ascii="Times New Roman" w:hAnsi="Times New Roman" w:cs="Times New Roman"/>
                <w:b w:val="0"/>
                <w:sz w:val="24"/>
              </w:rPr>
            </w:pPr>
            <w:r>
              <w:rPr>
                <w:rFonts w:ascii="Times New Roman" w:hAnsi="Times New Roman" w:cs="Times New Roman"/>
                <w:b/>
                <w:bCs/>
                <w:sz w:val="21"/>
                <w:szCs w:val="21"/>
              </w:rPr>
              <w:t>表1-1  专项评价设置原则表</w:t>
            </w:r>
          </w:p>
          <w:tbl>
            <w:tblPr>
              <w:tblStyle w:val="35"/>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41"/>
              <w:gridCol w:w="3507"/>
              <w:gridCol w:w="2002"/>
              <w:gridCol w:w="957"/>
            </w:tblGrid>
            <w:tr w14:paraId="7755C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1" w:type="pct"/>
                  <w:vAlign w:val="center"/>
                </w:tcPr>
                <w:p w14:paraId="54ED4406">
                  <w:pPr>
                    <w:spacing w:line="320" w:lineRule="atLeast"/>
                    <w:jc w:val="center"/>
                    <w:textAlignment w:val="center"/>
                    <w:rPr>
                      <w:rFonts w:ascii="Times New Roman" w:hAnsi="Times New Roman" w:cs="Times New Roman"/>
                      <w:iCs/>
                      <w:szCs w:val="21"/>
                    </w:rPr>
                  </w:pPr>
                  <w:bookmarkStart w:id="1" w:name="OLE_LINK74"/>
                  <w:bookmarkStart w:id="2" w:name="OLE_LINK75"/>
                  <w:r>
                    <w:rPr>
                      <w:rFonts w:ascii="Times New Roman" w:hAnsi="Times New Roman" w:cs="Times New Roman"/>
                      <w:iCs/>
                      <w:szCs w:val="21"/>
                    </w:rPr>
                    <w:t>类别</w:t>
                  </w:r>
                  <w:bookmarkEnd w:id="1"/>
                  <w:bookmarkEnd w:id="2"/>
                </w:p>
              </w:tc>
              <w:tc>
                <w:tcPr>
                  <w:tcW w:w="2466" w:type="pct"/>
                  <w:vAlign w:val="center"/>
                </w:tcPr>
                <w:p w14:paraId="4ED1CC1C">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设置原则</w:t>
                  </w:r>
                </w:p>
              </w:tc>
              <w:tc>
                <w:tcPr>
                  <w:tcW w:w="1408" w:type="pct"/>
                  <w:vAlign w:val="center"/>
                </w:tcPr>
                <w:p w14:paraId="11FCE94C">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本项目情况</w:t>
                  </w:r>
                </w:p>
              </w:tc>
              <w:tc>
                <w:tcPr>
                  <w:tcW w:w="673" w:type="pct"/>
                  <w:vAlign w:val="center"/>
                </w:tcPr>
                <w:p w14:paraId="563503C8">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是否开展专项评价</w:t>
                  </w:r>
                </w:p>
              </w:tc>
            </w:tr>
            <w:tr w14:paraId="7129B9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1" w:type="pct"/>
                  <w:vAlign w:val="center"/>
                </w:tcPr>
                <w:p w14:paraId="75378343">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大气</w:t>
                  </w:r>
                </w:p>
              </w:tc>
              <w:tc>
                <w:tcPr>
                  <w:tcW w:w="2466" w:type="pct"/>
                  <w:vAlign w:val="center"/>
                </w:tcPr>
                <w:p w14:paraId="43AA437D">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排放废气含有有毒有害物、二噁英、苯并[a]芘、氰化物、氯气且厂界外500米范围内有环境空气保护目标的建设项目</w:t>
                  </w:r>
                </w:p>
              </w:tc>
              <w:tc>
                <w:tcPr>
                  <w:tcW w:w="1408" w:type="pct"/>
                  <w:vAlign w:val="center"/>
                </w:tcPr>
                <w:p w14:paraId="753DB094">
                  <w:pPr>
                    <w:spacing w:line="320" w:lineRule="atLeast"/>
                    <w:jc w:val="center"/>
                    <w:textAlignment w:val="center"/>
                    <w:rPr>
                      <w:rFonts w:ascii="Times New Roman" w:hAnsi="Times New Roman" w:cs="Times New Roman"/>
                      <w:iCs/>
                      <w:color w:val="FF0000"/>
                      <w:szCs w:val="21"/>
                    </w:rPr>
                  </w:pPr>
                  <w:r>
                    <w:rPr>
                      <w:rFonts w:ascii="Times New Roman" w:hAnsi="Times New Roman" w:cs="Times New Roman"/>
                      <w:iCs/>
                      <w:szCs w:val="21"/>
                    </w:rPr>
                    <w:t>项目</w:t>
                  </w:r>
                  <w:r>
                    <w:rPr>
                      <w:rFonts w:hint="eastAsia" w:ascii="Times New Roman" w:hAnsi="Times New Roman" w:cs="Times New Roman"/>
                      <w:iCs/>
                      <w:szCs w:val="21"/>
                      <w:lang w:val="en-US" w:eastAsia="zh-CN"/>
                    </w:rPr>
                    <w:t>排放</w:t>
                  </w:r>
                  <w:r>
                    <w:rPr>
                      <w:rFonts w:ascii="Times New Roman" w:hAnsi="Times New Roman" w:cs="Times New Roman"/>
                      <w:iCs/>
                      <w:szCs w:val="21"/>
                    </w:rPr>
                    <w:t>废气</w:t>
                  </w:r>
                  <w:r>
                    <w:rPr>
                      <w:rFonts w:hint="eastAsia" w:ascii="Times New Roman" w:hAnsi="Times New Roman" w:cs="Times New Roman"/>
                      <w:iCs/>
                      <w:szCs w:val="21"/>
                      <w:lang w:val="en-US" w:eastAsia="zh-CN"/>
                    </w:rPr>
                    <w:t>含有</w:t>
                  </w:r>
                  <w:r>
                    <w:rPr>
                      <w:rFonts w:ascii="Times New Roman" w:hAnsi="Times New Roman" w:cs="Times New Roman"/>
                      <w:iCs/>
                      <w:szCs w:val="21"/>
                    </w:rPr>
                    <w:t>有毒有害物且厂界外500米范围内有环境空气保护目标</w:t>
                  </w:r>
                </w:p>
              </w:tc>
              <w:tc>
                <w:tcPr>
                  <w:tcW w:w="673" w:type="pct"/>
                  <w:vAlign w:val="center"/>
                </w:tcPr>
                <w:p w14:paraId="260F8AEC">
                  <w:pPr>
                    <w:spacing w:line="320" w:lineRule="atLeast"/>
                    <w:jc w:val="center"/>
                    <w:textAlignment w:val="center"/>
                    <w:rPr>
                      <w:rFonts w:hint="eastAsia" w:ascii="Times New Roman" w:hAnsi="Times New Roman" w:eastAsia="宋体" w:cs="Times New Roman"/>
                      <w:iCs/>
                      <w:szCs w:val="21"/>
                      <w:lang w:eastAsia="zh-CN"/>
                    </w:rPr>
                  </w:pPr>
                  <w:r>
                    <w:rPr>
                      <w:rFonts w:hint="eastAsia" w:ascii="Times New Roman" w:hAnsi="Times New Roman" w:cs="Times New Roman"/>
                      <w:iCs/>
                      <w:szCs w:val="21"/>
                      <w:lang w:val="en-US" w:eastAsia="zh-CN"/>
                    </w:rPr>
                    <w:t>是</w:t>
                  </w:r>
                </w:p>
              </w:tc>
            </w:tr>
            <w:tr w14:paraId="4D89E3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1" w:type="pct"/>
                  <w:vAlign w:val="center"/>
                </w:tcPr>
                <w:p w14:paraId="11197D79">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地表</w:t>
                  </w:r>
                </w:p>
                <w:p w14:paraId="1D99FCDF">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水</w:t>
                  </w:r>
                </w:p>
              </w:tc>
              <w:tc>
                <w:tcPr>
                  <w:tcW w:w="2466" w:type="pct"/>
                  <w:vAlign w:val="center"/>
                </w:tcPr>
                <w:p w14:paraId="732828FB">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新增工业废水直排建设项目（槽罐车外送污水处理厂的除外）；新增废水直排的污水集中处理厂</w:t>
                  </w:r>
                </w:p>
              </w:tc>
              <w:tc>
                <w:tcPr>
                  <w:tcW w:w="1408" w:type="pct"/>
                  <w:vAlign w:val="center"/>
                </w:tcPr>
                <w:p w14:paraId="28418A1D">
                  <w:pPr>
                    <w:spacing w:line="320" w:lineRule="atLeast"/>
                    <w:jc w:val="center"/>
                    <w:textAlignment w:val="center"/>
                    <w:rPr>
                      <w:rFonts w:hint="default" w:ascii="Times New Roman" w:hAnsi="Times New Roman" w:eastAsia="宋体" w:cs="Times New Roman"/>
                      <w:iCs/>
                      <w:szCs w:val="21"/>
                      <w:lang w:val="en-US" w:eastAsia="zh-CN"/>
                    </w:rPr>
                  </w:pPr>
                  <w:r>
                    <w:rPr>
                      <w:rFonts w:ascii="Times New Roman" w:hAnsi="Times New Roman" w:cs="Times New Roman"/>
                      <w:iCs/>
                      <w:szCs w:val="21"/>
                    </w:rPr>
                    <w:t>项目</w:t>
                  </w:r>
                  <w:r>
                    <w:rPr>
                      <w:rFonts w:hint="eastAsia" w:ascii="Times New Roman" w:hAnsi="Times New Roman" w:cs="Times New Roman"/>
                      <w:iCs/>
                      <w:szCs w:val="21"/>
                    </w:rPr>
                    <w:t>产生生活污水</w:t>
                  </w:r>
                  <w:r>
                    <w:rPr>
                      <w:rFonts w:hint="eastAsia" w:ascii="Times New Roman" w:hAnsi="Times New Roman" w:cs="Times New Roman"/>
                      <w:iCs/>
                      <w:szCs w:val="21"/>
                      <w:lang w:val="en-US" w:eastAsia="zh-CN"/>
                    </w:rPr>
                    <w:t>间接排放</w:t>
                  </w:r>
                </w:p>
              </w:tc>
              <w:tc>
                <w:tcPr>
                  <w:tcW w:w="673" w:type="pct"/>
                  <w:vAlign w:val="center"/>
                </w:tcPr>
                <w:p w14:paraId="18032461">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否</w:t>
                  </w:r>
                </w:p>
              </w:tc>
            </w:tr>
            <w:tr w14:paraId="19959B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1" w:type="pct"/>
                  <w:vAlign w:val="center"/>
                </w:tcPr>
                <w:p w14:paraId="74AFB188">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环境</w:t>
                  </w:r>
                </w:p>
                <w:p w14:paraId="4EC17A07">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风险</w:t>
                  </w:r>
                </w:p>
              </w:tc>
              <w:tc>
                <w:tcPr>
                  <w:tcW w:w="2466" w:type="pct"/>
                  <w:vAlign w:val="center"/>
                </w:tcPr>
                <w:p w14:paraId="783DC090">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有毒有害和易燃易爆危险物质储</w:t>
                  </w:r>
                </w:p>
                <w:p w14:paraId="181E51C9">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量超过临界量的建设项目</w:t>
                  </w:r>
                </w:p>
              </w:tc>
              <w:tc>
                <w:tcPr>
                  <w:tcW w:w="1408" w:type="pct"/>
                  <w:vAlign w:val="center"/>
                </w:tcPr>
                <w:p w14:paraId="2F4F9FEB">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项目Q＜1，环境潜势为</w:t>
                  </w:r>
                  <w:r>
                    <w:rPr>
                      <w:rFonts w:ascii="Times New Roman" w:hAnsi="Times New Roman" w:cs="Times New Roman"/>
                      <w:color w:val="000000"/>
                    </w:rPr>
                    <w:t>I</w:t>
                  </w:r>
                  <w:r>
                    <w:rPr>
                      <w:rFonts w:ascii="Times New Roman" w:hAnsi="Times New Roman" w:cs="Times New Roman"/>
                      <w:iCs/>
                      <w:szCs w:val="21"/>
                    </w:rPr>
                    <w:t>，进行简单分析</w:t>
                  </w:r>
                </w:p>
              </w:tc>
              <w:tc>
                <w:tcPr>
                  <w:tcW w:w="673" w:type="pct"/>
                  <w:vAlign w:val="center"/>
                </w:tcPr>
                <w:p w14:paraId="1DAA6FED">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否</w:t>
                  </w:r>
                </w:p>
              </w:tc>
            </w:tr>
            <w:tr w14:paraId="359482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1" w:type="pct"/>
                  <w:vAlign w:val="center"/>
                </w:tcPr>
                <w:p w14:paraId="1A28CF5F">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生态</w:t>
                  </w:r>
                </w:p>
              </w:tc>
              <w:tc>
                <w:tcPr>
                  <w:tcW w:w="2466" w:type="pct"/>
                  <w:vAlign w:val="center"/>
                </w:tcPr>
                <w:p w14:paraId="26E3550D">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取水口下游500米范围内有重要水生生物的自然产卵场、索饵场、越冬场和洄游通道的新增河道取水的污染类建设项目</w:t>
                  </w:r>
                </w:p>
              </w:tc>
              <w:tc>
                <w:tcPr>
                  <w:tcW w:w="1408" w:type="pct"/>
                  <w:vAlign w:val="center"/>
                </w:tcPr>
                <w:p w14:paraId="07159C33">
                  <w:pPr>
                    <w:spacing w:line="320" w:lineRule="atLeast"/>
                    <w:jc w:val="center"/>
                    <w:textAlignment w:val="center"/>
                    <w:rPr>
                      <w:rFonts w:ascii="Times New Roman" w:hAnsi="Times New Roman" w:cs="Times New Roman"/>
                      <w:iCs/>
                      <w:szCs w:val="21"/>
                    </w:rPr>
                  </w:pPr>
                  <w:r>
                    <w:rPr>
                      <w:rFonts w:ascii="Times New Roman" w:hAnsi="Times New Roman" w:cs="Times New Roman"/>
                      <w:color w:val="000000"/>
                    </w:rPr>
                    <w:t>项目不涉及</w:t>
                  </w:r>
                </w:p>
              </w:tc>
              <w:tc>
                <w:tcPr>
                  <w:tcW w:w="673" w:type="pct"/>
                  <w:vAlign w:val="center"/>
                </w:tcPr>
                <w:p w14:paraId="1D9DCC74">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否</w:t>
                  </w:r>
                </w:p>
              </w:tc>
            </w:tr>
            <w:tr w14:paraId="19255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51" w:type="pct"/>
                  <w:vAlign w:val="center"/>
                </w:tcPr>
                <w:p w14:paraId="1C26E109">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海洋</w:t>
                  </w:r>
                </w:p>
              </w:tc>
              <w:tc>
                <w:tcPr>
                  <w:tcW w:w="2466" w:type="pct"/>
                  <w:vAlign w:val="center"/>
                </w:tcPr>
                <w:p w14:paraId="282364BA">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直接向海排放污染物的海洋工程建设项目</w:t>
                  </w:r>
                </w:p>
              </w:tc>
              <w:tc>
                <w:tcPr>
                  <w:tcW w:w="1408" w:type="pct"/>
                  <w:vAlign w:val="center"/>
                </w:tcPr>
                <w:p w14:paraId="71FEA669">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项目不属于海洋工程建设项目</w:t>
                  </w:r>
                </w:p>
              </w:tc>
              <w:tc>
                <w:tcPr>
                  <w:tcW w:w="673" w:type="pct"/>
                  <w:vAlign w:val="center"/>
                </w:tcPr>
                <w:p w14:paraId="5E481F68">
                  <w:pPr>
                    <w:spacing w:line="320" w:lineRule="atLeast"/>
                    <w:jc w:val="center"/>
                    <w:textAlignment w:val="center"/>
                    <w:rPr>
                      <w:rFonts w:ascii="Times New Roman" w:hAnsi="Times New Roman" w:cs="Times New Roman"/>
                      <w:iCs/>
                      <w:szCs w:val="21"/>
                    </w:rPr>
                  </w:pPr>
                  <w:r>
                    <w:rPr>
                      <w:rFonts w:ascii="Times New Roman" w:hAnsi="Times New Roman" w:cs="Times New Roman"/>
                      <w:iCs/>
                      <w:szCs w:val="21"/>
                    </w:rPr>
                    <w:t>否</w:t>
                  </w:r>
                </w:p>
              </w:tc>
            </w:tr>
          </w:tbl>
          <w:p w14:paraId="73A8CA8B">
            <w:pPr>
              <w:spacing w:line="360" w:lineRule="auto"/>
              <w:ind w:firstLine="480" w:firstLineChars="200"/>
              <w:jc w:val="both"/>
              <w:rPr>
                <w:color w:val="auto"/>
                <w:kern w:val="0"/>
                <w:sz w:val="24"/>
                <w:szCs w:val="24"/>
                <w:highlight w:val="none"/>
                <w:u w:val="none"/>
              </w:rPr>
            </w:pPr>
            <w:r>
              <w:rPr>
                <w:rFonts w:ascii="Times New Roman" w:hAnsi="Times New Roman" w:cs="Times New Roman"/>
                <w:sz w:val="24"/>
                <w:szCs w:val="24"/>
              </w:rPr>
              <w:t>综上所述，项目需设置大气环境要素的专项评价。</w:t>
            </w:r>
          </w:p>
        </w:tc>
      </w:tr>
      <w:tr w14:paraId="7ADC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714" w:type="dxa"/>
            <w:vAlign w:val="center"/>
          </w:tcPr>
          <w:p w14:paraId="4807513F">
            <w:pPr>
              <w:spacing w:line="360" w:lineRule="auto"/>
              <w:jc w:val="center"/>
              <w:rPr>
                <w:color w:val="auto"/>
                <w:kern w:val="0"/>
                <w:sz w:val="24"/>
                <w:szCs w:val="24"/>
                <w:highlight w:val="none"/>
                <w:u w:val="none"/>
              </w:rPr>
            </w:pPr>
            <w:r>
              <w:rPr>
                <w:rFonts w:hint="eastAsia"/>
                <w:color w:val="auto"/>
                <w:kern w:val="0"/>
                <w:sz w:val="24"/>
                <w:szCs w:val="24"/>
                <w:highlight w:val="none"/>
                <w:u w:val="none"/>
              </w:rPr>
              <w:t>规划情况</w:t>
            </w:r>
          </w:p>
        </w:tc>
        <w:tc>
          <w:tcPr>
            <w:tcW w:w="7357" w:type="dxa"/>
            <w:gridSpan w:val="3"/>
            <w:vAlign w:val="center"/>
          </w:tcPr>
          <w:p w14:paraId="0F2A5606">
            <w:pPr>
              <w:pStyle w:val="56"/>
              <w:spacing w:line="360" w:lineRule="auto"/>
              <w:jc w:val="left"/>
              <w:rPr>
                <w:color w:val="auto"/>
                <w:sz w:val="24"/>
                <w:szCs w:val="24"/>
                <w:highlight w:val="none"/>
                <w:u w:val="none"/>
              </w:rPr>
            </w:pPr>
            <w:r>
              <w:rPr>
                <w:rFonts w:hint="eastAsia"/>
                <w:color w:val="auto"/>
                <w:sz w:val="24"/>
                <w:szCs w:val="24"/>
                <w:highlight w:val="none"/>
                <w:u w:val="none"/>
                <w:lang w:val="en-US" w:eastAsia="zh-CN"/>
              </w:rPr>
              <w:t>1、</w:t>
            </w:r>
            <w:r>
              <w:rPr>
                <w:color w:val="auto"/>
                <w:sz w:val="24"/>
                <w:szCs w:val="24"/>
                <w:highlight w:val="none"/>
                <w:u w:val="none"/>
              </w:rPr>
              <w:t>规划名称：</w:t>
            </w:r>
            <w:r>
              <w:rPr>
                <w:rFonts w:hint="eastAsia"/>
                <w:color w:val="auto"/>
                <w:sz w:val="24"/>
                <w:szCs w:val="24"/>
                <w:highlight w:val="none"/>
                <w:u w:val="none"/>
              </w:rPr>
              <w:t>永州市经济技术开发区总体规划（2013-2020）</w:t>
            </w:r>
            <w:r>
              <w:rPr>
                <w:color w:val="auto"/>
                <w:sz w:val="24"/>
                <w:szCs w:val="24"/>
                <w:highlight w:val="none"/>
                <w:u w:val="none"/>
              </w:rPr>
              <w:t>；</w:t>
            </w:r>
          </w:p>
          <w:p w14:paraId="240CBBE0">
            <w:pPr>
              <w:pStyle w:val="56"/>
              <w:spacing w:line="360" w:lineRule="auto"/>
              <w:jc w:val="left"/>
              <w:rPr>
                <w:color w:val="auto"/>
                <w:sz w:val="24"/>
                <w:szCs w:val="24"/>
                <w:highlight w:val="none"/>
                <w:u w:val="none"/>
              </w:rPr>
            </w:pPr>
            <w:r>
              <w:rPr>
                <w:rFonts w:hint="eastAsia"/>
                <w:color w:val="auto"/>
                <w:sz w:val="24"/>
                <w:szCs w:val="24"/>
                <w:highlight w:val="none"/>
                <w:u w:val="none"/>
              </w:rPr>
              <w:t>审批机关：</w:t>
            </w:r>
            <w:r>
              <w:rPr>
                <w:rFonts w:hint="eastAsia"/>
                <w:color w:val="auto"/>
                <w:sz w:val="24"/>
                <w:szCs w:val="24"/>
                <w:highlight w:val="none"/>
                <w:u w:val="none"/>
                <w:lang w:eastAsia="zh-CN"/>
              </w:rPr>
              <w:t>湖南省</w:t>
            </w:r>
            <w:r>
              <w:rPr>
                <w:rFonts w:hint="eastAsia"/>
                <w:color w:val="auto"/>
                <w:sz w:val="24"/>
                <w:szCs w:val="24"/>
                <w:highlight w:val="none"/>
                <w:u w:val="none"/>
              </w:rPr>
              <w:t>人民政府</w:t>
            </w:r>
          </w:p>
          <w:p w14:paraId="24C86DEF">
            <w:pPr>
              <w:pStyle w:val="56"/>
              <w:spacing w:line="360" w:lineRule="auto"/>
              <w:jc w:val="left"/>
              <w:rPr>
                <w:rFonts w:hint="default" w:eastAsia="宋体"/>
                <w:color w:val="auto"/>
                <w:sz w:val="24"/>
                <w:szCs w:val="24"/>
                <w:highlight w:val="none"/>
                <w:u w:val="none"/>
                <w:lang w:val="en-US" w:eastAsia="zh-CN"/>
              </w:rPr>
            </w:pPr>
            <w:r>
              <w:rPr>
                <w:rFonts w:hint="eastAsia"/>
                <w:color w:val="auto"/>
                <w:sz w:val="24"/>
                <w:szCs w:val="24"/>
                <w:highlight w:val="none"/>
                <w:u w:val="none"/>
              </w:rPr>
              <w:t>审批文件名称及文号：</w:t>
            </w:r>
            <w:r>
              <w:rPr>
                <w:rFonts w:hint="eastAsia"/>
                <w:color w:val="auto"/>
                <w:sz w:val="24"/>
                <w:szCs w:val="24"/>
                <w:highlight w:val="none"/>
                <w:u w:val="none"/>
                <w:lang w:eastAsia="zh-CN"/>
              </w:rPr>
              <w:t>湘政函〔2016〕177号</w:t>
            </w:r>
          </w:p>
          <w:p w14:paraId="3FC6F015">
            <w:pPr>
              <w:pStyle w:val="56"/>
              <w:spacing w:line="360" w:lineRule="auto"/>
              <w:jc w:val="left"/>
              <w:rPr>
                <w:color w:val="auto"/>
                <w:sz w:val="24"/>
                <w:szCs w:val="24"/>
                <w:highlight w:val="none"/>
                <w:u w:val="none"/>
              </w:rPr>
            </w:pPr>
            <w:r>
              <w:rPr>
                <w:rFonts w:hint="eastAsia"/>
                <w:color w:val="auto"/>
                <w:sz w:val="24"/>
                <w:szCs w:val="24"/>
                <w:highlight w:val="none"/>
                <w:u w:val="none"/>
                <w:lang w:val="en-US" w:eastAsia="zh-CN"/>
              </w:rPr>
              <w:t>2、</w:t>
            </w:r>
            <w:r>
              <w:rPr>
                <w:color w:val="auto"/>
                <w:sz w:val="24"/>
                <w:szCs w:val="24"/>
                <w:highlight w:val="none"/>
                <w:u w:val="none"/>
              </w:rPr>
              <w:t>规划名称：</w:t>
            </w:r>
            <w:r>
              <w:rPr>
                <w:rFonts w:hint="eastAsia"/>
                <w:color w:val="auto"/>
                <w:sz w:val="24"/>
                <w:szCs w:val="24"/>
                <w:highlight w:val="none"/>
                <w:u w:val="none"/>
              </w:rPr>
              <w:t>永州经济技术开发区</w:t>
            </w:r>
            <w:r>
              <w:rPr>
                <w:rFonts w:hint="eastAsia"/>
                <w:color w:val="auto"/>
                <w:sz w:val="24"/>
                <w:szCs w:val="24"/>
                <w:highlight w:val="none"/>
                <w:u w:val="none"/>
                <w:lang w:eastAsia="zh-CN"/>
              </w:rPr>
              <w:t>（</w:t>
            </w:r>
            <w:r>
              <w:rPr>
                <w:rFonts w:hint="eastAsia"/>
                <w:color w:val="auto"/>
                <w:sz w:val="24"/>
                <w:szCs w:val="24"/>
                <w:highlight w:val="none"/>
                <w:u w:val="none"/>
              </w:rPr>
              <w:t>北部片区、南部片区</w:t>
            </w:r>
            <w:r>
              <w:rPr>
                <w:rFonts w:hint="eastAsia"/>
                <w:color w:val="auto"/>
                <w:sz w:val="24"/>
                <w:szCs w:val="24"/>
                <w:highlight w:val="none"/>
                <w:u w:val="none"/>
                <w:lang w:eastAsia="zh-CN"/>
              </w:rPr>
              <w:t>）</w:t>
            </w:r>
            <w:r>
              <w:rPr>
                <w:rFonts w:hint="eastAsia"/>
                <w:color w:val="auto"/>
                <w:sz w:val="24"/>
                <w:szCs w:val="24"/>
                <w:highlight w:val="none"/>
                <w:u w:val="none"/>
              </w:rPr>
              <w:t>控制性详细规划</w:t>
            </w:r>
            <w:r>
              <w:rPr>
                <w:color w:val="auto"/>
                <w:sz w:val="24"/>
                <w:szCs w:val="24"/>
                <w:highlight w:val="none"/>
                <w:u w:val="none"/>
              </w:rPr>
              <w:t>；</w:t>
            </w:r>
          </w:p>
          <w:p w14:paraId="7976D5ED">
            <w:pPr>
              <w:pStyle w:val="56"/>
              <w:spacing w:line="360" w:lineRule="auto"/>
              <w:jc w:val="left"/>
              <w:rPr>
                <w:color w:val="auto"/>
                <w:sz w:val="24"/>
                <w:szCs w:val="24"/>
                <w:highlight w:val="none"/>
                <w:u w:val="none"/>
              </w:rPr>
            </w:pPr>
            <w:r>
              <w:rPr>
                <w:rFonts w:hint="eastAsia"/>
                <w:color w:val="auto"/>
                <w:sz w:val="24"/>
                <w:szCs w:val="24"/>
                <w:highlight w:val="none"/>
                <w:u w:val="none"/>
              </w:rPr>
              <w:t>审批机关：</w:t>
            </w:r>
            <w:r>
              <w:rPr>
                <w:rFonts w:hint="eastAsia"/>
                <w:color w:val="auto"/>
                <w:sz w:val="24"/>
                <w:szCs w:val="24"/>
                <w:highlight w:val="none"/>
                <w:u w:val="none"/>
                <w:lang w:eastAsia="zh-CN"/>
              </w:rPr>
              <w:t>永州市</w:t>
            </w:r>
            <w:r>
              <w:rPr>
                <w:rFonts w:hint="eastAsia"/>
                <w:color w:val="auto"/>
                <w:sz w:val="24"/>
                <w:szCs w:val="24"/>
                <w:highlight w:val="none"/>
                <w:u w:val="none"/>
              </w:rPr>
              <w:t>人民政府</w:t>
            </w:r>
          </w:p>
          <w:p w14:paraId="5956E132">
            <w:pPr>
              <w:pStyle w:val="56"/>
              <w:spacing w:line="360" w:lineRule="auto"/>
              <w:jc w:val="left"/>
              <w:rPr>
                <w:color w:val="auto"/>
                <w:sz w:val="24"/>
                <w:szCs w:val="24"/>
                <w:highlight w:val="none"/>
                <w:u w:val="none"/>
              </w:rPr>
            </w:pPr>
            <w:r>
              <w:rPr>
                <w:rFonts w:hint="eastAsia"/>
                <w:color w:val="auto"/>
                <w:sz w:val="24"/>
                <w:szCs w:val="24"/>
                <w:highlight w:val="none"/>
                <w:u w:val="none"/>
              </w:rPr>
              <w:t>审批文件名称及文号：</w:t>
            </w:r>
            <w:r>
              <w:rPr>
                <w:rFonts w:hint="eastAsia"/>
                <w:color w:val="auto"/>
                <w:sz w:val="24"/>
                <w:szCs w:val="24"/>
                <w:highlight w:val="none"/>
                <w:u w:val="none"/>
                <w:lang w:eastAsia="zh-CN"/>
              </w:rPr>
              <w:t>永政函〔2014〕132号</w:t>
            </w:r>
          </w:p>
        </w:tc>
      </w:tr>
      <w:tr w14:paraId="65A1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14" w:type="dxa"/>
            <w:vAlign w:val="center"/>
          </w:tcPr>
          <w:p w14:paraId="0BA03DC6">
            <w:pPr>
              <w:jc w:val="center"/>
              <w:rPr>
                <w:color w:val="auto"/>
                <w:kern w:val="0"/>
                <w:sz w:val="24"/>
                <w:szCs w:val="24"/>
                <w:highlight w:val="none"/>
                <w:u w:val="none"/>
              </w:rPr>
            </w:pPr>
            <w:r>
              <w:rPr>
                <w:rFonts w:hint="eastAsia"/>
                <w:color w:val="auto"/>
                <w:kern w:val="0"/>
                <w:sz w:val="24"/>
                <w:szCs w:val="24"/>
                <w:highlight w:val="none"/>
                <w:u w:val="none"/>
              </w:rPr>
              <w:t>规划环境影响评价情况</w:t>
            </w:r>
          </w:p>
        </w:tc>
        <w:tc>
          <w:tcPr>
            <w:tcW w:w="7357" w:type="dxa"/>
            <w:gridSpan w:val="3"/>
            <w:vAlign w:val="center"/>
          </w:tcPr>
          <w:p w14:paraId="576C3443">
            <w:pPr>
              <w:spacing w:line="360" w:lineRule="auto"/>
              <w:ind w:firstLine="480" w:firstLineChars="200"/>
              <w:rPr>
                <w:color w:val="auto"/>
                <w:kern w:val="0"/>
                <w:sz w:val="24"/>
                <w:szCs w:val="24"/>
                <w:highlight w:val="none"/>
                <w:u w:val="none" w:color="auto"/>
              </w:rPr>
            </w:pPr>
            <w:r>
              <w:rPr>
                <w:rFonts w:hint="eastAsia"/>
                <w:color w:val="auto"/>
                <w:kern w:val="0"/>
                <w:sz w:val="24"/>
                <w:szCs w:val="24"/>
                <w:highlight w:val="none"/>
                <w:u w:val="none" w:color="auto"/>
              </w:rPr>
              <w:t>规划环境影响评价文件名称：《永州经济技术开发区调区扩区规划环境影响报告书》</w:t>
            </w:r>
          </w:p>
          <w:p w14:paraId="19986354">
            <w:pPr>
              <w:spacing w:line="360" w:lineRule="auto"/>
              <w:ind w:firstLine="480" w:firstLineChars="200"/>
              <w:rPr>
                <w:rFonts w:hint="default" w:eastAsia="宋体"/>
                <w:color w:val="auto"/>
                <w:kern w:val="0"/>
                <w:sz w:val="24"/>
                <w:szCs w:val="24"/>
                <w:highlight w:val="none"/>
                <w:u w:val="none" w:color="auto"/>
                <w:lang w:val="en-US" w:eastAsia="zh-CN"/>
              </w:rPr>
            </w:pPr>
            <w:r>
              <w:rPr>
                <w:rFonts w:hint="eastAsia"/>
                <w:color w:val="auto"/>
                <w:kern w:val="0"/>
                <w:sz w:val="24"/>
                <w:szCs w:val="24"/>
                <w:highlight w:val="none"/>
                <w:u w:val="none" w:color="auto"/>
              </w:rPr>
              <w:t>审查机关：湖南省</w:t>
            </w:r>
            <w:r>
              <w:rPr>
                <w:rFonts w:hint="eastAsia"/>
                <w:color w:val="auto"/>
                <w:kern w:val="0"/>
                <w:sz w:val="24"/>
                <w:szCs w:val="24"/>
                <w:highlight w:val="none"/>
                <w:u w:val="none" w:color="auto"/>
                <w:lang w:val="en-US" w:eastAsia="zh-CN"/>
              </w:rPr>
              <w:t>生态环境厅</w:t>
            </w:r>
          </w:p>
          <w:p w14:paraId="12C3C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kern w:val="0"/>
                <w:sz w:val="24"/>
                <w:szCs w:val="24"/>
                <w:highlight w:val="none"/>
                <w:u w:val="none"/>
              </w:rPr>
            </w:pPr>
            <w:r>
              <w:rPr>
                <w:rFonts w:hint="eastAsia"/>
                <w:color w:val="auto"/>
                <w:kern w:val="0"/>
                <w:sz w:val="24"/>
                <w:szCs w:val="24"/>
                <w:highlight w:val="none"/>
                <w:u w:val="none" w:color="auto"/>
              </w:rPr>
              <w:t>审查文件名称及文号：关于《永州经济技术开发区调区扩区规划环境影响报告书》审查意见的函（湘环评函</w:t>
            </w:r>
            <w:r>
              <w:rPr>
                <w:rFonts w:hint="eastAsia"/>
                <w:color w:val="auto"/>
                <w:kern w:val="0"/>
                <w:sz w:val="24"/>
                <w:szCs w:val="24"/>
                <w:highlight w:val="none"/>
                <w:u w:val="none" w:color="auto"/>
                <w:lang w:eastAsia="zh-CN"/>
              </w:rPr>
              <w:t>〔2024〕51号</w:t>
            </w:r>
            <w:r>
              <w:rPr>
                <w:rFonts w:hint="eastAsia"/>
                <w:color w:val="auto"/>
                <w:kern w:val="0"/>
                <w:sz w:val="24"/>
                <w:szCs w:val="24"/>
                <w:highlight w:val="none"/>
                <w:u w:val="none" w:color="auto"/>
              </w:rPr>
              <w:t>）</w:t>
            </w:r>
          </w:p>
        </w:tc>
      </w:tr>
      <w:tr w14:paraId="319D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2" w:hRule="atLeast"/>
          <w:jc w:val="center"/>
        </w:trPr>
        <w:tc>
          <w:tcPr>
            <w:tcW w:w="1714" w:type="dxa"/>
            <w:vAlign w:val="center"/>
          </w:tcPr>
          <w:p w14:paraId="46FE8B77">
            <w:pPr>
              <w:jc w:val="center"/>
              <w:rPr>
                <w:color w:val="auto"/>
                <w:kern w:val="0"/>
                <w:sz w:val="24"/>
                <w:szCs w:val="24"/>
                <w:highlight w:val="none"/>
                <w:u w:val="none"/>
              </w:rPr>
            </w:pPr>
            <w:r>
              <w:rPr>
                <w:rFonts w:hint="eastAsia"/>
                <w:color w:val="auto"/>
                <w:kern w:val="0"/>
                <w:sz w:val="24"/>
                <w:szCs w:val="24"/>
                <w:highlight w:val="none"/>
                <w:u w:val="none"/>
              </w:rPr>
              <w:t>规划及规划环境影响评价符合性分析</w:t>
            </w:r>
          </w:p>
        </w:tc>
        <w:tc>
          <w:tcPr>
            <w:tcW w:w="7357" w:type="dxa"/>
            <w:gridSpan w:val="3"/>
            <w:vAlign w:val="center"/>
          </w:tcPr>
          <w:p w14:paraId="5D0DB33E">
            <w:pPr>
              <w:spacing w:line="360" w:lineRule="auto"/>
              <w:ind w:firstLine="480" w:firstLineChars="200"/>
              <w:rPr>
                <w:rFonts w:hint="eastAsia"/>
                <w:color w:val="auto"/>
                <w:kern w:val="0"/>
                <w:sz w:val="24"/>
                <w:szCs w:val="24"/>
                <w:highlight w:val="none"/>
                <w:u w:val="none" w:color="auto"/>
              </w:rPr>
            </w:pPr>
            <w:r>
              <w:rPr>
                <w:rFonts w:hint="eastAsia"/>
                <w:color w:val="auto"/>
                <w:kern w:val="0"/>
                <w:sz w:val="24"/>
                <w:szCs w:val="24"/>
                <w:highlight w:val="none"/>
                <w:u w:val="none" w:color="auto"/>
              </w:rPr>
              <w:t>（1）与园区规划相符性分析</w:t>
            </w:r>
          </w:p>
          <w:p w14:paraId="3CE0325E">
            <w:pPr>
              <w:spacing w:line="360" w:lineRule="auto"/>
              <w:ind w:firstLine="480" w:firstLineChars="200"/>
              <w:rPr>
                <w:rFonts w:hint="eastAsia"/>
                <w:color w:val="auto"/>
                <w:kern w:val="0"/>
                <w:sz w:val="24"/>
                <w:szCs w:val="24"/>
                <w:highlight w:val="none"/>
                <w:u w:val="none" w:color="auto"/>
              </w:rPr>
            </w:pPr>
            <w:r>
              <w:rPr>
                <w:rFonts w:hint="eastAsia"/>
                <w:color w:val="auto"/>
                <w:kern w:val="0"/>
                <w:sz w:val="24"/>
                <w:szCs w:val="24"/>
                <w:highlight w:val="none"/>
                <w:u w:val="none" w:color="auto"/>
              </w:rPr>
              <w:t>本项目拟建于永州经济技术开发区智能装备产业园标准厂11栋，所处地块为工业用地，符合《永州经济技术开发区调区扩区规划环境影响报告书》审查意见的函（湘环评函</w:t>
            </w:r>
            <w:r>
              <w:rPr>
                <w:rFonts w:hint="eastAsia"/>
                <w:color w:val="auto"/>
                <w:kern w:val="0"/>
                <w:sz w:val="24"/>
                <w:szCs w:val="24"/>
                <w:highlight w:val="none"/>
                <w:u w:val="none" w:color="auto"/>
                <w:lang w:eastAsia="zh-CN"/>
              </w:rPr>
              <w:t>〔2024〕51号</w:t>
            </w:r>
            <w:r>
              <w:rPr>
                <w:rFonts w:hint="eastAsia"/>
                <w:color w:val="auto"/>
                <w:kern w:val="0"/>
                <w:sz w:val="24"/>
                <w:szCs w:val="24"/>
                <w:highlight w:val="none"/>
                <w:u w:val="none" w:color="auto"/>
              </w:rPr>
              <w:t>）要求和准入要求。</w:t>
            </w:r>
          </w:p>
          <w:p w14:paraId="154F1013">
            <w:pPr>
              <w:jc w:val="center"/>
              <w:rPr>
                <w:rFonts w:ascii="宋体" w:hAnsi="宋体" w:cs="宋体"/>
                <w:b/>
                <w:bCs/>
                <w:color w:val="FF0000"/>
                <w:kern w:val="0"/>
                <w:highlight w:val="none"/>
                <w:u w:val="single" w:color="auto"/>
              </w:rPr>
            </w:pPr>
            <w:r>
              <w:rPr>
                <w:rFonts w:hint="eastAsia" w:ascii="宋体" w:hAnsi="宋体" w:cs="宋体"/>
                <w:b/>
                <w:bCs/>
                <w:color w:val="auto"/>
                <w:kern w:val="0"/>
                <w:highlight w:val="none"/>
                <w:u w:val="none" w:color="auto"/>
              </w:rPr>
              <w:t>表1-1  本项目与《永州经济技术开发区调区扩区规划环境影响报告书》审查意见的函（湘环评函</w:t>
            </w:r>
            <w:r>
              <w:rPr>
                <w:rFonts w:hint="eastAsia" w:ascii="宋体" w:hAnsi="宋体" w:cs="宋体"/>
                <w:b/>
                <w:bCs/>
                <w:color w:val="auto"/>
                <w:kern w:val="0"/>
                <w:highlight w:val="none"/>
                <w:u w:val="none" w:color="auto"/>
                <w:lang w:eastAsia="zh-CN"/>
              </w:rPr>
              <w:t>〔2024〕51号</w:t>
            </w:r>
            <w:r>
              <w:rPr>
                <w:rFonts w:hint="eastAsia" w:ascii="宋体" w:hAnsi="宋体" w:cs="宋体"/>
                <w:b/>
                <w:bCs/>
                <w:color w:val="auto"/>
                <w:kern w:val="0"/>
                <w:highlight w:val="none"/>
                <w:u w:val="none" w:color="auto"/>
              </w:rPr>
              <w:t>）相符性分析</w:t>
            </w:r>
          </w:p>
          <w:tbl>
            <w:tblPr>
              <w:tblStyle w:val="36"/>
              <w:tblW w:w="70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3888"/>
              <w:gridCol w:w="1361"/>
              <w:gridCol w:w="1119"/>
            </w:tblGrid>
            <w:tr w14:paraId="113003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675" w:type="dxa"/>
                  <w:tcBorders>
                    <w:tl2br w:val="nil"/>
                    <w:tr2bl w:val="nil"/>
                  </w:tcBorders>
                  <w:vAlign w:val="center"/>
                </w:tcPr>
                <w:p w14:paraId="34FA9F69">
                  <w:pPr>
                    <w:jc w:val="center"/>
                    <w:rPr>
                      <w:rFonts w:ascii="宋体" w:hAnsi="宋体" w:cs="宋体"/>
                      <w:color w:val="auto"/>
                      <w:kern w:val="0"/>
                      <w:highlight w:val="none"/>
                      <w:u w:val="none" w:color="auto"/>
                    </w:rPr>
                  </w:pPr>
                  <w:r>
                    <w:rPr>
                      <w:rFonts w:hint="eastAsia" w:ascii="宋体" w:hAnsi="宋体" w:cs="宋体"/>
                      <w:color w:val="auto"/>
                      <w:kern w:val="0"/>
                      <w:highlight w:val="none"/>
                      <w:u w:val="none" w:color="auto"/>
                    </w:rPr>
                    <w:t>序号</w:t>
                  </w:r>
                </w:p>
              </w:tc>
              <w:tc>
                <w:tcPr>
                  <w:tcW w:w="3888" w:type="dxa"/>
                  <w:tcBorders>
                    <w:tl2br w:val="nil"/>
                    <w:tr2bl w:val="nil"/>
                  </w:tcBorders>
                  <w:vAlign w:val="center"/>
                </w:tcPr>
                <w:p w14:paraId="3055E411">
                  <w:pPr>
                    <w:jc w:val="center"/>
                    <w:rPr>
                      <w:rFonts w:ascii="宋体" w:hAnsi="宋体" w:cs="宋体"/>
                      <w:color w:val="auto"/>
                      <w:kern w:val="0"/>
                      <w:highlight w:val="none"/>
                      <w:u w:val="none" w:color="auto"/>
                    </w:rPr>
                  </w:pPr>
                  <w:r>
                    <w:rPr>
                      <w:rFonts w:hint="eastAsia" w:ascii="宋体" w:hAnsi="宋体" w:cs="宋体"/>
                      <w:color w:val="auto"/>
                      <w:kern w:val="0"/>
                      <w:highlight w:val="none"/>
                      <w:u w:val="none" w:color="auto"/>
                    </w:rPr>
                    <w:t>园区入驻企业准入要求</w:t>
                  </w:r>
                </w:p>
              </w:tc>
              <w:tc>
                <w:tcPr>
                  <w:tcW w:w="1361" w:type="dxa"/>
                  <w:tcBorders>
                    <w:tl2br w:val="nil"/>
                    <w:tr2bl w:val="nil"/>
                  </w:tcBorders>
                  <w:vAlign w:val="center"/>
                </w:tcPr>
                <w:p w14:paraId="26497187">
                  <w:pPr>
                    <w:jc w:val="center"/>
                    <w:rPr>
                      <w:rFonts w:ascii="宋体" w:hAnsi="宋体" w:cs="宋体"/>
                      <w:color w:val="auto"/>
                      <w:kern w:val="0"/>
                      <w:highlight w:val="none"/>
                      <w:u w:val="none" w:color="auto"/>
                    </w:rPr>
                  </w:pPr>
                  <w:r>
                    <w:rPr>
                      <w:rFonts w:hint="eastAsia" w:ascii="宋体" w:hAnsi="宋体" w:cs="宋体"/>
                      <w:color w:val="auto"/>
                      <w:kern w:val="0"/>
                      <w:highlight w:val="none"/>
                      <w:u w:val="none" w:color="auto"/>
                    </w:rPr>
                    <w:t>本项目情况</w:t>
                  </w:r>
                </w:p>
              </w:tc>
              <w:tc>
                <w:tcPr>
                  <w:tcW w:w="1119" w:type="dxa"/>
                  <w:tcBorders>
                    <w:tl2br w:val="nil"/>
                    <w:tr2bl w:val="nil"/>
                  </w:tcBorders>
                  <w:vAlign w:val="center"/>
                </w:tcPr>
                <w:p w14:paraId="25C7C535">
                  <w:pPr>
                    <w:jc w:val="center"/>
                    <w:rPr>
                      <w:rFonts w:ascii="宋体" w:hAnsi="宋体" w:cs="宋体"/>
                      <w:color w:val="auto"/>
                      <w:kern w:val="0"/>
                      <w:highlight w:val="none"/>
                      <w:u w:val="none" w:color="auto"/>
                    </w:rPr>
                  </w:pPr>
                  <w:r>
                    <w:rPr>
                      <w:rFonts w:hint="eastAsia" w:ascii="宋体" w:hAnsi="宋体" w:cs="宋体"/>
                      <w:color w:val="auto"/>
                      <w:kern w:val="0"/>
                      <w:highlight w:val="none"/>
                      <w:u w:val="none" w:color="auto"/>
                    </w:rPr>
                    <w:t>相符性</w:t>
                  </w:r>
                </w:p>
              </w:tc>
            </w:tr>
            <w:tr w14:paraId="69165B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5" w:type="dxa"/>
                  <w:tcBorders>
                    <w:tl2br w:val="nil"/>
                    <w:tr2bl w:val="nil"/>
                  </w:tcBorders>
                  <w:vAlign w:val="center"/>
                </w:tcPr>
                <w:p w14:paraId="599F8C83">
                  <w:pPr>
                    <w:jc w:val="center"/>
                    <w:rPr>
                      <w:rFonts w:hint="eastAsia" w:ascii="宋体" w:hAnsi="宋体" w:eastAsia="宋体" w:cs="宋体"/>
                      <w:color w:val="auto"/>
                      <w:kern w:val="0"/>
                      <w:highlight w:val="none"/>
                      <w:u w:val="none" w:color="auto"/>
                      <w:lang w:val="en-US" w:eastAsia="zh-CN"/>
                    </w:rPr>
                  </w:pPr>
                  <w:r>
                    <w:rPr>
                      <w:rFonts w:hint="eastAsia" w:ascii="宋体" w:hAnsi="宋体" w:cs="宋体"/>
                      <w:color w:val="auto"/>
                      <w:kern w:val="0"/>
                      <w:highlight w:val="none"/>
                      <w:u w:val="none" w:color="auto"/>
                      <w:lang w:val="en-US" w:eastAsia="zh-CN"/>
                    </w:rPr>
                    <w:t>1</w:t>
                  </w:r>
                </w:p>
              </w:tc>
              <w:tc>
                <w:tcPr>
                  <w:tcW w:w="3888" w:type="dxa"/>
                  <w:tcBorders>
                    <w:tl2br w:val="nil"/>
                    <w:tr2bl w:val="nil"/>
                  </w:tcBorders>
                  <w:vAlign w:val="center"/>
                </w:tcPr>
                <w:p w14:paraId="20DEE0C2">
                  <w:pPr>
                    <w:rPr>
                      <w:rFonts w:hint="eastAsia" w:ascii="宋体" w:hAnsi="宋体" w:cs="宋体"/>
                      <w:color w:val="auto"/>
                      <w:kern w:val="0"/>
                      <w:highlight w:val="none"/>
                      <w:u w:val="none" w:color="auto"/>
                    </w:rPr>
                  </w:pPr>
                  <w:r>
                    <w:rPr>
                      <w:rFonts w:hint="eastAsia"/>
                      <w:color w:val="auto"/>
                      <w:highlight w:val="none"/>
                      <w:u w:val="none" w:color="auto"/>
                    </w:rPr>
                    <w:t>一、永州经济技术开发区</w:t>
                  </w:r>
                  <w:r>
                    <w:rPr>
                      <w:rFonts w:hint="eastAsia"/>
                      <w:color w:val="auto"/>
                      <w:highlight w:val="none"/>
                      <w:u w:val="none" w:color="auto"/>
                      <w:lang w:eastAsia="zh-CN"/>
                    </w:rPr>
                    <w:t>（</w:t>
                  </w:r>
                  <w:r>
                    <w:rPr>
                      <w:rFonts w:hint="eastAsia"/>
                      <w:color w:val="auto"/>
                      <w:highlight w:val="none"/>
                      <w:u w:val="none" w:color="auto"/>
                    </w:rPr>
                    <w:t>以下简称园区</w:t>
                  </w:r>
                  <w:r>
                    <w:rPr>
                      <w:rFonts w:hint="eastAsia"/>
                      <w:color w:val="auto"/>
                      <w:highlight w:val="none"/>
                      <w:u w:val="none" w:color="auto"/>
                      <w:lang w:eastAsia="zh-CN"/>
                    </w:rPr>
                    <w:t>）</w:t>
                  </w:r>
                  <w:r>
                    <w:rPr>
                      <w:rFonts w:hint="eastAsia"/>
                      <w:color w:val="auto"/>
                      <w:highlight w:val="none"/>
                      <w:u w:val="none" w:color="auto"/>
                    </w:rPr>
                    <w:t>，其前身为永州市凤凰园经济开发区，成立于1988年，1990年设立为省级开发区(湘体改字</w:t>
                  </w:r>
                  <w:r>
                    <w:rPr>
                      <w:rFonts w:hint="eastAsia"/>
                      <w:color w:val="auto"/>
                      <w:highlight w:val="none"/>
                      <w:u w:val="none" w:color="auto"/>
                      <w:lang w:eastAsia="zh-CN"/>
                    </w:rPr>
                    <w:t>〔1990〕36号）</w:t>
                  </w:r>
                  <w:r>
                    <w:rPr>
                      <w:rFonts w:hint="eastAsia"/>
                      <w:color w:val="auto"/>
                      <w:highlight w:val="none"/>
                      <w:u w:val="none" w:color="auto"/>
                    </w:rPr>
                    <w:t>，2013年园区更名为永州经济技术开发区</w:t>
                  </w:r>
                  <w:r>
                    <w:rPr>
                      <w:rFonts w:hint="eastAsia"/>
                      <w:color w:val="auto"/>
                      <w:highlight w:val="none"/>
                      <w:u w:val="none" w:color="auto"/>
                      <w:lang w:eastAsia="zh-CN"/>
                    </w:rPr>
                    <w:t>（</w:t>
                  </w:r>
                  <w:r>
                    <w:rPr>
                      <w:rFonts w:hint="eastAsia"/>
                      <w:color w:val="auto"/>
                      <w:highlight w:val="none"/>
                      <w:u w:val="none" w:color="auto"/>
                    </w:rPr>
                    <w:t>湘发改函〔2013〕275号</w:t>
                  </w:r>
                  <w:r>
                    <w:rPr>
                      <w:rFonts w:hint="eastAsia"/>
                      <w:color w:val="auto"/>
                      <w:highlight w:val="none"/>
                      <w:u w:val="none" w:color="auto"/>
                      <w:lang w:eastAsia="zh-CN"/>
                    </w:rPr>
                    <w:t>）</w:t>
                  </w:r>
                  <w:r>
                    <w:rPr>
                      <w:rFonts w:hint="eastAsia"/>
                      <w:color w:val="auto"/>
                      <w:highlight w:val="none"/>
                      <w:u w:val="none" w:color="auto"/>
                    </w:rPr>
                    <w:t>。2013年《永州市经济开发区环境影响报告书》取得原湖南省环境保护厅批复</w:t>
                  </w:r>
                  <w:r>
                    <w:rPr>
                      <w:rFonts w:hint="eastAsia"/>
                      <w:color w:val="auto"/>
                      <w:highlight w:val="none"/>
                      <w:u w:val="none" w:color="auto"/>
                      <w:lang w:eastAsia="zh-CN"/>
                    </w:rPr>
                    <w:t>（</w:t>
                  </w:r>
                  <w:r>
                    <w:rPr>
                      <w:rFonts w:hint="eastAsia"/>
                      <w:color w:val="auto"/>
                      <w:highlight w:val="none"/>
                      <w:u w:val="none" w:color="auto"/>
                    </w:rPr>
                    <w:t>湘环评</w:t>
                  </w:r>
                  <w:r>
                    <w:rPr>
                      <w:rFonts w:hint="eastAsia"/>
                      <w:color w:val="auto"/>
                      <w:highlight w:val="none"/>
                      <w:u w:val="none" w:color="auto"/>
                      <w:lang w:eastAsia="zh-CN"/>
                    </w:rPr>
                    <w:t>〔2013〕306号）</w:t>
                  </w:r>
                  <w:r>
                    <w:rPr>
                      <w:rFonts w:hint="eastAsia"/>
                      <w:color w:val="auto"/>
                      <w:highlight w:val="none"/>
                      <w:u w:val="none" w:color="auto"/>
                    </w:rPr>
                    <w:t>。2021年国务院同意其升级为国家级经济技术开发区(国办函</w:t>
                  </w:r>
                  <w:r>
                    <w:rPr>
                      <w:rFonts w:hint="eastAsia"/>
                      <w:color w:val="auto"/>
                      <w:highlight w:val="none"/>
                      <w:u w:val="none" w:color="auto"/>
                      <w:lang w:eastAsia="zh-CN"/>
                    </w:rPr>
                    <w:t>（</w:t>
                  </w:r>
                  <w:r>
                    <w:rPr>
                      <w:rFonts w:hint="eastAsia"/>
                      <w:color w:val="auto"/>
                      <w:highlight w:val="none"/>
                      <w:u w:val="none" w:color="auto"/>
                    </w:rPr>
                    <w:t>202164号</w:t>
                  </w:r>
                  <w:r>
                    <w:rPr>
                      <w:rFonts w:hint="eastAsia"/>
                      <w:color w:val="auto"/>
                      <w:highlight w:val="none"/>
                      <w:u w:val="none" w:color="auto"/>
                      <w:lang w:eastAsia="zh-CN"/>
                    </w:rPr>
                    <w:t>）</w:t>
                  </w:r>
                  <w:r>
                    <w:rPr>
                      <w:rFonts w:hint="eastAsia"/>
                      <w:color w:val="auto"/>
                      <w:highlight w:val="none"/>
                      <w:u w:val="none" w:color="auto"/>
                    </w:rPr>
                    <w:t>，并定名为永州经济技术开发区。根据湖南省发展和改革委员会、湖南省自然资源厅《关于发布湖南省省级及以上产业园区边界面积及四至范围目录的通知》</w:t>
                  </w:r>
                  <w:r>
                    <w:rPr>
                      <w:rFonts w:hint="eastAsia"/>
                      <w:color w:val="auto"/>
                      <w:highlight w:val="none"/>
                      <w:u w:val="none" w:color="auto"/>
                      <w:lang w:eastAsia="zh-CN"/>
                    </w:rPr>
                    <w:t>（</w:t>
                  </w:r>
                  <w:r>
                    <w:rPr>
                      <w:rFonts w:hint="eastAsia"/>
                      <w:color w:val="auto"/>
                      <w:highlight w:val="none"/>
                      <w:u w:val="none" w:color="auto"/>
                    </w:rPr>
                    <w:t>湘发改园区</w:t>
                  </w:r>
                  <w:r>
                    <w:rPr>
                      <w:rFonts w:hint="eastAsia"/>
                      <w:color w:val="auto"/>
                      <w:highlight w:val="none"/>
                      <w:u w:val="none" w:color="auto"/>
                      <w:lang w:eastAsia="zh-CN"/>
                    </w:rPr>
                    <w:t>〔2022〕601号）</w:t>
                  </w:r>
                  <w:r>
                    <w:rPr>
                      <w:rFonts w:hint="eastAsia"/>
                      <w:color w:val="auto"/>
                      <w:highlight w:val="none"/>
                      <w:u w:val="none" w:color="auto"/>
                    </w:rPr>
                    <w:t>，园区核准面积1592.75公顷。为拓展发展空间，园区启动了本轮调区扩区并相应开展规划环评。园区本次拟在1592.75公顷基础上，调入633.11公顷，调出332.56公顷，调区扩区后园区总面积1893.30公顷，其中北部片区</w:t>
                  </w:r>
                  <w:r>
                    <w:rPr>
                      <w:rFonts w:hint="eastAsia"/>
                      <w:color w:val="auto"/>
                      <w:highlight w:val="none"/>
                      <w:u w:val="none" w:color="auto"/>
                      <w:lang w:eastAsia="zh-CN"/>
                    </w:rPr>
                    <w:t>（</w:t>
                  </w:r>
                  <w:r>
                    <w:rPr>
                      <w:rFonts w:hint="eastAsia"/>
                      <w:color w:val="auto"/>
                      <w:highlight w:val="none"/>
                      <w:u w:val="none" w:color="auto"/>
                    </w:rPr>
                    <w:t>区块一、区块二</w:t>
                  </w:r>
                  <w:r>
                    <w:rPr>
                      <w:rFonts w:hint="eastAsia"/>
                      <w:color w:val="auto"/>
                      <w:highlight w:val="none"/>
                      <w:u w:val="none" w:color="auto"/>
                      <w:lang w:eastAsia="zh-CN"/>
                    </w:rPr>
                    <w:t>）</w:t>
                  </w:r>
                  <w:r>
                    <w:rPr>
                      <w:rFonts w:hint="eastAsia"/>
                      <w:color w:val="auto"/>
                      <w:highlight w:val="none"/>
                      <w:u w:val="none" w:color="auto"/>
                    </w:rPr>
                    <w:t>拟调整为972.69公顷，规划发展先进制造、轻纺时尚、生物医药产业，配套发展商贸物流、综合服务</w:t>
                  </w:r>
                  <w:r>
                    <w:rPr>
                      <w:rFonts w:hint="eastAsia"/>
                      <w:color w:val="auto"/>
                      <w:highlight w:val="none"/>
                      <w:u w:val="none" w:color="auto"/>
                      <w:lang w:eastAsia="zh-CN"/>
                    </w:rPr>
                    <w:t>；</w:t>
                  </w:r>
                  <w:r>
                    <w:rPr>
                      <w:rFonts w:hint="eastAsia"/>
                      <w:color w:val="auto"/>
                      <w:highlight w:val="none"/>
                      <w:u w:val="none" w:color="auto"/>
                    </w:rPr>
                    <w:t>南部片区</w:t>
                  </w:r>
                  <w:r>
                    <w:rPr>
                      <w:rFonts w:hint="eastAsia"/>
                      <w:color w:val="auto"/>
                      <w:highlight w:val="none"/>
                      <w:u w:val="none" w:color="auto"/>
                      <w:lang w:eastAsia="zh-CN"/>
                    </w:rPr>
                    <w:t>（</w:t>
                  </w:r>
                  <w:r>
                    <w:rPr>
                      <w:rFonts w:hint="eastAsia"/>
                      <w:color w:val="auto"/>
                      <w:highlight w:val="none"/>
                      <w:u w:val="none" w:color="auto"/>
                    </w:rPr>
                    <w:t>区块三、区块四</w:t>
                  </w:r>
                  <w:r>
                    <w:rPr>
                      <w:rFonts w:hint="eastAsia"/>
                      <w:color w:val="auto"/>
                      <w:highlight w:val="none"/>
                      <w:u w:val="none" w:color="auto"/>
                      <w:lang w:eastAsia="zh-CN"/>
                    </w:rPr>
                    <w:t>）</w:t>
                  </w:r>
                  <w:r>
                    <w:rPr>
                      <w:rFonts w:hint="eastAsia"/>
                      <w:color w:val="auto"/>
                      <w:highlight w:val="none"/>
                      <w:u w:val="none" w:color="auto"/>
                    </w:rPr>
                    <w:t>拟调整为809.70公顷，规划发展现代先进装备制造、电子信息两大主导产业和大数据特色产业</w:t>
                  </w:r>
                  <w:r>
                    <w:rPr>
                      <w:rFonts w:hint="eastAsia"/>
                      <w:color w:val="auto"/>
                      <w:highlight w:val="none"/>
                      <w:u w:val="none" w:color="auto"/>
                      <w:lang w:eastAsia="zh-CN"/>
                    </w:rPr>
                    <w:t>；</w:t>
                  </w:r>
                  <w:r>
                    <w:rPr>
                      <w:rFonts w:hint="eastAsia"/>
                      <w:color w:val="auto"/>
                      <w:highlight w:val="none"/>
                      <w:u w:val="none" w:color="auto"/>
                    </w:rPr>
                    <w:t>新增陆港片区</w:t>
                  </w:r>
                  <w:r>
                    <w:rPr>
                      <w:rFonts w:hint="eastAsia"/>
                      <w:color w:val="auto"/>
                      <w:highlight w:val="none"/>
                      <w:u w:val="none" w:color="auto"/>
                      <w:lang w:eastAsia="zh-CN"/>
                    </w:rPr>
                    <w:t>（</w:t>
                  </w:r>
                  <w:r>
                    <w:rPr>
                      <w:rFonts w:hint="eastAsia"/>
                      <w:color w:val="auto"/>
                      <w:highlight w:val="none"/>
                      <w:u w:val="none" w:color="auto"/>
                    </w:rPr>
                    <w:t>区块五</w:t>
                  </w:r>
                  <w:r>
                    <w:rPr>
                      <w:rFonts w:hint="eastAsia"/>
                      <w:color w:val="auto"/>
                      <w:highlight w:val="none"/>
                      <w:u w:val="none" w:color="auto"/>
                      <w:lang w:eastAsia="zh-CN"/>
                    </w:rPr>
                    <w:t>）</w:t>
                  </w:r>
                  <w:r>
                    <w:rPr>
                      <w:rFonts w:hint="eastAsia"/>
                      <w:color w:val="auto"/>
                      <w:highlight w:val="none"/>
                      <w:u w:val="none" w:color="auto"/>
                    </w:rPr>
                    <w:t>规划面积110.91公顷，规划发展商贸、物流、仓储产业，构建综合物流平台。本次规划环评范围涵盖了园区已核准范围</w:t>
                  </w:r>
                  <w:r>
                    <w:rPr>
                      <w:rFonts w:hint="eastAsia"/>
                      <w:color w:val="auto"/>
                      <w:highlight w:val="none"/>
                      <w:u w:val="none" w:color="auto"/>
                      <w:lang w:eastAsia="zh-CN"/>
                    </w:rPr>
                    <w:t>（</w:t>
                  </w:r>
                  <w:r>
                    <w:rPr>
                      <w:rFonts w:hint="eastAsia"/>
                      <w:color w:val="auto"/>
                      <w:highlight w:val="none"/>
                      <w:u w:val="none" w:color="auto"/>
                    </w:rPr>
                    <w:t>湘发改园区</w:t>
                  </w:r>
                  <w:r>
                    <w:rPr>
                      <w:rFonts w:hint="eastAsia"/>
                      <w:color w:val="auto"/>
                      <w:highlight w:val="none"/>
                      <w:u w:val="none" w:color="auto"/>
                      <w:lang w:eastAsia="zh-CN"/>
                    </w:rPr>
                    <w:t>〔2022〕601号）</w:t>
                  </w:r>
                  <w:r>
                    <w:rPr>
                      <w:rFonts w:hint="eastAsia"/>
                      <w:color w:val="auto"/>
                      <w:highlight w:val="none"/>
                      <w:u w:val="none" w:color="auto"/>
                    </w:rPr>
                    <w:t>及2024年6月湖南省自然资源厅《关于永州经济技术开发区扩区用地审核意见的复函》明确的相关范围，园区调区扩区总体及各片区具体面积、范围及相关坐标信息，以省政府及其职能部门核准、认定的信息为准。</w:t>
                  </w:r>
                </w:p>
              </w:tc>
              <w:tc>
                <w:tcPr>
                  <w:tcW w:w="1361" w:type="dxa"/>
                  <w:tcBorders>
                    <w:tl2br w:val="nil"/>
                    <w:tr2bl w:val="nil"/>
                  </w:tcBorders>
                  <w:vAlign w:val="center"/>
                </w:tcPr>
                <w:p w14:paraId="56F7E975">
                  <w:pPr>
                    <w:jc w:val="center"/>
                    <w:rPr>
                      <w:rFonts w:hint="default" w:ascii="宋体" w:hAnsi="宋体" w:eastAsia="宋体" w:cs="宋体"/>
                      <w:color w:val="auto"/>
                      <w:kern w:val="0"/>
                      <w:highlight w:val="none"/>
                      <w:u w:val="none" w:color="auto"/>
                      <w:lang w:val="en-US" w:eastAsia="zh-CN"/>
                    </w:rPr>
                  </w:pPr>
                  <w:r>
                    <w:rPr>
                      <w:rFonts w:hint="eastAsia" w:ascii="宋体" w:hAnsi="宋体" w:eastAsia="宋体" w:cs="宋体"/>
                      <w:color w:val="auto"/>
                      <w:kern w:val="0"/>
                      <w:highlight w:val="none"/>
                      <w:u w:val="none" w:color="auto"/>
                      <w:lang w:val="en-US" w:eastAsia="zh-CN"/>
                    </w:rPr>
                    <w:t>本项目位于永州经济技术开发区智能装备产业园标准厂11栋，属于</w:t>
                  </w:r>
                  <w:r>
                    <w:rPr>
                      <w:rFonts w:hint="eastAsia" w:ascii="宋体" w:hAnsi="宋体" w:cs="宋体"/>
                      <w:color w:val="auto"/>
                      <w:kern w:val="0"/>
                      <w:highlight w:val="none"/>
                      <w:u w:val="none" w:color="auto"/>
                      <w:lang w:val="en-US" w:eastAsia="zh-CN"/>
                    </w:rPr>
                    <w:t>区块三</w:t>
                  </w:r>
                  <w:r>
                    <w:rPr>
                      <w:rFonts w:hint="eastAsia" w:ascii="宋体" w:hAnsi="宋体" w:eastAsia="宋体" w:cs="宋体"/>
                      <w:color w:val="auto"/>
                      <w:kern w:val="0"/>
                      <w:highlight w:val="none"/>
                      <w:u w:val="none" w:color="auto"/>
                      <w:lang w:val="en-US" w:eastAsia="zh-CN"/>
                    </w:rPr>
                    <w:t>，项目生产的产品属于C3989其他电子元件制造，</w:t>
                  </w:r>
                  <w:r>
                    <w:rPr>
                      <w:rFonts w:hint="eastAsia" w:ascii="宋体" w:hAnsi="宋体" w:cs="宋体"/>
                      <w:color w:val="auto"/>
                      <w:kern w:val="0"/>
                      <w:highlight w:val="none"/>
                      <w:u w:val="none" w:color="auto"/>
                      <w:lang w:val="en-US" w:eastAsia="zh-CN"/>
                    </w:rPr>
                    <w:t>属于电子信息，</w:t>
                  </w:r>
                  <w:r>
                    <w:rPr>
                      <w:rFonts w:hint="eastAsia" w:ascii="宋体" w:hAnsi="宋体" w:eastAsia="宋体" w:cs="宋体"/>
                      <w:color w:val="auto"/>
                      <w:kern w:val="0"/>
                      <w:highlight w:val="none"/>
                      <w:u w:val="none" w:color="auto"/>
                      <w:lang w:val="en-US" w:eastAsia="zh-CN"/>
                    </w:rPr>
                    <w:t>与园区</w:t>
                  </w:r>
                  <w:r>
                    <w:rPr>
                      <w:rFonts w:hint="eastAsia" w:ascii="宋体" w:hAnsi="宋体" w:cs="宋体"/>
                      <w:color w:val="auto"/>
                      <w:kern w:val="0"/>
                      <w:highlight w:val="none"/>
                      <w:u w:val="none" w:color="auto"/>
                      <w:lang w:val="en-US" w:eastAsia="zh-CN"/>
                    </w:rPr>
                    <w:t>规划相符。</w:t>
                  </w:r>
                </w:p>
              </w:tc>
              <w:tc>
                <w:tcPr>
                  <w:tcW w:w="1119" w:type="dxa"/>
                  <w:tcBorders>
                    <w:tl2br w:val="nil"/>
                    <w:tr2bl w:val="nil"/>
                  </w:tcBorders>
                  <w:vAlign w:val="center"/>
                </w:tcPr>
                <w:p w14:paraId="09D5E339">
                  <w:pPr>
                    <w:jc w:val="center"/>
                    <w:rPr>
                      <w:rFonts w:hint="eastAsia" w:ascii="宋体" w:hAnsi="宋体" w:eastAsia="宋体" w:cs="宋体"/>
                      <w:color w:val="auto"/>
                      <w:kern w:val="0"/>
                      <w:highlight w:val="none"/>
                      <w:u w:val="none" w:color="auto"/>
                      <w:lang w:val="en-US" w:eastAsia="zh-CN"/>
                    </w:rPr>
                  </w:pPr>
                  <w:r>
                    <w:rPr>
                      <w:rFonts w:hint="eastAsia" w:ascii="宋体" w:hAnsi="宋体" w:cs="宋体"/>
                      <w:color w:val="auto"/>
                      <w:kern w:val="0"/>
                      <w:highlight w:val="none"/>
                      <w:u w:val="none" w:color="auto"/>
                      <w:lang w:val="en-US" w:eastAsia="zh-CN"/>
                    </w:rPr>
                    <w:t>相符</w:t>
                  </w:r>
                </w:p>
              </w:tc>
            </w:tr>
            <w:tr w14:paraId="07131D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75" w:type="dxa"/>
                  <w:tcBorders>
                    <w:tl2br w:val="nil"/>
                    <w:tr2bl w:val="nil"/>
                  </w:tcBorders>
                  <w:vAlign w:val="center"/>
                </w:tcPr>
                <w:p w14:paraId="4462B8F0">
                  <w:pPr>
                    <w:jc w:val="center"/>
                    <w:rPr>
                      <w:rFonts w:hint="eastAsia" w:ascii="宋体" w:hAnsi="宋体" w:eastAsia="宋体" w:cs="宋体"/>
                      <w:color w:val="auto"/>
                      <w:kern w:val="0"/>
                      <w:highlight w:val="none"/>
                      <w:u w:val="none" w:color="auto"/>
                      <w:lang w:eastAsia="zh-CN"/>
                    </w:rPr>
                  </w:pPr>
                  <w:r>
                    <w:rPr>
                      <w:rFonts w:hint="eastAsia" w:ascii="宋体" w:hAnsi="宋体" w:cs="宋体"/>
                      <w:color w:val="auto"/>
                      <w:kern w:val="0"/>
                      <w:highlight w:val="none"/>
                      <w:u w:val="none" w:color="auto"/>
                      <w:lang w:val="en-US" w:eastAsia="zh-CN"/>
                    </w:rPr>
                    <w:t>2</w:t>
                  </w:r>
                </w:p>
              </w:tc>
              <w:tc>
                <w:tcPr>
                  <w:tcW w:w="3888" w:type="dxa"/>
                  <w:tcBorders>
                    <w:tl2br w:val="nil"/>
                    <w:tr2bl w:val="nil"/>
                  </w:tcBorders>
                  <w:vAlign w:val="center"/>
                </w:tcPr>
                <w:p w14:paraId="02DC01C0">
                  <w:pPr>
                    <w:rPr>
                      <w:rFonts w:hint="eastAsia" w:ascii="宋体" w:hAnsi="宋体" w:cs="宋体"/>
                      <w:color w:val="auto"/>
                      <w:kern w:val="0"/>
                      <w:highlight w:val="none"/>
                      <w:u w:val="none" w:color="auto"/>
                    </w:rPr>
                  </w:pPr>
                  <w:r>
                    <w:rPr>
                      <w:rFonts w:hint="eastAsia" w:ascii="宋体" w:hAnsi="宋体" w:cs="宋体"/>
                      <w:color w:val="auto"/>
                      <w:kern w:val="0"/>
                      <w:highlight w:val="none"/>
                      <w:u w:val="none" w:color="auto"/>
                      <w:lang w:eastAsia="zh-CN"/>
                    </w:rPr>
                    <w:t>（一）</w:t>
                  </w:r>
                  <w:r>
                    <w:rPr>
                      <w:rFonts w:hint="eastAsia" w:ascii="宋体" w:hAnsi="宋体" w:cs="宋体"/>
                      <w:color w:val="auto"/>
                      <w:kern w:val="0"/>
                      <w:highlight w:val="none"/>
                      <w:u w:val="none" w:color="auto"/>
                    </w:rPr>
                    <w:t>做好功能布局，严格执行准入要求。园区在进行国土空间规划和开发建设过程中应从规划层面提升环境相容性，以减小工业开发对城市居住及社会服务功能的影响。经过多年产城融合发展，园区现有范围内存在连片居住用地，在紧邻集中居住区、学校的工业地块应限制新引入噪声大、以气型污染为主的工业项目，并加强对已有气型污染企业的污染控制。产业引进应落实园区生态环境分区管控要求，执行《报告书》提出的产业定位和产业生态环境准入清单，对于《长江经济带发展负面清单指南》《湖</w:t>
                  </w:r>
                </w:p>
                <w:p w14:paraId="49ECA1BC">
                  <w:pPr>
                    <w:rPr>
                      <w:rFonts w:ascii="宋体" w:hAnsi="宋体" w:cs="宋体"/>
                      <w:color w:val="auto"/>
                      <w:kern w:val="0"/>
                      <w:highlight w:val="none"/>
                      <w:u w:val="none" w:color="auto"/>
                    </w:rPr>
                  </w:pPr>
                  <w:r>
                    <w:rPr>
                      <w:rFonts w:hint="eastAsia" w:ascii="宋体" w:hAnsi="宋体" w:cs="宋体"/>
                      <w:color w:val="auto"/>
                      <w:kern w:val="0"/>
                      <w:highlight w:val="none"/>
                      <w:u w:val="none" w:color="auto"/>
                    </w:rPr>
                    <w:t>南省湘江保护条例》</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最新修正版</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提出的相关禁止性、限制性要求应予以落实。</w:t>
                  </w:r>
                </w:p>
              </w:tc>
              <w:tc>
                <w:tcPr>
                  <w:tcW w:w="1361" w:type="dxa"/>
                  <w:tcBorders>
                    <w:tl2br w:val="nil"/>
                    <w:tr2bl w:val="nil"/>
                  </w:tcBorders>
                  <w:vAlign w:val="center"/>
                </w:tcPr>
                <w:p w14:paraId="3E4EC742">
                  <w:pPr>
                    <w:rPr>
                      <w:rFonts w:hint="eastAsia" w:ascii="宋体" w:hAnsi="宋体" w:eastAsia="宋体" w:cs="宋体"/>
                      <w:color w:val="auto"/>
                      <w:kern w:val="0"/>
                      <w:highlight w:val="none"/>
                      <w:u w:val="none" w:color="auto"/>
                      <w:lang w:val="en-US" w:eastAsia="zh-CN"/>
                    </w:rPr>
                  </w:pPr>
                  <w:r>
                    <w:rPr>
                      <w:rFonts w:hint="eastAsia" w:ascii="宋体" w:hAnsi="宋体" w:cs="宋体"/>
                      <w:color w:val="auto"/>
                      <w:kern w:val="0"/>
                      <w:highlight w:val="none"/>
                      <w:u w:val="none" w:color="auto"/>
                    </w:rPr>
                    <w:t>本项目</w:t>
                  </w:r>
                  <w:r>
                    <w:rPr>
                      <w:rFonts w:hint="eastAsia" w:ascii="宋体" w:hAnsi="宋体" w:cs="宋体"/>
                      <w:color w:val="auto"/>
                      <w:kern w:val="0"/>
                      <w:highlight w:val="none"/>
                      <w:u w:val="none" w:color="auto"/>
                      <w:lang w:val="en-US" w:eastAsia="zh-CN"/>
                    </w:rPr>
                    <w:t>四周为工业厂房，不属于</w:t>
                  </w:r>
                  <w:r>
                    <w:rPr>
                      <w:rFonts w:hint="eastAsia" w:ascii="宋体" w:hAnsi="宋体" w:cs="宋体"/>
                      <w:color w:val="auto"/>
                      <w:kern w:val="0"/>
                      <w:highlight w:val="none"/>
                      <w:u w:val="none" w:color="auto"/>
                    </w:rPr>
                    <w:t>紧邻集中居住区、学校的工业地块</w:t>
                  </w:r>
                  <w:r>
                    <w:rPr>
                      <w:rFonts w:hint="eastAsia" w:ascii="宋体" w:hAnsi="宋体" w:cs="宋体"/>
                      <w:color w:val="auto"/>
                      <w:kern w:val="0"/>
                      <w:highlight w:val="none"/>
                      <w:u w:val="none" w:color="auto"/>
                      <w:lang w:eastAsia="zh-CN"/>
                    </w:rPr>
                    <w:t>。</w:t>
                  </w:r>
                </w:p>
              </w:tc>
              <w:tc>
                <w:tcPr>
                  <w:tcW w:w="1119" w:type="dxa"/>
                  <w:tcBorders>
                    <w:tl2br w:val="nil"/>
                    <w:tr2bl w:val="nil"/>
                  </w:tcBorders>
                  <w:vAlign w:val="center"/>
                </w:tcPr>
                <w:p w14:paraId="561FB11A">
                  <w:pPr>
                    <w:rPr>
                      <w:rFonts w:hint="eastAsia" w:ascii="宋体" w:hAnsi="宋体" w:cs="宋体"/>
                      <w:color w:val="auto"/>
                      <w:kern w:val="0"/>
                      <w:highlight w:val="none"/>
                      <w:u w:val="none" w:color="auto"/>
                    </w:rPr>
                  </w:pPr>
                  <w:r>
                    <w:rPr>
                      <w:rFonts w:hint="eastAsia" w:ascii="宋体" w:hAnsi="宋体" w:cs="宋体"/>
                      <w:color w:val="auto"/>
                      <w:kern w:val="0"/>
                      <w:highlight w:val="none"/>
                      <w:u w:val="none" w:color="auto"/>
                    </w:rPr>
                    <w:t>相符</w:t>
                  </w:r>
                </w:p>
              </w:tc>
            </w:tr>
            <w:tr w14:paraId="74D20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5" w:type="dxa"/>
                  <w:tcBorders>
                    <w:tl2br w:val="nil"/>
                    <w:tr2bl w:val="nil"/>
                  </w:tcBorders>
                  <w:vAlign w:val="center"/>
                </w:tcPr>
                <w:p w14:paraId="2388E87D">
                  <w:pPr>
                    <w:jc w:val="center"/>
                    <w:rPr>
                      <w:rFonts w:hint="eastAsia" w:ascii="宋体" w:hAnsi="宋体" w:eastAsia="宋体" w:cs="宋体"/>
                      <w:color w:val="auto"/>
                      <w:kern w:val="0"/>
                      <w:highlight w:val="none"/>
                      <w:u w:val="none" w:color="auto"/>
                      <w:lang w:eastAsia="zh-CN"/>
                    </w:rPr>
                  </w:pPr>
                  <w:r>
                    <w:rPr>
                      <w:rFonts w:hint="eastAsia" w:ascii="宋体" w:hAnsi="宋体" w:cs="宋体"/>
                      <w:color w:val="auto"/>
                      <w:kern w:val="0"/>
                      <w:highlight w:val="none"/>
                      <w:u w:val="none" w:color="auto"/>
                      <w:lang w:val="en-US" w:eastAsia="zh-CN"/>
                    </w:rPr>
                    <w:t>3</w:t>
                  </w:r>
                </w:p>
              </w:tc>
              <w:tc>
                <w:tcPr>
                  <w:tcW w:w="3888" w:type="dxa"/>
                  <w:tcBorders>
                    <w:tl2br w:val="nil"/>
                    <w:tr2bl w:val="nil"/>
                  </w:tcBorders>
                  <w:vAlign w:val="center"/>
                </w:tcPr>
                <w:p w14:paraId="1571FDB3">
                  <w:pPr>
                    <w:rPr>
                      <w:rFonts w:hint="eastAsia" w:ascii="宋体" w:hAnsi="宋体" w:cs="宋体"/>
                      <w:color w:val="auto"/>
                      <w:kern w:val="0"/>
                      <w:highlight w:val="none"/>
                      <w:u w:val="none" w:color="auto"/>
                    </w:rPr>
                  </w:pPr>
                  <w:r>
                    <w:rPr>
                      <w:rFonts w:hint="eastAsia" w:ascii="宋体" w:hAnsi="宋体" w:cs="宋体"/>
                      <w:color w:val="auto"/>
                      <w:kern w:val="0"/>
                      <w:highlight w:val="none"/>
                      <w:u w:val="none" w:color="auto"/>
                      <w:lang w:eastAsia="zh-CN"/>
                    </w:rPr>
                    <w:t>（二）</w:t>
                  </w:r>
                  <w:r>
                    <w:rPr>
                      <w:rFonts w:hint="eastAsia" w:ascii="宋体" w:hAnsi="宋体" w:cs="宋体"/>
                      <w:color w:val="auto"/>
                      <w:kern w:val="0"/>
                      <w:highlight w:val="none"/>
                      <w:u w:val="none" w:color="auto"/>
                    </w:rPr>
                    <w:t>落实管控措施，加强园区污染治理。园区应切实抓好污水处理设施及配套管网的建设和运维，做好雨污分流，确保园区各片区生产生活废水应收尽收，全部送至污水处理厂集中处理</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并满足污水处理厂进水接纳标准，园区引进项目要符合污水处理厂处理能力和排污口审批所规定的废水排放量等要求，确保尾水达到污水处理厂环评及排污口批复的相关标准。北部片区</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区块一、区块二</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、陆港片区</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区块五</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废水现状及规划均排入下河线污水处理厂处理</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南部片区</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区块三</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废水现状排入下河线污水处理厂处理，规划南部片区南甸路以南，博乐路以北</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潇湘大道以西，袁家路以东范围进入永州经开区工业污水处理厂处理，其余地块进入下河线污水处理厂处理</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南部片区</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区块四</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废水现状排入下河线污水处理厂处理，规划排入河东污水处理厂处理。</w:t>
                  </w:r>
                </w:p>
                <w:p w14:paraId="09B3579C">
                  <w:pPr>
                    <w:rPr>
                      <w:rFonts w:hint="eastAsia" w:ascii="宋体" w:hAnsi="宋体" w:cs="宋体"/>
                      <w:color w:val="auto"/>
                      <w:kern w:val="0"/>
                      <w:highlight w:val="none"/>
                      <w:u w:val="none" w:color="auto"/>
                    </w:rPr>
                  </w:pPr>
                  <w:r>
                    <w:rPr>
                      <w:rFonts w:hint="eastAsia" w:ascii="宋体" w:hAnsi="宋体" w:cs="宋体"/>
                      <w:color w:val="auto"/>
                      <w:kern w:val="0"/>
                      <w:highlight w:val="none"/>
                      <w:u w:val="none" w:color="auto"/>
                    </w:rPr>
                    <w:t>应加快永州经开区工业污水处理厂和河东污水处理厂的建设调试进度，确保污水处理设施及管网与项目同步投入运营。园区后续应落实</w:t>
                  </w:r>
                  <w:r>
                    <w:rPr>
                      <w:rFonts w:hint="eastAsia" w:ascii="宋体" w:hAnsi="宋体" w:cs="宋体"/>
                      <w:color w:val="auto"/>
                      <w:kern w:val="0"/>
                      <w:highlight w:val="none"/>
                      <w:u w:val="none" w:color="auto"/>
                      <w:lang w:eastAsia="zh-CN"/>
                    </w:rPr>
                    <w:t>国家</w:t>
                  </w:r>
                  <w:r>
                    <w:rPr>
                      <w:rFonts w:hint="eastAsia" w:ascii="宋体" w:hAnsi="宋体" w:cs="宋体"/>
                      <w:color w:val="auto"/>
                      <w:kern w:val="0"/>
                      <w:highlight w:val="none"/>
                      <w:u w:val="none" w:color="auto"/>
                    </w:rPr>
                    <w:t>、省关于水污染防治、排水方案优化、环保基础设施建设运行等方面的政策要求。园区应加强大气污染防治，控制相关特征污染物的无组织排放，督促园区企业重点做好V0Cs、恶臭治理，对重点排放的生产设施予以严格监管，确保其处理设施稳妥、持续有效运行，严格落实大气污染防治特护期及重污染天气应急响应的相关减排要求。做好固体废物和生活垃圾的分类收集转运、综合利用和无害化处理，建立完善的固废管理体系。对危险废物应严格按照国家有关规定综合利用或妥善处置，对产生危险废物的单位，应强化日常环境监管。园区应督促企业严格落实排污许可制度。</w:t>
                  </w:r>
                </w:p>
              </w:tc>
              <w:tc>
                <w:tcPr>
                  <w:tcW w:w="1361" w:type="dxa"/>
                  <w:tcBorders>
                    <w:tl2br w:val="nil"/>
                    <w:tr2bl w:val="nil"/>
                  </w:tcBorders>
                  <w:vAlign w:val="center"/>
                </w:tcPr>
                <w:p w14:paraId="29105601">
                  <w:pPr>
                    <w:jc w:val="center"/>
                    <w:rPr>
                      <w:rFonts w:hint="default" w:ascii="宋体" w:hAnsi="宋体" w:eastAsia="宋体" w:cs="宋体"/>
                      <w:color w:val="auto"/>
                      <w:kern w:val="0"/>
                      <w:highlight w:val="none"/>
                      <w:u w:val="none" w:color="auto"/>
                      <w:lang w:val="en-US" w:eastAsia="zh-CN"/>
                    </w:rPr>
                  </w:pPr>
                  <w:r>
                    <w:rPr>
                      <w:rFonts w:hint="eastAsia" w:ascii="宋体" w:hAnsi="宋体" w:cs="宋体"/>
                      <w:color w:val="auto"/>
                      <w:kern w:val="0"/>
                      <w:highlight w:val="none"/>
                      <w:u w:val="none" w:color="auto"/>
                    </w:rPr>
                    <w:t>本项目</w:t>
                  </w:r>
                  <w:r>
                    <w:rPr>
                      <w:rFonts w:hint="eastAsia" w:ascii="宋体" w:hAnsi="宋体" w:cs="宋体"/>
                      <w:color w:val="auto"/>
                      <w:kern w:val="0"/>
                      <w:highlight w:val="none"/>
                      <w:u w:val="none" w:color="auto"/>
                      <w:lang w:val="en-US" w:eastAsia="zh-CN"/>
                    </w:rPr>
                    <w:t>位于南部片区（区块三），项目生活污水近期排入下河线污水处理厂处理，远期排入永州经开区工业污水处理厂处理。</w:t>
                  </w:r>
                </w:p>
              </w:tc>
              <w:tc>
                <w:tcPr>
                  <w:tcW w:w="1119" w:type="dxa"/>
                  <w:tcBorders>
                    <w:tl2br w:val="nil"/>
                    <w:tr2bl w:val="nil"/>
                  </w:tcBorders>
                  <w:vAlign w:val="center"/>
                </w:tcPr>
                <w:p w14:paraId="0DCCCF50">
                  <w:pPr>
                    <w:jc w:val="center"/>
                    <w:rPr>
                      <w:rFonts w:ascii="宋体" w:hAnsi="宋体" w:cs="宋体"/>
                      <w:color w:val="auto"/>
                      <w:kern w:val="0"/>
                      <w:highlight w:val="none"/>
                      <w:u w:val="none" w:color="auto"/>
                    </w:rPr>
                  </w:pPr>
                  <w:r>
                    <w:rPr>
                      <w:rFonts w:hint="eastAsia" w:ascii="宋体" w:hAnsi="宋体" w:cs="宋体"/>
                      <w:color w:val="auto"/>
                      <w:kern w:val="0"/>
                      <w:highlight w:val="none"/>
                      <w:u w:val="none" w:color="auto"/>
                    </w:rPr>
                    <w:t>相符</w:t>
                  </w:r>
                </w:p>
              </w:tc>
            </w:tr>
            <w:tr w14:paraId="236D68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75" w:type="dxa"/>
                  <w:tcBorders>
                    <w:tl2br w:val="nil"/>
                    <w:tr2bl w:val="nil"/>
                  </w:tcBorders>
                  <w:vAlign w:val="center"/>
                </w:tcPr>
                <w:p w14:paraId="6501C4C0">
                  <w:pPr>
                    <w:jc w:val="center"/>
                    <w:rPr>
                      <w:rFonts w:hint="eastAsia" w:ascii="宋体" w:hAnsi="宋体" w:eastAsia="宋体" w:cs="宋体"/>
                      <w:color w:val="auto"/>
                      <w:kern w:val="0"/>
                      <w:highlight w:val="none"/>
                      <w:u w:val="none" w:color="auto"/>
                      <w:lang w:eastAsia="zh-CN"/>
                    </w:rPr>
                  </w:pPr>
                  <w:r>
                    <w:rPr>
                      <w:rFonts w:hint="eastAsia" w:ascii="宋体" w:hAnsi="宋体" w:cs="宋体"/>
                      <w:color w:val="auto"/>
                      <w:kern w:val="0"/>
                      <w:highlight w:val="none"/>
                      <w:u w:val="none" w:color="auto"/>
                      <w:lang w:val="en-US" w:eastAsia="zh-CN"/>
                    </w:rPr>
                    <w:t>4</w:t>
                  </w:r>
                </w:p>
              </w:tc>
              <w:tc>
                <w:tcPr>
                  <w:tcW w:w="3888" w:type="dxa"/>
                  <w:tcBorders>
                    <w:tl2br w:val="nil"/>
                    <w:tr2bl w:val="nil"/>
                  </w:tcBorders>
                  <w:vAlign w:val="center"/>
                </w:tcPr>
                <w:p w14:paraId="62D5DF3C">
                  <w:pPr>
                    <w:jc w:val="both"/>
                    <w:rPr>
                      <w:rFonts w:ascii="宋体" w:hAnsi="宋体" w:cs="宋体"/>
                      <w:color w:val="auto"/>
                      <w:kern w:val="0"/>
                      <w:highlight w:val="none"/>
                      <w:u w:val="none" w:color="auto"/>
                    </w:rPr>
                  </w:pPr>
                  <w:r>
                    <w:rPr>
                      <w:rFonts w:hint="eastAsia" w:ascii="宋体" w:hAnsi="宋体" w:cs="宋体"/>
                      <w:color w:val="auto"/>
                      <w:kern w:val="0"/>
                      <w:highlight w:val="none"/>
                      <w:u w:val="none" w:color="auto"/>
                      <w:lang w:eastAsia="zh-CN"/>
                    </w:rPr>
                    <w:t>（三）</w:t>
                  </w:r>
                  <w:r>
                    <w:rPr>
                      <w:rFonts w:hint="eastAsia" w:ascii="宋体" w:hAnsi="宋体" w:cs="宋体"/>
                      <w:color w:val="auto"/>
                      <w:kern w:val="0"/>
                      <w:highlight w:val="none"/>
                      <w:u w:val="none" w:color="auto"/>
                    </w:rPr>
                    <w:t>完善监测体系，监控环境质量变化状况。园区应按照《报告书》提出的跟踪监测方案落实相关工作，建立健全各环境要素的监控体系，督促相关企业严格按要求安装在线监测并联网。园区应加强对重点排放企业、污水处理厂的监督性监测，严防企业废水废气偷排漏排或污染治理措施不正常运行。重点加强对周边集中居住区大气环境质量的监测，并涵盖相关特征排放因子。</w:t>
                  </w:r>
                </w:p>
              </w:tc>
              <w:tc>
                <w:tcPr>
                  <w:tcW w:w="1361" w:type="dxa"/>
                  <w:tcBorders>
                    <w:tl2br w:val="nil"/>
                    <w:tr2bl w:val="nil"/>
                  </w:tcBorders>
                  <w:vAlign w:val="center"/>
                </w:tcPr>
                <w:p w14:paraId="0AFC3F27">
                  <w:pPr>
                    <w:jc w:val="center"/>
                    <w:rPr>
                      <w:rFonts w:hint="default" w:ascii="宋体" w:hAnsi="宋体" w:eastAsia="宋体" w:cs="宋体"/>
                      <w:color w:val="auto"/>
                      <w:kern w:val="0"/>
                      <w:highlight w:val="none"/>
                      <w:u w:val="none" w:color="auto"/>
                      <w:lang w:val="en-US" w:eastAsia="zh-CN"/>
                    </w:rPr>
                  </w:pPr>
                  <w:r>
                    <w:rPr>
                      <w:rFonts w:hint="eastAsia" w:ascii="宋体" w:hAnsi="宋体" w:cs="宋体"/>
                      <w:color w:val="auto"/>
                      <w:kern w:val="0"/>
                      <w:highlight w:val="none"/>
                      <w:u w:val="none" w:color="auto"/>
                      <w:lang w:val="en-US" w:eastAsia="zh-CN"/>
                    </w:rPr>
                    <w:t>本项目建成投产后拟进行厂区自行监测。</w:t>
                  </w:r>
                </w:p>
              </w:tc>
              <w:tc>
                <w:tcPr>
                  <w:tcW w:w="1119" w:type="dxa"/>
                  <w:tcBorders>
                    <w:tl2br w:val="nil"/>
                    <w:tr2bl w:val="nil"/>
                  </w:tcBorders>
                  <w:vAlign w:val="center"/>
                </w:tcPr>
                <w:p w14:paraId="297131EB">
                  <w:pPr>
                    <w:jc w:val="center"/>
                    <w:rPr>
                      <w:rFonts w:hint="eastAsia" w:ascii="宋体" w:hAnsi="宋体" w:eastAsia="宋体" w:cs="宋体"/>
                      <w:color w:val="auto"/>
                      <w:kern w:val="0"/>
                      <w:highlight w:val="none"/>
                      <w:u w:val="none" w:color="auto"/>
                      <w:lang w:val="en-US" w:eastAsia="zh-CN"/>
                    </w:rPr>
                  </w:pPr>
                  <w:r>
                    <w:rPr>
                      <w:rFonts w:hint="eastAsia" w:ascii="宋体" w:hAnsi="宋体" w:cs="宋体"/>
                      <w:color w:val="auto"/>
                      <w:kern w:val="0"/>
                      <w:highlight w:val="none"/>
                      <w:u w:val="none" w:color="auto"/>
                      <w:lang w:val="en-US" w:eastAsia="zh-CN"/>
                    </w:rPr>
                    <w:t>相符</w:t>
                  </w:r>
                </w:p>
              </w:tc>
            </w:tr>
            <w:tr w14:paraId="456774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2" w:hRule="atLeast"/>
                <w:jc w:val="center"/>
              </w:trPr>
              <w:tc>
                <w:tcPr>
                  <w:tcW w:w="675" w:type="dxa"/>
                  <w:tcBorders>
                    <w:tl2br w:val="nil"/>
                    <w:tr2bl w:val="nil"/>
                  </w:tcBorders>
                  <w:vAlign w:val="center"/>
                </w:tcPr>
                <w:p w14:paraId="5CC81F82">
                  <w:pPr>
                    <w:jc w:val="center"/>
                    <w:rPr>
                      <w:rFonts w:hint="eastAsia" w:ascii="宋体" w:hAnsi="宋体" w:eastAsia="宋体" w:cs="宋体"/>
                      <w:color w:val="auto"/>
                      <w:kern w:val="0"/>
                      <w:highlight w:val="none"/>
                      <w:u w:val="none" w:color="auto"/>
                      <w:lang w:eastAsia="zh-CN"/>
                    </w:rPr>
                  </w:pPr>
                  <w:r>
                    <w:rPr>
                      <w:rFonts w:hint="eastAsia" w:ascii="宋体" w:hAnsi="宋体" w:cs="宋体"/>
                      <w:color w:val="auto"/>
                      <w:kern w:val="0"/>
                      <w:highlight w:val="none"/>
                      <w:u w:val="none" w:color="auto"/>
                      <w:lang w:val="en-US" w:eastAsia="zh-CN"/>
                    </w:rPr>
                    <w:t>5</w:t>
                  </w:r>
                </w:p>
              </w:tc>
              <w:tc>
                <w:tcPr>
                  <w:tcW w:w="3888" w:type="dxa"/>
                  <w:tcBorders>
                    <w:tl2br w:val="nil"/>
                    <w:tr2bl w:val="nil"/>
                  </w:tcBorders>
                  <w:vAlign w:val="center"/>
                </w:tcPr>
                <w:p w14:paraId="295937FA">
                  <w:pPr>
                    <w:rPr>
                      <w:rFonts w:ascii="宋体" w:hAnsi="宋体" w:cs="宋体"/>
                      <w:color w:val="auto"/>
                      <w:kern w:val="0"/>
                      <w:highlight w:val="none"/>
                      <w:u w:val="none" w:color="auto"/>
                    </w:rPr>
                  </w:pPr>
                  <w:r>
                    <w:rPr>
                      <w:rFonts w:hint="eastAsia" w:ascii="宋体" w:hAnsi="宋体" w:cs="宋体"/>
                      <w:color w:val="auto"/>
                      <w:kern w:val="0"/>
                      <w:highlight w:val="none"/>
                      <w:u w:val="none" w:color="auto"/>
                      <w:lang w:eastAsia="zh-CN"/>
                    </w:rPr>
                    <w:t>（四）</w:t>
                  </w:r>
                  <w:r>
                    <w:rPr>
                      <w:rFonts w:hint="eastAsia" w:ascii="宋体" w:hAnsi="宋体" w:cs="宋体"/>
                      <w:color w:val="auto"/>
                      <w:kern w:val="0"/>
                      <w:highlight w:val="none"/>
                      <w:u w:val="none" w:color="auto"/>
                    </w:rPr>
                    <w:t>强化风险管控，严防园区环境事故。建立健全园区环境风险管理工作长效机制，加强园区环境风险防控、预警和应急体系建设，全面提升园区环境风险防控和环境事故应急处置能力</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确保区域环境安全。</w:t>
                  </w:r>
                </w:p>
              </w:tc>
              <w:tc>
                <w:tcPr>
                  <w:tcW w:w="1361" w:type="dxa"/>
                  <w:tcBorders>
                    <w:tl2br w:val="nil"/>
                    <w:tr2bl w:val="nil"/>
                  </w:tcBorders>
                  <w:vAlign w:val="center"/>
                </w:tcPr>
                <w:p w14:paraId="21B57BD1">
                  <w:pPr>
                    <w:spacing w:line="240" w:lineRule="auto"/>
                    <w:ind w:firstLine="0" w:firstLineChars="0"/>
                    <w:jc w:val="center"/>
                    <w:rPr>
                      <w:rFonts w:hint="eastAsia" w:ascii="宋体" w:hAnsi="宋体" w:eastAsia="宋体" w:cs="宋体"/>
                      <w:color w:val="auto"/>
                      <w:kern w:val="0"/>
                      <w:highlight w:val="none"/>
                      <w:u w:val="none" w:color="auto"/>
                      <w:lang w:eastAsia="zh-CN"/>
                    </w:rPr>
                  </w:pPr>
                  <w:r>
                    <w:rPr>
                      <w:rFonts w:hint="eastAsia"/>
                      <w:color w:val="auto"/>
                      <w:sz w:val="21"/>
                      <w:szCs w:val="21"/>
                      <w:u w:val="none" w:color="auto"/>
                      <w:lang w:val="en-US" w:eastAsia="zh-CN"/>
                    </w:rPr>
                    <w:t>本项目拟</w:t>
                  </w:r>
                  <w:r>
                    <w:rPr>
                      <w:color w:val="auto"/>
                      <w:sz w:val="21"/>
                      <w:szCs w:val="21"/>
                      <w:u w:val="none" w:color="auto"/>
                    </w:rPr>
                    <w:t>建立健全</w:t>
                  </w:r>
                  <w:r>
                    <w:rPr>
                      <w:rFonts w:hint="eastAsia"/>
                      <w:color w:val="auto"/>
                      <w:sz w:val="21"/>
                      <w:szCs w:val="21"/>
                      <w:u w:val="none" w:color="auto"/>
                      <w:lang w:val="en-US" w:eastAsia="zh-CN"/>
                    </w:rPr>
                    <w:t>厂区的</w:t>
                  </w:r>
                  <w:r>
                    <w:rPr>
                      <w:color w:val="auto"/>
                      <w:sz w:val="21"/>
                      <w:szCs w:val="21"/>
                      <w:u w:val="none" w:color="auto"/>
                    </w:rPr>
                    <w:t>环境风险管理</w:t>
                  </w:r>
                  <w:r>
                    <w:rPr>
                      <w:rFonts w:hint="eastAsia"/>
                      <w:color w:val="auto"/>
                      <w:sz w:val="21"/>
                      <w:szCs w:val="21"/>
                      <w:u w:val="none" w:color="auto"/>
                      <w:lang w:eastAsia="zh-CN"/>
                    </w:rPr>
                    <w:t>。</w:t>
                  </w:r>
                </w:p>
              </w:tc>
              <w:tc>
                <w:tcPr>
                  <w:tcW w:w="1119" w:type="dxa"/>
                  <w:tcBorders>
                    <w:tl2br w:val="nil"/>
                    <w:tr2bl w:val="nil"/>
                  </w:tcBorders>
                  <w:vAlign w:val="center"/>
                </w:tcPr>
                <w:p w14:paraId="7E821345">
                  <w:pPr>
                    <w:jc w:val="center"/>
                    <w:rPr>
                      <w:rFonts w:hint="eastAsia" w:ascii="宋体" w:hAnsi="宋体" w:eastAsia="宋体" w:cs="宋体"/>
                      <w:color w:val="auto"/>
                      <w:kern w:val="0"/>
                      <w:highlight w:val="none"/>
                      <w:u w:val="none" w:color="auto"/>
                      <w:lang w:val="en-US" w:eastAsia="zh-CN"/>
                    </w:rPr>
                  </w:pPr>
                  <w:r>
                    <w:rPr>
                      <w:rFonts w:hint="eastAsia" w:ascii="宋体" w:hAnsi="宋体" w:eastAsia="宋体" w:cs="宋体"/>
                      <w:color w:val="auto"/>
                      <w:kern w:val="0"/>
                      <w:highlight w:val="none"/>
                      <w:u w:val="none" w:color="auto"/>
                      <w:lang w:val="en-US" w:eastAsia="zh-CN"/>
                    </w:rPr>
                    <w:t>相符</w:t>
                  </w:r>
                </w:p>
              </w:tc>
            </w:tr>
            <w:tr w14:paraId="5CC27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12" w:hRule="atLeast"/>
                <w:jc w:val="center"/>
              </w:trPr>
              <w:tc>
                <w:tcPr>
                  <w:tcW w:w="675" w:type="dxa"/>
                  <w:tcBorders>
                    <w:tl2br w:val="nil"/>
                    <w:tr2bl w:val="nil"/>
                  </w:tcBorders>
                  <w:vAlign w:val="center"/>
                </w:tcPr>
                <w:p w14:paraId="5517B415">
                  <w:pPr>
                    <w:jc w:val="center"/>
                    <w:rPr>
                      <w:rFonts w:hint="default" w:ascii="宋体" w:hAnsi="宋体" w:eastAsia="宋体" w:cs="宋体"/>
                      <w:color w:val="auto"/>
                      <w:kern w:val="0"/>
                      <w:highlight w:val="none"/>
                      <w:u w:val="none" w:color="auto"/>
                      <w:lang w:val="en-US" w:eastAsia="zh-CN"/>
                    </w:rPr>
                  </w:pPr>
                  <w:r>
                    <w:rPr>
                      <w:rFonts w:hint="eastAsia" w:ascii="宋体" w:hAnsi="宋体" w:cs="宋体"/>
                      <w:color w:val="auto"/>
                      <w:kern w:val="0"/>
                      <w:highlight w:val="none"/>
                      <w:u w:val="none" w:color="auto"/>
                      <w:lang w:val="en-US" w:eastAsia="zh-CN"/>
                    </w:rPr>
                    <w:t>6</w:t>
                  </w:r>
                </w:p>
              </w:tc>
              <w:tc>
                <w:tcPr>
                  <w:tcW w:w="3888" w:type="dxa"/>
                  <w:tcBorders>
                    <w:tl2br w:val="nil"/>
                    <w:tr2bl w:val="nil"/>
                  </w:tcBorders>
                  <w:vAlign w:val="center"/>
                </w:tcPr>
                <w:p w14:paraId="1E7B39CF">
                  <w:pPr>
                    <w:rPr>
                      <w:rFonts w:ascii="宋体" w:hAnsi="宋体" w:cs="宋体"/>
                      <w:color w:val="auto"/>
                      <w:kern w:val="0"/>
                      <w:highlight w:val="none"/>
                      <w:u w:val="none" w:color="auto"/>
                    </w:rPr>
                  </w:pPr>
                  <w:r>
                    <w:rPr>
                      <w:rFonts w:hint="eastAsia" w:ascii="宋体" w:hAnsi="宋体" w:cs="宋体"/>
                      <w:color w:val="auto"/>
                      <w:kern w:val="0"/>
                      <w:highlight w:val="none"/>
                      <w:u w:val="none" w:color="auto"/>
                      <w:lang w:eastAsia="zh-CN"/>
                    </w:rPr>
                    <w:t>（五）</w:t>
                  </w:r>
                  <w:r>
                    <w:rPr>
                      <w:rFonts w:hint="eastAsia" w:ascii="宋体" w:hAnsi="宋体" w:cs="宋体"/>
                      <w:color w:val="auto"/>
                      <w:kern w:val="0"/>
                      <w:highlight w:val="none"/>
                      <w:u w:val="none" w:color="auto"/>
                    </w:rPr>
                    <w:t>做好周边控规，落实搬迁安置计划。园区管委会与地方政府应共同做好控规，确保园区开发过程中的居民搬迁安置到位，防止发生居民再次安置和次生环境问题。</w:t>
                  </w:r>
                </w:p>
              </w:tc>
              <w:tc>
                <w:tcPr>
                  <w:tcW w:w="1361" w:type="dxa"/>
                  <w:tcBorders>
                    <w:tl2br w:val="nil"/>
                    <w:tr2bl w:val="nil"/>
                  </w:tcBorders>
                  <w:vAlign w:val="center"/>
                </w:tcPr>
                <w:p w14:paraId="62E6297F">
                  <w:pPr>
                    <w:spacing w:line="240" w:lineRule="auto"/>
                    <w:ind w:firstLine="0" w:firstLineChars="0"/>
                    <w:jc w:val="center"/>
                    <w:rPr>
                      <w:rFonts w:hint="eastAsia" w:ascii="宋体" w:hAnsi="宋体" w:eastAsia="宋体" w:cs="宋体"/>
                      <w:color w:val="auto"/>
                      <w:kern w:val="0"/>
                      <w:highlight w:val="none"/>
                      <w:u w:val="none" w:color="auto"/>
                      <w:lang w:eastAsia="zh-CN"/>
                    </w:rPr>
                  </w:pPr>
                  <w:r>
                    <w:rPr>
                      <w:rFonts w:hint="eastAsia"/>
                      <w:color w:val="auto"/>
                      <w:sz w:val="21"/>
                      <w:szCs w:val="21"/>
                      <w:u w:val="none" w:color="auto"/>
                      <w:lang w:val="en-US" w:eastAsia="zh-CN"/>
                    </w:rPr>
                    <w:t>本项目不涉及</w:t>
                  </w:r>
                  <w:r>
                    <w:rPr>
                      <w:color w:val="auto"/>
                      <w:sz w:val="21"/>
                      <w:szCs w:val="21"/>
                      <w:u w:val="none" w:color="auto"/>
                    </w:rPr>
                    <w:t>搬迁安置计划</w:t>
                  </w:r>
                  <w:r>
                    <w:rPr>
                      <w:rFonts w:hint="eastAsia"/>
                      <w:color w:val="auto"/>
                      <w:sz w:val="21"/>
                      <w:szCs w:val="21"/>
                      <w:u w:val="none" w:color="auto"/>
                      <w:lang w:eastAsia="zh-CN"/>
                    </w:rPr>
                    <w:t>。</w:t>
                  </w:r>
                </w:p>
              </w:tc>
              <w:tc>
                <w:tcPr>
                  <w:tcW w:w="1119" w:type="dxa"/>
                  <w:tcBorders>
                    <w:tl2br w:val="nil"/>
                    <w:tr2bl w:val="nil"/>
                  </w:tcBorders>
                  <w:vAlign w:val="center"/>
                </w:tcPr>
                <w:p w14:paraId="23506256">
                  <w:pPr>
                    <w:jc w:val="center"/>
                    <w:rPr>
                      <w:rFonts w:hint="eastAsia" w:ascii="宋体" w:hAnsi="宋体" w:eastAsia="宋体" w:cs="宋体"/>
                      <w:color w:val="auto"/>
                      <w:kern w:val="0"/>
                      <w:highlight w:val="none"/>
                      <w:u w:val="none" w:color="auto"/>
                      <w:lang w:val="en-US" w:eastAsia="zh-CN"/>
                    </w:rPr>
                  </w:pPr>
                  <w:r>
                    <w:rPr>
                      <w:rFonts w:hint="eastAsia" w:ascii="宋体" w:hAnsi="宋体" w:eastAsia="宋体" w:cs="宋体"/>
                      <w:color w:val="auto"/>
                      <w:kern w:val="0"/>
                      <w:highlight w:val="none"/>
                      <w:u w:val="none" w:color="auto"/>
                      <w:lang w:val="en-US" w:eastAsia="zh-CN"/>
                    </w:rPr>
                    <w:t>相符</w:t>
                  </w:r>
                </w:p>
              </w:tc>
            </w:tr>
            <w:tr w14:paraId="37B73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675" w:type="dxa"/>
                  <w:tcBorders>
                    <w:tl2br w:val="nil"/>
                    <w:tr2bl w:val="nil"/>
                  </w:tcBorders>
                  <w:vAlign w:val="center"/>
                </w:tcPr>
                <w:p w14:paraId="0CD55305">
                  <w:pPr>
                    <w:jc w:val="center"/>
                    <w:rPr>
                      <w:rFonts w:hint="default" w:ascii="宋体" w:hAnsi="宋体" w:cs="宋体"/>
                      <w:color w:val="auto"/>
                      <w:kern w:val="0"/>
                      <w:highlight w:val="none"/>
                      <w:u w:val="none" w:color="auto"/>
                      <w:lang w:val="en-US" w:eastAsia="zh-CN"/>
                    </w:rPr>
                  </w:pPr>
                  <w:r>
                    <w:rPr>
                      <w:rFonts w:hint="eastAsia" w:ascii="宋体" w:hAnsi="宋体" w:cs="宋体"/>
                      <w:color w:val="auto"/>
                      <w:kern w:val="0"/>
                      <w:highlight w:val="none"/>
                      <w:u w:val="none" w:color="auto"/>
                      <w:lang w:val="en-US" w:eastAsia="zh-CN"/>
                    </w:rPr>
                    <w:t>7</w:t>
                  </w:r>
                </w:p>
              </w:tc>
              <w:tc>
                <w:tcPr>
                  <w:tcW w:w="3888" w:type="dxa"/>
                  <w:tcBorders>
                    <w:tl2br w:val="nil"/>
                    <w:tr2bl w:val="nil"/>
                  </w:tcBorders>
                  <w:vAlign w:val="center"/>
                </w:tcPr>
                <w:p w14:paraId="429C7AC6">
                  <w:pPr>
                    <w:rPr>
                      <w:rFonts w:ascii="宋体" w:hAnsi="宋体" w:cs="宋体"/>
                      <w:color w:val="auto"/>
                      <w:kern w:val="0"/>
                      <w:highlight w:val="none"/>
                      <w:u w:val="none" w:color="auto"/>
                    </w:rPr>
                  </w:pP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六</w:t>
                  </w:r>
                  <w:r>
                    <w:rPr>
                      <w:rFonts w:hint="eastAsia" w:ascii="宋体" w:hAnsi="宋体" w:cs="宋体"/>
                      <w:color w:val="auto"/>
                      <w:kern w:val="0"/>
                      <w:highlight w:val="none"/>
                      <w:u w:val="none" w:color="auto"/>
                      <w:lang w:eastAsia="zh-CN"/>
                    </w:rPr>
                    <w:t>）</w:t>
                  </w:r>
                  <w:r>
                    <w:rPr>
                      <w:rFonts w:hint="eastAsia" w:ascii="宋体" w:hAnsi="宋体" w:cs="宋体"/>
                      <w:color w:val="auto"/>
                      <w:kern w:val="0"/>
                      <w:highlight w:val="none"/>
                      <w:u w:val="none" w:color="auto"/>
                    </w:rPr>
                    <w:t>做好园区建设期生态保护。尽可能保留自然水体，施工期对土石方开挖、堆存及回填要实施围挡、护坡等措施，裸露地及时恢复植被，杜绝施工建设对地表水体的污染。</w:t>
                  </w:r>
                </w:p>
              </w:tc>
              <w:tc>
                <w:tcPr>
                  <w:tcW w:w="1361" w:type="dxa"/>
                  <w:tcBorders>
                    <w:tl2br w:val="nil"/>
                    <w:tr2bl w:val="nil"/>
                  </w:tcBorders>
                  <w:vAlign w:val="center"/>
                </w:tcPr>
                <w:p w14:paraId="10D66ACD">
                  <w:pPr>
                    <w:spacing w:line="240" w:lineRule="auto"/>
                    <w:ind w:firstLine="0" w:firstLineChars="0"/>
                    <w:jc w:val="center"/>
                    <w:rPr>
                      <w:rFonts w:hint="eastAsia" w:ascii="宋体" w:hAnsi="宋体" w:eastAsia="宋体" w:cs="宋体"/>
                      <w:color w:val="auto"/>
                      <w:kern w:val="0"/>
                      <w:highlight w:val="none"/>
                      <w:u w:val="none" w:color="auto"/>
                      <w:lang w:eastAsia="zh-CN"/>
                    </w:rPr>
                  </w:pPr>
                  <w:r>
                    <w:rPr>
                      <w:rFonts w:hint="eastAsia"/>
                      <w:color w:val="auto"/>
                      <w:sz w:val="21"/>
                      <w:szCs w:val="21"/>
                      <w:u w:val="none" w:color="auto"/>
                      <w:lang w:val="en-US" w:eastAsia="zh-CN"/>
                    </w:rPr>
                    <w:t>本项目不涉及土石方建设</w:t>
                  </w:r>
                  <w:r>
                    <w:rPr>
                      <w:rFonts w:hint="eastAsia"/>
                      <w:color w:val="auto"/>
                      <w:sz w:val="21"/>
                      <w:szCs w:val="21"/>
                      <w:u w:val="none" w:color="auto"/>
                      <w:lang w:eastAsia="zh-CN"/>
                    </w:rPr>
                    <w:t>。</w:t>
                  </w:r>
                </w:p>
              </w:tc>
              <w:tc>
                <w:tcPr>
                  <w:tcW w:w="1119" w:type="dxa"/>
                  <w:tcBorders>
                    <w:tl2br w:val="nil"/>
                    <w:tr2bl w:val="nil"/>
                  </w:tcBorders>
                  <w:vAlign w:val="center"/>
                </w:tcPr>
                <w:p w14:paraId="69FE6DF8">
                  <w:pPr>
                    <w:jc w:val="center"/>
                    <w:rPr>
                      <w:rFonts w:hint="eastAsia" w:ascii="宋体" w:hAnsi="宋体" w:eastAsia="宋体" w:cs="宋体"/>
                      <w:color w:val="auto"/>
                      <w:kern w:val="0"/>
                      <w:highlight w:val="none"/>
                      <w:u w:val="none" w:color="auto"/>
                      <w:lang w:val="en-US" w:eastAsia="zh-CN"/>
                    </w:rPr>
                  </w:pPr>
                  <w:r>
                    <w:rPr>
                      <w:rFonts w:hint="eastAsia" w:ascii="宋体" w:hAnsi="宋体" w:eastAsia="宋体" w:cs="宋体"/>
                      <w:color w:val="auto"/>
                      <w:kern w:val="0"/>
                      <w:highlight w:val="none"/>
                      <w:u w:val="none" w:color="auto"/>
                      <w:lang w:val="en-US" w:eastAsia="zh-CN"/>
                    </w:rPr>
                    <w:t>相符</w:t>
                  </w:r>
                </w:p>
              </w:tc>
            </w:tr>
          </w:tbl>
          <w:p w14:paraId="608560F6">
            <w:pPr>
              <w:jc w:val="center"/>
              <w:rPr>
                <w:color w:val="auto"/>
                <w:kern w:val="0"/>
                <w:sz w:val="24"/>
                <w:szCs w:val="24"/>
                <w:highlight w:val="none"/>
                <w:u w:val="none"/>
              </w:rPr>
            </w:pPr>
          </w:p>
        </w:tc>
      </w:tr>
      <w:tr w14:paraId="7582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2" w:hRule="atLeast"/>
          <w:jc w:val="center"/>
        </w:trPr>
        <w:tc>
          <w:tcPr>
            <w:tcW w:w="1714" w:type="dxa"/>
            <w:vAlign w:val="center"/>
          </w:tcPr>
          <w:p w14:paraId="3101DFB5">
            <w:pPr>
              <w:jc w:val="center"/>
              <w:rPr>
                <w:color w:val="auto"/>
                <w:kern w:val="0"/>
                <w:sz w:val="24"/>
                <w:szCs w:val="24"/>
                <w:highlight w:val="none"/>
                <w:u w:val="none"/>
              </w:rPr>
            </w:pPr>
            <w:r>
              <w:rPr>
                <w:rFonts w:hint="eastAsia"/>
                <w:color w:val="auto"/>
                <w:kern w:val="0"/>
                <w:sz w:val="24"/>
                <w:szCs w:val="24"/>
                <w:highlight w:val="none"/>
                <w:u w:val="none"/>
              </w:rPr>
              <w:t>其他符合性分析</w:t>
            </w:r>
          </w:p>
        </w:tc>
        <w:tc>
          <w:tcPr>
            <w:tcW w:w="7357" w:type="dxa"/>
            <w:gridSpan w:val="3"/>
            <w:vAlign w:val="center"/>
          </w:tcPr>
          <w:p w14:paraId="5F54E284">
            <w:pPr>
              <w:spacing w:line="360" w:lineRule="auto"/>
              <w:rPr>
                <w:b/>
                <w:bCs/>
                <w:color w:val="auto"/>
                <w:sz w:val="24"/>
                <w:highlight w:val="none"/>
                <w:u w:val="none"/>
              </w:rPr>
            </w:pPr>
            <w:r>
              <w:rPr>
                <w:rFonts w:hint="eastAsia"/>
                <w:b/>
                <w:bCs/>
                <w:color w:val="auto"/>
                <w:sz w:val="24"/>
                <w:highlight w:val="none"/>
                <w:u w:val="none"/>
              </w:rPr>
              <w:t>1、国家产业政策符合性分析</w:t>
            </w:r>
          </w:p>
          <w:p w14:paraId="6D511A81">
            <w:pPr>
              <w:spacing w:line="360" w:lineRule="auto"/>
              <w:ind w:firstLine="480" w:firstLineChars="200"/>
              <w:rPr>
                <w:b/>
                <w:bCs/>
                <w:color w:val="auto"/>
                <w:sz w:val="24"/>
                <w:szCs w:val="24"/>
                <w:highlight w:val="none"/>
                <w:u w:val="none"/>
              </w:rPr>
            </w:pPr>
            <w:r>
              <w:rPr>
                <w:rFonts w:hint="eastAsia"/>
                <w:color w:val="auto"/>
                <w:sz w:val="24"/>
                <w:szCs w:val="24"/>
                <w:highlight w:val="none"/>
                <w:u w:val="none"/>
              </w:rPr>
              <w:t>根据</w:t>
            </w:r>
            <w:r>
              <w:rPr>
                <w:rFonts w:hint="eastAsia"/>
                <w:color w:val="auto"/>
                <w:sz w:val="24"/>
                <w:szCs w:val="24"/>
                <w:highlight w:val="none"/>
                <w:u w:val="none"/>
                <w:lang w:eastAsia="zh-CN"/>
              </w:rPr>
              <w:t>《产业结构调整指导目录（2024年本）》</w:t>
            </w:r>
            <w:r>
              <w:rPr>
                <w:rFonts w:hint="eastAsia"/>
                <w:color w:val="auto"/>
                <w:sz w:val="24"/>
                <w:szCs w:val="24"/>
                <w:highlight w:val="none"/>
                <w:u w:val="none"/>
              </w:rPr>
              <w:t>，</w:t>
            </w:r>
            <w:r>
              <w:rPr>
                <w:color w:val="auto"/>
                <w:sz w:val="24"/>
                <w:szCs w:val="24"/>
                <w:highlight w:val="none"/>
                <w:u w:val="none"/>
              </w:rPr>
              <w:t>本项目不属于</w:t>
            </w:r>
            <w:r>
              <w:rPr>
                <w:rFonts w:hint="eastAsia"/>
                <w:color w:val="auto"/>
                <w:sz w:val="24"/>
                <w:szCs w:val="24"/>
                <w:highlight w:val="none"/>
                <w:u w:val="none"/>
              </w:rPr>
              <w:t>其中的</w:t>
            </w:r>
            <w:r>
              <w:rPr>
                <w:color w:val="auto"/>
                <w:sz w:val="24"/>
                <w:szCs w:val="24"/>
                <w:highlight w:val="none"/>
                <w:u w:val="none"/>
              </w:rPr>
              <w:t>限制类和淘汰类，</w:t>
            </w:r>
            <w:r>
              <w:rPr>
                <w:rFonts w:hint="eastAsia"/>
                <w:color w:val="auto"/>
                <w:sz w:val="24"/>
                <w:szCs w:val="24"/>
                <w:highlight w:val="none"/>
                <w:u w:val="none"/>
                <w:lang w:val="en-US" w:eastAsia="zh-CN"/>
              </w:rPr>
              <w:t>属于允许类，</w:t>
            </w:r>
            <w:r>
              <w:rPr>
                <w:color w:val="auto"/>
                <w:sz w:val="24"/>
                <w:szCs w:val="24"/>
                <w:highlight w:val="none"/>
                <w:u w:val="none"/>
              </w:rPr>
              <w:t>符合国家和地方的有关产业政策的规定。</w:t>
            </w:r>
          </w:p>
          <w:p w14:paraId="01857CFF">
            <w:pPr>
              <w:spacing w:line="360" w:lineRule="auto"/>
              <w:rPr>
                <w:rStyle w:val="39"/>
                <w:color w:val="auto"/>
                <w:kern w:val="0"/>
                <w:szCs w:val="20"/>
                <w:highlight w:val="none"/>
                <w:u w:val="none"/>
              </w:rPr>
            </w:pPr>
            <w:r>
              <w:rPr>
                <w:rFonts w:hint="eastAsia"/>
                <w:b/>
                <w:bCs/>
                <w:color w:val="auto"/>
                <w:sz w:val="24"/>
                <w:highlight w:val="none"/>
                <w:u w:val="none"/>
              </w:rPr>
              <w:t>2、选址布局合理性</w:t>
            </w:r>
          </w:p>
          <w:p w14:paraId="274189AC">
            <w:pPr>
              <w:spacing w:line="360" w:lineRule="auto"/>
              <w:ind w:firstLine="480" w:firstLineChars="200"/>
              <w:rPr>
                <w:color w:val="auto"/>
                <w:sz w:val="24"/>
                <w:highlight w:val="none"/>
                <w:u w:val="none"/>
              </w:rPr>
            </w:pPr>
            <w:r>
              <w:rPr>
                <w:rFonts w:hint="eastAsia" w:hAnsi="宋体"/>
                <w:color w:val="auto"/>
                <w:sz w:val="24"/>
                <w:highlight w:val="none"/>
                <w:u w:val="none"/>
              </w:rPr>
              <w:t>本项目</w:t>
            </w:r>
            <w:r>
              <w:rPr>
                <w:color w:val="auto"/>
                <w:spacing w:val="-2"/>
                <w:sz w:val="24"/>
                <w:highlight w:val="none"/>
                <w:u w:val="none"/>
              </w:rPr>
              <w:t>位于</w:t>
            </w:r>
            <w:r>
              <w:rPr>
                <w:rFonts w:hint="eastAsia"/>
                <w:color w:val="auto"/>
                <w:sz w:val="24"/>
                <w:szCs w:val="24"/>
                <w:highlight w:val="none"/>
                <w:u w:val="none"/>
                <w:shd w:val="clear" w:color="auto" w:fill="FFFFFF"/>
              </w:rPr>
              <w:t>永州经济技术开发区智能装备产业园标准厂</w:t>
            </w:r>
            <w:r>
              <w:rPr>
                <w:rFonts w:hint="eastAsia"/>
                <w:color w:val="auto"/>
                <w:sz w:val="24"/>
                <w:szCs w:val="24"/>
                <w:highlight w:val="none"/>
                <w:u w:val="none"/>
                <w:shd w:val="clear" w:color="auto" w:fill="FFFFFF"/>
                <w:lang w:val="en-US" w:eastAsia="zh-CN"/>
              </w:rPr>
              <w:t>10栋、</w:t>
            </w:r>
            <w:r>
              <w:rPr>
                <w:rFonts w:hint="eastAsia"/>
                <w:color w:val="auto"/>
                <w:sz w:val="24"/>
                <w:szCs w:val="24"/>
                <w:highlight w:val="none"/>
                <w:u w:val="none"/>
                <w:shd w:val="clear" w:color="auto" w:fill="FFFFFF"/>
              </w:rPr>
              <w:t>11栋</w:t>
            </w:r>
            <w:r>
              <w:rPr>
                <w:color w:val="auto"/>
                <w:spacing w:val="-2"/>
                <w:sz w:val="24"/>
                <w:highlight w:val="none"/>
                <w:u w:val="none"/>
              </w:rPr>
              <w:t>，</w:t>
            </w:r>
            <w:r>
              <w:rPr>
                <w:color w:val="auto"/>
                <w:sz w:val="24"/>
                <w:highlight w:val="none"/>
                <w:u w:val="none"/>
              </w:rPr>
              <w:t>项目</w:t>
            </w:r>
            <w:r>
              <w:rPr>
                <w:rFonts w:hint="eastAsia"/>
                <w:color w:val="auto"/>
                <w:sz w:val="24"/>
                <w:highlight w:val="none"/>
                <w:u w:val="none"/>
              </w:rPr>
              <w:t>南面为长丰西路延伸道路</w:t>
            </w:r>
            <w:r>
              <w:rPr>
                <w:color w:val="auto"/>
                <w:spacing w:val="-2"/>
                <w:sz w:val="24"/>
                <w:highlight w:val="none"/>
                <w:u w:val="none"/>
              </w:rPr>
              <w:t>，交通便利，地理位置优越。电力供应和水源供应均能保障，项目</w:t>
            </w:r>
            <w:r>
              <w:rPr>
                <w:rFonts w:hint="eastAsia"/>
                <w:color w:val="auto"/>
                <w:spacing w:val="-2"/>
                <w:sz w:val="24"/>
                <w:highlight w:val="none"/>
                <w:u w:val="none"/>
              </w:rPr>
              <w:t>所在地</w:t>
            </w:r>
            <w:r>
              <w:rPr>
                <w:color w:val="auto"/>
                <w:spacing w:val="-2"/>
                <w:sz w:val="24"/>
                <w:highlight w:val="none"/>
                <w:u w:val="none"/>
              </w:rPr>
              <w:t>属于可建设用地</w:t>
            </w:r>
            <w:r>
              <w:rPr>
                <w:rFonts w:hint="eastAsia"/>
                <w:color w:val="auto"/>
                <w:spacing w:val="-2"/>
                <w:sz w:val="24"/>
                <w:highlight w:val="none"/>
                <w:u w:val="none"/>
              </w:rPr>
              <w:t>中的工业用地</w:t>
            </w:r>
            <w:r>
              <w:rPr>
                <w:color w:val="auto"/>
                <w:spacing w:val="-2"/>
                <w:sz w:val="24"/>
                <w:highlight w:val="none"/>
                <w:u w:val="none"/>
              </w:rPr>
              <w:t>，用地不占用基本农田</w:t>
            </w:r>
            <w:r>
              <w:rPr>
                <w:rFonts w:hint="eastAsia"/>
                <w:color w:val="auto"/>
                <w:spacing w:val="-2"/>
                <w:sz w:val="24"/>
                <w:highlight w:val="none"/>
                <w:u w:val="none"/>
              </w:rPr>
              <w:t>、</w:t>
            </w:r>
            <w:r>
              <w:rPr>
                <w:color w:val="auto"/>
                <w:spacing w:val="-2"/>
                <w:sz w:val="24"/>
                <w:highlight w:val="none"/>
                <w:u w:val="none"/>
              </w:rPr>
              <w:t>周边风景旅游区以及水源保护区，项目所在地不属于城市和城镇居民等人口集中地</w:t>
            </w:r>
            <w:r>
              <w:rPr>
                <w:rFonts w:hint="eastAsia"/>
                <w:color w:val="auto"/>
                <w:spacing w:val="-2"/>
                <w:sz w:val="24"/>
                <w:highlight w:val="none"/>
                <w:u w:val="none"/>
              </w:rPr>
              <w:t>。</w:t>
            </w:r>
          </w:p>
          <w:p w14:paraId="2673F956">
            <w:pPr>
              <w:spacing w:line="360" w:lineRule="auto"/>
              <w:ind w:firstLine="472" w:firstLineChars="200"/>
              <w:rPr>
                <w:color w:val="auto"/>
                <w:spacing w:val="-2"/>
                <w:sz w:val="24"/>
                <w:highlight w:val="none"/>
                <w:u w:val="none"/>
              </w:rPr>
            </w:pPr>
            <w:r>
              <w:rPr>
                <w:color w:val="auto"/>
                <w:spacing w:val="-2"/>
                <w:sz w:val="24"/>
                <w:highlight w:val="none"/>
                <w:u w:val="none"/>
              </w:rPr>
              <w:t>根据现场勘察，项目周边居民较少，在实施了本报告提出的环保措施的前提下，外排废气实现达标排放、生产固废实现综合利用、厂界噪声可达标</w:t>
            </w:r>
            <w:r>
              <w:rPr>
                <w:rFonts w:hint="eastAsia"/>
                <w:color w:val="auto"/>
                <w:spacing w:val="-2"/>
                <w:sz w:val="24"/>
                <w:highlight w:val="none"/>
                <w:u w:val="none"/>
              </w:rPr>
              <w:t>。</w:t>
            </w:r>
          </w:p>
          <w:p w14:paraId="5085FE5B">
            <w:pPr>
              <w:spacing w:line="360" w:lineRule="auto"/>
              <w:ind w:firstLine="472" w:firstLineChars="200"/>
              <w:rPr>
                <w:color w:val="auto"/>
                <w:sz w:val="24"/>
                <w:highlight w:val="none"/>
                <w:u w:val="none"/>
              </w:rPr>
            </w:pPr>
            <w:r>
              <w:rPr>
                <w:color w:val="auto"/>
                <w:spacing w:val="-2"/>
                <w:sz w:val="24"/>
                <w:highlight w:val="none"/>
                <w:u w:val="none"/>
              </w:rPr>
              <w:t>总体而言，项目选址具有良好的区位优势，在落实本评价提出的环境保护措施的前提下，本项目建设对周边环境影响较小。因此，从环保的角度考虑，项目的选址是合理的。</w:t>
            </w:r>
          </w:p>
          <w:p w14:paraId="6CF20DF2">
            <w:pPr>
              <w:spacing w:line="360" w:lineRule="auto"/>
              <w:rPr>
                <w:rFonts w:hint="default" w:eastAsia="宋体"/>
                <w:b/>
                <w:bCs/>
                <w:color w:val="auto"/>
                <w:sz w:val="24"/>
                <w:highlight w:val="none"/>
                <w:u w:val="none"/>
                <w:lang w:val="en-US" w:eastAsia="zh-CN"/>
              </w:rPr>
            </w:pPr>
            <w:r>
              <w:rPr>
                <w:rFonts w:hint="eastAsia"/>
                <w:b/>
                <w:bCs/>
                <w:color w:val="auto"/>
                <w:sz w:val="24"/>
                <w:highlight w:val="none"/>
                <w:u w:val="none"/>
              </w:rPr>
              <w:t>3、</w:t>
            </w:r>
            <w:r>
              <w:rPr>
                <w:rFonts w:hint="eastAsia"/>
                <w:b/>
                <w:bCs/>
                <w:color w:val="auto"/>
                <w:sz w:val="24"/>
                <w:highlight w:val="none"/>
                <w:u w:val="none"/>
                <w:lang w:val="en-US" w:eastAsia="zh-CN"/>
              </w:rPr>
              <w:t>环境分区管控符合性分析</w:t>
            </w:r>
          </w:p>
          <w:p w14:paraId="20E223C2">
            <w:pPr>
              <w:spacing w:line="360" w:lineRule="auto"/>
              <w:ind w:firstLine="472" w:firstLineChars="200"/>
              <w:rPr>
                <w:rFonts w:ascii="Times New Roman" w:hAnsi="Times New Roman" w:eastAsia="宋体" w:cs="Times New Roman"/>
                <w:color w:val="000000" w:themeColor="text1"/>
                <w:spacing w:val="-2"/>
                <w:sz w:val="24"/>
                <w:highlight w:val="none"/>
                <w:u w:val="none"/>
                <w14:textFill>
                  <w14:solidFill>
                    <w14:schemeClr w14:val="tx1"/>
                  </w14:solidFill>
                </w14:textFill>
              </w:rPr>
            </w:pPr>
            <w:r>
              <w:rPr>
                <w:rFonts w:hint="eastAsia" w:ascii="Times New Roman" w:hAnsi="Times New Roman" w:eastAsia="宋体" w:cs="Times New Roman"/>
                <w:color w:val="000000" w:themeColor="text1"/>
                <w:spacing w:val="-2"/>
                <w:sz w:val="24"/>
                <w:highlight w:val="none"/>
                <w:u w:val="none"/>
                <w14:textFill>
                  <w14:solidFill>
                    <w14:schemeClr w14:val="tx1"/>
                  </w14:solidFill>
                </w14:textFill>
              </w:rPr>
              <w:t>本项目位于永州经济技术开发区智能装备产业园标准厂</w:t>
            </w:r>
            <w:r>
              <w:rPr>
                <w:rFonts w:hint="eastAsia" w:cs="Times New Roman"/>
                <w:color w:val="000000" w:themeColor="text1"/>
                <w:spacing w:val="-2"/>
                <w:sz w:val="24"/>
                <w:highlight w:val="none"/>
                <w:u w:val="none"/>
                <w:lang w:val="en-US" w:eastAsia="zh-CN"/>
                <w14:textFill>
                  <w14:solidFill>
                    <w14:schemeClr w14:val="tx1"/>
                  </w14:solidFill>
                </w14:textFill>
              </w:rPr>
              <w:t>10栋、</w:t>
            </w:r>
            <w:r>
              <w:rPr>
                <w:rFonts w:hint="eastAsia" w:ascii="Times New Roman" w:hAnsi="Times New Roman" w:eastAsia="宋体" w:cs="Times New Roman"/>
                <w:color w:val="000000" w:themeColor="text1"/>
                <w:spacing w:val="-2"/>
                <w:sz w:val="24"/>
                <w:highlight w:val="none"/>
                <w:u w:val="none"/>
                <w14:textFill>
                  <w14:solidFill>
                    <w14:schemeClr w14:val="tx1"/>
                  </w14:solidFill>
                </w14:textFill>
              </w:rPr>
              <w:t>11栋，</w:t>
            </w:r>
            <w:r>
              <w:rPr>
                <w:rFonts w:ascii="Times New Roman" w:hAnsi="Times New Roman" w:eastAsia="宋体" w:cs="Times New Roman"/>
                <w:color w:val="000000" w:themeColor="text1"/>
                <w:spacing w:val="-2"/>
                <w:sz w:val="24"/>
                <w:highlight w:val="none"/>
                <w:u w:val="none"/>
                <w14:textFill>
                  <w14:solidFill>
                    <w14:schemeClr w14:val="tx1"/>
                  </w14:solidFill>
                </w14:textFill>
              </w:rPr>
              <w:t>根据《</w:t>
            </w:r>
            <w:r>
              <w:rPr>
                <w:rFonts w:hint="eastAsia" w:ascii="Times New Roman" w:hAnsi="Times New Roman" w:eastAsia="宋体" w:cs="Times New Roman"/>
                <w:color w:val="000000" w:themeColor="text1"/>
                <w:spacing w:val="-2"/>
                <w:sz w:val="24"/>
                <w:highlight w:val="none"/>
                <w:u w:val="none"/>
                <w14:textFill>
                  <w14:solidFill>
                    <w14:schemeClr w14:val="tx1"/>
                  </w14:solidFill>
                </w14:textFill>
              </w:rPr>
              <w:t>湖南省生态环境分区管控总体管控要求暨省级以上产业园区生态环境准入清单</w:t>
            </w:r>
            <w:r>
              <w:rPr>
                <w:rFonts w:ascii="Times New Roman" w:hAnsi="Times New Roman" w:eastAsia="宋体" w:cs="Times New Roman"/>
                <w:color w:val="000000" w:themeColor="text1"/>
                <w:spacing w:val="-2"/>
                <w:sz w:val="24"/>
                <w:highlight w:val="none"/>
                <w:u w:val="none"/>
                <w14:textFill>
                  <w14:solidFill>
                    <w14:schemeClr w14:val="tx1"/>
                  </w14:solidFill>
                </w14:textFill>
              </w:rPr>
              <w:t>》</w:t>
            </w:r>
            <w:r>
              <w:rPr>
                <w:rFonts w:hint="eastAsia" w:cs="Times New Roman"/>
                <w:color w:val="000000" w:themeColor="text1"/>
                <w:spacing w:val="-2"/>
                <w:sz w:val="24"/>
                <w:highlight w:val="none"/>
                <w:u w:val="none"/>
                <w:lang w:eastAsia="zh-CN"/>
                <w14:textFill>
                  <w14:solidFill>
                    <w14:schemeClr w14:val="tx1"/>
                  </w14:solidFill>
                </w14:textFill>
              </w:rPr>
              <w:t>（</w:t>
            </w:r>
            <w:r>
              <w:rPr>
                <w:rFonts w:hint="eastAsia" w:ascii="Times New Roman" w:hAnsi="Times New Roman" w:eastAsia="宋体" w:cs="Times New Roman"/>
                <w:color w:val="000000" w:themeColor="text1"/>
                <w:spacing w:val="-2"/>
                <w:sz w:val="24"/>
                <w:highlight w:val="none"/>
                <w:u w:val="none"/>
                <w14:textFill>
                  <w14:solidFill>
                    <w14:schemeClr w14:val="tx1"/>
                  </w14:solidFill>
                </w14:textFill>
              </w:rPr>
              <w:t>2023版</w:t>
            </w:r>
            <w:r>
              <w:rPr>
                <w:rFonts w:hint="eastAsia" w:cs="Times New Roman"/>
                <w:color w:val="000000" w:themeColor="text1"/>
                <w:spacing w:val="-2"/>
                <w:sz w:val="24"/>
                <w:highlight w:val="none"/>
                <w:u w:val="none"/>
                <w:lang w:eastAsia="zh-CN"/>
                <w14:textFill>
                  <w14:solidFill>
                    <w14:schemeClr w14:val="tx1"/>
                  </w14:solidFill>
                </w14:textFill>
              </w:rPr>
              <w:t>）</w:t>
            </w:r>
            <w:r>
              <w:rPr>
                <w:rFonts w:ascii="Times New Roman" w:hAnsi="Times New Roman" w:eastAsia="宋体" w:cs="Times New Roman"/>
                <w:color w:val="000000" w:themeColor="text1"/>
                <w:spacing w:val="-2"/>
                <w:sz w:val="24"/>
                <w:highlight w:val="none"/>
                <w:u w:val="none"/>
                <w14:textFill>
                  <w14:solidFill>
                    <w14:schemeClr w14:val="tx1"/>
                  </w14:solidFill>
                </w14:textFill>
              </w:rPr>
              <w:t>，项目所在区属于重点</w:t>
            </w:r>
            <w:r>
              <w:rPr>
                <w:rFonts w:hint="eastAsia" w:cs="Times New Roman"/>
                <w:color w:val="000000" w:themeColor="text1"/>
                <w:spacing w:val="-2"/>
                <w:sz w:val="24"/>
                <w:highlight w:val="none"/>
                <w:u w:val="none"/>
                <w:lang w:eastAsia="zh-CN"/>
                <w14:textFill>
                  <w14:solidFill>
                    <w14:schemeClr w14:val="tx1"/>
                  </w14:solidFill>
                </w14:textFill>
              </w:rPr>
              <w:t>管控单元</w:t>
            </w:r>
            <w:r>
              <w:rPr>
                <w:rFonts w:ascii="Times New Roman" w:hAnsi="Times New Roman" w:eastAsia="宋体" w:cs="Times New Roman"/>
                <w:color w:val="000000" w:themeColor="text1"/>
                <w:spacing w:val="-2"/>
                <w:sz w:val="24"/>
                <w:highlight w:val="none"/>
                <w:u w:val="none"/>
                <w14:textFill>
                  <w14:solidFill>
                    <w14:schemeClr w14:val="tx1"/>
                  </w14:solidFill>
                </w14:textFill>
              </w:rPr>
              <w:t>。</w:t>
            </w:r>
          </w:p>
          <w:p w14:paraId="77CB67D2">
            <w:pPr>
              <w:keepNext w:val="0"/>
              <w:keepLines w:val="0"/>
              <w:pageBreakBefore w:val="0"/>
              <w:kinsoku/>
              <w:wordWrap/>
              <w:overflowPunct/>
              <w:topLinePunct w:val="0"/>
              <w:autoSpaceDE/>
              <w:autoSpaceDN/>
              <w:bidi w:val="0"/>
              <w:adjustRightInd/>
              <w:snapToGrid/>
              <w:spacing w:line="360" w:lineRule="auto"/>
              <w:ind w:firstLine="482"/>
              <w:textAlignment w:val="auto"/>
              <w:outlineLvl w:val="9"/>
              <w:rPr>
                <w:color w:val="000000"/>
                <w:sz w:val="24"/>
                <w:szCs w:val="24"/>
                <w:highlight w:val="none"/>
                <w:u w:val="none"/>
              </w:rPr>
            </w:pPr>
            <w:r>
              <w:rPr>
                <w:color w:val="000000"/>
                <w:sz w:val="24"/>
                <w:szCs w:val="24"/>
                <w:highlight w:val="none"/>
                <w:u w:val="none"/>
              </w:rPr>
              <w:t>1、生态红线</w:t>
            </w:r>
          </w:p>
          <w:p w14:paraId="5205E7F0">
            <w:pPr>
              <w:keepNext w:val="0"/>
              <w:keepLines w:val="0"/>
              <w:pageBreakBefore w:val="0"/>
              <w:kinsoku/>
              <w:wordWrap/>
              <w:overflowPunct/>
              <w:topLinePunct w:val="0"/>
              <w:autoSpaceDE/>
              <w:autoSpaceDN/>
              <w:bidi w:val="0"/>
              <w:adjustRightInd/>
              <w:snapToGrid/>
              <w:spacing w:line="360" w:lineRule="auto"/>
              <w:ind w:firstLine="482"/>
              <w:textAlignment w:val="auto"/>
              <w:outlineLvl w:val="9"/>
              <w:rPr>
                <w:color w:val="000000"/>
                <w:sz w:val="24"/>
                <w:szCs w:val="24"/>
                <w:highlight w:val="none"/>
                <w:u w:val="none"/>
              </w:rPr>
            </w:pPr>
            <w:r>
              <w:rPr>
                <w:color w:val="000000"/>
                <w:sz w:val="24"/>
                <w:szCs w:val="24"/>
                <w:highlight w:val="none"/>
                <w:u w:val="none"/>
              </w:rPr>
              <w:t>“生态保护红线”是生态空间范围内具有特殊重要生态功能必须实行强制性严格保护的区域。经核实，本项目拟建地为工业园内，不在生态红线范围内，符合生态红线要求。</w:t>
            </w:r>
          </w:p>
          <w:p w14:paraId="0F7BEE7E">
            <w:pPr>
              <w:keepNext w:val="0"/>
              <w:keepLines w:val="0"/>
              <w:pageBreakBefore w:val="0"/>
              <w:kinsoku/>
              <w:wordWrap/>
              <w:overflowPunct/>
              <w:topLinePunct w:val="0"/>
              <w:autoSpaceDE/>
              <w:autoSpaceDN/>
              <w:bidi w:val="0"/>
              <w:adjustRightInd/>
              <w:snapToGrid/>
              <w:spacing w:line="360" w:lineRule="auto"/>
              <w:ind w:firstLine="482"/>
              <w:textAlignment w:val="auto"/>
              <w:outlineLvl w:val="9"/>
              <w:rPr>
                <w:color w:val="000000"/>
                <w:sz w:val="24"/>
                <w:szCs w:val="24"/>
                <w:highlight w:val="none"/>
                <w:u w:val="none"/>
              </w:rPr>
            </w:pPr>
            <w:r>
              <w:rPr>
                <w:color w:val="000000"/>
                <w:sz w:val="24"/>
                <w:szCs w:val="24"/>
                <w:highlight w:val="none"/>
                <w:u w:val="none"/>
              </w:rPr>
              <w:t>2、环境质量底线</w:t>
            </w:r>
          </w:p>
          <w:p w14:paraId="60B26C44">
            <w:pPr>
              <w:widowControl/>
              <w:spacing w:line="360" w:lineRule="auto"/>
              <w:ind w:firstLine="480" w:firstLineChars="200"/>
              <w:rPr>
                <w:rFonts w:hint="eastAsia" w:hAnsi="宋体"/>
                <w:color w:val="000000" w:themeColor="text1"/>
                <w:sz w:val="24"/>
                <w:highlight w:val="none"/>
                <w:u w:val="none" w:color="auto"/>
                <w:lang w:bidi="ar"/>
                <w14:textFill>
                  <w14:solidFill>
                    <w14:schemeClr w14:val="tx1"/>
                  </w14:solidFill>
                </w14:textFill>
              </w:rPr>
            </w:pPr>
            <w:r>
              <w:rPr>
                <w:rFonts w:hint="eastAsia" w:hAnsi="宋体"/>
                <w:color w:val="000000" w:themeColor="text1"/>
                <w:sz w:val="24"/>
                <w:highlight w:val="none"/>
                <w:u w:val="none" w:color="auto"/>
                <w:lang w:bidi="ar"/>
                <w14:textFill>
                  <w14:solidFill>
                    <w14:schemeClr w14:val="tx1"/>
                  </w14:solidFill>
                </w14:textFill>
              </w:rPr>
              <w:t>本项目所在区域地表水环境质量为《地表水环境质量标准》（GB3838-2002）Ⅲ类，声环境质量为《声环境质量标准》（GB3096-2008）2类。</w:t>
            </w:r>
          </w:p>
          <w:p w14:paraId="2AB193D0">
            <w:pPr>
              <w:widowControl/>
              <w:spacing w:line="360" w:lineRule="auto"/>
              <w:ind w:firstLine="480" w:firstLineChars="200"/>
              <w:rPr>
                <w:rFonts w:hint="eastAsia" w:hAnsi="宋体"/>
                <w:color w:val="000000" w:themeColor="text1"/>
                <w:sz w:val="24"/>
                <w:highlight w:val="none"/>
                <w:u w:val="none" w:color="auto"/>
                <w:lang w:bidi="ar"/>
                <w14:textFill>
                  <w14:solidFill>
                    <w14:schemeClr w14:val="tx1"/>
                  </w14:solidFill>
                </w14:textFill>
              </w:rPr>
            </w:pPr>
            <w:r>
              <w:rPr>
                <w:rFonts w:hint="eastAsia" w:hAnsi="宋体"/>
                <w:color w:val="000000" w:themeColor="text1"/>
                <w:sz w:val="24"/>
                <w:highlight w:val="none"/>
                <w:u w:val="none" w:color="auto"/>
                <w:lang w:bidi="ar"/>
                <w14:textFill>
                  <w14:solidFill>
                    <w14:schemeClr w14:val="tx1"/>
                  </w14:solidFill>
                </w14:textFill>
              </w:rPr>
              <w:t>冷水滩区202</w:t>
            </w:r>
            <w:r>
              <w:rPr>
                <w:rFonts w:hint="eastAsia" w:hAnsi="宋体"/>
                <w:color w:val="000000" w:themeColor="text1"/>
                <w:sz w:val="24"/>
                <w:highlight w:val="none"/>
                <w:u w:val="none" w:color="auto"/>
                <w:lang w:val="en-US" w:eastAsia="zh-CN" w:bidi="ar"/>
                <w14:textFill>
                  <w14:solidFill>
                    <w14:schemeClr w14:val="tx1"/>
                  </w14:solidFill>
                </w14:textFill>
              </w:rPr>
              <w:t>4</w:t>
            </w:r>
            <w:r>
              <w:rPr>
                <w:rFonts w:hint="eastAsia" w:hAnsi="宋体"/>
                <w:color w:val="000000" w:themeColor="text1"/>
                <w:sz w:val="24"/>
                <w:highlight w:val="none"/>
                <w:u w:val="none" w:color="auto"/>
                <w:lang w:bidi="ar"/>
                <w14:textFill>
                  <w14:solidFill>
                    <w14:schemeClr w14:val="tx1"/>
                  </w14:solidFill>
                </w14:textFill>
              </w:rPr>
              <w:t>年常规大气污染物中PM</w:t>
            </w:r>
            <w:r>
              <w:rPr>
                <w:rFonts w:hint="eastAsia" w:hAnsi="宋体"/>
                <w:color w:val="000000" w:themeColor="text1"/>
                <w:sz w:val="24"/>
                <w:highlight w:val="none"/>
                <w:u w:val="none" w:color="auto"/>
                <w:vertAlign w:val="subscript"/>
                <w:lang w:bidi="ar"/>
                <w14:textFill>
                  <w14:solidFill>
                    <w14:schemeClr w14:val="tx1"/>
                  </w14:solidFill>
                </w14:textFill>
              </w:rPr>
              <w:t>10</w:t>
            </w:r>
            <w:r>
              <w:rPr>
                <w:rFonts w:hint="eastAsia" w:hAnsi="宋体"/>
                <w:color w:val="000000" w:themeColor="text1"/>
                <w:sz w:val="24"/>
                <w:highlight w:val="none"/>
                <w:u w:val="none" w:color="auto"/>
                <w:lang w:bidi="ar"/>
                <w14:textFill>
                  <w14:solidFill>
                    <w14:schemeClr w14:val="tx1"/>
                  </w14:solidFill>
                </w14:textFill>
              </w:rPr>
              <w:t>、PM</w:t>
            </w:r>
            <w:r>
              <w:rPr>
                <w:rFonts w:hint="eastAsia" w:hAnsi="宋体"/>
                <w:color w:val="000000" w:themeColor="text1"/>
                <w:sz w:val="24"/>
                <w:highlight w:val="none"/>
                <w:u w:val="none" w:color="auto"/>
                <w:vertAlign w:val="subscript"/>
                <w:lang w:val="en-US" w:eastAsia="zh-CN" w:bidi="ar"/>
                <w14:textFill>
                  <w14:solidFill>
                    <w14:schemeClr w14:val="tx1"/>
                  </w14:solidFill>
                </w14:textFill>
              </w:rPr>
              <w:t>2.5</w:t>
            </w:r>
            <w:r>
              <w:rPr>
                <w:rFonts w:hint="eastAsia" w:hAnsi="宋体"/>
                <w:color w:val="000000" w:themeColor="text1"/>
                <w:sz w:val="24"/>
                <w:highlight w:val="none"/>
                <w:u w:val="none" w:color="auto"/>
                <w:lang w:bidi="ar"/>
                <w14:textFill>
                  <w14:solidFill>
                    <w14:schemeClr w14:val="tx1"/>
                  </w14:solidFill>
                </w14:textFill>
              </w:rPr>
              <w:t>、SO</w:t>
            </w:r>
            <w:r>
              <w:rPr>
                <w:rFonts w:hint="eastAsia" w:hAnsi="宋体"/>
                <w:color w:val="000000" w:themeColor="text1"/>
                <w:sz w:val="24"/>
                <w:highlight w:val="none"/>
                <w:u w:val="none" w:color="auto"/>
                <w:vertAlign w:val="subscript"/>
                <w:lang w:bidi="ar"/>
                <w14:textFill>
                  <w14:solidFill>
                    <w14:schemeClr w14:val="tx1"/>
                  </w14:solidFill>
                </w14:textFill>
              </w:rPr>
              <w:t>2</w:t>
            </w:r>
            <w:r>
              <w:rPr>
                <w:rFonts w:hint="eastAsia" w:hAnsi="宋体"/>
                <w:color w:val="000000" w:themeColor="text1"/>
                <w:sz w:val="24"/>
                <w:highlight w:val="none"/>
                <w:u w:val="none" w:color="auto"/>
                <w:lang w:bidi="ar"/>
                <w14:textFill>
                  <w14:solidFill>
                    <w14:schemeClr w14:val="tx1"/>
                  </w14:solidFill>
                </w14:textFill>
              </w:rPr>
              <w:t>、NO</w:t>
            </w:r>
            <w:r>
              <w:rPr>
                <w:rFonts w:hint="eastAsia" w:hAnsi="宋体"/>
                <w:color w:val="000000" w:themeColor="text1"/>
                <w:sz w:val="24"/>
                <w:highlight w:val="none"/>
                <w:u w:val="none" w:color="auto"/>
                <w:vertAlign w:val="subscript"/>
                <w:lang w:bidi="ar"/>
                <w14:textFill>
                  <w14:solidFill>
                    <w14:schemeClr w14:val="tx1"/>
                  </w14:solidFill>
                </w14:textFill>
              </w:rPr>
              <w:t>2</w:t>
            </w:r>
            <w:r>
              <w:rPr>
                <w:rFonts w:hint="eastAsia" w:hAnsi="宋体"/>
                <w:color w:val="000000" w:themeColor="text1"/>
                <w:sz w:val="24"/>
                <w:highlight w:val="none"/>
                <w:u w:val="none" w:color="auto"/>
                <w:lang w:bidi="ar"/>
                <w14:textFill>
                  <w14:solidFill>
                    <w14:schemeClr w14:val="tx1"/>
                  </w14:solidFill>
                </w14:textFill>
              </w:rPr>
              <w:t>、CO年平均值、CO日最大8h平均值浓度均满足《环境空气质量标准》（GB3096-2012）中二级标准要求。</w:t>
            </w:r>
          </w:p>
          <w:p w14:paraId="5298C2CF">
            <w:pPr>
              <w:keepNext w:val="0"/>
              <w:keepLines w:val="0"/>
              <w:pageBreakBefore w:val="0"/>
              <w:kinsoku/>
              <w:wordWrap/>
              <w:overflowPunct/>
              <w:topLinePunct w:val="0"/>
              <w:autoSpaceDE/>
              <w:autoSpaceDN/>
              <w:bidi w:val="0"/>
              <w:adjustRightInd/>
              <w:snapToGrid/>
              <w:spacing w:line="360" w:lineRule="auto"/>
              <w:ind w:firstLine="482"/>
              <w:textAlignment w:val="auto"/>
              <w:outlineLvl w:val="9"/>
              <w:rPr>
                <w:color w:val="000000"/>
                <w:sz w:val="24"/>
                <w:szCs w:val="24"/>
                <w:highlight w:val="none"/>
                <w:u w:val="none"/>
              </w:rPr>
            </w:pPr>
            <w:r>
              <w:rPr>
                <w:color w:val="000000"/>
                <w:sz w:val="24"/>
                <w:szCs w:val="24"/>
                <w:highlight w:val="none"/>
                <w:u w:val="none"/>
              </w:rPr>
              <w:t>3、资源利用上线</w:t>
            </w:r>
          </w:p>
          <w:p w14:paraId="72DF9F92">
            <w:pPr>
              <w:keepNext w:val="0"/>
              <w:keepLines w:val="0"/>
              <w:pageBreakBefore w:val="0"/>
              <w:kinsoku/>
              <w:wordWrap/>
              <w:overflowPunct/>
              <w:topLinePunct w:val="0"/>
              <w:autoSpaceDE/>
              <w:autoSpaceDN/>
              <w:bidi w:val="0"/>
              <w:adjustRightInd/>
              <w:snapToGrid/>
              <w:spacing w:line="360" w:lineRule="auto"/>
              <w:ind w:firstLine="482"/>
              <w:textAlignment w:val="auto"/>
              <w:outlineLvl w:val="9"/>
              <w:rPr>
                <w:color w:val="000000"/>
                <w:sz w:val="24"/>
                <w:szCs w:val="24"/>
                <w:highlight w:val="none"/>
                <w:u w:val="none"/>
              </w:rPr>
            </w:pPr>
            <w:r>
              <w:rPr>
                <w:color w:val="000000"/>
                <w:sz w:val="24"/>
                <w:szCs w:val="24"/>
                <w:highlight w:val="none"/>
                <w:u w:val="none"/>
              </w:rPr>
              <w:t>资源是环境的载体，“资源利用上线”地区能源、水、土地等资源消耗不得突破的“天花板”。</w:t>
            </w:r>
          </w:p>
          <w:p w14:paraId="57306CD1">
            <w:pPr>
              <w:keepNext w:val="0"/>
              <w:keepLines w:val="0"/>
              <w:pageBreakBefore w:val="0"/>
              <w:widowControl/>
              <w:kinsoku/>
              <w:wordWrap/>
              <w:overflowPunct/>
              <w:topLinePunct w:val="0"/>
              <w:autoSpaceDE/>
              <w:autoSpaceDN/>
              <w:bidi w:val="0"/>
              <w:adjustRightInd/>
              <w:snapToGrid/>
              <w:spacing w:line="360" w:lineRule="auto"/>
              <w:ind w:firstLine="482"/>
              <w:jc w:val="left"/>
              <w:textAlignment w:val="auto"/>
              <w:outlineLvl w:val="9"/>
              <w:rPr>
                <w:color w:val="000000"/>
                <w:sz w:val="24"/>
                <w:szCs w:val="24"/>
                <w:highlight w:val="none"/>
                <w:u w:val="none"/>
              </w:rPr>
            </w:pPr>
            <w:r>
              <w:rPr>
                <w:color w:val="000000"/>
                <w:sz w:val="24"/>
                <w:szCs w:val="24"/>
                <w:highlight w:val="none"/>
                <w:u w:val="none"/>
              </w:rPr>
              <w:t>项目为</w:t>
            </w:r>
            <w:r>
              <w:rPr>
                <w:rFonts w:hint="eastAsia" w:hAnsi="宋体"/>
                <w:bCs/>
                <w:color w:val="000000" w:themeColor="text1"/>
                <w:sz w:val="24"/>
                <w:szCs w:val="24"/>
                <w:highlight w:val="none"/>
                <w:lang w:val="en-US" w:eastAsia="zh-CN"/>
                <w14:textFill>
                  <w14:solidFill>
                    <w14:schemeClr w14:val="tx1"/>
                  </w14:solidFill>
                </w14:textFill>
              </w:rPr>
              <w:t>C3989</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其他电子元件制造</w:t>
            </w:r>
            <w:r>
              <w:rPr>
                <w:sz w:val="24"/>
                <w:szCs w:val="24"/>
                <w:highlight w:val="none"/>
                <w:u w:val="none"/>
              </w:rPr>
              <w:t>，营运过程中消耗</w:t>
            </w:r>
            <w:r>
              <w:rPr>
                <w:rFonts w:hint="eastAsia"/>
                <w:sz w:val="24"/>
                <w:szCs w:val="24"/>
                <w:highlight w:val="none"/>
                <w:u w:val="none"/>
                <w:lang w:eastAsia="zh-CN"/>
              </w:rPr>
              <w:t>一定量</w:t>
            </w:r>
            <w:r>
              <w:rPr>
                <w:sz w:val="24"/>
                <w:szCs w:val="24"/>
                <w:highlight w:val="none"/>
                <w:u w:val="none"/>
              </w:rPr>
              <w:t>的水资源、电资源，区域内生产和生活用水均使用自来水，能源主要依托当地电</w:t>
            </w:r>
            <w:r>
              <w:rPr>
                <w:kern w:val="0"/>
                <w:sz w:val="24"/>
                <w:szCs w:val="24"/>
                <w:highlight w:val="none"/>
                <w:u w:val="none"/>
              </w:rPr>
              <w:t>网供电，项目资源消耗相对区域资源利用总量较小。</w:t>
            </w:r>
            <w:r>
              <w:rPr>
                <w:rFonts w:hint="eastAsia"/>
                <w:color w:val="000000"/>
                <w:sz w:val="24"/>
                <w:szCs w:val="24"/>
                <w:highlight w:val="none"/>
                <w:u w:val="none"/>
                <w:lang w:eastAsia="zh-CN"/>
              </w:rPr>
              <w:t>租用</w:t>
            </w:r>
            <w:r>
              <w:rPr>
                <w:rFonts w:hint="eastAsia"/>
                <w:color w:val="000000"/>
                <w:sz w:val="24"/>
                <w:szCs w:val="24"/>
                <w:highlight w:val="none"/>
                <w:u w:val="none"/>
              </w:rPr>
              <w:t>工业园区工业</w:t>
            </w:r>
            <w:r>
              <w:rPr>
                <w:rFonts w:hint="eastAsia"/>
                <w:color w:val="000000"/>
                <w:sz w:val="24"/>
                <w:szCs w:val="24"/>
                <w:highlight w:val="none"/>
                <w:u w:val="none"/>
                <w:lang w:eastAsia="zh-CN"/>
              </w:rPr>
              <w:t>标准</w:t>
            </w:r>
            <w:r>
              <w:rPr>
                <w:rFonts w:hint="eastAsia"/>
                <w:color w:val="000000"/>
                <w:sz w:val="24"/>
                <w:szCs w:val="24"/>
                <w:highlight w:val="none"/>
                <w:u w:val="none"/>
              </w:rPr>
              <w:t>厂房</w:t>
            </w:r>
            <w:r>
              <w:rPr>
                <w:color w:val="000000"/>
                <w:sz w:val="24"/>
                <w:szCs w:val="24"/>
                <w:highlight w:val="none"/>
                <w:u w:val="none"/>
              </w:rPr>
              <w:t>，土地资源消耗符合要求。</w:t>
            </w:r>
          </w:p>
          <w:p w14:paraId="4EE3938A">
            <w:pPr>
              <w:keepNext w:val="0"/>
              <w:keepLines w:val="0"/>
              <w:pageBreakBefore w:val="0"/>
              <w:kinsoku/>
              <w:wordWrap/>
              <w:overflowPunct/>
              <w:topLinePunct w:val="0"/>
              <w:autoSpaceDE/>
              <w:autoSpaceDN/>
              <w:bidi w:val="0"/>
              <w:adjustRightInd/>
              <w:snapToGrid/>
              <w:spacing w:line="360" w:lineRule="auto"/>
              <w:ind w:firstLine="482"/>
              <w:textAlignment w:val="auto"/>
              <w:outlineLvl w:val="9"/>
              <w:rPr>
                <w:color w:val="000000"/>
                <w:sz w:val="24"/>
                <w:szCs w:val="24"/>
                <w:highlight w:val="none"/>
                <w:u w:val="none"/>
              </w:rPr>
            </w:pPr>
            <w:r>
              <w:rPr>
                <w:color w:val="000000"/>
                <w:sz w:val="24"/>
                <w:szCs w:val="24"/>
                <w:highlight w:val="none"/>
                <w:u w:val="none"/>
              </w:rPr>
              <w:t>因此，项目资源利用满足要求。</w:t>
            </w:r>
          </w:p>
          <w:p w14:paraId="18294305">
            <w:pPr>
              <w:keepNext w:val="0"/>
              <w:keepLines w:val="0"/>
              <w:pageBreakBefore w:val="0"/>
              <w:kinsoku/>
              <w:wordWrap/>
              <w:overflowPunct/>
              <w:topLinePunct w:val="0"/>
              <w:autoSpaceDE/>
              <w:autoSpaceDN/>
              <w:bidi w:val="0"/>
              <w:adjustRightInd/>
              <w:snapToGrid/>
              <w:spacing w:line="360" w:lineRule="auto"/>
              <w:ind w:firstLine="482"/>
              <w:textAlignment w:val="auto"/>
              <w:outlineLvl w:val="9"/>
              <w:rPr>
                <w:color w:val="000000"/>
                <w:sz w:val="24"/>
                <w:szCs w:val="24"/>
                <w:highlight w:val="none"/>
                <w:u w:val="none"/>
              </w:rPr>
            </w:pPr>
            <w:r>
              <w:rPr>
                <w:color w:val="000000"/>
                <w:sz w:val="24"/>
                <w:szCs w:val="24"/>
                <w:highlight w:val="none"/>
                <w:u w:val="none"/>
              </w:rPr>
              <w:t>4、</w:t>
            </w:r>
            <w:r>
              <w:rPr>
                <w:rFonts w:hint="eastAsia"/>
                <w:color w:val="000000"/>
                <w:sz w:val="24"/>
                <w:szCs w:val="24"/>
                <w:highlight w:val="none"/>
                <w:u w:val="none"/>
                <w:lang w:eastAsia="zh-CN"/>
              </w:rPr>
              <w:t>生态</w:t>
            </w:r>
            <w:r>
              <w:rPr>
                <w:color w:val="000000"/>
                <w:sz w:val="24"/>
                <w:szCs w:val="24"/>
                <w:highlight w:val="none"/>
                <w:u w:val="none"/>
              </w:rPr>
              <w:t>环境准入清单</w:t>
            </w:r>
          </w:p>
          <w:p w14:paraId="001C10A2">
            <w:pPr>
              <w:keepNext w:val="0"/>
              <w:keepLines w:val="0"/>
              <w:pageBreakBefore w:val="0"/>
              <w:kinsoku/>
              <w:wordWrap/>
              <w:overflowPunct/>
              <w:topLinePunct w:val="0"/>
              <w:autoSpaceDE/>
              <w:autoSpaceDN/>
              <w:bidi w:val="0"/>
              <w:adjustRightInd/>
              <w:snapToGrid/>
              <w:spacing w:line="360" w:lineRule="auto"/>
              <w:ind w:firstLine="482"/>
              <w:textAlignment w:val="auto"/>
              <w:outlineLvl w:val="9"/>
              <w:rPr>
                <w:rFonts w:hint="eastAsia" w:ascii="Times New Roman" w:hAnsi="Times New Roman" w:eastAsia="宋体" w:cs="Times New Roman"/>
                <w:color w:val="auto"/>
                <w:spacing w:val="-2"/>
                <w:sz w:val="24"/>
                <w:highlight w:val="none"/>
                <w:u w:val="none"/>
                <w:shd w:val="clear" w:color="auto" w:fill="auto"/>
              </w:rPr>
            </w:pPr>
            <w:r>
              <w:rPr>
                <w:color w:val="000000"/>
                <w:sz w:val="24"/>
                <w:szCs w:val="24"/>
                <w:highlight w:val="none"/>
                <w:u w:val="none"/>
              </w:rPr>
              <w:t>项目为</w:t>
            </w:r>
            <w:r>
              <w:rPr>
                <w:rFonts w:hint="eastAsia" w:hAnsi="宋体"/>
                <w:bCs/>
                <w:color w:val="000000" w:themeColor="text1"/>
                <w:sz w:val="24"/>
                <w:szCs w:val="24"/>
                <w:highlight w:val="none"/>
                <w:lang w:val="en-US" w:eastAsia="zh-CN"/>
                <w14:textFill>
                  <w14:solidFill>
                    <w14:schemeClr w14:val="tx1"/>
                  </w14:solidFill>
                </w14:textFill>
              </w:rPr>
              <w:t>C3989</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其他电子</w:t>
            </w:r>
            <w:r>
              <w:rPr>
                <w:rFonts w:hint="eastAsia"/>
                <w:color w:val="000000"/>
                <w:sz w:val="24"/>
                <w:szCs w:val="24"/>
                <w:highlight w:val="none"/>
                <w:u w:val="none"/>
                <w:lang w:val="en-US" w:eastAsia="zh-CN"/>
              </w:rPr>
              <w:t>元件制造</w:t>
            </w:r>
            <w:r>
              <w:rPr>
                <w:rFonts w:hint="eastAsia"/>
                <w:color w:val="000000"/>
                <w:sz w:val="24"/>
                <w:szCs w:val="24"/>
                <w:highlight w:val="none"/>
                <w:u w:val="none"/>
              </w:rPr>
              <w:t>，根据《永州经济技术开发区调区扩区规划环境影响报告书</w:t>
            </w:r>
            <w:r>
              <w:rPr>
                <w:rFonts w:hint="eastAsia"/>
                <w:color w:val="auto"/>
                <w:kern w:val="0"/>
                <w:sz w:val="24"/>
                <w:szCs w:val="24"/>
                <w:highlight w:val="none"/>
                <w:u w:val="none" w:color="auto"/>
              </w:rPr>
              <w:t>》</w:t>
            </w:r>
            <w:r>
              <w:rPr>
                <w:rFonts w:hint="eastAsia"/>
                <w:color w:val="000000"/>
                <w:sz w:val="24"/>
                <w:szCs w:val="24"/>
                <w:highlight w:val="none"/>
                <w:u w:val="none"/>
              </w:rPr>
              <w:t>，本项目所属行业</w:t>
            </w:r>
            <w:r>
              <w:rPr>
                <w:rFonts w:hint="eastAsia"/>
                <w:color w:val="000000"/>
                <w:sz w:val="24"/>
                <w:szCs w:val="24"/>
                <w:highlight w:val="none"/>
                <w:u w:val="none"/>
                <w:lang w:eastAsia="zh-CN"/>
              </w:rPr>
              <w:t>、使用的工艺、生产的产品均</w:t>
            </w:r>
            <w:r>
              <w:rPr>
                <w:color w:val="000000"/>
                <w:sz w:val="24"/>
                <w:szCs w:val="24"/>
                <w:highlight w:val="none"/>
                <w:u w:val="none"/>
              </w:rPr>
              <w:t>未被列入</w:t>
            </w:r>
            <w:r>
              <w:rPr>
                <w:rFonts w:hint="eastAsia"/>
                <w:color w:val="000000"/>
                <w:sz w:val="24"/>
                <w:szCs w:val="24"/>
                <w:highlight w:val="none"/>
                <w:u w:val="none"/>
                <w:lang w:eastAsia="zh-CN"/>
              </w:rPr>
              <w:t>环境准入</w:t>
            </w:r>
            <w:r>
              <w:rPr>
                <w:color w:val="000000"/>
                <w:sz w:val="24"/>
                <w:szCs w:val="24"/>
                <w:highlight w:val="none"/>
                <w:u w:val="none"/>
              </w:rPr>
              <w:t>负面清单。</w:t>
            </w:r>
          </w:p>
          <w:p w14:paraId="46F04059">
            <w:pPr>
              <w:pStyle w:val="4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 w:val="0"/>
                <w:color w:val="auto"/>
                <w:kern w:val="0"/>
                <w:sz w:val="24"/>
                <w:szCs w:val="24"/>
                <w:highlight w:val="none"/>
                <w:u w:val="none" w:color="auto"/>
                <w:lang w:val="en-US" w:eastAsia="zh-CN" w:bidi="ar-SA"/>
              </w:rPr>
            </w:pPr>
            <w:r>
              <w:rPr>
                <w:rFonts w:hint="eastAsia" w:ascii="Times New Roman" w:hAnsi="Times New Roman" w:eastAsia="宋体" w:cs="Times New Roman"/>
                <w:b w:val="0"/>
                <w:color w:val="auto"/>
                <w:kern w:val="0"/>
                <w:sz w:val="24"/>
                <w:szCs w:val="24"/>
                <w:highlight w:val="none"/>
                <w:u w:val="none" w:color="auto"/>
                <w:lang w:val="en-US" w:eastAsia="zh-CN" w:bidi="ar-SA"/>
              </w:rPr>
              <w:t>生态环境准入清单是基于生态保护红线、环境质量底线和资源利用上线，以清单方式列出的禁止、限制等差别化环境准入条件和要求。根据《湖南省生态环境厅关于发布〈湖南省生态环境分区管控总体管控要求暨省级以上产业园区生态环境准入清单〉的函》（湘环函〔2024〕26 号），本项目涉及的生态环境准入清单可按照永州经济技术开发区分析。本项目生态环境准入清单符合性分析如下：</w:t>
            </w:r>
          </w:p>
          <w:p w14:paraId="352D7F62">
            <w:pPr>
              <w:widowControl/>
              <w:jc w:val="center"/>
              <w:rPr>
                <w:rFonts w:hint="default" w:ascii="Times New Roman" w:hAnsi="Times New Roman" w:cs="Times New Roman"/>
                <w:b/>
                <w:bCs/>
                <w:color w:val="auto"/>
                <w:kern w:val="0"/>
                <w:sz w:val="21"/>
                <w:szCs w:val="21"/>
                <w:lang w:bidi="ar"/>
              </w:rPr>
            </w:pPr>
            <w:r>
              <w:rPr>
                <w:rFonts w:hint="default" w:ascii="Times New Roman" w:hAnsi="Times New Roman" w:cs="Times New Roman"/>
                <w:b/>
                <w:bCs/>
                <w:color w:val="auto"/>
                <w:kern w:val="0"/>
                <w:sz w:val="21"/>
                <w:szCs w:val="21"/>
                <w:lang w:bidi="ar"/>
              </w:rPr>
              <w:t>表1-</w:t>
            </w:r>
            <w:r>
              <w:rPr>
                <w:rFonts w:hint="eastAsia" w:cs="Times New Roman"/>
                <w:b/>
                <w:bCs/>
                <w:color w:val="auto"/>
                <w:kern w:val="0"/>
                <w:sz w:val="21"/>
                <w:szCs w:val="21"/>
                <w:lang w:val="en-US" w:eastAsia="zh-CN" w:bidi="ar"/>
              </w:rPr>
              <w:t>3</w:t>
            </w:r>
            <w:r>
              <w:rPr>
                <w:rFonts w:hint="default" w:ascii="Times New Roman" w:hAnsi="Times New Roman" w:cs="Times New Roman"/>
                <w:b/>
                <w:bCs/>
                <w:color w:val="auto"/>
                <w:kern w:val="0"/>
                <w:sz w:val="21"/>
                <w:szCs w:val="21"/>
                <w:lang w:bidi="ar"/>
              </w:rPr>
              <w:t xml:space="preserve"> 省级以上产业园区生态环境准入清单符合性分析（摘录</w:t>
            </w:r>
            <w:r>
              <w:rPr>
                <w:rFonts w:hint="eastAsia" w:cs="Times New Roman"/>
                <w:b/>
                <w:bCs/>
                <w:color w:val="auto"/>
                <w:kern w:val="0"/>
                <w:sz w:val="21"/>
                <w:szCs w:val="21"/>
                <w:lang w:eastAsia="zh-CN" w:bidi="ar"/>
              </w:rPr>
              <w:t>永州经济技术开发区</w:t>
            </w:r>
            <w:r>
              <w:rPr>
                <w:rFonts w:hint="default" w:ascii="Times New Roman" w:hAnsi="Times New Roman" w:cs="Times New Roman"/>
                <w:b/>
                <w:bCs/>
                <w:color w:val="auto"/>
                <w:kern w:val="0"/>
                <w:sz w:val="21"/>
                <w:szCs w:val="21"/>
                <w:lang w:bidi="ar"/>
              </w:rPr>
              <w:t>）</w:t>
            </w:r>
          </w:p>
          <w:tbl>
            <w:tblPr>
              <w:tblStyle w:val="35"/>
              <w:tblW w:w="6937" w:type="dxa"/>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494"/>
              <w:gridCol w:w="1124"/>
              <w:gridCol w:w="2385"/>
              <w:gridCol w:w="787"/>
              <w:gridCol w:w="1574"/>
            </w:tblGrid>
            <w:tr w14:paraId="09D5E2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79" w:type="pct"/>
                  <w:gridSpan w:val="3"/>
                  <w:tcBorders>
                    <w:tl2br w:val="nil"/>
                    <w:tr2bl w:val="nil"/>
                  </w:tcBorders>
                  <w:noWrap w:val="0"/>
                  <w:vAlign w:val="center"/>
                </w:tcPr>
                <w:p w14:paraId="5C2F2788">
                  <w:pPr>
                    <w:pStyle w:val="60"/>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b/>
                      <w:bCs/>
                      <w:color w:val="auto"/>
                      <w:kern w:val="2"/>
                      <w:sz w:val="21"/>
                      <w:szCs w:val="21"/>
                      <w:lang w:val="en-US" w:eastAsia="zh-CN"/>
                    </w:rPr>
                  </w:pPr>
                  <w:r>
                    <w:rPr>
                      <w:rFonts w:hint="default" w:ascii="Times New Roman" w:hAnsi="Times New Roman" w:cs="Times New Roman"/>
                      <w:b/>
                      <w:bCs/>
                      <w:color w:val="auto"/>
                      <w:kern w:val="2"/>
                      <w:sz w:val="21"/>
                      <w:szCs w:val="21"/>
                      <w:lang w:val="en-US" w:eastAsia="zh-CN"/>
                    </w:rPr>
                    <w:t>环境管控单元编码</w:t>
                  </w:r>
                </w:p>
              </w:tc>
              <w:tc>
                <w:tcPr>
                  <w:tcW w:w="1719" w:type="pct"/>
                  <w:tcBorders>
                    <w:tl2br w:val="nil"/>
                    <w:tr2bl w:val="nil"/>
                  </w:tcBorders>
                  <w:noWrap w:val="0"/>
                  <w:vAlign w:val="center"/>
                </w:tcPr>
                <w:p w14:paraId="728F7B1A">
                  <w:pPr>
                    <w:pStyle w:val="60"/>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b/>
                      <w:bCs/>
                      <w:color w:val="auto"/>
                      <w:kern w:val="2"/>
                      <w:sz w:val="21"/>
                      <w:szCs w:val="21"/>
                      <w:lang w:val="en-US" w:eastAsia="zh-CN"/>
                    </w:rPr>
                  </w:pPr>
                  <w:r>
                    <w:rPr>
                      <w:rFonts w:hint="default" w:ascii="Times New Roman" w:hAnsi="Times New Roman" w:cs="Times New Roman"/>
                      <w:b/>
                      <w:bCs/>
                      <w:color w:val="auto"/>
                      <w:kern w:val="2"/>
                      <w:sz w:val="21"/>
                      <w:szCs w:val="21"/>
                      <w:lang w:val="en-US" w:eastAsia="zh-CN"/>
                    </w:rPr>
                    <w:t>单元名称</w:t>
                  </w:r>
                </w:p>
              </w:tc>
              <w:tc>
                <w:tcPr>
                  <w:tcW w:w="1701" w:type="pct"/>
                  <w:gridSpan w:val="2"/>
                  <w:tcBorders>
                    <w:tl2br w:val="nil"/>
                    <w:tr2bl w:val="nil"/>
                  </w:tcBorders>
                  <w:noWrap w:val="0"/>
                  <w:vAlign w:val="center"/>
                </w:tcPr>
                <w:p w14:paraId="76B9B152">
                  <w:pPr>
                    <w:pStyle w:val="60"/>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b/>
                      <w:bCs/>
                      <w:color w:val="auto"/>
                      <w:kern w:val="2"/>
                      <w:sz w:val="21"/>
                      <w:szCs w:val="21"/>
                      <w:lang w:val="en-US" w:eastAsia="zh-CN"/>
                    </w:rPr>
                  </w:pPr>
                  <w:r>
                    <w:rPr>
                      <w:rFonts w:hint="default" w:ascii="Times New Roman" w:hAnsi="Times New Roman" w:cs="Times New Roman"/>
                      <w:b/>
                      <w:bCs/>
                      <w:color w:val="auto"/>
                      <w:kern w:val="2"/>
                      <w:sz w:val="21"/>
                      <w:szCs w:val="21"/>
                      <w:lang w:val="en-US" w:eastAsia="zh-CN"/>
                    </w:rPr>
                    <w:t>单元分类</w:t>
                  </w:r>
                </w:p>
              </w:tc>
            </w:tr>
            <w:tr w14:paraId="642206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579" w:type="pct"/>
                  <w:gridSpan w:val="3"/>
                  <w:tcBorders>
                    <w:tl2br w:val="nil"/>
                    <w:tr2bl w:val="nil"/>
                  </w:tcBorders>
                  <w:noWrap w:val="0"/>
                  <w:vAlign w:val="center"/>
                </w:tcPr>
                <w:p w14:paraId="1D3D6C06">
                  <w:pPr>
                    <w:pStyle w:val="60"/>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color w:val="auto"/>
                      <w:kern w:val="2"/>
                      <w:sz w:val="21"/>
                      <w:szCs w:val="21"/>
                      <w:lang w:val="en-US" w:eastAsia="zh-CN"/>
                    </w:rPr>
                  </w:pPr>
                  <w:r>
                    <w:rPr>
                      <w:rFonts w:hint="default" w:ascii="Times New Roman" w:hAnsi="Times New Roman" w:cs="Times New Roman"/>
                      <w:color w:val="auto"/>
                      <w:kern w:val="2"/>
                      <w:sz w:val="21"/>
                      <w:szCs w:val="21"/>
                      <w:lang w:val="en-US" w:eastAsia="zh-CN"/>
                    </w:rPr>
                    <w:t>ZH43110320002</w:t>
                  </w:r>
                </w:p>
              </w:tc>
              <w:tc>
                <w:tcPr>
                  <w:tcW w:w="1719" w:type="pct"/>
                  <w:tcBorders>
                    <w:tl2br w:val="nil"/>
                    <w:tr2bl w:val="nil"/>
                  </w:tcBorders>
                  <w:noWrap w:val="0"/>
                  <w:vAlign w:val="center"/>
                </w:tcPr>
                <w:p w14:paraId="0845E059">
                  <w:pPr>
                    <w:pStyle w:val="60"/>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color w:val="auto"/>
                      <w:kern w:val="2"/>
                      <w:sz w:val="21"/>
                      <w:szCs w:val="21"/>
                      <w:lang w:val="en-US" w:eastAsia="zh-CN"/>
                    </w:rPr>
                  </w:pPr>
                  <w:r>
                    <w:rPr>
                      <w:rFonts w:hint="eastAsia" w:ascii="Times New Roman" w:hAnsi="Times New Roman" w:cs="Times New Roman"/>
                      <w:color w:val="auto"/>
                      <w:kern w:val="2"/>
                      <w:sz w:val="21"/>
                      <w:szCs w:val="21"/>
                      <w:lang w:val="en-US" w:eastAsia="zh-CN"/>
                    </w:rPr>
                    <w:t>永州经济技术开发区</w:t>
                  </w:r>
                </w:p>
              </w:tc>
              <w:tc>
                <w:tcPr>
                  <w:tcW w:w="1701" w:type="pct"/>
                  <w:gridSpan w:val="2"/>
                  <w:tcBorders>
                    <w:tl2br w:val="nil"/>
                    <w:tr2bl w:val="nil"/>
                  </w:tcBorders>
                  <w:noWrap w:val="0"/>
                  <w:vAlign w:val="center"/>
                </w:tcPr>
                <w:p w14:paraId="51853FC2">
                  <w:pPr>
                    <w:pStyle w:val="60"/>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b/>
                      <w:color w:val="auto"/>
                      <w:sz w:val="21"/>
                      <w:szCs w:val="21"/>
                      <w:lang w:val="en-US" w:eastAsia="zh-CN"/>
                    </w:rPr>
                  </w:pPr>
                  <w:r>
                    <w:rPr>
                      <w:rFonts w:hint="default" w:ascii="Times New Roman" w:hAnsi="Times New Roman" w:cs="Times New Roman"/>
                      <w:color w:val="auto"/>
                      <w:kern w:val="2"/>
                      <w:sz w:val="21"/>
                      <w:szCs w:val="21"/>
                      <w:lang w:val="en-US" w:eastAsia="zh-CN"/>
                    </w:rPr>
                    <w:t>重点管控单元</w:t>
                  </w:r>
                </w:p>
              </w:tc>
            </w:tr>
            <w:tr w14:paraId="45C33C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69" w:type="pct"/>
                  <w:gridSpan w:val="2"/>
                  <w:tcBorders>
                    <w:tl2br w:val="nil"/>
                    <w:tr2bl w:val="nil"/>
                  </w:tcBorders>
                  <w:noWrap w:val="0"/>
                  <w:vAlign w:val="center"/>
                </w:tcPr>
                <w:p w14:paraId="071B87E3">
                  <w:pPr>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管控维度</w:t>
                  </w:r>
                </w:p>
              </w:tc>
              <w:tc>
                <w:tcPr>
                  <w:tcW w:w="3096" w:type="pct"/>
                  <w:gridSpan w:val="3"/>
                  <w:tcBorders>
                    <w:tl2br w:val="nil"/>
                    <w:tr2bl w:val="nil"/>
                  </w:tcBorders>
                  <w:noWrap w:val="0"/>
                  <w:vAlign w:val="center"/>
                </w:tcPr>
                <w:p w14:paraId="1B3C1B5F">
                  <w:pPr>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管控要求</w:t>
                  </w:r>
                </w:p>
              </w:tc>
              <w:tc>
                <w:tcPr>
                  <w:tcW w:w="1134" w:type="pct"/>
                  <w:tcBorders>
                    <w:tl2br w:val="nil"/>
                    <w:tr2bl w:val="nil"/>
                  </w:tcBorders>
                  <w:noWrap w:val="0"/>
                  <w:vAlign w:val="center"/>
                </w:tcPr>
                <w:p w14:paraId="0E5DE68E">
                  <w:pPr>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符合性分析</w:t>
                  </w:r>
                </w:p>
              </w:tc>
            </w:tr>
            <w:tr w14:paraId="3E279E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13" w:type="pct"/>
                  <w:vMerge w:val="restart"/>
                  <w:tcBorders>
                    <w:tl2br w:val="nil"/>
                    <w:tr2bl w:val="nil"/>
                  </w:tcBorders>
                  <w:noWrap w:val="0"/>
                  <w:vAlign w:val="center"/>
                </w:tcPr>
                <w:p w14:paraId="69684692">
                  <w:pPr>
                    <w:keepNext w:val="0"/>
                    <w:keepLines w:val="0"/>
                    <w:pageBreakBefore w:val="0"/>
                    <w:kinsoku/>
                    <w:wordWrap/>
                    <w:overflowPunct/>
                    <w:topLinePunct w:val="0"/>
                    <w:bidi w:val="0"/>
                    <w:adjustRightInd/>
                    <w:snapToGrid/>
                    <w:ind w:firstLine="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永州经济技术开发区</w:t>
                  </w:r>
                </w:p>
              </w:tc>
              <w:tc>
                <w:tcPr>
                  <w:tcW w:w="356" w:type="pct"/>
                  <w:tcBorders>
                    <w:tl2br w:val="nil"/>
                    <w:tr2bl w:val="nil"/>
                  </w:tcBorders>
                  <w:noWrap w:val="0"/>
                  <w:vAlign w:val="center"/>
                </w:tcPr>
                <w:p w14:paraId="7169FA92">
                  <w:pPr>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空间布局约束</w:t>
                  </w:r>
                </w:p>
              </w:tc>
              <w:tc>
                <w:tcPr>
                  <w:tcW w:w="3096" w:type="pct"/>
                  <w:gridSpan w:val="3"/>
                  <w:tcBorders>
                    <w:tl2br w:val="nil"/>
                    <w:tr2bl w:val="nil"/>
                  </w:tcBorders>
                  <w:noWrap w:val="0"/>
                  <w:vAlign w:val="center"/>
                </w:tcPr>
                <w:p w14:paraId="3B7BD426">
                  <w:pPr>
                    <w:pStyle w:val="17"/>
                    <w:keepNext w:val="0"/>
                    <w:keepLines w:val="0"/>
                    <w:pageBreakBefore w:val="0"/>
                    <w:kinsoku/>
                    <w:wordWrap/>
                    <w:overflowPunct/>
                    <w:topLinePunct w:val="0"/>
                    <w:autoSpaceDE/>
                    <w:autoSpaceDN/>
                    <w:bidi w:val="0"/>
                    <w:adjustRightInd/>
                    <w:snapToGrid/>
                    <w:spacing w:before="0" w:after="0" w:line="240" w:lineRule="auto"/>
                    <w:ind w:right="0" w:firstLine="420" w:firstLineChars="200"/>
                    <w:jc w:val="both"/>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1.1</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禁止新引进涉三类工业用地企业以及线路板、电镀等排水涉重金属或持久性污染物的企业。</w:t>
                  </w:r>
                </w:p>
                <w:p w14:paraId="40632EED">
                  <w:pPr>
                    <w:pStyle w:val="17"/>
                    <w:keepNext w:val="0"/>
                    <w:keepLines w:val="0"/>
                    <w:pageBreakBefore w:val="0"/>
                    <w:kinsoku/>
                    <w:wordWrap/>
                    <w:overflowPunct/>
                    <w:topLinePunct w:val="0"/>
                    <w:autoSpaceDE/>
                    <w:autoSpaceDN/>
                    <w:bidi w:val="0"/>
                    <w:adjustRightInd/>
                    <w:snapToGrid/>
                    <w:spacing w:before="0" w:after="0" w:line="240" w:lineRule="auto"/>
                    <w:ind w:right="0" w:firstLine="420" w:firstLineChars="200"/>
                    <w:jc w:val="both"/>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1.2</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区块一</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北部片区):严格准入引进气型污染企业；区块三</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南部片区):允许长丰工业园片控规C街区C03-C06区域在确保污水处置达标、下河线污水处理厂有足够处理负荷的前提下，可以发展生物制药产业</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主要是醇提、水提的植物提取制药制剂</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、保健食品、植物提取相关的化妆品等，限制除植物提取以外的原料药生产和化学合成药生产，禁止引进高耗水、高污染的低端企业。</w:t>
                  </w:r>
                </w:p>
                <w:p w14:paraId="0734B132">
                  <w:pPr>
                    <w:pStyle w:val="17"/>
                    <w:keepNext w:val="0"/>
                    <w:keepLines w:val="0"/>
                    <w:pageBreakBefore w:val="0"/>
                    <w:kinsoku/>
                    <w:wordWrap/>
                    <w:overflowPunct/>
                    <w:topLinePunct w:val="0"/>
                    <w:autoSpaceDE/>
                    <w:autoSpaceDN/>
                    <w:bidi w:val="0"/>
                    <w:adjustRightInd/>
                    <w:snapToGrid/>
                    <w:spacing w:before="0" w:after="0" w:line="240" w:lineRule="auto"/>
                    <w:ind w:right="0" w:firstLine="420" w:firstLineChars="200"/>
                    <w:jc w:val="both"/>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1.3</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对不符合产业定位或产业布局要求的企业在现址不得扩大规模，适时调整至适宜的规划区。</w:t>
                  </w:r>
                </w:p>
                <w:p w14:paraId="70E20F65">
                  <w:pPr>
                    <w:pStyle w:val="17"/>
                    <w:keepNext w:val="0"/>
                    <w:keepLines w:val="0"/>
                    <w:pageBreakBefore w:val="0"/>
                    <w:kinsoku/>
                    <w:wordWrap/>
                    <w:overflowPunct/>
                    <w:topLinePunct w:val="0"/>
                    <w:autoSpaceDE/>
                    <w:autoSpaceDN/>
                    <w:bidi w:val="0"/>
                    <w:adjustRightInd/>
                    <w:snapToGrid/>
                    <w:spacing w:before="0" w:after="0" w:line="240" w:lineRule="auto"/>
                    <w:ind w:right="0" w:rightChars="0" w:firstLine="420" w:firstLineChars="200"/>
                    <w:jc w:val="both"/>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1.4</w:t>
                  </w:r>
                  <w:r>
                    <w:rPr>
                      <w:rFonts w:hint="eastAsia" w:cs="Times New Roman"/>
                      <w:color w:val="auto"/>
                      <w:sz w:val="21"/>
                      <w:szCs w:val="21"/>
                      <w:lang w:val="en-US" w:eastAsia="zh-CN"/>
                    </w:rPr>
                    <w:t>）</w:t>
                  </w:r>
                  <w:r>
                    <w:rPr>
                      <w:rFonts w:hint="default" w:ascii="Times New Roman" w:hAnsi="Times New Roman" w:cs="Times New Roman"/>
                      <w:color w:val="auto"/>
                      <w:sz w:val="21"/>
                      <w:szCs w:val="21"/>
                      <w:lang w:val="en-US" w:eastAsia="zh-CN"/>
                    </w:rPr>
                    <w:t>湘江干流岸线1公里范围内不准新增化工园区和化工项目。</w:t>
                  </w:r>
                </w:p>
              </w:tc>
              <w:tc>
                <w:tcPr>
                  <w:tcW w:w="1134" w:type="pct"/>
                  <w:tcBorders>
                    <w:tl2br w:val="nil"/>
                    <w:tr2bl w:val="nil"/>
                  </w:tcBorders>
                  <w:noWrap w:val="0"/>
                  <w:vAlign w:val="center"/>
                </w:tcPr>
                <w:p w14:paraId="4A9DEFC4">
                  <w:pPr>
                    <w:keepNext w:val="0"/>
                    <w:keepLines w:val="0"/>
                    <w:pageBreakBefore w:val="0"/>
                    <w:kinsoku/>
                    <w:wordWrap/>
                    <w:overflowPunct/>
                    <w:topLinePunct w:val="0"/>
                    <w:bidi w:val="0"/>
                    <w:adjustRightInd/>
                    <w:snapToGrid/>
                    <w:ind w:firstLine="0"/>
                    <w:jc w:val="both"/>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 xml:space="preserve">   </w:t>
                  </w:r>
                  <w:r>
                    <w:rPr>
                      <w:rFonts w:hint="eastAsia" w:cs="Times New Roman"/>
                      <w:color w:val="auto"/>
                      <w:sz w:val="21"/>
                      <w:szCs w:val="21"/>
                      <w:lang w:eastAsia="zh-CN"/>
                    </w:rPr>
                    <w:t>本项目不产生重金属、一类污染物、持久性有机物的废水。</w:t>
                  </w:r>
                  <w:r>
                    <w:rPr>
                      <w:rFonts w:hint="default" w:ascii="Times New Roman" w:hAnsi="Times New Roman" w:cs="Times New Roman"/>
                      <w:color w:val="auto"/>
                      <w:sz w:val="21"/>
                      <w:szCs w:val="21"/>
                    </w:rPr>
                    <w:t>工程不属于高能耗、高水耗、高污染行业，项目污染物达标排放。本项目位于永州市经济技术开发区</w:t>
                  </w:r>
                  <w:r>
                    <w:rPr>
                      <w:rFonts w:hint="eastAsia" w:cs="Times New Roman"/>
                      <w:color w:val="auto"/>
                      <w:sz w:val="21"/>
                      <w:szCs w:val="21"/>
                      <w:lang w:val="en-US" w:eastAsia="zh-CN"/>
                    </w:rPr>
                    <w:t>南部片区</w:t>
                  </w:r>
                  <w:r>
                    <w:rPr>
                      <w:rFonts w:hint="eastAsia" w:cs="Times New Roman"/>
                      <w:color w:val="auto"/>
                      <w:sz w:val="21"/>
                      <w:szCs w:val="21"/>
                      <w:lang w:eastAsia="zh-CN"/>
                    </w:rPr>
                    <w:t>，</w:t>
                  </w:r>
                  <w:r>
                    <w:rPr>
                      <w:rFonts w:hint="eastAsia" w:cs="Times New Roman"/>
                      <w:color w:val="auto"/>
                      <w:sz w:val="21"/>
                      <w:szCs w:val="21"/>
                      <w:lang w:val="en-US" w:eastAsia="zh-CN"/>
                    </w:rPr>
                    <w:t>用地</w:t>
                  </w:r>
                  <w:r>
                    <w:rPr>
                      <w:rFonts w:hint="default" w:ascii="Times New Roman" w:hAnsi="Times New Roman" w:cs="Times New Roman"/>
                      <w:color w:val="auto"/>
                      <w:sz w:val="21"/>
                      <w:szCs w:val="21"/>
                    </w:rPr>
                    <w:t>符合管控要求。</w:t>
                  </w:r>
                </w:p>
              </w:tc>
            </w:tr>
            <w:tr w14:paraId="79452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13" w:type="pct"/>
                  <w:vMerge w:val="continue"/>
                  <w:tcBorders>
                    <w:tl2br w:val="nil"/>
                    <w:tr2bl w:val="nil"/>
                  </w:tcBorders>
                  <w:noWrap w:val="0"/>
                  <w:vAlign w:val="center"/>
                </w:tcPr>
                <w:p w14:paraId="0BB4FBB6">
                  <w:pPr>
                    <w:keepNext w:val="0"/>
                    <w:keepLines w:val="0"/>
                    <w:pageBreakBefore w:val="0"/>
                    <w:widowControl/>
                    <w:kinsoku/>
                    <w:wordWrap/>
                    <w:overflowPunct/>
                    <w:topLinePunct w:val="0"/>
                    <w:bidi w:val="0"/>
                    <w:adjustRightInd/>
                    <w:snapToGrid/>
                    <w:ind w:firstLine="0"/>
                    <w:jc w:val="left"/>
                    <w:textAlignment w:val="auto"/>
                    <w:rPr>
                      <w:rFonts w:hint="default" w:ascii="Times New Roman" w:hAnsi="Times New Roman" w:cs="Times New Roman"/>
                      <w:color w:val="auto"/>
                      <w:sz w:val="21"/>
                      <w:szCs w:val="21"/>
                    </w:rPr>
                  </w:pPr>
                </w:p>
              </w:tc>
              <w:tc>
                <w:tcPr>
                  <w:tcW w:w="356" w:type="pct"/>
                  <w:tcBorders>
                    <w:tl2br w:val="nil"/>
                    <w:tr2bl w:val="nil"/>
                  </w:tcBorders>
                  <w:noWrap w:val="0"/>
                  <w:vAlign w:val="center"/>
                </w:tcPr>
                <w:p w14:paraId="005C38C7">
                  <w:pPr>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污染物排放管控</w:t>
                  </w:r>
                </w:p>
              </w:tc>
              <w:tc>
                <w:tcPr>
                  <w:tcW w:w="3096" w:type="pct"/>
                  <w:gridSpan w:val="3"/>
                  <w:tcBorders>
                    <w:tl2br w:val="nil"/>
                    <w:tr2bl w:val="nil"/>
                  </w:tcBorders>
                  <w:noWrap w:val="0"/>
                  <w:vAlign w:val="center"/>
                </w:tcPr>
                <w:p w14:paraId="217816FD">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2.1</w:t>
                  </w:r>
                  <w:r>
                    <w:rPr>
                      <w:rFonts w:hint="eastAsia" w:cs="Times New Roman"/>
                      <w:color w:val="auto"/>
                      <w:sz w:val="21"/>
                      <w:szCs w:val="21"/>
                      <w:lang w:eastAsia="zh-CN"/>
                    </w:rPr>
                    <w:t>）</w:t>
                  </w:r>
                  <w:r>
                    <w:rPr>
                      <w:rFonts w:hint="default" w:ascii="Times New Roman" w:hAnsi="Times New Roman" w:cs="Times New Roman"/>
                      <w:color w:val="auto"/>
                      <w:sz w:val="21"/>
                      <w:szCs w:val="21"/>
                    </w:rPr>
                    <w:t>废水：经开区排水实施雨污分流，雨水排入湘江。</w:t>
                  </w:r>
                </w:p>
                <w:p w14:paraId="3B442903">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区块一</w:t>
                  </w:r>
                  <w:r>
                    <w:rPr>
                      <w:rFonts w:hint="eastAsia" w:cs="Times New Roman"/>
                      <w:color w:val="auto"/>
                      <w:sz w:val="21"/>
                      <w:szCs w:val="21"/>
                      <w:lang w:eastAsia="zh-CN"/>
                    </w:rPr>
                    <w:t>（</w:t>
                  </w:r>
                  <w:r>
                    <w:rPr>
                      <w:rFonts w:hint="default" w:ascii="Times New Roman" w:hAnsi="Times New Roman" w:cs="Times New Roman"/>
                      <w:color w:val="auto"/>
                      <w:sz w:val="21"/>
                      <w:szCs w:val="21"/>
                    </w:rPr>
                    <w:t>北部片区</w:t>
                  </w:r>
                  <w:r>
                    <w:rPr>
                      <w:rFonts w:hint="eastAsia" w:cs="Times New Roman"/>
                      <w:color w:val="auto"/>
                      <w:sz w:val="21"/>
                      <w:szCs w:val="21"/>
                      <w:lang w:eastAsia="zh-CN"/>
                    </w:rPr>
                    <w:t>）</w:t>
                  </w:r>
                  <w:r>
                    <w:rPr>
                      <w:rFonts w:hint="default" w:ascii="Times New Roman" w:hAnsi="Times New Roman" w:cs="Times New Roman"/>
                      <w:color w:val="auto"/>
                      <w:sz w:val="21"/>
                      <w:szCs w:val="21"/>
                    </w:rPr>
                    <w:t>:</w:t>
                  </w:r>
                </w:p>
                <w:p w14:paraId="304FDF55">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(2.1.1</w:t>
                  </w:r>
                  <w:r>
                    <w:rPr>
                      <w:rFonts w:hint="eastAsia" w:cs="Times New Roman"/>
                      <w:color w:val="auto"/>
                      <w:sz w:val="21"/>
                      <w:szCs w:val="21"/>
                      <w:lang w:eastAsia="zh-CN"/>
                    </w:rPr>
                    <w:t>）</w:t>
                  </w:r>
                  <w:r>
                    <w:rPr>
                      <w:rFonts w:hint="default" w:ascii="Times New Roman" w:hAnsi="Times New Roman" w:cs="Times New Roman"/>
                      <w:color w:val="auto"/>
                      <w:sz w:val="21"/>
                      <w:szCs w:val="21"/>
                    </w:rPr>
                    <w:t>现有废污水经处理后纳入下河线污水处理厂，进一步处理达标后排入湘江；</w:t>
                  </w:r>
                </w:p>
                <w:p w14:paraId="1963D8E4">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区块三</w:t>
                  </w:r>
                  <w:r>
                    <w:rPr>
                      <w:rFonts w:hint="eastAsia" w:cs="Times New Roman"/>
                      <w:color w:val="auto"/>
                      <w:sz w:val="21"/>
                      <w:szCs w:val="21"/>
                      <w:lang w:eastAsia="zh-CN"/>
                    </w:rPr>
                    <w:t>（</w:t>
                  </w:r>
                  <w:r>
                    <w:rPr>
                      <w:rFonts w:hint="default" w:ascii="Times New Roman" w:hAnsi="Times New Roman" w:cs="Times New Roman"/>
                      <w:color w:val="auto"/>
                      <w:sz w:val="21"/>
                      <w:szCs w:val="21"/>
                    </w:rPr>
                    <w:t>南部片区</w:t>
                  </w:r>
                  <w:r>
                    <w:rPr>
                      <w:rFonts w:hint="eastAsia" w:cs="Times New Roman"/>
                      <w:color w:val="auto"/>
                      <w:sz w:val="21"/>
                      <w:szCs w:val="21"/>
                      <w:lang w:eastAsia="zh-CN"/>
                    </w:rPr>
                    <w:t>）</w:t>
                  </w:r>
                  <w:r>
                    <w:rPr>
                      <w:rFonts w:hint="default" w:ascii="Times New Roman" w:hAnsi="Times New Roman" w:cs="Times New Roman"/>
                      <w:color w:val="auto"/>
                      <w:sz w:val="21"/>
                      <w:szCs w:val="21"/>
                    </w:rPr>
                    <w:t>:</w:t>
                  </w:r>
                </w:p>
                <w:p w14:paraId="388461A0">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(2.1.2</w:t>
                  </w:r>
                  <w:r>
                    <w:rPr>
                      <w:rFonts w:hint="eastAsia" w:cs="Times New Roman"/>
                      <w:color w:val="auto"/>
                      <w:sz w:val="21"/>
                      <w:szCs w:val="21"/>
                      <w:lang w:eastAsia="zh-CN"/>
                    </w:rPr>
                    <w:t>）</w:t>
                  </w:r>
                  <w:r>
                    <w:rPr>
                      <w:rFonts w:hint="default" w:ascii="Times New Roman" w:hAnsi="Times New Roman" w:cs="Times New Roman"/>
                      <w:color w:val="auto"/>
                      <w:sz w:val="21"/>
                      <w:szCs w:val="21"/>
                    </w:rPr>
                    <w:t>加快永州经开区工业污水处理厂建设，长丰工业园片控规C街区C03-C06区域及智能装备产业园区域废水进入永州经开区工业污水处理厂处理达标后排入湘江；其他区域废污水经处理后纳入下河线污水处理厂，进一步处理达标后排入湘江。片区不得超污水处理厂处理能力引进废水排放项目。</w:t>
                  </w:r>
                </w:p>
                <w:p w14:paraId="22203A4E">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2.2</w:t>
                  </w:r>
                  <w:r>
                    <w:rPr>
                      <w:rFonts w:hint="eastAsia" w:cs="Times New Roman"/>
                      <w:color w:val="auto"/>
                      <w:sz w:val="21"/>
                      <w:szCs w:val="21"/>
                      <w:lang w:eastAsia="zh-CN"/>
                    </w:rPr>
                    <w:t>）</w:t>
                  </w:r>
                  <w:r>
                    <w:rPr>
                      <w:rFonts w:hint="default" w:ascii="Times New Roman" w:hAnsi="Times New Roman" w:cs="Times New Roman"/>
                      <w:color w:val="auto"/>
                      <w:sz w:val="21"/>
                      <w:szCs w:val="21"/>
                    </w:rPr>
                    <w:t>废气：</w:t>
                  </w:r>
                </w:p>
                <w:p w14:paraId="5FBAC28A">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(2.2.1</w:t>
                  </w:r>
                  <w:r>
                    <w:rPr>
                      <w:rFonts w:hint="eastAsia" w:cs="Times New Roman"/>
                      <w:color w:val="auto"/>
                      <w:sz w:val="21"/>
                      <w:szCs w:val="21"/>
                      <w:lang w:eastAsia="zh-CN"/>
                    </w:rPr>
                    <w:t>）</w:t>
                  </w:r>
                  <w:r>
                    <w:rPr>
                      <w:rFonts w:hint="default" w:ascii="Times New Roman" w:hAnsi="Times New Roman" w:cs="Times New Roman"/>
                      <w:color w:val="auto"/>
                      <w:sz w:val="21"/>
                      <w:szCs w:val="21"/>
                    </w:rPr>
                    <w:t>建立经开区清洁生产管理考核机制，对各企业工艺废气产出的生产节点，应配置废气收集与净化处理装置，确保达标排放；加强生产工艺研究与技术改进，采取有效措施，减少入园企业工艺废气的无组织排放。</w:t>
                  </w:r>
                </w:p>
                <w:p w14:paraId="4D7D70D1">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(2.2.2</w:t>
                  </w:r>
                  <w:r>
                    <w:rPr>
                      <w:rFonts w:hint="eastAsia" w:cs="Times New Roman"/>
                      <w:color w:val="auto"/>
                      <w:sz w:val="21"/>
                      <w:szCs w:val="21"/>
                      <w:lang w:eastAsia="zh-CN"/>
                    </w:rPr>
                    <w:t>）</w:t>
                  </w:r>
                  <w:r>
                    <w:rPr>
                      <w:rFonts w:hint="default" w:ascii="Times New Roman" w:hAnsi="Times New Roman" w:cs="Times New Roman"/>
                      <w:color w:val="auto"/>
                      <w:sz w:val="21"/>
                      <w:szCs w:val="21"/>
                    </w:rPr>
                    <w:t>新、改、扩建涉及VOCs排放项目，从原辅材料和工艺过程大力推广使用低</w:t>
                  </w:r>
                  <w:r>
                    <w:rPr>
                      <w:rFonts w:hint="eastAsia" w:cs="Times New Roman"/>
                      <w:color w:val="auto"/>
                      <w:sz w:val="21"/>
                      <w:szCs w:val="21"/>
                      <w:lang w:eastAsia="zh-CN"/>
                    </w:rPr>
                    <w:t>（</w:t>
                  </w:r>
                  <w:r>
                    <w:rPr>
                      <w:rFonts w:hint="default" w:ascii="Times New Roman" w:hAnsi="Times New Roman" w:cs="Times New Roman"/>
                      <w:color w:val="auto"/>
                      <w:sz w:val="21"/>
                      <w:szCs w:val="21"/>
                    </w:rPr>
                    <w:t>无</w:t>
                  </w:r>
                  <w:r>
                    <w:rPr>
                      <w:rFonts w:hint="eastAsia" w:cs="Times New Roman"/>
                      <w:color w:val="auto"/>
                      <w:sz w:val="21"/>
                      <w:szCs w:val="21"/>
                      <w:lang w:eastAsia="zh-CN"/>
                    </w:rPr>
                    <w:t>）</w:t>
                  </w:r>
                  <w:r>
                    <w:rPr>
                      <w:rFonts w:hint="default" w:ascii="Times New Roman" w:hAnsi="Times New Roman" w:cs="Times New Roman"/>
                      <w:color w:val="auto"/>
                      <w:sz w:val="21"/>
                      <w:szCs w:val="21"/>
                    </w:rPr>
                    <w:t>VOCs含量的涂料、有机溶剂、胶黏剂、油墨等原辅材料，配套改进生产工艺。</w:t>
                  </w:r>
                </w:p>
                <w:p w14:paraId="76725187">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(2.2.3</w:t>
                  </w:r>
                  <w:r>
                    <w:rPr>
                      <w:rFonts w:hint="eastAsia" w:cs="Times New Roman"/>
                      <w:color w:val="auto"/>
                      <w:sz w:val="21"/>
                      <w:szCs w:val="21"/>
                      <w:lang w:eastAsia="zh-CN"/>
                    </w:rPr>
                    <w:t>）</w:t>
                  </w:r>
                  <w:r>
                    <w:rPr>
                      <w:rFonts w:hint="default" w:ascii="Times New Roman" w:hAnsi="Times New Roman" w:cs="Times New Roman"/>
                      <w:color w:val="auto"/>
                      <w:sz w:val="21"/>
                      <w:szCs w:val="21"/>
                    </w:rPr>
                    <w:t>园区内有色金属等行业大气污染物排放应满足《湖南省生态环境厅关于执行污染物特别排放限值</w:t>
                  </w:r>
                  <w:r>
                    <w:rPr>
                      <w:rFonts w:hint="eastAsia" w:cs="Times New Roman"/>
                      <w:color w:val="auto"/>
                      <w:sz w:val="21"/>
                      <w:szCs w:val="21"/>
                      <w:lang w:eastAsia="zh-CN"/>
                    </w:rPr>
                    <w:t>（</w:t>
                  </w:r>
                  <w:r>
                    <w:rPr>
                      <w:rFonts w:hint="default" w:ascii="Times New Roman" w:hAnsi="Times New Roman" w:cs="Times New Roman"/>
                      <w:color w:val="auto"/>
                      <w:sz w:val="21"/>
                      <w:szCs w:val="21"/>
                    </w:rPr>
                    <w:t>第一批</w:t>
                  </w:r>
                  <w:r>
                    <w:rPr>
                      <w:rFonts w:hint="eastAsia" w:cs="Times New Roman"/>
                      <w:color w:val="auto"/>
                      <w:sz w:val="21"/>
                      <w:szCs w:val="21"/>
                      <w:lang w:eastAsia="zh-CN"/>
                    </w:rPr>
                    <w:t>）</w:t>
                  </w:r>
                  <w:r>
                    <w:rPr>
                      <w:rFonts w:hint="default" w:ascii="Times New Roman" w:hAnsi="Times New Roman" w:cs="Times New Roman"/>
                      <w:color w:val="auto"/>
                      <w:sz w:val="21"/>
                      <w:szCs w:val="21"/>
                    </w:rPr>
                    <w:t>的公告》中的要求。</w:t>
                  </w:r>
                </w:p>
                <w:p w14:paraId="0CF905FD">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2.3</w:t>
                  </w:r>
                  <w:r>
                    <w:rPr>
                      <w:rFonts w:hint="eastAsia" w:cs="Times New Roman"/>
                      <w:color w:val="auto"/>
                      <w:sz w:val="21"/>
                      <w:szCs w:val="21"/>
                      <w:lang w:eastAsia="zh-CN"/>
                    </w:rPr>
                    <w:t>）</w:t>
                  </w:r>
                  <w:r>
                    <w:rPr>
                      <w:rFonts w:hint="default" w:ascii="Times New Roman" w:hAnsi="Times New Roman" w:cs="Times New Roman"/>
                      <w:color w:val="auto"/>
                      <w:sz w:val="21"/>
                      <w:szCs w:val="21"/>
                    </w:rPr>
                    <w:t>固废：做好经开区工业固体废物和生活垃圾的分类收集、转运、综合利用和无害化处理，建立统一的固废收集、贮存、运输、综合利用和安全处置的运营管理体系。推行清洁生产，减少固体废物产生量；加强固体废物的资源化进程，提高综合利用率；规范固体废物处理措施，严防二次污染。南部片区按相关要求加快建设一般固废处置中心，对一般工业固废进行规范处置。</w:t>
                  </w:r>
                </w:p>
              </w:tc>
              <w:tc>
                <w:tcPr>
                  <w:tcW w:w="1134" w:type="pct"/>
                  <w:tcBorders>
                    <w:tl2br w:val="nil"/>
                    <w:tr2bl w:val="nil"/>
                  </w:tcBorders>
                  <w:noWrap w:val="0"/>
                  <w:vAlign w:val="center"/>
                </w:tcPr>
                <w:p w14:paraId="17CD9F69">
                  <w:pPr>
                    <w:keepNext w:val="0"/>
                    <w:keepLines w:val="0"/>
                    <w:pageBreakBefore w:val="0"/>
                    <w:kinsoku/>
                    <w:wordWrap/>
                    <w:overflowPunct/>
                    <w:topLinePunct w:val="0"/>
                    <w:bidi w:val="0"/>
                    <w:adjustRightInd/>
                    <w:snapToGrid/>
                    <w:ind w:firstLine="420" w:firstLineChars="200"/>
                    <w:textAlignment w:val="auto"/>
                    <w:rPr>
                      <w:rFonts w:hint="eastAsia" w:cs="Times New Roman"/>
                      <w:color w:val="auto"/>
                      <w:sz w:val="21"/>
                      <w:szCs w:val="21"/>
                      <w:lang w:val="en-US" w:eastAsia="zh-CN"/>
                    </w:rPr>
                  </w:pPr>
                  <w:r>
                    <w:rPr>
                      <w:rFonts w:hint="eastAsia" w:cs="Times New Roman"/>
                      <w:color w:val="auto"/>
                      <w:sz w:val="21"/>
                      <w:szCs w:val="21"/>
                      <w:lang w:val="en-US" w:eastAsia="zh-CN"/>
                    </w:rPr>
                    <w:t>本</w:t>
                  </w:r>
                  <w:r>
                    <w:rPr>
                      <w:rFonts w:hint="default" w:ascii="Times New Roman" w:hAnsi="Times New Roman" w:cs="Times New Roman"/>
                      <w:color w:val="auto"/>
                      <w:sz w:val="21"/>
                      <w:szCs w:val="21"/>
                    </w:rPr>
                    <w:t>项目</w:t>
                  </w:r>
                  <w:r>
                    <w:rPr>
                      <w:rFonts w:hint="eastAsia" w:cs="Times New Roman"/>
                      <w:color w:val="auto"/>
                      <w:sz w:val="21"/>
                      <w:szCs w:val="21"/>
                      <w:lang w:val="en-US" w:eastAsia="zh-CN"/>
                    </w:rPr>
                    <w:t>废水经预处理达标</w:t>
                  </w:r>
                  <w:r>
                    <w:rPr>
                      <w:rFonts w:hint="default" w:ascii="Times New Roman" w:hAnsi="Times New Roman" w:cs="Times New Roman"/>
                      <w:color w:val="auto"/>
                      <w:sz w:val="21"/>
                      <w:szCs w:val="21"/>
                    </w:rPr>
                    <w:t>排入</w:t>
                  </w:r>
                  <w:r>
                    <w:rPr>
                      <w:rFonts w:hint="eastAsia" w:cs="Times New Roman"/>
                      <w:color w:val="auto"/>
                      <w:sz w:val="21"/>
                      <w:szCs w:val="21"/>
                      <w:lang w:val="en-US" w:eastAsia="zh-CN"/>
                    </w:rPr>
                    <w:t>园区污水管网</w:t>
                  </w:r>
                  <w:r>
                    <w:rPr>
                      <w:rFonts w:hint="default" w:ascii="Times New Roman" w:hAnsi="Times New Roman" w:cs="Times New Roman"/>
                      <w:color w:val="auto"/>
                      <w:sz w:val="21"/>
                      <w:szCs w:val="21"/>
                    </w:rPr>
                    <w:t>，雨水经</w:t>
                  </w:r>
                  <w:r>
                    <w:rPr>
                      <w:rFonts w:hint="eastAsia" w:cs="Times New Roman"/>
                      <w:color w:val="auto"/>
                      <w:sz w:val="21"/>
                      <w:szCs w:val="21"/>
                      <w:lang w:val="en-US" w:eastAsia="zh-CN"/>
                    </w:rPr>
                    <w:t>园区</w:t>
                  </w:r>
                  <w:r>
                    <w:rPr>
                      <w:rFonts w:hint="default" w:ascii="Times New Roman" w:hAnsi="Times New Roman" w:cs="Times New Roman"/>
                      <w:color w:val="auto"/>
                      <w:sz w:val="21"/>
                      <w:szCs w:val="21"/>
                    </w:rPr>
                    <w:t>雨水管网收集后外排进入</w:t>
                  </w:r>
                  <w:r>
                    <w:rPr>
                      <w:rFonts w:hint="eastAsia" w:cs="Times New Roman"/>
                      <w:color w:val="auto"/>
                      <w:sz w:val="21"/>
                      <w:szCs w:val="21"/>
                      <w:lang w:eastAsia="zh-CN"/>
                    </w:rPr>
                    <w:t>湘江</w:t>
                  </w:r>
                  <w:r>
                    <w:rPr>
                      <w:rFonts w:hint="default" w:ascii="Times New Roman" w:hAnsi="Times New Roman" w:cs="Times New Roman"/>
                      <w:color w:val="auto"/>
                      <w:sz w:val="21"/>
                      <w:szCs w:val="21"/>
                    </w:rPr>
                    <w:t>。</w:t>
                  </w:r>
                  <w:r>
                    <w:rPr>
                      <w:rFonts w:hint="eastAsia" w:cs="Times New Roman"/>
                      <w:color w:val="auto"/>
                      <w:sz w:val="21"/>
                      <w:szCs w:val="21"/>
                      <w:lang w:val="en-US" w:eastAsia="zh-CN"/>
                    </w:rPr>
                    <w:t xml:space="preserve">     </w:t>
                  </w:r>
                </w:p>
                <w:p w14:paraId="4E20BED3">
                  <w:pPr>
                    <w:keepNext w:val="0"/>
                    <w:keepLines w:val="0"/>
                    <w:pageBreakBefore w:val="0"/>
                    <w:kinsoku/>
                    <w:wordWrap/>
                    <w:overflowPunct/>
                    <w:topLinePunct w:val="0"/>
                    <w:bidi w:val="0"/>
                    <w:adjustRightInd/>
                    <w:snapToGrid/>
                    <w:ind w:firstLine="420" w:firstLineChars="200"/>
                    <w:textAlignment w:val="auto"/>
                    <w:rPr>
                      <w:rFonts w:hint="eastAsia" w:cs="Times New Roman"/>
                      <w:color w:val="auto"/>
                      <w:sz w:val="21"/>
                      <w:szCs w:val="21"/>
                      <w:lang w:val="en-US" w:eastAsia="zh-CN"/>
                    </w:rPr>
                  </w:pPr>
                  <w:r>
                    <w:rPr>
                      <w:rFonts w:hint="default" w:ascii="Times New Roman" w:hAnsi="Times New Roman" w:cs="Times New Roman"/>
                      <w:color w:val="auto"/>
                      <w:sz w:val="21"/>
                      <w:szCs w:val="21"/>
                    </w:rPr>
                    <w:t>项目</w:t>
                  </w:r>
                  <w:r>
                    <w:rPr>
                      <w:rFonts w:hint="eastAsia" w:cs="Times New Roman"/>
                      <w:color w:val="auto"/>
                      <w:sz w:val="21"/>
                      <w:szCs w:val="21"/>
                      <w:lang w:val="en-US" w:eastAsia="zh-CN"/>
                    </w:rPr>
                    <w:t>产生的废气经处理达标后排放。</w:t>
                  </w:r>
                </w:p>
                <w:p w14:paraId="483B7DC7">
                  <w:pPr>
                    <w:keepNext w:val="0"/>
                    <w:keepLines w:val="0"/>
                    <w:pageBreakBefore w:val="0"/>
                    <w:kinsoku/>
                    <w:wordWrap/>
                    <w:overflowPunct/>
                    <w:topLinePunct w:val="0"/>
                    <w:bidi w:val="0"/>
                    <w:adjustRightInd/>
                    <w:snapToGrid/>
                    <w:ind w:firstLine="420" w:firstLineChars="200"/>
                    <w:textAlignment w:val="auto"/>
                    <w:rPr>
                      <w:rFonts w:hint="default" w:ascii="Times New Roman" w:hAnsi="Times New Roman" w:cs="Times New Roman"/>
                      <w:color w:val="auto"/>
                      <w:sz w:val="21"/>
                      <w:szCs w:val="21"/>
                    </w:rPr>
                  </w:pPr>
                  <w:r>
                    <w:rPr>
                      <w:rFonts w:hint="eastAsia" w:cs="Times New Roman"/>
                      <w:color w:val="auto"/>
                      <w:kern w:val="0"/>
                      <w:sz w:val="21"/>
                      <w:szCs w:val="21"/>
                      <w:u w:val="none"/>
                      <w:vertAlign w:val="baseline"/>
                      <w:lang w:eastAsia="zh-CN" w:bidi="ar"/>
                    </w:rPr>
                    <w:t>生产过程中产生的固体废物均按照要求进行了储存和处理，可回收的回收利用，不可回收的交由环卫部门进行处理，危险废物收集后交由有资质单位进行处理。</w:t>
                  </w:r>
                </w:p>
              </w:tc>
            </w:tr>
            <w:tr w14:paraId="2CC58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13" w:type="pct"/>
                  <w:vMerge w:val="continue"/>
                  <w:tcBorders>
                    <w:tl2br w:val="nil"/>
                    <w:tr2bl w:val="nil"/>
                  </w:tcBorders>
                  <w:noWrap w:val="0"/>
                  <w:vAlign w:val="center"/>
                </w:tcPr>
                <w:p w14:paraId="54896048">
                  <w:pPr>
                    <w:keepNext w:val="0"/>
                    <w:keepLines w:val="0"/>
                    <w:pageBreakBefore w:val="0"/>
                    <w:widowControl/>
                    <w:kinsoku/>
                    <w:wordWrap/>
                    <w:overflowPunct/>
                    <w:topLinePunct w:val="0"/>
                    <w:bidi w:val="0"/>
                    <w:adjustRightInd/>
                    <w:snapToGrid/>
                    <w:ind w:firstLine="0"/>
                    <w:jc w:val="left"/>
                    <w:textAlignment w:val="auto"/>
                    <w:rPr>
                      <w:rFonts w:hint="default" w:ascii="Times New Roman" w:hAnsi="Times New Roman" w:cs="Times New Roman"/>
                      <w:color w:val="auto"/>
                      <w:sz w:val="21"/>
                      <w:szCs w:val="21"/>
                    </w:rPr>
                  </w:pPr>
                </w:p>
              </w:tc>
              <w:tc>
                <w:tcPr>
                  <w:tcW w:w="356" w:type="pct"/>
                  <w:tcBorders>
                    <w:tl2br w:val="nil"/>
                    <w:tr2bl w:val="nil"/>
                  </w:tcBorders>
                  <w:noWrap w:val="0"/>
                  <w:vAlign w:val="center"/>
                </w:tcPr>
                <w:p w14:paraId="63CF32B6">
                  <w:pPr>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环境风险防控</w:t>
                  </w:r>
                </w:p>
              </w:tc>
              <w:tc>
                <w:tcPr>
                  <w:tcW w:w="3096" w:type="pct"/>
                  <w:gridSpan w:val="3"/>
                  <w:tcBorders>
                    <w:tl2br w:val="nil"/>
                    <w:tr2bl w:val="nil"/>
                  </w:tcBorders>
                  <w:noWrap w:val="0"/>
                  <w:vAlign w:val="center"/>
                </w:tcPr>
                <w:p w14:paraId="6ECA9887">
                  <w:pPr>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3.1</w:t>
                  </w:r>
                  <w:r>
                    <w:rPr>
                      <w:rFonts w:hint="eastAsia" w:cs="Times New Roman"/>
                      <w:color w:val="auto"/>
                      <w:sz w:val="21"/>
                      <w:szCs w:val="21"/>
                      <w:lang w:eastAsia="zh-CN"/>
                    </w:rPr>
                    <w:t>）</w:t>
                  </w:r>
                  <w:r>
                    <w:rPr>
                      <w:rFonts w:hint="default" w:ascii="Times New Roman" w:hAnsi="Times New Roman" w:cs="Times New Roman"/>
                      <w:color w:val="auto"/>
                      <w:sz w:val="21"/>
                      <w:szCs w:val="21"/>
                    </w:rPr>
                    <w:t>经开区应建立健全环境风险防控体系，组织严格落实开发区突发环境事件应急预案的相关要求，加强环境风险事故防范和应急管理。应特别关注对重点环境风险防控企业的监管，强化对环境风险物质泄漏、废水废气非正常排放、消防废水外排等环境风险的防控。</w:t>
                  </w:r>
                </w:p>
                <w:p w14:paraId="49804E55">
                  <w:pPr>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3.2</w:t>
                  </w:r>
                  <w:r>
                    <w:rPr>
                      <w:rFonts w:hint="eastAsia" w:cs="Times New Roman"/>
                      <w:color w:val="auto"/>
                      <w:sz w:val="21"/>
                      <w:szCs w:val="21"/>
                      <w:lang w:eastAsia="zh-CN"/>
                    </w:rPr>
                    <w:t>）</w:t>
                  </w:r>
                  <w:r>
                    <w:rPr>
                      <w:rFonts w:hint="default" w:ascii="Times New Roman" w:hAnsi="Times New Roman" w:cs="Times New Roman"/>
                      <w:color w:val="auto"/>
                      <w:sz w:val="21"/>
                      <w:szCs w:val="21"/>
                    </w:rPr>
                    <w:t>园区可能发生突发环境事件的污染物排放企业，生产、储存、运输、使用危险化学品的企业，产生、收集、贮存、运输危险废物的企业等应当编制和实施环境应急预案；鼓励其他企业制定单独的环境应急预案，或在突发事件应急预案中制定环境应急预案专章，并备案。</w:t>
                  </w:r>
                </w:p>
                <w:p w14:paraId="52574AC0">
                  <w:pPr>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3.3</w:t>
                  </w:r>
                  <w:r>
                    <w:rPr>
                      <w:rFonts w:hint="eastAsia" w:cs="Times New Roman"/>
                      <w:color w:val="auto"/>
                      <w:sz w:val="21"/>
                      <w:szCs w:val="21"/>
                      <w:lang w:eastAsia="zh-CN"/>
                    </w:rPr>
                    <w:t>）</w:t>
                  </w:r>
                  <w:r>
                    <w:rPr>
                      <w:rFonts w:hint="default" w:ascii="Times New Roman" w:hAnsi="Times New Roman" w:cs="Times New Roman"/>
                      <w:color w:val="auto"/>
                      <w:sz w:val="21"/>
                      <w:szCs w:val="21"/>
                    </w:rPr>
                    <w:t>对各类涉及可能造成土壤污染的新</w:t>
                  </w:r>
                  <w:r>
                    <w:rPr>
                      <w:rFonts w:hint="eastAsia" w:cs="Times New Roman"/>
                      <w:color w:val="auto"/>
                      <w:sz w:val="21"/>
                      <w:szCs w:val="21"/>
                      <w:lang w:eastAsia="zh-CN"/>
                    </w:rPr>
                    <w:t>（</w:t>
                  </w:r>
                  <w:r>
                    <w:rPr>
                      <w:rFonts w:hint="default" w:ascii="Times New Roman" w:hAnsi="Times New Roman" w:cs="Times New Roman"/>
                      <w:color w:val="auto"/>
                      <w:sz w:val="21"/>
                      <w:szCs w:val="21"/>
                    </w:rPr>
                    <w:t>改、扩</w:t>
                  </w:r>
                  <w:r>
                    <w:rPr>
                      <w:rFonts w:hint="eastAsia" w:cs="Times New Roman"/>
                      <w:color w:val="auto"/>
                      <w:sz w:val="21"/>
                      <w:szCs w:val="21"/>
                      <w:lang w:eastAsia="zh-CN"/>
                    </w:rPr>
                    <w:t>）</w:t>
                  </w:r>
                  <w:r>
                    <w:rPr>
                      <w:rFonts w:hint="default" w:ascii="Times New Roman" w:hAnsi="Times New Roman" w:cs="Times New Roman"/>
                      <w:color w:val="auto"/>
                      <w:sz w:val="21"/>
                      <w:szCs w:val="21"/>
                    </w:rPr>
                    <w:t>建项目，依法进行环境影响评价，严格落实对土壤环境影响的评价内容，并提出可行的土壤污染防治具体措施，与主体工程同时设计、同时施工、同时投产使用。</w:t>
                  </w:r>
                </w:p>
              </w:tc>
              <w:tc>
                <w:tcPr>
                  <w:tcW w:w="1134" w:type="pct"/>
                  <w:tcBorders>
                    <w:tl2br w:val="nil"/>
                    <w:tr2bl w:val="nil"/>
                  </w:tcBorders>
                  <w:noWrap w:val="0"/>
                  <w:vAlign w:val="center"/>
                </w:tcPr>
                <w:p w14:paraId="065171B1">
                  <w:pPr>
                    <w:keepNext w:val="0"/>
                    <w:keepLines w:val="0"/>
                    <w:widowControl/>
                    <w:suppressLineNumbers w:val="0"/>
                    <w:ind w:firstLine="420" w:firstLineChars="200"/>
                    <w:jc w:val="both"/>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本</w:t>
                  </w:r>
                  <w:r>
                    <w:rPr>
                      <w:rFonts w:hint="default" w:ascii="Times New Roman" w:hAnsi="Times New Roman" w:cs="Times New Roman"/>
                      <w:color w:val="auto"/>
                      <w:sz w:val="21"/>
                      <w:szCs w:val="21"/>
                      <w:lang w:eastAsia="zh-CN"/>
                    </w:rPr>
                    <w:t>项目按要求</w:t>
                  </w:r>
                  <w:r>
                    <w:rPr>
                      <w:rFonts w:hint="default" w:ascii="Times New Roman" w:hAnsi="Times New Roman" w:cs="Times New Roman"/>
                      <w:color w:val="auto"/>
                      <w:sz w:val="21"/>
                      <w:szCs w:val="21"/>
                    </w:rPr>
                    <w:t>建立风险防控体系，建设</w:t>
                  </w:r>
                  <w:r>
                    <w:rPr>
                      <w:rFonts w:hint="eastAsia" w:cs="Times New Roman"/>
                      <w:color w:val="auto"/>
                      <w:sz w:val="21"/>
                      <w:szCs w:val="21"/>
                      <w:lang w:val="en-US" w:eastAsia="zh-CN"/>
                    </w:rPr>
                    <w:t>固体</w:t>
                  </w:r>
                  <w:r>
                    <w:rPr>
                      <w:rFonts w:hint="default" w:ascii="Times New Roman" w:hAnsi="Times New Roman" w:cs="Times New Roman"/>
                      <w:color w:val="auto"/>
                      <w:sz w:val="21"/>
                      <w:szCs w:val="21"/>
                    </w:rPr>
                    <w:t>废物暂存间，符合管控要求。</w:t>
                  </w:r>
                  <w:r>
                    <w:rPr>
                      <w:rFonts w:hint="eastAsia" w:ascii="宋体" w:hAnsi="宋体" w:eastAsia="宋体" w:cs="宋体"/>
                      <w:color w:val="000000"/>
                      <w:kern w:val="0"/>
                      <w:sz w:val="21"/>
                      <w:szCs w:val="21"/>
                      <w:lang w:val="en-US" w:eastAsia="zh-CN" w:bidi="ar"/>
                    </w:rPr>
                    <w:t>项目建设完成后，建设单位将按照要求编制突发环境事件应急预案并备案；项目环评时，将提出防范土壤污染的具体措施。综上所述，项目建设符合环境风险防控要求。</w:t>
                  </w:r>
                </w:p>
              </w:tc>
            </w:tr>
            <w:tr w14:paraId="14A18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13" w:type="pct"/>
                  <w:vMerge w:val="continue"/>
                  <w:tcBorders>
                    <w:tl2br w:val="nil"/>
                    <w:tr2bl w:val="nil"/>
                  </w:tcBorders>
                  <w:noWrap w:val="0"/>
                  <w:vAlign w:val="center"/>
                </w:tcPr>
                <w:p w14:paraId="7194B435">
                  <w:pPr>
                    <w:keepNext w:val="0"/>
                    <w:keepLines w:val="0"/>
                    <w:pageBreakBefore w:val="0"/>
                    <w:widowControl/>
                    <w:kinsoku/>
                    <w:wordWrap/>
                    <w:overflowPunct/>
                    <w:topLinePunct w:val="0"/>
                    <w:bidi w:val="0"/>
                    <w:adjustRightInd/>
                    <w:snapToGrid/>
                    <w:ind w:firstLine="0"/>
                    <w:jc w:val="left"/>
                    <w:textAlignment w:val="auto"/>
                    <w:rPr>
                      <w:rFonts w:hint="default" w:ascii="Times New Roman" w:hAnsi="Times New Roman" w:cs="Times New Roman"/>
                      <w:color w:val="auto"/>
                      <w:sz w:val="21"/>
                      <w:szCs w:val="21"/>
                    </w:rPr>
                  </w:pPr>
                </w:p>
              </w:tc>
              <w:tc>
                <w:tcPr>
                  <w:tcW w:w="356" w:type="pct"/>
                  <w:tcBorders>
                    <w:tl2br w:val="nil"/>
                    <w:tr2bl w:val="nil"/>
                  </w:tcBorders>
                  <w:noWrap w:val="0"/>
                  <w:vAlign w:val="center"/>
                </w:tcPr>
                <w:p w14:paraId="22556114">
                  <w:pPr>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资源开发</w:t>
                  </w:r>
                </w:p>
                <w:p w14:paraId="76707439">
                  <w:pPr>
                    <w:keepNext w:val="0"/>
                    <w:keepLines w:val="0"/>
                    <w:pageBreakBefore w:val="0"/>
                    <w:kinsoku/>
                    <w:wordWrap/>
                    <w:overflowPunct/>
                    <w:topLinePunct w:val="0"/>
                    <w:bidi w:val="0"/>
                    <w:adjustRightInd/>
                    <w:snapToGrid/>
                    <w:ind w:firstLine="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效率要求</w:t>
                  </w:r>
                </w:p>
              </w:tc>
              <w:tc>
                <w:tcPr>
                  <w:tcW w:w="3096" w:type="pct"/>
                  <w:gridSpan w:val="3"/>
                  <w:tcBorders>
                    <w:tl2br w:val="nil"/>
                    <w:tr2bl w:val="nil"/>
                  </w:tcBorders>
                  <w:noWrap w:val="0"/>
                  <w:vAlign w:val="center"/>
                </w:tcPr>
                <w:p w14:paraId="3AF92CD0">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4.1</w:t>
                  </w:r>
                  <w:r>
                    <w:rPr>
                      <w:rFonts w:hint="eastAsia" w:cs="Times New Roman"/>
                      <w:color w:val="auto"/>
                      <w:sz w:val="21"/>
                      <w:szCs w:val="21"/>
                      <w:lang w:eastAsia="zh-CN"/>
                    </w:rPr>
                    <w:t>）</w:t>
                  </w:r>
                  <w:r>
                    <w:rPr>
                      <w:rFonts w:hint="default" w:ascii="Times New Roman" w:hAnsi="Times New Roman" w:cs="Times New Roman"/>
                      <w:color w:val="auto"/>
                      <w:sz w:val="21"/>
                      <w:szCs w:val="21"/>
                    </w:rPr>
                    <w:t>能源：</w:t>
                  </w:r>
                </w:p>
                <w:p w14:paraId="01EC61B5">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(4.1.1</w:t>
                  </w:r>
                  <w:r>
                    <w:rPr>
                      <w:rFonts w:hint="eastAsia" w:cs="Times New Roman"/>
                      <w:color w:val="auto"/>
                      <w:sz w:val="21"/>
                      <w:szCs w:val="21"/>
                      <w:lang w:eastAsia="zh-CN"/>
                    </w:rPr>
                    <w:t>）</w:t>
                  </w:r>
                  <w:r>
                    <w:rPr>
                      <w:rFonts w:hint="default" w:ascii="Times New Roman" w:hAnsi="Times New Roman" w:cs="Times New Roman"/>
                      <w:color w:val="auto"/>
                      <w:sz w:val="21"/>
                      <w:szCs w:val="21"/>
                    </w:rPr>
                    <w:t>经开区位于永州市人民政府划定的高污染燃料禁燃区内，严格执行禁燃区有关要求。经开区内不得燃用中、高硫煤；积极推广清洁能源，区块一</w:t>
                  </w:r>
                  <w:r>
                    <w:rPr>
                      <w:rFonts w:hint="eastAsia" w:cs="Times New Roman"/>
                      <w:color w:val="auto"/>
                      <w:sz w:val="21"/>
                      <w:szCs w:val="21"/>
                      <w:lang w:eastAsia="zh-CN"/>
                    </w:rPr>
                    <w:t>（</w:t>
                  </w:r>
                  <w:r>
                    <w:rPr>
                      <w:rFonts w:hint="default" w:ascii="Times New Roman" w:hAnsi="Times New Roman" w:cs="Times New Roman"/>
                      <w:color w:val="auto"/>
                      <w:sz w:val="21"/>
                      <w:szCs w:val="21"/>
                    </w:rPr>
                    <w:t>北部片区</w:t>
                  </w:r>
                  <w:r>
                    <w:rPr>
                      <w:rFonts w:hint="eastAsia" w:cs="Times New Roman"/>
                      <w:color w:val="auto"/>
                      <w:sz w:val="21"/>
                      <w:szCs w:val="21"/>
                      <w:lang w:eastAsia="zh-CN"/>
                    </w:rPr>
                    <w:t>）</w:t>
                  </w:r>
                  <w:r>
                    <w:rPr>
                      <w:rFonts w:hint="default" w:ascii="Times New Roman" w:hAnsi="Times New Roman" w:cs="Times New Roman"/>
                      <w:color w:val="auto"/>
                      <w:sz w:val="21"/>
                      <w:szCs w:val="21"/>
                    </w:rPr>
                    <w:t>实施集中供热，区块三</w:t>
                  </w:r>
                  <w:r>
                    <w:rPr>
                      <w:rFonts w:hint="eastAsia" w:cs="Times New Roman"/>
                      <w:color w:val="auto"/>
                      <w:sz w:val="21"/>
                      <w:szCs w:val="21"/>
                      <w:lang w:eastAsia="zh-CN"/>
                    </w:rPr>
                    <w:t>（</w:t>
                  </w:r>
                  <w:r>
                    <w:rPr>
                      <w:rFonts w:hint="default" w:ascii="Times New Roman" w:hAnsi="Times New Roman" w:cs="Times New Roman"/>
                      <w:color w:val="auto"/>
                      <w:sz w:val="21"/>
                      <w:szCs w:val="21"/>
                    </w:rPr>
                    <w:t>南部片区</w:t>
                  </w:r>
                  <w:r>
                    <w:rPr>
                      <w:rFonts w:hint="eastAsia" w:cs="Times New Roman"/>
                      <w:color w:val="auto"/>
                      <w:sz w:val="21"/>
                      <w:szCs w:val="21"/>
                      <w:lang w:eastAsia="zh-CN"/>
                    </w:rPr>
                    <w:t>）</w:t>
                  </w:r>
                  <w:r>
                    <w:rPr>
                      <w:rFonts w:hint="default" w:ascii="Times New Roman" w:hAnsi="Times New Roman" w:cs="Times New Roman"/>
                      <w:color w:val="auto"/>
                      <w:sz w:val="21"/>
                      <w:szCs w:val="21"/>
                    </w:rPr>
                    <w:t>加快集中供热设施建设。</w:t>
                  </w:r>
                </w:p>
                <w:p w14:paraId="6715F11E">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(4.1.2</w:t>
                  </w:r>
                  <w:r>
                    <w:rPr>
                      <w:rFonts w:hint="eastAsia" w:cs="Times New Roman"/>
                      <w:color w:val="auto"/>
                      <w:sz w:val="21"/>
                      <w:szCs w:val="21"/>
                      <w:lang w:eastAsia="zh-CN"/>
                    </w:rPr>
                    <w:t>）</w:t>
                  </w:r>
                  <w:r>
                    <w:rPr>
                      <w:rFonts w:hint="default" w:ascii="Times New Roman" w:hAnsi="Times New Roman" w:cs="Times New Roman"/>
                      <w:color w:val="auto"/>
                      <w:sz w:val="21"/>
                      <w:szCs w:val="21"/>
                    </w:rPr>
                    <w:t>到2025年，高科园</w:t>
                  </w:r>
                  <w:r>
                    <w:rPr>
                      <w:rFonts w:hint="eastAsia" w:cs="Times New Roman"/>
                      <w:color w:val="auto"/>
                      <w:sz w:val="21"/>
                      <w:szCs w:val="21"/>
                      <w:lang w:eastAsia="zh-CN"/>
                    </w:rPr>
                    <w:t>（</w:t>
                  </w:r>
                  <w:r>
                    <w:rPr>
                      <w:rFonts w:hint="default" w:ascii="Times New Roman" w:hAnsi="Times New Roman" w:cs="Times New Roman"/>
                      <w:color w:val="auto"/>
                      <w:sz w:val="21"/>
                      <w:szCs w:val="21"/>
                    </w:rPr>
                    <w:t>北部片区</w:t>
                  </w:r>
                  <w:r>
                    <w:rPr>
                      <w:rFonts w:hint="eastAsia" w:cs="Times New Roman"/>
                      <w:color w:val="auto"/>
                      <w:sz w:val="21"/>
                      <w:szCs w:val="21"/>
                      <w:lang w:eastAsia="zh-CN"/>
                    </w:rPr>
                    <w:t>）</w:t>
                  </w:r>
                  <w:r>
                    <w:rPr>
                      <w:rFonts w:hint="default" w:ascii="Times New Roman" w:hAnsi="Times New Roman" w:cs="Times New Roman"/>
                      <w:color w:val="auto"/>
                      <w:sz w:val="21"/>
                      <w:szCs w:val="21"/>
                    </w:rPr>
                    <w:t>能源消费强度控制在0.021吨标煤/万元，能源消费增量控制在1.05万吨标煤</w:t>
                  </w:r>
                  <w:r>
                    <w:rPr>
                      <w:rFonts w:hint="eastAsia" w:cs="Times New Roman"/>
                      <w:color w:val="auto"/>
                      <w:sz w:val="21"/>
                      <w:szCs w:val="21"/>
                      <w:lang w:eastAsia="zh-CN"/>
                    </w:rPr>
                    <w:t>（</w:t>
                  </w:r>
                  <w:r>
                    <w:rPr>
                      <w:rFonts w:hint="default" w:ascii="Times New Roman" w:hAnsi="Times New Roman" w:cs="Times New Roman"/>
                      <w:color w:val="auto"/>
                      <w:sz w:val="21"/>
                      <w:szCs w:val="21"/>
                    </w:rPr>
                    <w:t>当量值</w:t>
                  </w:r>
                  <w:r>
                    <w:rPr>
                      <w:rFonts w:hint="eastAsia" w:cs="Times New Roman"/>
                      <w:color w:val="auto"/>
                      <w:sz w:val="21"/>
                      <w:szCs w:val="21"/>
                      <w:lang w:eastAsia="zh-CN"/>
                    </w:rPr>
                    <w:t>）</w:t>
                  </w:r>
                  <w:r>
                    <w:rPr>
                      <w:rFonts w:hint="default" w:ascii="Times New Roman" w:hAnsi="Times New Roman" w:cs="Times New Roman"/>
                      <w:color w:val="auto"/>
                      <w:sz w:val="21"/>
                      <w:szCs w:val="21"/>
                    </w:rPr>
                    <w:t>以内，能源消费总量控制在24000.39吨标煤</w:t>
                  </w:r>
                  <w:r>
                    <w:rPr>
                      <w:rFonts w:hint="eastAsia" w:cs="Times New Roman"/>
                      <w:color w:val="auto"/>
                      <w:sz w:val="21"/>
                      <w:szCs w:val="21"/>
                      <w:lang w:eastAsia="zh-CN"/>
                    </w:rPr>
                    <w:t>（</w:t>
                  </w:r>
                  <w:r>
                    <w:rPr>
                      <w:rFonts w:hint="default" w:ascii="Times New Roman" w:hAnsi="Times New Roman" w:cs="Times New Roman"/>
                      <w:color w:val="auto"/>
                      <w:sz w:val="21"/>
                      <w:szCs w:val="21"/>
                    </w:rPr>
                    <w:t>当量值</w:t>
                  </w:r>
                  <w:r>
                    <w:rPr>
                      <w:rFonts w:hint="eastAsia" w:cs="Times New Roman"/>
                      <w:color w:val="auto"/>
                      <w:sz w:val="21"/>
                      <w:szCs w:val="21"/>
                      <w:lang w:eastAsia="zh-CN"/>
                    </w:rPr>
                    <w:t>）</w:t>
                  </w:r>
                  <w:r>
                    <w:rPr>
                      <w:rFonts w:hint="default" w:ascii="Times New Roman" w:hAnsi="Times New Roman" w:cs="Times New Roman"/>
                      <w:color w:val="auto"/>
                      <w:sz w:val="21"/>
                      <w:szCs w:val="21"/>
                    </w:rPr>
                    <w:t>以内。2025年，长丰工业园</w:t>
                  </w:r>
                  <w:r>
                    <w:rPr>
                      <w:rFonts w:hint="eastAsia" w:cs="Times New Roman"/>
                      <w:color w:val="auto"/>
                      <w:sz w:val="21"/>
                      <w:szCs w:val="21"/>
                      <w:lang w:eastAsia="zh-CN"/>
                    </w:rPr>
                    <w:t>（</w:t>
                  </w:r>
                  <w:r>
                    <w:rPr>
                      <w:rFonts w:hint="default" w:ascii="Times New Roman" w:hAnsi="Times New Roman" w:cs="Times New Roman"/>
                      <w:color w:val="auto"/>
                      <w:sz w:val="21"/>
                      <w:szCs w:val="21"/>
                    </w:rPr>
                    <w:t>南部片区</w:t>
                  </w:r>
                  <w:r>
                    <w:rPr>
                      <w:rFonts w:hint="eastAsia" w:cs="Times New Roman"/>
                      <w:color w:val="auto"/>
                      <w:sz w:val="21"/>
                      <w:szCs w:val="21"/>
                      <w:lang w:eastAsia="zh-CN"/>
                    </w:rPr>
                    <w:t>）</w:t>
                  </w:r>
                  <w:r>
                    <w:rPr>
                      <w:rFonts w:hint="default" w:ascii="Times New Roman" w:hAnsi="Times New Roman" w:cs="Times New Roman"/>
                      <w:color w:val="auto"/>
                      <w:sz w:val="21"/>
                      <w:szCs w:val="21"/>
                    </w:rPr>
                    <w:t>年综合能源消费量预测值为362165.11吨标煤</w:t>
                  </w:r>
                  <w:r>
                    <w:rPr>
                      <w:rFonts w:hint="eastAsia" w:cs="Times New Roman"/>
                      <w:color w:val="auto"/>
                      <w:sz w:val="21"/>
                      <w:szCs w:val="21"/>
                      <w:lang w:eastAsia="zh-CN"/>
                    </w:rPr>
                    <w:t>（</w:t>
                  </w:r>
                  <w:r>
                    <w:rPr>
                      <w:rFonts w:hint="default" w:ascii="Times New Roman" w:hAnsi="Times New Roman" w:cs="Times New Roman"/>
                      <w:color w:val="auto"/>
                      <w:sz w:val="21"/>
                      <w:szCs w:val="21"/>
                    </w:rPr>
                    <w:t>当量值</w:t>
                  </w:r>
                  <w:r>
                    <w:rPr>
                      <w:rFonts w:hint="eastAsia" w:cs="Times New Roman"/>
                      <w:color w:val="auto"/>
                      <w:sz w:val="21"/>
                      <w:szCs w:val="21"/>
                      <w:lang w:eastAsia="zh-CN"/>
                    </w:rPr>
                    <w:t>）</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单位GDP能耗预测值为0.188吨标煤/万元。</w:t>
                  </w:r>
                </w:p>
                <w:p w14:paraId="64C32D9F">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4.2</w:t>
                  </w:r>
                  <w:r>
                    <w:rPr>
                      <w:rFonts w:hint="eastAsia" w:cs="Times New Roman"/>
                      <w:color w:val="auto"/>
                      <w:sz w:val="21"/>
                      <w:szCs w:val="21"/>
                      <w:lang w:eastAsia="zh-CN"/>
                    </w:rPr>
                    <w:t>）</w:t>
                  </w:r>
                  <w:r>
                    <w:rPr>
                      <w:rFonts w:hint="default" w:ascii="Times New Roman" w:hAnsi="Times New Roman" w:cs="Times New Roman"/>
                      <w:color w:val="auto"/>
                      <w:sz w:val="21"/>
                      <w:szCs w:val="21"/>
                    </w:rPr>
                    <w:t>水资源：对取用水总量已达到或超过控制指标的行业、单位暂停审批新增取水，对取用水总量接近控制指标的行业、单位限制审批新增取水。重点开展食品等高耗水工业行业节水技术改造。限期关闭未经批准的和公共供水管网覆盖范围内的自备水井到2025年，高耗水行业达到先进定额标准，永州经济技术开发区用水总量控制在8645万立方米以内，万元地区生产总值用水量、万元工业增加值用水量分别比2020年降低18.06%、8.87%。</w:t>
                  </w:r>
                </w:p>
                <w:p w14:paraId="162B7CCC">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w:t>
                  </w:r>
                  <w:r>
                    <w:rPr>
                      <w:rFonts w:hint="default" w:ascii="Times New Roman" w:hAnsi="Times New Roman" w:cs="Times New Roman"/>
                      <w:color w:val="auto"/>
                      <w:sz w:val="21"/>
                      <w:szCs w:val="21"/>
                    </w:rPr>
                    <w:t>4.3</w:t>
                  </w:r>
                  <w:r>
                    <w:rPr>
                      <w:rFonts w:hint="eastAsia" w:cs="Times New Roman"/>
                      <w:color w:val="auto"/>
                      <w:sz w:val="21"/>
                      <w:szCs w:val="21"/>
                      <w:lang w:eastAsia="zh-CN"/>
                    </w:rPr>
                    <w:t>）</w:t>
                  </w:r>
                  <w:r>
                    <w:rPr>
                      <w:rFonts w:hint="default" w:ascii="Times New Roman" w:hAnsi="Times New Roman" w:cs="Times New Roman"/>
                      <w:color w:val="auto"/>
                      <w:sz w:val="21"/>
                      <w:szCs w:val="21"/>
                    </w:rPr>
                    <w:t>土地资源：促进园区土地高质量利用；在详细规划编制、用地预审与选址、用地报批、土地出让、规划许可竣工验收等环节，全面推行工业项目建设用地引导指标和工业项目供地负面清单管理，工业用地固定资产投入强度须达到250万元/亩以上，工业用地均税收15万元/亩。</w:t>
                  </w:r>
                </w:p>
              </w:tc>
              <w:tc>
                <w:tcPr>
                  <w:tcW w:w="1134" w:type="pct"/>
                  <w:tcBorders>
                    <w:tl2br w:val="nil"/>
                    <w:tr2bl w:val="nil"/>
                  </w:tcBorders>
                  <w:noWrap w:val="0"/>
                  <w:vAlign w:val="center"/>
                </w:tcPr>
                <w:p w14:paraId="01245D78">
                  <w:pPr>
                    <w:keepNext w:val="0"/>
                    <w:keepLines w:val="0"/>
                    <w:pageBreakBefore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项目在生产过程中使用的能源为</w:t>
                  </w:r>
                  <w:r>
                    <w:rPr>
                      <w:rFonts w:hint="eastAsia" w:cs="Times New Roman"/>
                      <w:color w:val="auto"/>
                      <w:sz w:val="21"/>
                      <w:szCs w:val="21"/>
                      <w:lang w:val="en-US" w:eastAsia="zh-CN"/>
                    </w:rPr>
                    <w:t>电</w:t>
                  </w:r>
                  <w:r>
                    <w:rPr>
                      <w:rFonts w:hint="eastAsia" w:ascii="Times New Roman" w:hAnsi="Times New Roman" w:cs="Times New Roman"/>
                      <w:color w:val="auto"/>
                      <w:sz w:val="21"/>
                      <w:szCs w:val="21"/>
                      <w:lang w:val="en-US" w:eastAsia="zh-CN"/>
                    </w:rPr>
                    <w:t>，不使用煤</w:t>
                  </w:r>
                  <w:r>
                    <w:rPr>
                      <w:rFonts w:hint="eastAsia" w:cs="Times New Roman"/>
                      <w:color w:val="auto"/>
                      <w:sz w:val="21"/>
                      <w:szCs w:val="21"/>
                      <w:lang w:val="en-US" w:eastAsia="zh-CN"/>
                    </w:rPr>
                    <w:t>等高污染燃料</w:t>
                  </w:r>
                  <w:r>
                    <w:rPr>
                      <w:rFonts w:hint="eastAsia" w:ascii="Times New Roman" w:hAnsi="Times New Roman" w:cs="Times New Roman"/>
                      <w:color w:val="auto"/>
                      <w:sz w:val="21"/>
                      <w:szCs w:val="21"/>
                      <w:lang w:val="en-US" w:eastAsia="zh-CN"/>
                    </w:rPr>
                    <w:t>。</w:t>
                  </w:r>
                </w:p>
                <w:p w14:paraId="3EEFB4D3">
                  <w:pPr>
                    <w:keepNext w:val="0"/>
                    <w:keepLines w:val="0"/>
                    <w:pageBreakBefore w:val="0"/>
                    <w:kinsoku/>
                    <w:wordWrap/>
                    <w:overflowPunct/>
                    <w:topLinePunct w:val="0"/>
                    <w:autoSpaceDE/>
                    <w:autoSpaceDN/>
                    <w:bidi w:val="0"/>
                    <w:adjustRightInd/>
                    <w:snapToGrid/>
                    <w:ind w:firstLine="420" w:firstLineChars="200"/>
                    <w:jc w:val="both"/>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项目不属于耗水企业。</w:t>
                  </w:r>
                </w:p>
                <w:p w14:paraId="30D3D2A8">
                  <w:pPr>
                    <w:keepNext w:val="0"/>
                    <w:keepLines w:val="0"/>
                    <w:pageBreakBefore w:val="0"/>
                    <w:kinsoku/>
                    <w:wordWrap/>
                    <w:overflowPunct/>
                    <w:topLinePunct w:val="0"/>
                    <w:autoSpaceDE/>
                    <w:autoSpaceDN/>
                    <w:bidi w:val="0"/>
                    <w:adjustRightInd/>
                    <w:snapToGrid/>
                    <w:ind w:firstLine="420" w:firstLineChars="200"/>
                    <w:jc w:val="both"/>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项目</w:t>
                  </w:r>
                  <w:r>
                    <w:rPr>
                      <w:rFonts w:hint="eastAsia" w:cs="Times New Roman"/>
                      <w:color w:val="auto"/>
                      <w:sz w:val="21"/>
                      <w:szCs w:val="21"/>
                      <w:lang w:val="en-US" w:eastAsia="zh-CN"/>
                    </w:rPr>
                    <w:t>使用</w:t>
                  </w:r>
                  <w:r>
                    <w:rPr>
                      <w:rFonts w:hint="eastAsia" w:ascii="Times New Roman" w:hAnsi="Times New Roman" w:cs="Times New Roman"/>
                      <w:color w:val="auto"/>
                      <w:sz w:val="21"/>
                      <w:szCs w:val="21"/>
                      <w:lang w:val="en-US" w:eastAsia="zh-CN"/>
                    </w:rPr>
                    <w:t>现有厂房建设，不新增用地，符合园区用地要求。</w:t>
                  </w:r>
                </w:p>
              </w:tc>
            </w:tr>
          </w:tbl>
          <w:p w14:paraId="71B7A22F">
            <w:pPr>
              <w:spacing w:line="360" w:lineRule="auto"/>
              <w:ind w:firstLine="480" w:firstLineChars="200"/>
              <w:rPr>
                <w:rFonts w:hint="eastAsia"/>
                <w:color w:val="FF0000"/>
                <w:sz w:val="24"/>
              </w:rPr>
            </w:pPr>
            <w:r>
              <w:rPr>
                <w:rFonts w:hint="default"/>
                <w:color w:val="auto"/>
                <w:sz w:val="24"/>
              </w:rPr>
              <w:t>本项目的建设符合《</w:t>
            </w:r>
            <w:r>
              <w:rPr>
                <w:rFonts w:hint="eastAsia" w:ascii="Times New Roman" w:hAnsi="Times New Roman" w:eastAsia="宋体" w:cs="Times New Roman"/>
                <w:b w:val="0"/>
                <w:color w:val="auto"/>
                <w:kern w:val="0"/>
                <w:sz w:val="24"/>
                <w:szCs w:val="24"/>
                <w:highlight w:val="none"/>
                <w:u w:val="none" w:color="auto"/>
                <w:lang w:val="en-US" w:eastAsia="zh-CN" w:bidi="ar-SA"/>
              </w:rPr>
              <w:t>湖南省生态环境分区管控总体管控要求暨省级以上产业园区生态环境准入清单</w:t>
            </w:r>
            <w:r>
              <w:rPr>
                <w:rFonts w:hint="default"/>
                <w:color w:val="auto"/>
                <w:sz w:val="24"/>
              </w:rPr>
              <w:t>》</w:t>
            </w:r>
            <w:r>
              <w:rPr>
                <w:rFonts w:hint="eastAsia"/>
                <w:color w:val="auto"/>
                <w:sz w:val="24"/>
                <w:lang w:val="en-US" w:eastAsia="zh-CN"/>
              </w:rPr>
              <w:t>中相关规划要求</w:t>
            </w:r>
            <w:r>
              <w:rPr>
                <w:rFonts w:hint="default"/>
                <w:color w:val="auto"/>
                <w:sz w:val="24"/>
              </w:rPr>
              <w:t>。</w:t>
            </w:r>
          </w:p>
          <w:p w14:paraId="3680AFEE">
            <w:pPr>
              <w:jc w:val="center"/>
              <w:rPr>
                <w:color w:val="auto"/>
                <w:kern w:val="0"/>
                <w:sz w:val="24"/>
                <w:szCs w:val="24"/>
                <w:highlight w:val="none"/>
                <w:u w:val="none"/>
              </w:rPr>
            </w:pPr>
          </w:p>
        </w:tc>
      </w:tr>
    </w:tbl>
    <w:p w14:paraId="2F3E6F79">
      <w:pPr>
        <w:pStyle w:val="17"/>
        <w:rPr>
          <w:color w:val="auto"/>
          <w:kern w:val="2"/>
          <w:sz w:val="24"/>
          <w:highlight w:val="none"/>
          <w:u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10D4241">
      <w:pPr>
        <w:pStyle w:val="3"/>
        <w:spacing w:before="0" w:after="0" w:line="360" w:lineRule="auto"/>
        <w:jc w:val="center"/>
        <w:rPr>
          <w:color w:val="auto"/>
          <w:sz w:val="32"/>
          <w:highlight w:val="none"/>
          <w:u w:val="none"/>
        </w:rPr>
      </w:pPr>
      <w:bookmarkStart w:id="3" w:name="_Toc7073"/>
      <w:r>
        <w:rPr>
          <w:rFonts w:hint="eastAsia"/>
          <w:color w:val="auto"/>
          <w:sz w:val="32"/>
          <w:highlight w:val="none"/>
          <w:u w:val="none"/>
        </w:rPr>
        <w:t>二、建设项目工程分析</w:t>
      </w:r>
      <w:bookmarkEnd w:id="3"/>
    </w:p>
    <w:tbl>
      <w:tblPr>
        <w:tblStyle w:val="3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8343"/>
      </w:tblGrid>
      <w:tr w14:paraId="3088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5" w:hRule="atLeast"/>
          <w:jc w:val="center"/>
        </w:trPr>
        <w:tc>
          <w:tcPr>
            <w:tcW w:w="1235" w:type="dxa"/>
            <w:vAlign w:val="center"/>
          </w:tcPr>
          <w:p w14:paraId="7AE7C09D">
            <w:pPr>
              <w:jc w:val="center"/>
              <w:rPr>
                <w:color w:val="auto"/>
                <w:kern w:val="0"/>
                <w:sz w:val="24"/>
                <w:szCs w:val="24"/>
                <w:highlight w:val="none"/>
                <w:u w:val="none"/>
              </w:rPr>
            </w:pPr>
            <w:r>
              <w:rPr>
                <w:rFonts w:hint="eastAsia"/>
                <w:color w:val="auto"/>
                <w:kern w:val="0"/>
                <w:sz w:val="24"/>
                <w:szCs w:val="24"/>
                <w:highlight w:val="none"/>
                <w:u w:val="none"/>
              </w:rPr>
              <w:t>建设</w:t>
            </w:r>
          </w:p>
          <w:p w14:paraId="229C823A">
            <w:pPr>
              <w:jc w:val="center"/>
              <w:rPr>
                <w:color w:val="auto"/>
                <w:kern w:val="0"/>
                <w:sz w:val="24"/>
                <w:szCs w:val="24"/>
                <w:highlight w:val="none"/>
                <w:u w:val="none"/>
              </w:rPr>
            </w:pPr>
            <w:r>
              <w:rPr>
                <w:rFonts w:hint="eastAsia"/>
                <w:color w:val="auto"/>
                <w:kern w:val="0"/>
                <w:sz w:val="24"/>
                <w:szCs w:val="24"/>
                <w:highlight w:val="none"/>
                <w:u w:val="none"/>
              </w:rPr>
              <w:t>内容</w:t>
            </w:r>
          </w:p>
        </w:tc>
        <w:tc>
          <w:tcPr>
            <w:tcW w:w="7836" w:type="dxa"/>
            <w:vAlign w:val="center"/>
          </w:tcPr>
          <w:p w14:paraId="27F13DAB">
            <w:pPr>
              <w:spacing w:line="360" w:lineRule="auto"/>
              <w:ind w:right="78" w:rightChars="37"/>
              <w:rPr>
                <w:b/>
                <w:bCs/>
                <w:color w:val="auto"/>
                <w:sz w:val="24"/>
                <w:highlight w:val="none"/>
                <w:u w:val="none"/>
              </w:rPr>
            </w:pPr>
            <w:r>
              <w:rPr>
                <w:rFonts w:hint="eastAsia"/>
                <w:b/>
                <w:bCs/>
                <w:color w:val="auto"/>
                <w:sz w:val="24"/>
                <w:highlight w:val="none"/>
                <w:u w:val="none"/>
              </w:rPr>
              <w:t>1、项目组成</w:t>
            </w:r>
          </w:p>
          <w:p w14:paraId="5D2A85EA">
            <w:pPr>
              <w:keepNext w:val="0"/>
              <w:keepLines w:val="0"/>
              <w:pageBreakBefore w:val="0"/>
              <w:widowControl w:val="0"/>
              <w:kinsoku/>
              <w:wordWrap/>
              <w:overflowPunct/>
              <w:topLinePunct w:val="0"/>
              <w:autoSpaceDE/>
              <w:autoSpaceDN/>
              <w:bidi w:val="0"/>
              <w:adjustRightInd/>
              <w:snapToGrid/>
              <w:spacing w:line="360" w:lineRule="auto"/>
              <w:ind w:right="78" w:rightChars="37" w:firstLine="480" w:firstLineChars="200"/>
              <w:textAlignment w:val="auto"/>
              <w:outlineLvl w:val="9"/>
              <w:rPr>
                <w:rFonts w:hint="eastAsia" w:ascii="Times New Roman" w:hAnsi="Times New Roman" w:eastAsia="宋体" w:cs="Times New Roman"/>
                <w:color w:val="auto"/>
                <w:sz w:val="24"/>
                <w:szCs w:val="24"/>
                <w:highlight w:val="none"/>
                <w:u w:val="none"/>
                <w:shd w:val="clear" w:color="auto" w:fill="auto"/>
                <w:lang w:val="en-US" w:eastAsia="zh-CN"/>
              </w:rPr>
            </w:pPr>
            <w:r>
              <w:rPr>
                <w:rFonts w:hint="eastAsia" w:ascii="Times New Roman" w:hAnsi="Times New Roman" w:eastAsia="宋体" w:cs="Times New Roman"/>
                <w:color w:val="auto"/>
                <w:sz w:val="24"/>
                <w:szCs w:val="24"/>
                <w:highlight w:val="none"/>
                <w:u w:val="none"/>
                <w:shd w:val="clear" w:color="auto" w:fill="auto"/>
              </w:rPr>
              <w:t>湖南意朴电子有限公司</w:t>
            </w:r>
            <w:r>
              <w:rPr>
                <w:rFonts w:hint="eastAsia" w:ascii="Times New Roman" w:hAnsi="Times New Roman" w:eastAsia="宋体" w:cs="Times New Roman"/>
                <w:color w:val="auto"/>
                <w:sz w:val="24"/>
                <w:szCs w:val="24"/>
                <w:highlight w:val="none"/>
                <w:u w:val="none"/>
                <w:shd w:val="clear" w:color="auto" w:fill="auto"/>
                <w:lang w:val="en-US" w:eastAsia="zh-CN"/>
              </w:rPr>
              <w:t>成立于2024年，是一家专业进行电子接插件和胶壳等生产、销售为一体的公司。</w:t>
            </w:r>
          </w:p>
          <w:p w14:paraId="40DA9191">
            <w:pPr>
              <w:keepNext w:val="0"/>
              <w:keepLines w:val="0"/>
              <w:pageBreakBefore w:val="0"/>
              <w:widowControl w:val="0"/>
              <w:kinsoku/>
              <w:wordWrap/>
              <w:overflowPunct/>
              <w:topLinePunct w:val="0"/>
              <w:autoSpaceDE/>
              <w:autoSpaceDN/>
              <w:bidi w:val="0"/>
              <w:adjustRightInd/>
              <w:snapToGrid/>
              <w:spacing w:line="360" w:lineRule="auto"/>
              <w:ind w:right="78" w:rightChars="37" w:firstLine="480" w:firstLineChars="200"/>
              <w:textAlignment w:val="auto"/>
              <w:outlineLvl w:val="9"/>
              <w:rPr>
                <w:rFonts w:hint="eastAsia" w:ascii="Times New Roman" w:hAnsi="Times New Roman" w:eastAsia="宋体" w:cs="Times New Roman"/>
                <w:color w:val="auto"/>
                <w:sz w:val="24"/>
                <w:szCs w:val="24"/>
                <w:highlight w:val="none"/>
                <w:u w:val="none"/>
                <w:shd w:val="clear" w:color="auto" w:fill="auto"/>
                <w:lang w:val="en-US" w:eastAsia="zh-CN"/>
              </w:rPr>
            </w:pPr>
            <w:r>
              <w:rPr>
                <w:rFonts w:hint="eastAsia" w:ascii="Times New Roman" w:hAnsi="Times New Roman" w:eastAsia="宋体" w:cs="Times New Roman"/>
                <w:color w:val="auto"/>
                <w:sz w:val="24"/>
                <w:szCs w:val="24"/>
                <w:highlight w:val="none"/>
                <w:u w:val="none"/>
                <w:shd w:val="clear" w:color="auto" w:fill="auto"/>
                <w:lang w:val="en-US" w:eastAsia="zh-CN"/>
              </w:rPr>
              <w:t>电子接插件作为电子设备间信号与电力传输的关键部件，其性能和质量直接影响到电子产品的整体性能与可靠性。通过提升电子接插件的技术水平和产品质量，可以满足高端制造等领域对高性能连接器的需求，从而提高电子设备的稳定性和使用寿命。在全球市场中，电子接插件和胶壳项目可以提升国内企业的竞争力，满足下游应用领域的大规模增长需求。综上所述，本项目的建设不仅有助于提升电子设备的性能和可靠性，适应市场需求和行业发展趋势，还通过技术创新推动产业升级，应对国际市场挑战。</w:t>
            </w:r>
          </w:p>
          <w:p w14:paraId="413DDD8F">
            <w:pPr>
              <w:keepNext w:val="0"/>
              <w:keepLines w:val="0"/>
              <w:pageBreakBefore w:val="0"/>
              <w:widowControl w:val="0"/>
              <w:kinsoku/>
              <w:wordWrap/>
              <w:overflowPunct/>
              <w:topLinePunct w:val="0"/>
              <w:autoSpaceDE/>
              <w:autoSpaceDN/>
              <w:bidi w:val="0"/>
              <w:adjustRightInd/>
              <w:snapToGrid/>
              <w:spacing w:line="360" w:lineRule="auto"/>
              <w:ind w:right="78" w:rightChars="37" w:firstLine="480" w:firstLineChars="200"/>
              <w:textAlignment w:val="auto"/>
              <w:outlineLvl w:val="9"/>
              <w:rPr>
                <w:rFonts w:hint="eastAsia" w:ascii="Times New Roman" w:hAnsi="Times New Roman" w:eastAsia="宋体" w:cs="Times New Roman"/>
                <w:color w:val="FF0000"/>
                <w:sz w:val="24"/>
                <w:szCs w:val="24"/>
                <w:highlight w:val="none"/>
                <w:u w:val="single"/>
                <w:shd w:val="clear" w:color="auto" w:fill="auto"/>
              </w:rPr>
            </w:pPr>
            <w:r>
              <w:rPr>
                <w:rFonts w:hint="eastAsia"/>
                <w:color w:val="auto"/>
                <w:sz w:val="24"/>
                <w:szCs w:val="24"/>
                <w:highlight w:val="none"/>
                <w:u w:val="none"/>
                <w:shd w:val="clear" w:color="auto" w:fill="FFFFFF"/>
              </w:rPr>
              <w:t>湖南意朴电子有限公司</w:t>
            </w:r>
            <w:r>
              <w:rPr>
                <w:rFonts w:hint="eastAsia"/>
                <w:color w:val="auto"/>
                <w:sz w:val="24"/>
                <w:highlight w:val="none"/>
                <w:u w:val="none"/>
              </w:rPr>
              <w:t>拟投资</w:t>
            </w:r>
            <w:r>
              <w:rPr>
                <w:rFonts w:hint="eastAsia"/>
                <w:color w:val="auto"/>
                <w:kern w:val="0"/>
                <w:sz w:val="24"/>
                <w:szCs w:val="24"/>
                <w:highlight w:val="none"/>
                <w:u w:val="none"/>
                <w:lang w:val="en-US" w:eastAsia="zh-CN"/>
              </w:rPr>
              <w:t>5</w:t>
            </w:r>
            <w:r>
              <w:rPr>
                <w:rFonts w:hint="eastAsia"/>
                <w:color w:val="auto"/>
                <w:kern w:val="0"/>
                <w:sz w:val="24"/>
                <w:szCs w:val="24"/>
                <w:highlight w:val="none"/>
                <w:u w:val="none"/>
              </w:rPr>
              <w:t>000</w:t>
            </w:r>
            <w:r>
              <w:rPr>
                <w:rFonts w:hint="eastAsia"/>
                <w:color w:val="auto"/>
                <w:sz w:val="24"/>
                <w:highlight w:val="none"/>
                <w:u w:val="none"/>
              </w:rPr>
              <w:t>万元在</w:t>
            </w:r>
            <w:r>
              <w:rPr>
                <w:rFonts w:hint="eastAsia"/>
                <w:color w:val="auto"/>
                <w:sz w:val="24"/>
                <w:szCs w:val="24"/>
                <w:highlight w:val="none"/>
                <w:u w:val="none"/>
                <w:shd w:val="clear" w:color="auto" w:fill="FFFFFF"/>
              </w:rPr>
              <w:t>永州经济技术开发区智能装备产业园标准厂11栋1-</w:t>
            </w:r>
            <w:r>
              <w:rPr>
                <w:rFonts w:hint="eastAsia"/>
                <w:color w:val="auto"/>
                <w:sz w:val="24"/>
                <w:szCs w:val="24"/>
                <w:highlight w:val="none"/>
                <w:u w:val="none"/>
                <w:shd w:val="clear" w:color="auto" w:fill="FFFFFF"/>
                <w:lang w:val="en-US" w:eastAsia="zh-CN"/>
              </w:rPr>
              <w:t>5</w:t>
            </w:r>
            <w:r>
              <w:rPr>
                <w:rFonts w:hint="eastAsia"/>
                <w:color w:val="auto"/>
                <w:sz w:val="24"/>
                <w:szCs w:val="24"/>
                <w:highlight w:val="none"/>
                <w:u w:val="none"/>
                <w:shd w:val="clear" w:color="auto" w:fill="FFFFFF"/>
              </w:rPr>
              <w:t>楼</w:t>
            </w:r>
            <w:r>
              <w:rPr>
                <w:rFonts w:hint="eastAsia"/>
                <w:color w:val="auto"/>
                <w:sz w:val="24"/>
                <w:highlight w:val="none"/>
                <w:u w:val="none"/>
              </w:rPr>
              <w:t>建设</w:t>
            </w:r>
            <w:r>
              <w:rPr>
                <w:rFonts w:hint="eastAsia"/>
                <w:color w:val="auto"/>
                <w:sz w:val="24"/>
                <w:szCs w:val="24"/>
                <w:highlight w:val="none"/>
                <w:u w:val="none"/>
                <w:shd w:val="clear" w:color="auto" w:fill="FFFFFF"/>
              </w:rPr>
              <w:t>湖南意朴电子有限公司先进电子器件生产制造项目</w:t>
            </w:r>
            <w:r>
              <w:rPr>
                <w:rFonts w:hint="eastAsia"/>
                <w:color w:val="auto"/>
                <w:sz w:val="24"/>
                <w:szCs w:val="24"/>
                <w:highlight w:val="none"/>
                <w:u w:val="none"/>
                <w:shd w:val="clear" w:color="auto" w:fill="FFFFFF"/>
                <w:lang w:eastAsia="zh-CN"/>
              </w:rPr>
              <w:t>，</w:t>
            </w:r>
            <w:r>
              <w:rPr>
                <w:rFonts w:hint="eastAsia"/>
                <w:color w:val="auto"/>
                <w:sz w:val="24"/>
                <w:szCs w:val="24"/>
                <w:highlight w:val="none"/>
                <w:u w:val="none"/>
                <w:shd w:val="clear" w:color="auto" w:fill="FFFFFF"/>
                <w:lang w:val="en-US" w:eastAsia="zh-CN"/>
              </w:rPr>
              <w:t>计划年产电子接插件4500万只、胶壳8500万只、光模块50万个</w:t>
            </w:r>
            <w:r>
              <w:rPr>
                <w:color w:val="auto"/>
                <w:sz w:val="24"/>
                <w:szCs w:val="24"/>
                <w:highlight w:val="none"/>
                <w:u w:val="none"/>
              </w:rPr>
              <w:t>。</w:t>
            </w:r>
            <w:r>
              <w:rPr>
                <w:rFonts w:hint="eastAsia"/>
                <w:color w:val="auto"/>
                <w:sz w:val="24"/>
                <w:szCs w:val="24"/>
                <w:highlight w:val="none"/>
                <w:u w:val="none"/>
                <w:lang w:val="en-US" w:eastAsia="zh-CN"/>
              </w:rPr>
              <w:t>于2024年12月20日通过环境影响评价审批，取得环评批复，文号：永经开环评〔2024〕17号。企业遂开工建设，在建设过程中企业因经济发展情形良好，为抓住机会，特增加生产设备生产适配器元件，年产3600万个。企业经过调查发现实际建设内容较原环评内容变动较大，属于重大变动，需重新编制报批环境影响评价文件。</w:t>
            </w:r>
            <w:r>
              <w:rPr>
                <w:rFonts w:hint="eastAsia" w:ascii="Times New Roman" w:hAnsi="Times New Roman" w:eastAsia="宋体" w:cs="Times New Roman"/>
                <w:color w:val="FF0000"/>
                <w:sz w:val="24"/>
                <w:szCs w:val="24"/>
                <w:highlight w:val="none"/>
                <w:u w:val="single"/>
                <w:shd w:val="clear" w:color="auto" w:fill="auto"/>
                <w:lang w:val="en-US" w:eastAsia="zh-CN"/>
              </w:rPr>
              <w:t>‌</w:t>
            </w:r>
          </w:p>
          <w:p w14:paraId="42F11FBA">
            <w:pPr>
              <w:keepNext w:val="0"/>
              <w:keepLines w:val="0"/>
              <w:pageBreakBefore w:val="0"/>
              <w:widowControl w:val="0"/>
              <w:kinsoku/>
              <w:wordWrap/>
              <w:overflowPunct/>
              <w:topLinePunct w:val="0"/>
              <w:autoSpaceDE/>
              <w:autoSpaceDN/>
              <w:bidi w:val="0"/>
              <w:adjustRightInd/>
              <w:snapToGrid/>
              <w:spacing w:line="360" w:lineRule="auto"/>
              <w:ind w:right="78" w:rightChars="37" w:firstLine="480" w:firstLineChars="200"/>
              <w:textAlignment w:val="auto"/>
              <w:outlineLvl w:val="9"/>
              <w:rPr>
                <w:rFonts w:hint="eastAsia"/>
                <w:b w:val="0"/>
                <w:bCs w:val="0"/>
                <w:color w:val="auto"/>
                <w:sz w:val="24"/>
                <w:highlight w:val="none"/>
                <w:u w:val="none" w:color="auto"/>
              </w:rPr>
            </w:pPr>
            <w:r>
              <w:rPr>
                <w:rFonts w:hint="eastAsia" w:ascii="Times New Roman" w:hAnsi="Times New Roman" w:eastAsia="宋体" w:cs="Times New Roman"/>
                <w:color w:val="auto"/>
                <w:sz w:val="24"/>
                <w:szCs w:val="24"/>
                <w:highlight w:val="none"/>
                <w:u w:val="none"/>
                <w:shd w:val="clear" w:color="auto" w:fill="auto"/>
              </w:rPr>
              <w:t>根据《中华人民共和国环境影响评价法</w:t>
            </w:r>
            <w:r>
              <w:rPr>
                <w:rFonts w:hint="eastAsia" w:cs="Times New Roman"/>
                <w:color w:val="auto"/>
                <w:sz w:val="24"/>
                <w:szCs w:val="24"/>
                <w:highlight w:val="none"/>
                <w:u w:val="none"/>
                <w:shd w:val="clear" w:color="auto" w:fill="auto"/>
                <w:lang w:eastAsia="zh-CN"/>
              </w:rPr>
              <w:t>》《</w:t>
            </w:r>
            <w:r>
              <w:rPr>
                <w:rFonts w:hint="eastAsia" w:ascii="Times New Roman" w:hAnsi="Times New Roman" w:eastAsia="宋体" w:cs="Times New Roman"/>
                <w:color w:val="auto"/>
                <w:sz w:val="24"/>
                <w:szCs w:val="24"/>
                <w:highlight w:val="none"/>
                <w:u w:val="none"/>
                <w:shd w:val="clear" w:color="auto" w:fill="auto"/>
              </w:rPr>
              <w:t>建设项目环境保护管理条例》及《建设项目环境影响评价分类管理名录（2021版）》，该项目</w:t>
            </w:r>
            <w:r>
              <w:rPr>
                <w:rFonts w:hint="eastAsia" w:cs="Times New Roman"/>
                <w:color w:val="auto"/>
                <w:sz w:val="24"/>
                <w:szCs w:val="24"/>
                <w:highlight w:val="none"/>
                <w:u w:val="none"/>
                <w:shd w:val="clear" w:color="auto" w:fill="auto"/>
                <w:lang w:val="en-US" w:eastAsia="zh-CN"/>
              </w:rPr>
              <w:t>涉及</w:t>
            </w:r>
            <w:r>
              <w:rPr>
                <w:rFonts w:hint="eastAsia" w:ascii="Times New Roman" w:hAnsi="Times New Roman" w:eastAsia="宋体" w:cs="Times New Roman"/>
                <w:color w:val="auto"/>
                <w:sz w:val="24"/>
                <w:szCs w:val="24"/>
                <w:highlight w:val="none"/>
                <w:u w:val="none"/>
                <w:shd w:val="clear" w:color="auto" w:fill="auto"/>
              </w:rPr>
              <w:t>“三十六、计算机、通信和其他电子设备制造业 39、81电子元件及电子专用材料制造 398</w:t>
            </w:r>
            <w:r>
              <w:rPr>
                <w:rFonts w:hint="eastAsia" w:cs="Times New Roman"/>
                <w:color w:val="auto"/>
                <w:sz w:val="24"/>
                <w:szCs w:val="24"/>
                <w:highlight w:val="none"/>
                <w:u w:val="none"/>
                <w:shd w:val="clear" w:color="auto" w:fill="auto"/>
                <w:lang w:eastAsia="zh-CN"/>
              </w:rPr>
              <w:t>－</w:t>
            </w:r>
            <w:r>
              <w:rPr>
                <w:rFonts w:hint="eastAsia" w:ascii="Times New Roman" w:hAnsi="Times New Roman" w:eastAsia="宋体" w:cs="Times New Roman"/>
                <w:color w:val="auto"/>
                <w:sz w:val="24"/>
                <w:szCs w:val="24"/>
                <w:highlight w:val="none"/>
                <w:u w:val="none"/>
                <w:shd w:val="clear" w:color="auto" w:fill="auto"/>
                <w:lang w:val="en-US" w:eastAsia="zh-CN"/>
              </w:rPr>
              <w:t>印刷电路板制造；电子专用材料制造（电子化工材料制造除外）；使用有机溶剂的；有酸洗的。以上均不含仅分割、焊接、组装的</w:t>
            </w:r>
            <w:r>
              <w:rPr>
                <w:rFonts w:hint="eastAsia" w:cs="Times New Roman"/>
                <w:color w:val="auto"/>
                <w:sz w:val="24"/>
                <w:szCs w:val="24"/>
                <w:highlight w:val="none"/>
                <w:u w:val="none"/>
                <w:shd w:val="clear" w:color="auto" w:fill="auto"/>
                <w:lang w:val="en-US" w:eastAsia="zh-CN"/>
              </w:rPr>
              <w:t>”和</w:t>
            </w:r>
            <w:r>
              <w:rPr>
                <w:rFonts w:hint="eastAsia" w:ascii="Times New Roman" w:hAnsi="Times New Roman" w:eastAsia="宋体" w:cs="Times New Roman"/>
                <w:color w:val="auto"/>
                <w:sz w:val="24"/>
                <w:szCs w:val="24"/>
                <w:highlight w:val="none"/>
                <w:u w:val="none"/>
                <w:shd w:val="clear" w:color="auto" w:fill="auto"/>
              </w:rPr>
              <w:t>“二十六、橡胶和塑料制品业 29、其他</w:t>
            </w:r>
            <w:r>
              <w:rPr>
                <w:rFonts w:hint="eastAsia" w:cs="Times New Roman"/>
                <w:color w:val="auto"/>
                <w:sz w:val="24"/>
                <w:szCs w:val="24"/>
                <w:highlight w:val="none"/>
                <w:u w:val="none"/>
                <w:shd w:val="clear" w:color="auto" w:fill="auto"/>
                <w:lang w:val="en-US" w:eastAsia="zh-CN"/>
              </w:rPr>
              <w:t>”</w:t>
            </w:r>
            <w:r>
              <w:rPr>
                <w:rFonts w:hint="eastAsia" w:ascii="Times New Roman" w:hAnsi="Times New Roman" w:eastAsia="宋体" w:cs="Times New Roman"/>
                <w:color w:val="auto"/>
                <w:sz w:val="24"/>
                <w:szCs w:val="24"/>
                <w:highlight w:val="none"/>
                <w:u w:val="none"/>
                <w:shd w:val="clear" w:color="auto" w:fill="auto"/>
                <w:lang w:val="en-US" w:eastAsia="zh-CN"/>
              </w:rPr>
              <w:t>。</w:t>
            </w:r>
            <w:r>
              <w:rPr>
                <w:rFonts w:hint="eastAsia" w:ascii="Times New Roman" w:hAnsi="Times New Roman" w:eastAsia="宋体" w:cs="Times New Roman"/>
                <w:color w:val="auto"/>
                <w:sz w:val="24"/>
                <w:szCs w:val="24"/>
                <w:highlight w:val="none"/>
                <w:u w:val="none"/>
                <w:shd w:val="clear" w:color="auto" w:fill="auto"/>
              </w:rPr>
              <w:t>项目类别应编制相应的环境影响报告表。</w:t>
            </w:r>
            <w:r>
              <w:rPr>
                <w:rFonts w:hint="default" w:ascii="Times New Roman" w:hAnsi="Times New Roman" w:eastAsia="宋体" w:cs="Times New Roman"/>
                <w:color w:val="auto"/>
                <w:sz w:val="24"/>
                <w:szCs w:val="24"/>
                <w:highlight w:val="none"/>
                <w:u w:val="none"/>
                <w:shd w:val="clear" w:color="auto" w:fill="auto"/>
              </w:rPr>
              <w:t>为此，</w:t>
            </w:r>
            <w:r>
              <w:rPr>
                <w:rFonts w:hint="eastAsia" w:ascii="Times New Roman" w:hAnsi="Times New Roman" w:eastAsia="宋体" w:cs="Times New Roman"/>
                <w:color w:val="auto"/>
                <w:sz w:val="24"/>
                <w:szCs w:val="24"/>
                <w:highlight w:val="none"/>
                <w:u w:val="none"/>
                <w:shd w:val="clear" w:color="auto" w:fill="auto"/>
              </w:rPr>
              <w:t>湖南意朴电子有限公司</w:t>
            </w:r>
            <w:r>
              <w:rPr>
                <w:rFonts w:hint="default" w:ascii="Times New Roman" w:hAnsi="Times New Roman" w:eastAsia="宋体" w:cs="Times New Roman"/>
                <w:color w:val="auto"/>
                <w:sz w:val="24"/>
                <w:szCs w:val="24"/>
                <w:highlight w:val="none"/>
                <w:u w:val="none"/>
                <w:shd w:val="clear" w:color="auto" w:fill="auto"/>
              </w:rPr>
              <w:t>委托</w:t>
            </w:r>
            <w:r>
              <w:rPr>
                <w:rFonts w:hint="eastAsia" w:cs="Times New Roman"/>
                <w:color w:val="auto"/>
                <w:sz w:val="24"/>
                <w:szCs w:val="24"/>
                <w:highlight w:val="none"/>
                <w:u w:val="none"/>
                <w:shd w:val="clear" w:color="auto" w:fill="auto"/>
                <w:lang w:val="en-US" w:eastAsia="zh-CN"/>
              </w:rPr>
              <w:t>永州市艮震环保科技</w:t>
            </w:r>
            <w:r>
              <w:rPr>
                <w:rFonts w:hint="default"/>
                <w:color w:val="auto"/>
                <w:sz w:val="24"/>
                <w:szCs w:val="24"/>
                <w:highlight w:val="none"/>
                <w:u w:val="none"/>
                <w:shd w:val="clear" w:color="auto" w:fill="auto"/>
              </w:rPr>
              <w:t>有限公司</w:t>
            </w:r>
            <w:r>
              <w:rPr>
                <w:rFonts w:hint="default" w:ascii="Times New Roman" w:hAnsi="Times New Roman" w:eastAsia="宋体" w:cs="Times New Roman"/>
                <w:color w:val="auto"/>
                <w:sz w:val="24"/>
                <w:szCs w:val="24"/>
                <w:highlight w:val="none"/>
                <w:u w:val="none"/>
                <w:shd w:val="clear" w:color="auto" w:fill="auto"/>
              </w:rPr>
              <w:t>承担</w:t>
            </w:r>
            <w:r>
              <w:rPr>
                <w:rFonts w:hint="default" w:ascii="Times New Roman" w:hAnsi="Times New Roman" w:eastAsia="宋体" w:cs="Times New Roman"/>
                <w:color w:val="auto"/>
                <w:sz w:val="24"/>
                <w:szCs w:val="24"/>
                <w:highlight w:val="none"/>
                <w:u w:val="none"/>
                <w:shd w:val="clear" w:color="auto" w:fill="auto"/>
                <w:lang w:eastAsia="zh-CN"/>
              </w:rPr>
              <w:t>“</w:t>
            </w:r>
            <w:r>
              <w:rPr>
                <w:rFonts w:hint="eastAsia" w:ascii="Times New Roman" w:hAnsi="Times New Roman" w:eastAsia="宋体" w:cs="Times New Roman"/>
                <w:color w:val="auto"/>
                <w:sz w:val="24"/>
                <w:szCs w:val="24"/>
                <w:highlight w:val="none"/>
                <w:u w:val="none"/>
                <w:shd w:val="clear" w:color="auto" w:fill="auto"/>
              </w:rPr>
              <w:t>湖南意朴电子有限公司先进电子器件生产制造项目</w:t>
            </w:r>
            <w:r>
              <w:rPr>
                <w:rFonts w:hint="eastAsia" w:cs="Times New Roman"/>
                <w:color w:val="auto"/>
                <w:sz w:val="24"/>
                <w:szCs w:val="24"/>
                <w:highlight w:val="none"/>
                <w:u w:val="none"/>
                <w:shd w:val="clear" w:color="auto" w:fill="auto"/>
                <w:lang w:eastAsia="zh-CN"/>
              </w:rPr>
              <w:t>（</w:t>
            </w:r>
            <w:r>
              <w:rPr>
                <w:rFonts w:hint="eastAsia" w:cs="Times New Roman"/>
                <w:color w:val="auto"/>
                <w:sz w:val="24"/>
                <w:szCs w:val="24"/>
                <w:highlight w:val="none"/>
                <w:u w:val="none"/>
                <w:shd w:val="clear" w:color="auto" w:fill="auto"/>
                <w:lang w:val="en-US" w:eastAsia="zh-CN"/>
              </w:rPr>
              <w:t>重新报批</w:t>
            </w:r>
            <w:r>
              <w:rPr>
                <w:rFonts w:hint="eastAsia" w:cs="Times New Roman"/>
                <w:color w:val="auto"/>
                <w:sz w:val="24"/>
                <w:szCs w:val="24"/>
                <w:highlight w:val="none"/>
                <w:u w:val="none"/>
                <w:shd w:val="clear" w:color="auto" w:fill="auto"/>
                <w:lang w:eastAsia="zh-CN"/>
              </w:rPr>
              <w:t>）</w:t>
            </w:r>
            <w:r>
              <w:rPr>
                <w:rFonts w:hint="default" w:ascii="Times New Roman" w:hAnsi="Times New Roman" w:eastAsia="宋体" w:cs="Times New Roman"/>
                <w:color w:val="auto"/>
                <w:sz w:val="24"/>
                <w:szCs w:val="24"/>
                <w:highlight w:val="none"/>
                <w:u w:val="none"/>
                <w:shd w:val="clear" w:color="auto" w:fill="auto"/>
                <w:lang w:eastAsia="zh-CN"/>
              </w:rPr>
              <w:t>”</w:t>
            </w:r>
            <w:r>
              <w:rPr>
                <w:rFonts w:hint="default" w:ascii="Times New Roman" w:hAnsi="Times New Roman" w:eastAsia="宋体" w:cs="Times New Roman"/>
                <w:color w:val="auto"/>
                <w:sz w:val="24"/>
                <w:szCs w:val="24"/>
                <w:highlight w:val="none"/>
                <w:u w:val="none"/>
                <w:shd w:val="clear" w:color="auto" w:fill="auto"/>
              </w:rPr>
              <w:t>的环境影响评价工作（详见附件1）。</w:t>
            </w:r>
            <w:r>
              <w:rPr>
                <w:rFonts w:hint="default" w:ascii="Times New Roman" w:hAnsi="Times New Roman" w:cs="Times New Roman"/>
                <w:color w:val="auto"/>
                <w:sz w:val="24"/>
                <w:szCs w:val="24"/>
                <w:highlight w:val="none"/>
                <w:u w:val="none"/>
                <w:shd w:val="clear" w:color="auto" w:fill="auto"/>
              </w:rPr>
              <w:t>接受委托后，评价单位组织有关人员对项目场址（项目地理位置详见附图1）及其周围环境状况进行了详细踏勘，并收集有关本项目的工程资料，完成了本项目环境影响评价报告表的编制工作。</w:t>
            </w:r>
          </w:p>
          <w:p w14:paraId="11C0AF99">
            <w:pPr>
              <w:spacing w:line="360" w:lineRule="auto"/>
              <w:ind w:firstLine="241" w:firstLineChars="100"/>
              <w:jc w:val="left"/>
              <w:rPr>
                <w:rFonts w:hint="default" w:eastAsia="宋体"/>
                <w:b/>
                <w:bCs/>
                <w:color w:val="auto"/>
                <w:sz w:val="24"/>
                <w:szCs w:val="24"/>
                <w:highlight w:val="none"/>
                <w:u w:val="none"/>
                <w:shd w:val="clear" w:color="auto" w:fill="FFFFFF"/>
                <w:lang w:val="en-US" w:eastAsia="zh-CN"/>
              </w:rPr>
            </w:pPr>
            <w:r>
              <w:rPr>
                <w:rFonts w:hint="eastAsia"/>
                <w:b/>
                <w:bCs/>
                <w:color w:val="auto"/>
                <w:sz w:val="24"/>
                <w:szCs w:val="24"/>
                <w:highlight w:val="none"/>
                <w:u w:val="none"/>
                <w:shd w:val="clear" w:color="auto" w:fill="FFFFFF"/>
                <w:lang w:val="en-US" w:eastAsia="zh-CN"/>
              </w:rPr>
              <w:t>2、项目建设情况</w:t>
            </w:r>
          </w:p>
          <w:p w14:paraId="1792E457">
            <w:pPr>
              <w:spacing w:line="360" w:lineRule="auto"/>
              <w:ind w:firstLine="480" w:firstLineChars="200"/>
              <w:jc w:val="left"/>
              <w:rPr>
                <w:bCs/>
                <w:color w:val="auto"/>
                <w:sz w:val="24"/>
                <w:szCs w:val="24"/>
                <w:highlight w:val="none"/>
                <w:u w:val="none"/>
              </w:rPr>
            </w:pPr>
            <w:r>
              <w:rPr>
                <w:rFonts w:hint="eastAsia"/>
                <w:snapToGrid w:val="0"/>
                <w:color w:val="auto"/>
                <w:kern w:val="0"/>
                <w:sz w:val="24"/>
                <w:szCs w:val="24"/>
                <w:highlight w:val="none"/>
                <w:u w:val="none"/>
              </w:rPr>
              <w:t>项目</w:t>
            </w:r>
            <w:r>
              <w:rPr>
                <w:snapToGrid w:val="0"/>
                <w:color w:val="auto"/>
                <w:kern w:val="0"/>
                <w:sz w:val="24"/>
                <w:szCs w:val="24"/>
                <w:highlight w:val="none"/>
                <w:u w:val="none"/>
              </w:rPr>
              <w:t>租赁</w:t>
            </w:r>
            <w:r>
              <w:rPr>
                <w:rFonts w:hint="eastAsia"/>
                <w:color w:val="auto"/>
                <w:sz w:val="24"/>
                <w:szCs w:val="24"/>
                <w:highlight w:val="none"/>
                <w:u w:val="none"/>
                <w:shd w:val="clear" w:color="auto" w:fill="FFFFFF"/>
              </w:rPr>
              <w:t>永州经济技术开发区智能装备产业园标准厂</w:t>
            </w:r>
            <w:r>
              <w:rPr>
                <w:rFonts w:hint="eastAsia"/>
                <w:color w:val="auto"/>
                <w:sz w:val="24"/>
                <w:szCs w:val="24"/>
                <w:highlight w:val="none"/>
                <w:u w:val="none"/>
                <w:shd w:val="clear" w:color="auto" w:fill="FFFFFF"/>
                <w:lang w:val="en-US" w:eastAsia="zh-CN"/>
              </w:rPr>
              <w:t>10栋3~4楼、</w:t>
            </w:r>
            <w:r>
              <w:rPr>
                <w:rFonts w:hint="eastAsia"/>
                <w:color w:val="auto"/>
                <w:sz w:val="24"/>
                <w:szCs w:val="24"/>
                <w:highlight w:val="none"/>
                <w:u w:val="none"/>
                <w:shd w:val="clear" w:color="auto" w:fill="FFFFFF"/>
              </w:rPr>
              <w:t>11栋1-</w:t>
            </w:r>
            <w:r>
              <w:rPr>
                <w:rFonts w:hint="eastAsia"/>
                <w:color w:val="auto"/>
                <w:sz w:val="24"/>
                <w:szCs w:val="24"/>
                <w:highlight w:val="none"/>
                <w:u w:val="none"/>
                <w:shd w:val="clear" w:color="auto" w:fill="FFFFFF"/>
                <w:lang w:val="en-US" w:eastAsia="zh-CN"/>
              </w:rPr>
              <w:t>5</w:t>
            </w:r>
            <w:r>
              <w:rPr>
                <w:rFonts w:hint="eastAsia"/>
                <w:color w:val="auto"/>
                <w:sz w:val="24"/>
                <w:szCs w:val="24"/>
                <w:highlight w:val="none"/>
                <w:u w:val="none"/>
                <w:shd w:val="clear" w:color="auto" w:fill="FFFFFF"/>
              </w:rPr>
              <w:t>楼</w:t>
            </w:r>
            <w:r>
              <w:rPr>
                <w:rFonts w:hint="eastAsia"/>
                <w:color w:val="auto"/>
                <w:sz w:val="24"/>
                <w:szCs w:val="24"/>
                <w:highlight w:val="none"/>
                <w:u w:val="none"/>
              </w:rPr>
              <w:t>。总</w:t>
            </w:r>
            <w:r>
              <w:rPr>
                <w:rFonts w:hint="eastAsia"/>
                <w:color w:val="auto"/>
                <w:sz w:val="24"/>
                <w:szCs w:val="24"/>
                <w:highlight w:val="none"/>
                <w:u w:val="none"/>
                <w:lang w:val="en-US" w:eastAsia="zh-CN"/>
              </w:rPr>
              <w:t>建筑</w:t>
            </w:r>
            <w:r>
              <w:rPr>
                <w:rFonts w:hint="eastAsia"/>
                <w:color w:val="auto"/>
                <w:sz w:val="24"/>
                <w:szCs w:val="24"/>
                <w:highlight w:val="none"/>
                <w:u w:val="none"/>
              </w:rPr>
              <w:t>面积</w:t>
            </w:r>
            <w:r>
              <w:rPr>
                <w:rFonts w:hint="eastAsia"/>
                <w:color w:val="auto"/>
                <w:kern w:val="0"/>
                <w:sz w:val="24"/>
                <w:szCs w:val="24"/>
                <w:highlight w:val="none"/>
                <w:u w:val="none"/>
                <w:lang w:val="en-US" w:eastAsia="zh-CN"/>
              </w:rPr>
              <w:t>8445.12</w:t>
            </w:r>
            <w:r>
              <w:rPr>
                <w:rFonts w:hint="eastAsia"/>
                <w:color w:val="auto"/>
                <w:kern w:val="0"/>
                <w:sz w:val="24"/>
                <w:szCs w:val="24"/>
                <w:highlight w:val="none"/>
                <w:u w:val="none"/>
              </w:rPr>
              <w:t xml:space="preserve"> </w:t>
            </w:r>
            <w:r>
              <w:rPr>
                <w:color w:val="auto"/>
                <w:sz w:val="24"/>
                <w:szCs w:val="24"/>
                <w:highlight w:val="none"/>
                <w:u w:val="none"/>
              </w:rPr>
              <w:t>m</w:t>
            </w:r>
            <w:r>
              <w:rPr>
                <w:color w:val="auto"/>
                <w:sz w:val="24"/>
                <w:szCs w:val="24"/>
                <w:highlight w:val="none"/>
                <w:u w:val="none"/>
                <w:vertAlign w:val="superscript"/>
              </w:rPr>
              <w:t>2</w:t>
            </w:r>
            <w:r>
              <w:rPr>
                <w:rFonts w:hint="eastAsia"/>
                <w:bCs/>
                <w:color w:val="auto"/>
                <w:sz w:val="24"/>
                <w:szCs w:val="24"/>
                <w:highlight w:val="none"/>
                <w:u w:val="none"/>
              </w:rPr>
              <w:t>，</w:t>
            </w:r>
            <w:r>
              <w:rPr>
                <w:bCs/>
                <w:color w:val="auto"/>
                <w:sz w:val="24"/>
                <w:szCs w:val="24"/>
                <w:highlight w:val="none"/>
                <w:u w:val="none"/>
              </w:rPr>
              <w:t>主要工程组成见表</w:t>
            </w:r>
            <w:r>
              <w:rPr>
                <w:rFonts w:hint="eastAsia"/>
                <w:bCs/>
                <w:color w:val="auto"/>
                <w:sz w:val="24"/>
                <w:szCs w:val="24"/>
                <w:highlight w:val="none"/>
                <w:u w:val="none"/>
              </w:rPr>
              <w:t>2</w:t>
            </w:r>
            <w:r>
              <w:rPr>
                <w:bCs/>
                <w:color w:val="auto"/>
                <w:sz w:val="24"/>
                <w:szCs w:val="24"/>
                <w:highlight w:val="none"/>
                <w:u w:val="none"/>
              </w:rPr>
              <w:t>-1。</w:t>
            </w:r>
          </w:p>
          <w:p w14:paraId="3EE7224B">
            <w:pPr>
              <w:autoSpaceDE w:val="0"/>
              <w:autoSpaceDN w:val="0"/>
              <w:adjustRightInd w:val="0"/>
              <w:jc w:val="center"/>
              <w:rPr>
                <w:rFonts w:ascii="宋体" w:hAnsi="宋体" w:cs="宋体"/>
                <w:b/>
                <w:bCs/>
                <w:color w:val="auto"/>
                <w:highlight w:val="none"/>
                <w:u w:val="none"/>
              </w:rPr>
            </w:pPr>
            <w:r>
              <w:rPr>
                <w:rFonts w:hint="eastAsia" w:ascii="宋体" w:hAnsi="宋体" w:cs="宋体"/>
                <w:b/>
                <w:bCs/>
                <w:color w:val="auto"/>
                <w:highlight w:val="none"/>
                <w:u w:val="none"/>
              </w:rPr>
              <w:t>表2-1   主要建设内容一览表</w:t>
            </w:r>
          </w:p>
          <w:tbl>
            <w:tblPr>
              <w:tblStyle w:val="35"/>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42"/>
              <w:gridCol w:w="725"/>
              <w:gridCol w:w="1390"/>
              <w:gridCol w:w="1714"/>
              <w:gridCol w:w="2417"/>
              <w:gridCol w:w="1403"/>
            </w:tblGrid>
            <w:tr w14:paraId="0FF335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273" w:type="pct"/>
                  <w:tcBorders>
                    <w:bottom w:val="single" w:color="auto" w:sz="4" w:space="0"/>
                  </w:tcBorders>
                  <w:vAlign w:val="center"/>
                </w:tcPr>
                <w:p w14:paraId="77A7CB58">
                  <w:pPr>
                    <w:jc w:val="center"/>
                    <w:rPr>
                      <w:color w:val="auto"/>
                      <w:highlight w:val="none"/>
                      <w:u w:val="none"/>
                    </w:rPr>
                  </w:pPr>
                  <w:r>
                    <w:rPr>
                      <w:rFonts w:hint="eastAsia"/>
                      <w:color w:val="auto"/>
                      <w:highlight w:val="none"/>
                      <w:u w:val="none"/>
                    </w:rPr>
                    <w:t>工程</w:t>
                  </w:r>
                </w:p>
                <w:p w14:paraId="76C97946">
                  <w:pPr>
                    <w:jc w:val="center"/>
                    <w:rPr>
                      <w:color w:val="auto"/>
                      <w:highlight w:val="none"/>
                      <w:u w:val="none"/>
                    </w:rPr>
                  </w:pPr>
                  <w:r>
                    <w:rPr>
                      <w:rFonts w:hint="eastAsia"/>
                      <w:color w:val="auto"/>
                      <w:highlight w:val="none"/>
                      <w:u w:val="none"/>
                    </w:rPr>
                    <w:t>名称</w:t>
                  </w:r>
                </w:p>
              </w:tc>
              <w:tc>
                <w:tcPr>
                  <w:tcW w:w="448" w:type="pct"/>
                  <w:vAlign w:val="center"/>
                </w:tcPr>
                <w:p w14:paraId="57E70B7E">
                  <w:pPr>
                    <w:jc w:val="center"/>
                    <w:rPr>
                      <w:color w:val="auto"/>
                      <w:highlight w:val="none"/>
                      <w:u w:val="none"/>
                    </w:rPr>
                  </w:pPr>
                  <w:r>
                    <w:rPr>
                      <w:rFonts w:hint="eastAsia" w:hAnsi="宋体"/>
                      <w:color w:val="auto"/>
                      <w:highlight w:val="none"/>
                      <w:u w:val="none"/>
                    </w:rPr>
                    <w:t>建筑物名称</w:t>
                  </w:r>
                </w:p>
              </w:tc>
              <w:tc>
                <w:tcPr>
                  <w:tcW w:w="859" w:type="pct"/>
                  <w:vAlign w:val="center"/>
                </w:tcPr>
                <w:p w14:paraId="7C7CD880">
                  <w:pPr>
                    <w:jc w:val="center"/>
                    <w:rPr>
                      <w:color w:val="auto"/>
                      <w:highlight w:val="none"/>
                      <w:u w:val="none"/>
                    </w:rPr>
                  </w:pPr>
                  <w:r>
                    <w:rPr>
                      <w:rFonts w:hint="eastAsia" w:hAnsi="宋体"/>
                      <w:color w:val="auto"/>
                      <w:highlight w:val="none"/>
                      <w:u w:val="none"/>
                    </w:rPr>
                    <w:t>建筑面积</w:t>
                  </w:r>
                </w:p>
              </w:tc>
              <w:tc>
                <w:tcPr>
                  <w:tcW w:w="1058" w:type="pct"/>
                  <w:vAlign w:val="center"/>
                </w:tcPr>
                <w:p w14:paraId="544DA244">
                  <w:pPr>
                    <w:jc w:val="center"/>
                    <w:rPr>
                      <w:color w:val="auto"/>
                      <w:highlight w:val="none"/>
                      <w:u w:val="none"/>
                    </w:rPr>
                  </w:pPr>
                  <w:r>
                    <w:rPr>
                      <w:rFonts w:hint="eastAsia" w:hAnsi="宋体"/>
                      <w:color w:val="auto"/>
                      <w:highlight w:val="none"/>
                      <w:u w:val="none"/>
                      <w:lang w:val="en-US" w:eastAsia="zh-CN"/>
                    </w:rPr>
                    <w:t>原环评建设</w:t>
                  </w:r>
                  <w:r>
                    <w:rPr>
                      <w:rFonts w:hint="eastAsia" w:hAnsi="宋体"/>
                      <w:color w:val="auto"/>
                      <w:highlight w:val="none"/>
                      <w:u w:val="none"/>
                    </w:rPr>
                    <w:t>情况</w:t>
                  </w:r>
                </w:p>
              </w:tc>
              <w:tc>
                <w:tcPr>
                  <w:tcW w:w="1493" w:type="pct"/>
                  <w:vAlign w:val="center"/>
                </w:tcPr>
                <w:p w14:paraId="033DA31D">
                  <w:pPr>
                    <w:jc w:val="center"/>
                    <w:rPr>
                      <w:rFonts w:hint="default" w:hAnsi="宋体"/>
                      <w:color w:val="auto"/>
                      <w:highlight w:val="none"/>
                      <w:u w:val="none"/>
                      <w:lang w:val="en-US" w:eastAsia="zh-CN"/>
                    </w:rPr>
                  </w:pPr>
                  <w:r>
                    <w:rPr>
                      <w:rFonts w:hint="eastAsia" w:hAnsi="宋体"/>
                      <w:color w:val="auto"/>
                      <w:highlight w:val="none"/>
                      <w:u w:val="none"/>
                      <w:lang w:val="en-US" w:eastAsia="zh-CN"/>
                    </w:rPr>
                    <w:t>本次变更后建设情况</w:t>
                  </w:r>
                </w:p>
              </w:tc>
              <w:tc>
                <w:tcPr>
                  <w:tcW w:w="867" w:type="pct"/>
                  <w:vAlign w:val="center"/>
                </w:tcPr>
                <w:p w14:paraId="36F0E03F">
                  <w:pPr>
                    <w:jc w:val="center"/>
                    <w:rPr>
                      <w:rFonts w:hint="default" w:hAnsi="宋体"/>
                      <w:color w:val="auto"/>
                      <w:highlight w:val="none"/>
                      <w:u w:val="none"/>
                      <w:lang w:val="en-US" w:eastAsia="zh-CN"/>
                    </w:rPr>
                  </w:pPr>
                  <w:r>
                    <w:rPr>
                      <w:rFonts w:hint="eastAsia" w:hAnsi="宋体"/>
                      <w:color w:val="auto"/>
                      <w:highlight w:val="none"/>
                      <w:u w:val="none"/>
                      <w:lang w:val="en-US" w:eastAsia="zh-CN"/>
                    </w:rPr>
                    <w:t>变更情况</w:t>
                  </w:r>
                </w:p>
              </w:tc>
            </w:tr>
            <w:tr w14:paraId="6355E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73" w:type="pct"/>
                  <w:vMerge w:val="restart"/>
                  <w:vAlign w:val="center"/>
                </w:tcPr>
                <w:p w14:paraId="4BA36733">
                  <w:pPr>
                    <w:jc w:val="center"/>
                    <w:rPr>
                      <w:color w:val="auto"/>
                      <w:highlight w:val="none"/>
                      <w:u w:val="none"/>
                    </w:rPr>
                  </w:pPr>
                  <w:r>
                    <w:rPr>
                      <w:rFonts w:hint="eastAsia"/>
                      <w:color w:val="auto"/>
                      <w:highlight w:val="none"/>
                      <w:u w:val="none"/>
                    </w:rPr>
                    <w:t>主体工程</w:t>
                  </w:r>
                </w:p>
              </w:tc>
              <w:tc>
                <w:tcPr>
                  <w:tcW w:w="448" w:type="pct"/>
                  <w:vAlign w:val="center"/>
                </w:tcPr>
                <w:p w14:paraId="1DB07D28">
                  <w:pPr>
                    <w:jc w:val="center"/>
                    <w:rPr>
                      <w:rFonts w:hint="default" w:eastAsia="宋体"/>
                      <w:color w:val="auto"/>
                      <w:highlight w:val="none"/>
                      <w:u w:val="none"/>
                      <w:lang w:val="en-US" w:eastAsia="zh-CN"/>
                    </w:rPr>
                  </w:pPr>
                  <w:r>
                    <w:rPr>
                      <w:rFonts w:hint="eastAsia"/>
                      <w:color w:val="auto"/>
                      <w:highlight w:val="none"/>
                      <w:u w:val="none"/>
                      <w:lang w:val="en-US" w:eastAsia="zh-CN"/>
                    </w:rPr>
                    <w:t>11栋1楼</w:t>
                  </w:r>
                </w:p>
              </w:tc>
              <w:tc>
                <w:tcPr>
                  <w:tcW w:w="859" w:type="pct"/>
                  <w:vAlign w:val="center"/>
                </w:tcPr>
                <w:p w14:paraId="40EE3F7F">
                  <w:pPr>
                    <w:jc w:val="center"/>
                    <w:rPr>
                      <w:color w:val="auto"/>
                      <w:highlight w:val="none"/>
                      <w:u w:val="none"/>
                    </w:rPr>
                  </w:pPr>
                  <w:r>
                    <w:rPr>
                      <w:rFonts w:hint="eastAsia"/>
                      <w:color w:val="auto"/>
                      <w:highlight w:val="none"/>
                      <w:u w:val="none"/>
                    </w:rPr>
                    <w:t>砖混结构，</w:t>
                  </w:r>
                  <w:r>
                    <w:rPr>
                      <w:color w:val="auto"/>
                      <w:highlight w:val="none"/>
                      <w:u w:val="none"/>
                    </w:rPr>
                    <w:t>建筑面积</w:t>
                  </w:r>
                  <w:r>
                    <w:rPr>
                      <w:rFonts w:hint="eastAsia"/>
                      <w:color w:val="auto"/>
                      <w:highlight w:val="none"/>
                      <w:u w:val="none"/>
                    </w:rPr>
                    <w:t>为</w:t>
                  </w:r>
                  <w:r>
                    <w:rPr>
                      <w:rFonts w:hint="eastAsia"/>
                      <w:color w:val="auto"/>
                      <w:highlight w:val="none"/>
                      <w:u w:val="none"/>
                      <w:lang w:val="en-US" w:eastAsia="zh-CN"/>
                    </w:rPr>
                    <w:t>1318</w:t>
                  </w:r>
                  <w:r>
                    <w:rPr>
                      <w:color w:val="auto"/>
                      <w:highlight w:val="none"/>
                      <w:u w:val="none"/>
                    </w:rPr>
                    <w:t>m</w:t>
                  </w:r>
                  <w:r>
                    <w:rPr>
                      <w:color w:val="auto"/>
                      <w:highlight w:val="none"/>
                      <w:u w:val="none"/>
                      <w:vertAlign w:val="superscript"/>
                    </w:rPr>
                    <w:t>2</w:t>
                  </w:r>
                </w:p>
              </w:tc>
              <w:tc>
                <w:tcPr>
                  <w:tcW w:w="1058" w:type="pct"/>
                  <w:vAlign w:val="center"/>
                </w:tcPr>
                <w:p w14:paraId="10936D5F">
                  <w:pPr>
                    <w:jc w:val="center"/>
                    <w:rPr>
                      <w:rFonts w:hint="default"/>
                      <w:color w:val="auto"/>
                      <w:highlight w:val="none"/>
                      <w:u w:val="none"/>
                      <w:lang w:val="en-US"/>
                    </w:rPr>
                  </w:pPr>
                  <w:r>
                    <w:rPr>
                      <w:rFonts w:hint="eastAsia"/>
                      <w:color w:val="auto"/>
                      <w:highlight w:val="none"/>
                      <w:u w:val="none"/>
                      <w:lang w:val="en-US" w:eastAsia="zh-CN"/>
                    </w:rPr>
                    <w:t>自动针插车间、注塑车间</w:t>
                  </w:r>
                </w:p>
              </w:tc>
              <w:tc>
                <w:tcPr>
                  <w:tcW w:w="1493" w:type="pct"/>
                  <w:vAlign w:val="center"/>
                </w:tcPr>
                <w:p w14:paraId="74C6BC35">
                  <w:pPr>
                    <w:jc w:val="center"/>
                    <w:rPr>
                      <w:rFonts w:hint="eastAsia"/>
                      <w:color w:val="auto"/>
                      <w:highlight w:val="none"/>
                      <w:u w:val="none"/>
                      <w:lang w:val="en-US" w:eastAsia="zh-CN"/>
                    </w:rPr>
                  </w:pPr>
                  <w:r>
                    <w:rPr>
                      <w:rFonts w:hint="eastAsia"/>
                      <w:color w:val="auto"/>
                      <w:highlight w:val="none"/>
                      <w:u w:val="none"/>
                      <w:lang w:val="en-US" w:eastAsia="zh-CN"/>
                    </w:rPr>
                    <w:t>主要是注塑车间，分为适配器注塑生产区和酚醛胶壳注塑生产区；设有混料、切料区</w:t>
                  </w:r>
                </w:p>
              </w:tc>
              <w:tc>
                <w:tcPr>
                  <w:tcW w:w="867" w:type="pct"/>
                  <w:vAlign w:val="center"/>
                </w:tcPr>
                <w:p w14:paraId="3FE31E2C">
                  <w:pPr>
                    <w:jc w:val="center"/>
                    <w:rPr>
                      <w:rFonts w:hint="default"/>
                      <w:color w:val="auto"/>
                      <w:highlight w:val="none"/>
                      <w:u w:val="none"/>
                      <w:lang w:val="en-US" w:eastAsia="zh-CN"/>
                    </w:rPr>
                  </w:pPr>
                  <w:r>
                    <w:rPr>
                      <w:rFonts w:hint="eastAsia"/>
                      <w:color w:val="auto"/>
                      <w:highlight w:val="none"/>
                      <w:u w:val="none"/>
                      <w:lang w:val="en-US" w:eastAsia="zh-CN"/>
                    </w:rPr>
                    <w:t>将自动针插车间改为适配器注塑生产区，自动针插车间搬至10栋3楼；增加混料、切料区</w:t>
                  </w:r>
                </w:p>
              </w:tc>
            </w:tr>
            <w:tr w14:paraId="72C7BE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73" w:type="pct"/>
                  <w:vMerge w:val="continue"/>
                  <w:vAlign w:val="center"/>
                </w:tcPr>
                <w:p w14:paraId="25E66759">
                  <w:pPr>
                    <w:jc w:val="center"/>
                    <w:rPr>
                      <w:color w:val="auto"/>
                      <w:highlight w:val="none"/>
                      <w:u w:val="none"/>
                    </w:rPr>
                  </w:pPr>
                </w:p>
              </w:tc>
              <w:tc>
                <w:tcPr>
                  <w:tcW w:w="448" w:type="pct"/>
                  <w:vAlign w:val="center"/>
                </w:tcPr>
                <w:p w14:paraId="5C7C3842">
                  <w:pPr>
                    <w:jc w:val="center"/>
                    <w:rPr>
                      <w:rFonts w:hint="default" w:eastAsia="宋体"/>
                      <w:color w:val="auto"/>
                      <w:highlight w:val="none"/>
                      <w:u w:val="none"/>
                      <w:lang w:val="en-US" w:eastAsia="zh-CN"/>
                    </w:rPr>
                  </w:pPr>
                  <w:r>
                    <w:rPr>
                      <w:rFonts w:hint="eastAsia"/>
                      <w:color w:val="auto"/>
                      <w:highlight w:val="none"/>
                      <w:u w:val="none"/>
                      <w:lang w:val="en-US" w:eastAsia="zh-CN"/>
                    </w:rPr>
                    <w:t>11栋2楼</w:t>
                  </w:r>
                </w:p>
              </w:tc>
              <w:tc>
                <w:tcPr>
                  <w:tcW w:w="859" w:type="pct"/>
                  <w:vAlign w:val="center"/>
                </w:tcPr>
                <w:p w14:paraId="7C1A2D85">
                  <w:pPr>
                    <w:jc w:val="center"/>
                    <w:rPr>
                      <w:color w:val="auto"/>
                      <w:highlight w:val="none"/>
                      <w:u w:val="none"/>
                    </w:rPr>
                  </w:pPr>
                  <w:r>
                    <w:rPr>
                      <w:rFonts w:hint="eastAsia"/>
                      <w:color w:val="auto"/>
                      <w:highlight w:val="none"/>
                      <w:u w:val="none"/>
                    </w:rPr>
                    <w:t>砖混结构，</w:t>
                  </w:r>
                  <w:r>
                    <w:rPr>
                      <w:color w:val="auto"/>
                      <w:highlight w:val="none"/>
                      <w:u w:val="none"/>
                    </w:rPr>
                    <w:t>建筑面积</w:t>
                  </w:r>
                  <w:r>
                    <w:rPr>
                      <w:rFonts w:hint="eastAsia"/>
                      <w:color w:val="auto"/>
                      <w:highlight w:val="none"/>
                      <w:u w:val="none"/>
                    </w:rPr>
                    <w:t>为</w:t>
                  </w:r>
                  <w:r>
                    <w:rPr>
                      <w:rFonts w:hint="eastAsia"/>
                      <w:color w:val="auto"/>
                      <w:highlight w:val="none"/>
                      <w:u w:val="none"/>
                      <w:lang w:val="en-US" w:eastAsia="zh-CN"/>
                    </w:rPr>
                    <w:t>1318</w:t>
                  </w:r>
                  <w:r>
                    <w:rPr>
                      <w:color w:val="auto"/>
                      <w:highlight w:val="none"/>
                      <w:u w:val="none"/>
                    </w:rPr>
                    <w:t>m</w:t>
                  </w:r>
                  <w:r>
                    <w:rPr>
                      <w:color w:val="auto"/>
                      <w:highlight w:val="none"/>
                      <w:u w:val="none"/>
                      <w:vertAlign w:val="superscript"/>
                    </w:rPr>
                    <w:t>2</w:t>
                  </w:r>
                </w:p>
              </w:tc>
              <w:tc>
                <w:tcPr>
                  <w:tcW w:w="1058" w:type="pct"/>
                  <w:vAlign w:val="center"/>
                </w:tcPr>
                <w:p w14:paraId="7A3C5349">
                  <w:pPr>
                    <w:jc w:val="center"/>
                    <w:rPr>
                      <w:rFonts w:hint="default" w:eastAsia="宋体"/>
                      <w:color w:val="auto"/>
                      <w:highlight w:val="none"/>
                      <w:u w:val="none"/>
                      <w:lang w:val="en-US" w:eastAsia="zh-CN"/>
                    </w:rPr>
                  </w:pPr>
                  <w:r>
                    <w:rPr>
                      <w:rFonts w:hint="eastAsia"/>
                      <w:color w:val="auto"/>
                      <w:highlight w:val="none"/>
                      <w:u w:val="none"/>
                      <w:lang w:val="en-US" w:eastAsia="zh-CN"/>
                    </w:rPr>
                    <w:t>测试、装配、焊锡、烘烤、点胶工序</w:t>
                  </w:r>
                </w:p>
              </w:tc>
              <w:tc>
                <w:tcPr>
                  <w:tcW w:w="1493" w:type="pct"/>
                  <w:vAlign w:val="center"/>
                </w:tcPr>
                <w:p w14:paraId="7B2F7299">
                  <w:pPr>
                    <w:jc w:val="center"/>
                    <w:rPr>
                      <w:rFonts w:hint="default"/>
                      <w:color w:val="auto"/>
                      <w:highlight w:val="none"/>
                      <w:u w:val="none"/>
                      <w:lang w:val="en-US" w:eastAsia="zh-CN"/>
                    </w:rPr>
                  </w:pPr>
                  <w:r>
                    <w:rPr>
                      <w:rFonts w:hint="eastAsia"/>
                      <w:color w:val="auto"/>
                      <w:highlight w:val="none"/>
                      <w:u w:val="none"/>
                      <w:lang w:val="en-US" w:eastAsia="zh-CN"/>
                    </w:rPr>
                    <w:t>设有适配器组装车间、点胶车间、烘干车间</w:t>
                  </w:r>
                </w:p>
              </w:tc>
              <w:tc>
                <w:tcPr>
                  <w:tcW w:w="867" w:type="pct"/>
                  <w:vAlign w:val="center"/>
                </w:tcPr>
                <w:p w14:paraId="08264651">
                  <w:pPr>
                    <w:jc w:val="center"/>
                    <w:rPr>
                      <w:rFonts w:hint="default"/>
                      <w:color w:val="auto"/>
                      <w:highlight w:val="none"/>
                      <w:u w:val="none"/>
                      <w:lang w:val="en-US" w:eastAsia="zh-CN"/>
                    </w:rPr>
                  </w:pPr>
                  <w:r>
                    <w:rPr>
                      <w:rFonts w:hint="eastAsia"/>
                      <w:color w:val="auto"/>
                      <w:highlight w:val="none"/>
                      <w:u w:val="none"/>
                      <w:lang w:val="en-US" w:eastAsia="zh-CN"/>
                    </w:rPr>
                    <w:t>增加适配器组装车间</w:t>
                  </w:r>
                </w:p>
              </w:tc>
            </w:tr>
            <w:tr w14:paraId="597F1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73" w:type="pct"/>
                  <w:vMerge w:val="continue"/>
                  <w:vAlign w:val="center"/>
                </w:tcPr>
                <w:p w14:paraId="195EEBF0">
                  <w:pPr>
                    <w:jc w:val="center"/>
                    <w:rPr>
                      <w:color w:val="auto"/>
                      <w:highlight w:val="none"/>
                      <w:u w:val="none"/>
                    </w:rPr>
                  </w:pPr>
                </w:p>
              </w:tc>
              <w:tc>
                <w:tcPr>
                  <w:tcW w:w="448" w:type="pct"/>
                  <w:vAlign w:val="center"/>
                </w:tcPr>
                <w:p w14:paraId="0C3EA1EC">
                  <w:pPr>
                    <w:jc w:val="center"/>
                    <w:rPr>
                      <w:rFonts w:hint="default" w:eastAsia="宋体"/>
                      <w:color w:val="auto"/>
                      <w:highlight w:val="none"/>
                      <w:u w:val="none"/>
                      <w:lang w:val="en-US" w:eastAsia="zh-CN"/>
                    </w:rPr>
                  </w:pPr>
                  <w:r>
                    <w:rPr>
                      <w:rFonts w:hint="eastAsia"/>
                      <w:color w:val="auto"/>
                      <w:highlight w:val="none"/>
                      <w:u w:val="none"/>
                      <w:lang w:val="en-US" w:eastAsia="zh-CN"/>
                    </w:rPr>
                    <w:t>11栋3楼</w:t>
                  </w:r>
                </w:p>
              </w:tc>
              <w:tc>
                <w:tcPr>
                  <w:tcW w:w="859" w:type="pct"/>
                  <w:vAlign w:val="center"/>
                </w:tcPr>
                <w:p w14:paraId="53923BE8">
                  <w:pPr>
                    <w:jc w:val="center"/>
                    <w:rPr>
                      <w:color w:val="auto"/>
                      <w:highlight w:val="none"/>
                      <w:u w:val="none"/>
                    </w:rPr>
                  </w:pPr>
                  <w:r>
                    <w:rPr>
                      <w:rFonts w:hint="eastAsia"/>
                      <w:color w:val="auto"/>
                      <w:highlight w:val="none"/>
                      <w:u w:val="none"/>
                    </w:rPr>
                    <w:t>砖混结构，</w:t>
                  </w:r>
                  <w:r>
                    <w:rPr>
                      <w:color w:val="auto"/>
                      <w:highlight w:val="none"/>
                      <w:u w:val="none"/>
                    </w:rPr>
                    <w:t>建筑面积</w:t>
                  </w:r>
                  <w:r>
                    <w:rPr>
                      <w:rFonts w:hint="eastAsia"/>
                      <w:color w:val="auto"/>
                      <w:highlight w:val="none"/>
                      <w:u w:val="none"/>
                    </w:rPr>
                    <w:t>为</w:t>
                  </w:r>
                  <w:r>
                    <w:rPr>
                      <w:rFonts w:hint="eastAsia"/>
                      <w:color w:val="auto"/>
                      <w:highlight w:val="none"/>
                      <w:u w:val="none"/>
                      <w:lang w:val="en-US" w:eastAsia="zh-CN"/>
                    </w:rPr>
                    <w:t>1318</w:t>
                  </w:r>
                  <w:r>
                    <w:rPr>
                      <w:color w:val="auto"/>
                      <w:highlight w:val="none"/>
                      <w:u w:val="none"/>
                    </w:rPr>
                    <w:t>m</w:t>
                  </w:r>
                  <w:r>
                    <w:rPr>
                      <w:color w:val="auto"/>
                      <w:highlight w:val="none"/>
                      <w:u w:val="none"/>
                      <w:vertAlign w:val="superscript"/>
                    </w:rPr>
                    <w:t>2</w:t>
                  </w:r>
                </w:p>
              </w:tc>
              <w:tc>
                <w:tcPr>
                  <w:tcW w:w="1058" w:type="pct"/>
                  <w:vAlign w:val="center"/>
                </w:tcPr>
                <w:p w14:paraId="129C31A3">
                  <w:pPr>
                    <w:jc w:val="center"/>
                    <w:rPr>
                      <w:rFonts w:hint="default" w:eastAsia="宋体"/>
                      <w:color w:val="auto"/>
                      <w:highlight w:val="none"/>
                      <w:u w:val="none"/>
                      <w:lang w:val="en-US" w:eastAsia="zh-CN"/>
                    </w:rPr>
                  </w:pPr>
                  <w:r>
                    <w:rPr>
                      <w:rFonts w:hint="eastAsia"/>
                      <w:color w:val="auto"/>
                      <w:highlight w:val="none"/>
                      <w:u w:val="none"/>
                      <w:lang w:val="en-US" w:eastAsia="zh-CN"/>
                    </w:rPr>
                    <w:t>东侧设有办公区、原料仓库、成品仓库、危废暂存间等；西侧闲置，不属于本项目使用区域</w:t>
                  </w:r>
                </w:p>
              </w:tc>
              <w:tc>
                <w:tcPr>
                  <w:tcW w:w="1493" w:type="pct"/>
                  <w:vAlign w:val="center"/>
                </w:tcPr>
                <w:p w14:paraId="2CC45B40">
                  <w:pPr>
                    <w:jc w:val="center"/>
                    <w:rPr>
                      <w:rFonts w:hint="eastAsia"/>
                      <w:color w:val="auto"/>
                      <w:highlight w:val="none"/>
                      <w:u w:val="none"/>
                      <w:lang w:val="en-US" w:eastAsia="zh-CN"/>
                    </w:rPr>
                  </w:pPr>
                  <w:r>
                    <w:rPr>
                      <w:rFonts w:hint="eastAsia"/>
                      <w:color w:val="auto"/>
                      <w:highlight w:val="none"/>
                      <w:u w:val="none"/>
                      <w:lang w:val="en-US" w:eastAsia="zh-CN"/>
                    </w:rPr>
                    <w:t>东侧设有办公区、模组车间等，建筑面积659</w:t>
                  </w:r>
                  <w:r>
                    <w:rPr>
                      <w:color w:val="auto"/>
                      <w:highlight w:val="none"/>
                      <w:u w:val="none"/>
                    </w:rPr>
                    <w:t>m</w:t>
                  </w:r>
                  <w:r>
                    <w:rPr>
                      <w:color w:val="auto"/>
                      <w:highlight w:val="none"/>
                      <w:u w:val="none"/>
                      <w:vertAlign w:val="superscript"/>
                    </w:rPr>
                    <w:t>2</w:t>
                  </w:r>
                  <w:r>
                    <w:rPr>
                      <w:rFonts w:hint="eastAsia"/>
                      <w:color w:val="auto"/>
                      <w:highlight w:val="none"/>
                      <w:u w:val="none"/>
                      <w:lang w:val="en-US" w:eastAsia="zh-CN"/>
                    </w:rPr>
                    <w:t>；西侧闲置，不属于本项目使用区域，建筑面积659</w:t>
                  </w:r>
                  <w:r>
                    <w:rPr>
                      <w:color w:val="auto"/>
                      <w:highlight w:val="none"/>
                      <w:u w:val="none"/>
                    </w:rPr>
                    <w:t>m</w:t>
                  </w:r>
                  <w:r>
                    <w:rPr>
                      <w:color w:val="auto"/>
                      <w:highlight w:val="none"/>
                      <w:u w:val="none"/>
                      <w:vertAlign w:val="superscript"/>
                    </w:rPr>
                    <w:t>2</w:t>
                  </w:r>
                </w:p>
              </w:tc>
              <w:tc>
                <w:tcPr>
                  <w:tcW w:w="867" w:type="pct"/>
                  <w:vAlign w:val="center"/>
                </w:tcPr>
                <w:p w14:paraId="3E6F7B2B">
                  <w:pPr>
                    <w:jc w:val="center"/>
                    <w:rPr>
                      <w:rFonts w:hint="default"/>
                      <w:color w:val="auto"/>
                      <w:highlight w:val="none"/>
                      <w:u w:val="none"/>
                      <w:lang w:val="en-US" w:eastAsia="zh-CN"/>
                    </w:rPr>
                  </w:pPr>
                  <w:r>
                    <w:rPr>
                      <w:rFonts w:hint="eastAsia"/>
                      <w:color w:val="auto"/>
                      <w:highlight w:val="none"/>
                      <w:u w:val="none"/>
                      <w:lang w:val="en-US" w:eastAsia="zh-CN"/>
                    </w:rPr>
                    <w:t>仓库搬至10栋3、4楼，现场地改成模组车间；办公区不变</w:t>
                  </w:r>
                </w:p>
              </w:tc>
            </w:tr>
            <w:tr w14:paraId="4572CC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73" w:type="pct"/>
                  <w:vMerge w:val="continue"/>
                  <w:vAlign w:val="center"/>
                </w:tcPr>
                <w:p w14:paraId="3A9129EC">
                  <w:pPr>
                    <w:jc w:val="center"/>
                    <w:rPr>
                      <w:color w:val="auto"/>
                      <w:highlight w:val="none"/>
                      <w:u w:val="none"/>
                    </w:rPr>
                  </w:pPr>
                </w:p>
              </w:tc>
              <w:tc>
                <w:tcPr>
                  <w:tcW w:w="448" w:type="pct"/>
                  <w:vAlign w:val="center"/>
                </w:tcPr>
                <w:p w14:paraId="5A403AB7">
                  <w:pPr>
                    <w:jc w:val="center"/>
                    <w:rPr>
                      <w:rFonts w:hint="default" w:eastAsia="宋体"/>
                      <w:color w:val="auto"/>
                      <w:highlight w:val="none"/>
                      <w:u w:val="none"/>
                      <w:lang w:val="en-US" w:eastAsia="zh-CN"/>
                    </w:rPr>
                  </w:pPr>
                  <w:r>
                    <w:rPr>
                      <w:rFonts w:hint="eastAsia"/>
                      <w:color w:val="auto"/>
                      <w:highlight w:val="none"/>
                      <w:u w:val="none"/>
                      <w:lang w:val="en-US" w:eastAsia="zh-CN"/>
                    </w:rPr>
                    <w:t>11栋4楼</w:t>
                  </w:r>
                </w:p>
              </w:tc>
              <w:tc>
                <w:tcPr>
                  <w:tcW w:w="859" w:type="pct"/>
                  <w:vAlign w:val="center"/>
                </w:tcPr>
                <w:p w14:paraId="58430F48">
                  <w:pPr>
                    <w:jc w:val="center"/>
                    <w:rPr>
                      <w:color w:val="auto"/>
                      <w:highlight w:val="none"/>
                      <w:u w:val="none"/>
                    </w:rPr>
                  </w:pPr>
                  <w:r>
                    <w:rPr>
                      <w:rFonts w:hint="eastAsia"/>
                      <w:color w:val="auto"/>
                      <w:highlight w:val="none"/>
                      <w:u w:val="none"/>
                    </w:rPr>
                    <w:t>砖混结构，</w:t>
                  </w:r>
                  <w:r>
                    <w:rPr>
                      <w:color w:val="auto"/>
                      <w:highlight w:val="none"/>
                      <w:u w:val="none"/>
                    </w:rPr>
                    <w:t>建筑面积</w:t>
                  </w:r>
                  <w:r>
                    <w:rPr>
                      <w:rFonts w:hint="eastAsia"/>
                      <w:color w:val="auto"/>
                      <w:highlight w:val="none"/>
                      <w:u w:val="none"/>
                    </w:rPr>
                    <w:t>为</w:t>
                  </w:r>
                  <w:r>
                    <w:rPr>
                      <w:rFonts w:hint="eastAsia"/>
                      <w:color w:val="auto"/>
                      <w:highlight w:val="none"/>
                      <w:u w:val="none"/>
                      <w:lang w:val="en-US" w:eastAsia="zh-CN"/>
                    </w:rPr>
                    <w:t>1318</w:t>
                  </w:r>
                  <w:r>
                    <w:rPr>
                      <w:color w:val="auto"/>
                      <w:highlight w:val="none"/>
                      <w:u w:val="none"/>
                    </w:rPr>
                    <w:t>m</w:t>
                  </w:r>
                  <w:r>
                    <w:rPr>
                      <w:color w:val="auto"/>
                      <w:highlight w:val="none"/>
                      <w:u w:val="none"/>
                      <w:vertAlign w:val="superscript"/>
                    </w:rPr>
                    <w:t>2</w:t>
                  </w:r>
                </w:p>
              </w:tc>
              <w:tc>
                <w:tcPr>
                  <w:tcW w:w="1058" w:type="pct"/>
                  <w:vAlign w:val="center"/>
                </w:tcPr>
                <w:p w14:paraId="68D32AA0">
                  <w:pPr>
                    <w:jc w:val="center"/>
                    <w:rPr>
                      <w:rFonts w:hint="default" w:eastAsia="宋体"/>
                      <w:color w:val="auto"/>
                      <w:highlight w:val="none"/>
                      <w:u w:val="none"/>
                      <w:lang w:val="en-US" w:eastAsia="zh-CN"/>
                    </w:rPr>
                  </w:pPr>
                  <w:r>
                    <w:rPr>
                      <w:rFonts w:hint="eastAsia"/>
                      <w:color w:val="auto"/>
                      <w:highlight w:val="none"/>
                      <w:u w:val="none"/>
                      <w:lang w:val="en-US" w:eastAsia="zh-CN"/>
                    </w:rPr>
                    <w:t>设有焊接车间</w:t>
                  </w:r>
                  <w:r>
                    <w:rPr>
                      <w:rFonts w:hint="eastAsia"/>
                      <w:color w:val="auto"/>
                      <w:highlight w:val="none"/>
                      <w:u w:val="none"/>
                    </w:rPr>
                    <w:t>、组装</w:t>
                  </w:r>
                  <w:r>
                    <w:rPr>
                      <w:rFonts w:hint="eastAsia"/>
                      <w:color w:val="auto"/>
                      <w:highlight w:val="none"/>
                      <w:u w:val="none"/>
                      <w:lang w:val="en-US" w:eastAsia="zh-CN"/>
                    </w:rPr>
                    <w:t>车间，主要生产光模块</w:t>
                  </w:r>
                </w:p>
              </w:tc>
              <w:tc>
                <w:tcPr>
                  <w:tcW w:w="1493" w:type="pct"/>
                  <w:vAlign w:val="center"/>
                </w:tcPr>
                <w:p w14:paraId="67D30265">
                  <w:pPr>
                    <w:jc w:val="center"/>
                    <w:rPr>
                      <w:rFonts w:hint="eastAsia"/>
                      <w:color w:val="auto"/>
                      <w:highlight w:val="none"/>
                      <w:u w:val="none"/>
                      <w:lang w:val="en-US" w:eastAsia="zh-CN"/>
                    </w:rPr>
                  </w:pPr>
                  <w:r>
                    <w:rPr>
                      <w:rFonts w:hint="eastAsia"/>
                      <w:color w:val="auto"/>
                      <w:highlight w:val="none"/>
                      <w:u w:val="none"/>
                      <w:lang w:val="en-US" w:eastAsia="zh-CN"/>
                    </w:rPr>
                    <w:t>设有焊接车间</w:t>
                  </w:r>
                  <w:r>
                    <w:rPr>
                      <w:rFonts w:hint="eastAsia"/>
                      <w:color w:val="auto"/>
                      <w:highlight w:val="none"/>
                      <w:u w:val="none"/>
                    </w:rPr>
                    <w:t>、组装</w:t>
                  </w:r>
                  <w:r>
                    <w:rPr>
                      <w:rFonts w:hint="eastAsia"/>
                      <w:color w:val="auto"/>
                      <w:highlight w:val="none"/>
                      <w:u w:val="none"/>
                      <w:lang w:val="en-US" w:eastAsia="zh-CN"/>
                    </w:rPr>
                    <w:t>车间，主要生产光模块</w:t>
                  </w:r>
                </w:p>
              </w:tc>
              <w:tc>
                <w:tcPr>
                  <w:tcW w:w="867" w:type="pct"/>
                  <w:vAlign w:val="center"/>
                </w:tcPr>
                <w:p w14:paraId="4FD5F19F">
                  <w:pPr>
                    <w:jc w:val="center"/>
                    <w:rPr>
                      <w:rFonts w:hint="eastAsia"/>
                      <w:color w:val="auto"/>
                      <w:highlight w:val="none"/>
                      <w:u w:val="none"/>
                      <w:lang w:val="en-US" w:eastAsia="zh-CN"/>
                    </w:rPr>
                  </w:pPr>
                  <w:r>
                    <w:rPr>
                      <w:rFonts w:hint="eastAsia"/>
                      <w:color w:val="auto"/>
                      <w:highlight w:val="none"/>
                      <w:u w:val="none"/>
                      <w:lang w:val="en-US" w:eastAsia="zh-CN"/>
                    </w:rPr>
                    <w:t>不发生变动</w:t>
                  </w:r>
                </w:p>
              </w:tc>
            </w:tr>
            <w:tr w14:paraId="76BCA8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73" w:type="pct"/>
                  <w:vMerge w:val="continue"/>
                  <w:vAlign w:val="center"/>
                </w:tcPr>
                <w:p w14:paraId="28BA64C7">
                  <w:pPr>
                    <w:jc w:val="center"/>
                    <w:rPr>
                      <w:color w:val="auto"/>
                      <w:highlight w:val="none"/>
                      <w:u w:val="none"/>
                    </w:rPr>
                  </w:pPr>
                </w:p>
              </w:tc>
              <w:tc>
                <w:tcPr>
                  <w:tcW w:w="448" w:type="pct"/>
                  <w:vAlign w:val="center"/>
                </w:tcPr>
                <w:p w14:paraId="3588E895">
                  <w:pPr>
                    <w:jc w:val="center"/>
                    <w:rPr>
                      <w:rFonts w:hint="default" w:eastAsia="宋体"/>
                      <w:color w:val="auto"/>
                      <w:highlight w:val="none"/>
                      <w:u w:val="none"/>
                      <w:lang w:val="en-US" w:eastAsia="zh-CN"/>
                    </w:rPr>
                  </w:pPr>
                  <w:r>
                    <w:rPr>
                      <w:rFonts w:hint="eastAsia"/>
                      <w:color w:val="auto"/>
                      <w:highlight w:val="none"/>
                      <w:u w:val="none"/>
                      <w:lang w:val="en-US" w:eastAsia="zh-CN"/>
                    </w:rPr>
                    <w:t>11栋5楼</w:t>
                  </w:r>
                </w:p>
              </w:tc>
              <w:tc>
                <w:tcPr>
                  <w:tcW w:w="859" w:type="pct"/>
                  <w:vAlign w:val="center"/>
                </w:tcPr>
                <w:p w14:paraId="59DB11F7">
                  <w:pPr>
                    <w:jc w:val="center"/>
                    <w:rPr>
                      <w:color w:val="auto"/>
                      <w:highlight w:val="none"/>
                      <w:u w:val="none"/>
                    </w:rPr>
                  </w:pPr>
                  <w:r>
                    <w:rPr>
                      <w:rFonts w:hint="eastAsia"/>
                      <w:color w:val="auto"/>
                      <w:highlight w:val="none"/>
                      <w:u w:val="none"/>
                    </w:rPr>
                    <w:t>砖混结构，</w:t>
                  </w:r>
                  <w:r>
                    <w:rPr>
                      <w:color w:val="auto"/>
                      <w:highlight w:val="none"/>
                      <w:u w:val="none"/>
                    </w:rPr>
                    <w:t>建筑面积</w:t>
                  </w:r>
                  <w:r>
                    <w:rPr>
                      <w:rFonts w:hint="eastAsia"/>
                      <w:color w:val="auto"/>
                      <w:highlight w:val="none"/>
                      <w:u w:val="none"/>
                    </w:rPr>
                    <w:t>为</w:t>
                  </w:r>
                  <w:r>
                    <w:rPr>
                      <w:rFonts w:hint="eastAsia"/>
                      <w:color w:val="auto"/>
                      <w:highlight w:val="none"/>
                      <w:u w:val="none"/>
                      <w:lang w:val="en-US" w:eastAsia="zh-CN"/>
                    </w:rPr>
                    <w:t>1318</w:t>
                  </w:r>
                  <w:r>
                    <w:rPr>
                      <w:color w:val="auto"/>
                      <w:highlight w:val="none"/>
                      <w:u w:val="none"/>
                    </w:rPr>
                    <w:t>m</w:t>
                  </w:r>
                  <w:r>
                    <w:rPr>
                      <w:color w:val="auto"/>
                      <w:highlight w:val="none"/>
                      <w:u w:val="none"/>
                      <w:vertAlign w:val="superscript"/>
                    </w:rPr>
                    <w:t>2</w:t>
                  </w:r>
                </w:p>
              </w:tc>
              <w:tc>
                <w:tcPr>
                  <w:tcW w:w="1058" w:type="pct"/>
                  <w:vAlign w:val="center"/>
                </w:tcPr>
                <w:p w14:paraId="7B4E59B9">
                  <w:pPr>
                    <w:jc w:val="center"/>
                    <w:rPr>
                      <w:color w:val="auto"/>
                      <w:highlight w:val="none"/>
                      <w:u w:val="none"/>
                    </w:rPr>
                  </w:pPr>
                  <w:r>
                    <w:rPr>
                      <w:rFonts w:hint="eastAsia"/>
                      <w:color w:val="auto"/>
                      <w:highlight w:val="none"/>
                      <w:u w:val="none"/>
                      <w:lang w:val="en-US" w:eastAsia="zh-CN"/>
                    </w:rPr>
                    <w:t>设有焊接车间</w:t>
                  </w:r>
                  <w:r>
                    <w:rPr>
                      <w:rFonts w:hint="eastAsia"/>
                      <w:color w:val="auto"/>
                      <w:highlight w:val="none"/>
                      <w:u w:val="none"/>
                    </w:rPr>
                    <w:t>、组装</w:t>
                  </w:r>
                  <w:r>
                    <w:rPr>
                      <w:rFonts w:hint="eastAsia"/>
                      <w:color w:val="auto"/>
                      <w:highlight w:val="none"/>
                      <w:u w:val="none"/>
                      <w:lang w:val="en-US" w:eastAsia="zh-CN"/>
                    </w:rPr>
                    <w:t>车间，主要生产光模块</w:t>
                  </w:r>
                </w:p>
              </w:tc>
              <w:tc>
                <w:tcPr>
                  <w:tcW w:w="1493" w:type="pct"/>
                  <w:vAlign w:val="center"/>
                </w:tcPr>
                <w:p w14:paraId="70385C65">
                  <w:pPr>
                    <w:jc w:val="center"/>
                    <w:rPr>
                      <w:rFonts w:hint="eastAsia"/>
                      <w:color w:val="auto"/>
                      <w:highlight w:val="none"/>
                      <w:u w:val="none"/>
                      <w:lang w:val="en-US" w:eastAsia="zh-CN"/>
                    </w:rPr>
                  </w:pPr>
                  <w:r>
                    <w:rPr>
                      <w:rFonts w:hint="eastAsia"/>
                      <w:color w:val="auto"/>
                      <w:highlight w:val="none"/>
                      <w:u w:val="none"/>
                      <w:lang w:val="en-US" w:eastAsia="zh-CN"/>
                    </w:rPr>
                    <w:t>设有焊接车间</w:t>
                  </w:r>
                  <w:r>
                    <w:rPr>
                      <w:rFonts w:hint="eastAsia"/>
                      <w:color w:val="auto"/>
                      <w:highlight w:val="none"/>
                      <w:u w:val="none"/>
                    </w:rPr>
                    <w:t>、组装</w:t>
                  </w:r>
                  <w:r>
                    <w:rPr>
                      <w:rFonts w:hint="eastAsia"/>
                      <w:color w:val="auto"/>
                      <w:highlight w:val="none"/>
                      <w:u w:val="none"/>
                      <w:lang w:val="en-US" w:eastAsia="zh-CN"/>
                    </w:rPr>
                    <w:t>车间，主要生产光模块</w:t>
                  </w:r>
                </w:p>
              </w:tc>
              <w:tc>
                <w:tcPr>
                  <w:tcW w:w="867" w:type="pct"/>
                  <w:vAlign w:val="center"/>
                </w:tcPr>
                <w:p w14:paraId="6332F2A9">
                  <w:pPr>
                    <w:jc w:val="center"/>
                    <w:rPr>
                      <w:rFonts w:hint="eastAsia"/>
                      <w:color w:val="auto"/>
                      <w:highlight w:val="none"/>
                      <w:u w:val="none"/>
                      <w:lang w:val="en-US" w:eastAsia="zh-CN"/>
                    </w:rPr>
                  </w:pPr>
                  <w:r>
                    <w:rPr>
                      <w:rFonts w:hint="eastAsia"/>
                      <w:color w:val="auto"/>
                      <w:highlight w:val="none"/>
                      <w:u w:val="none"/>
                      <w:lang w:val="en-US" w:eastAsia="zh-CN"/>
                    </w:rPr>
                    <w:t>不发生变动</w:t>
                  </w:r>
                </w:p>
              </w:tc>
            </w:tr>
            <w:tr w14:paraId="157C39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73" w:type="pct"/>
                  <w:vMerge w:val="continue"/>
                  <w:vAlign w:val="center"/>
                </w:tcPr>
                <w:p w14:paraId="2167FCA2">
                  <w:pPr>
                    <w:jc w:val="center"/>
                    <w:rPr>
                      <w:color w:val="auto"/>
                      <w:highlight w:val="none"/>
                      <w:u w:val="none"/>
                    </w:rPr>
                  </w:pPr>
                </w:p>
              </w:tc>
              <w:tc>
                <w:tcPr>
                  <w:tcW w:w="448" w:type="pct"/>
                  <w:vAlign w:val="center"/>
                </w:tcPr>
                <w:p w14:paraId="0CBEA95F">
                  <w:pPr>
                    <w:jc w:val="center"/>
                    <w:rPr>
                      <w:rFonts w:hint="default"/>
                      <w:color w:val="auto"/>
                      <w:highlight w:val="none"/>
                      <w:u w:val="none"/>
                      <w:lang w:val="en-US" w:eastAsia="zh-CN"/>
                    </w:rPr>
                  </w:pPr>
                  <w:r>
                    <w:rPr>
                      <w:rFonts w:hint="eastAsia"/>
                      <w:color w:val="auto"/>
                      <w:highlight w:val="none"/>
                      <w:u w:val="none"/>
                      <w:lang w:val="en-US" w:eastAsia="zh-CN"/>
                    </w:rPr>
                    <w:t>10栋3楼</w:t>
                  </w:r>
                </w:p>
              </w:tc>
              <w:tc>
                <w:tcPr>
                  <w:tcW w:w="859" w:type="pct"/>
                  <w:vAlign w:val="center"/>
                </w:tcPr>
                <w:p w14:paraId="5FCC7785">
                  <w:pPr>
                    <w:jc w:val="center"/>
                    <w:rPr>
                      <w:rFonts w:hint="eastAsia"/>
                      <w:color w:val="auto"/>
                      <w:highlight w:val="none"/>
                      <w:u w:val="none"/>
                    </w:rPr>
                  </w:pPr>
                  <w:r>
                    <w:rPr>
                      <w:rFonts w:hint="eastAsia"/>
                      <w:color w:val="auto"/>
                      <w:highlight w:val="none"/>
                      <w:u w:val="none"/>
                    </w:rPr>
                    <w:t>砖混结构，</w:t>
                  </w:r>
                  <w:r>
                    <w:rPr>
                      <w:color w:val="auto"/>
                      <w:highlight w:val="none"/>
                      <w:u w:val="none"/>
                    </w:rPr>
                    <w:t>建筑面积</w:t>
                  </w:r>
                  <w:r>
                    <w:rPr>
                      <w:rFonts w:hint="eastAsia"/>
                      <w:color w:val="auto"/>
                      <w:highlight w:val="none"/>
                      <w:u w:val="none"/>
                    </w:rPr>
                    <w:t>为</w:t>
                  </w:r>
                  <w:r>
                    <w:rPr>
                      <w:rFonts w:hint="eastAsia"/>
                      <w:color w:val="auto"/>
                      <w:highlight w:val="none"/>
                      <w:u w:val="none"/>
                      <w:lang w:val="en-US" w:eastAsia="zh-CN"/>
                    </w:rPr>
                    <w:t>1291.56</w:t>
                  </w:r>
                  <w:r>
                    <w:rPr>
                      <w:color w:val="auto"/>
                      <w:highlight w:val="none"/>
                      <w:u w:val="none"/>
                    </w:rPr>
                    <w:t>m</w:t>
                  </w:r>
                  <w:r>
                    <w:rPr>
                      <w:color w:val="auto"/>
                      <w:highlight w:val="none"/>
                      <w:u w:val="none"/>
                      <w:vertAlign w:val="superscript"/>
                    </w:rPr>
                    <w:t>2</w:t>
                  </w:r>
                </w:p>
              </w:tc>
              <w:tc>
                <w:tcPr>
                  <w:tcW w:w="1058" w:type="pct"/>
                  <w:vAlign w:val="center"/>
                </w:tcPr>
                <w:p w14:paraId="2A0E4E1C">
                  <w:pPr>
                    <w:jc w:val="center"/>
                    <w:rPr>
                      <w:rFonts w:hint="default"/>
                      <w:color w:val="auto"/>
                      <w:highlight w:val="none"/>
                      <w:u w:val="none"/>
                      <w:lang w:val="en-US" w:eastAsia="zh-CN"/>
                    </w:rPr>
                  </w:pPr>
                  <w:r>
                    <w:rPr>
                      <w:rFonts w:hint="eastAsia"/>
                      <w:color w:val="auto"/>
                      <w:highlight w:val="none"/>
                      <w:u w:val="none"/>
                      <w:lang w:val="en-US" w:eastAsia="zh-CN"/>
                    </w:rPr>
                    <w:t>/</w:t>
                  </w:r>
                </w:p>
              </w:tc>
              <w:tc>
                <w:tcPr>
                  <w:tcW w:w="1493" w:type="pct"/>
                  <w:vAlign w:val="center"/>
                </w:tcPr>
                <w:p w14:paraId="54EF265A">
                  <w:pPr>
                    <w:jc w:val="center"/>
                    <w:rPr>
                      <w:rFonts w:hint="default"/>
                      <w:color w:val="auto"/>
                      <w:highlight w:val="none"/>
                      <w:u w:val="none"/>
                      <w:lang w:val="en-US" w:eastAsia="zh-CN"/>
                    </w:rPr>
                  </w:pPr>
                  <w:r>
                    <w:rPr>
                      <w:rFonts w:hint="eastAsia"/>
                      <w:color w:val="auto"/>
                      <w:highlight w:val="none"/>
                      <w:u w:val="none"/>
                      <w:lang w:val="en-US" w:eastAsia="zh-CN"/>
                    </w:rPr>
                    <w:t>设置有仓库、自动针插车间</w:t>
                  </w:r>
                </w:p>
              </w:tc>
              <w:tc>
                <w:tcPr>
                  <w:tcW w:w="867" w:type="pct"/>
                  <w:vAlign w:val="center"/>
                </w:tcPr>
                <w:p w14:paraId="7227B1DB">
                  <w:pPr>
                    <w:jc w:val="center"/>
                    <w:rPr>
                      <w:rFonts w:hint="default"/>
                      <w:color w:val="auto"/>
                      <w:highlight w:val="none"/>
                      <w:u w:val="none"/>
                      <w:lang w:val="en-US" w:eastAsia="zh-CN"/>
                    </w:rPr>
                  </w:pPr>
                  <w:r>
                    <w:rPr>
                      <w:rFonts w:hint="eastAsia"/>
                      <w:color w:val="auto"/>
                      <w:highlight w:val="none"/>
                      <w:u w:val="none"/>
                      <w:lang w:val="en-US" w:eastAsia="zh-CN"/>
                    </w:rPr>
                    <w:t>新增</w:t>
                  </w:r>
                </w:p>
              </w:tc>
            </w:tr>
            <w:tr w14:paraId="4EDFA7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73" w:type="pct"/>
                  <w:vMerge w:val="continue"/>
                  <w:vAlign w:val="center"/>
                </w:tcPr>
                <w:p w14:paraId="489FD5B4">
                  <w:pPr>
                    <w:jc w:val="center"/>
                    <w:rPr>
                      <w:color w:val="auto"/>
                      <w:highlight w:val="none"/>
                      <w:u w:val="none"/>
                    </w:rPr>
                  </w:pPr>
                </w:p>
              </w:tc>
              <w:tc>
                <w:tcPr>
                  <w:tcW w:w="448" w:type="pct"/>
                  <w:vAlign w:val="center"/>
                </w:tcPr>
                <w:p w14:paraId="4424B4CA">
                  <w:pPr>
                    <w:jc w:val="center"/>
                    <w:rPr>
                      <w:rFonts w:hint="eastAsia"/>
                      <w:color w:val="auto"/>
                      <w:highlight w:val="none"/>
                      <w:u w:val="none"/>
                      <w:lang w:val="en-US" w:eastAsia="zh-CN"/>
                    </w:rPr>
                  </w:pPr>
                  <w:r>
                    <w:rPr>
                      <w:rFonts w:hint="eastAsia"/>
                      <w:color w:val="auto"/>
                      <w:highlight w:val="none"/>
                      <w:u w:val="none"/>
                      <w:lang w:val="en-US" w:eastAsia="zh-CN"/>
                    </w:rPr>
                    <w:t>10栋4楼</w:t>
                  </w:r>
                </w:p>
              </w:tc>
              <w:tc>
                <w:tcPr>
                  <w:tcW w:w="859" w:type="pct"/>
                  <w:vAlign w:val="center"/>
                </w:tcPr>
                <w:p w14:paraId="19ECA1B8">
                  <w:pPr>
                    <w:jc w:val="center"/>
                    <w:rPr>
                      <w:rFonts w:hint="eastAsia"/>
                      <w:color w:val="auto"/>
                      <w:highlight w:val="none"/>
                      <w:u w:val="none"/>
                    </w:rPr>
                  </w:pPr>
                  <w:r>
                    <w:rPr>
                      <w:rFonts w:hint="eastAsia"/>
                      <w:color w:val="auto"/>
                      <w:highlight w:val="none"/>
                      <w:u w:val="none"/>
                    </w:rPr>
                    <w:t>砖混结构，</w:t>
                  </w:r>
                  <w:r>
                    <w:rPr>
                      <w:color w:val="auto"/>
                      <w:highlight w:val="none"/>
                      <w:u w:val="none"/>
                    </w:rPr>
                    <w:t>建筑面积</w:t>
                  </w:r>
                  <w:r>
                    <w:rPr>
                      <w:rFonts w:hint="eastAsia"/>
                      <w:color w:val="auto"/>
                      <w:highlight w:val="none"/>
                      <w:u w:val="none"/>
                    </w:rPr>
                    <w:t>为</w:t>
                  </w:r>
                  <w:r>
                    <w:rPr>
                      <w:rFonts w:hint="eastAsia"/>
                      <w:color w:val="auto"/>
                      <w:highlight w:val="none"/>
                      <w:u w:val="none"/>
                      <w:lang w:val="en-US" w:eastAsia="zh-CN"/>
                    </w:rPr>
                    <w:t>1291.56</w:t>
                  </w:r>
                  <w:r>
                    <w:rPr>
                      <w:color w:val="auto"/>
                      <w:highlight w:val="none"/>
                      <w:u w:val="none"/>
                    </w:rPr>
                    <w:t>m</w:t>
                  </w:r>
                  <w:r>
                    <w:rPr>
                      <w:color w:val="auto"/>
                      <w:highlight w:val="none"/>
                      <w:u w:val="none"/>
                      <w:vertAlign w:val="superscript"/>
                    </w:rPr>
                    <w:t>2</w:t>
                  </w:r>
                </w:p>
              </w:tc>
              <w:tc>
                <w:tcPr>
                  <w:tcW w:w="1058" w:type="pct"/>
                  <w:vAlign w:val="center"/>
                </w:tcPr>
                <w:p w14:paraId="1038BADA">
                  <w:pPr>
                    <w:jc w:val="center"/>
                    <w:rPr>
                      <w:rFonts w:hint="default"/>
                      <w:color w:val="auto"/>
                      <w:highlight w:val="none"/>
                      <w:u w:val="none"/>
                      <w:lang w:val="en-US" w:eastAsia="zh-CN"/>
                    </w:rPr>
                  </w:pPr>
                  <w:r>
                    <w:rPr>
                      <w:rFonts w:hint="eastAsia"/>
                      <w:color w:val="auto"/>
                      <w:highlight w:val="none"/>
                      <w:u w:val="none"/>
                      <w:lang w:val="en-US" w:eastAsia="zh-CN"/>
                    </w:rPr>
                    <w:t>/</w:t>
                  </w:r>
                </w:p>
              </w:tc>
              <w:tc>
                <w:tcPr>
                  <w:tcW w:w="1493" w:type="pct"/>
                  <w:vAlign w:val="center"/>
                </w:tcPr>
                <w:p w14:paraId="136A285B">
                  <w:pPr>
                    <w:jc w:val="center"/>
                    <w:rPr>
                      <w:rFonts w:hint="default"/>
                      <w:color w:val="auto"/>
                      <w:highlight w:val="none"/>
                      <w:u w:val="none"/>
                      <w:lang w:val="en-US" w:eastAsia="zh-CN"/>
                    </w:rPr>
                  </w:pPr>
                  <w:r>
                    <w:rPr>
                      <w:rFonts w:hint="eastAsia"/>
                      <w:color w:val="auto"/>
                      <w:highlight w:val="none"/>
                      <w:u w:val="none"/>
                      <w:lang w:val="en-US" w:eastAsia="zh-CN"/>
                    </w:rPr>
                    <w:t>设置为仓库，存放原材料、半成品、成品</w:t>
                  </w:r>
                </w:p>
              </w:tc>
              <w:tc>
                <w:tcPr>
                  <w:tcW w:w="867" w:type="pct"/>
                  <w:vAlign w:val="center"/>
                </w:tcPr>
                <w:p w14:paraId="4754112F">
                  <w:pPr>
                    <w:jc w:val="center"/>
                    <w:rPr>
                      <w:rFonts w:hint="eastAsia"/>
                      <w:color w:val="auto"/>
                      <w:highlight w:val="none"/>
                      <w:u w:val="none"/>
                      <w:lang w:val="en-US" w:eastAsia="zh-CN"/>
                    </w:rPr>
                  </w:pPr>
                  <w:r>
                    <w:rPr>
                      <w:rFonts w:hint="eastAsia"/>
                      <w:color w:val="auto"/>
                      <w:highlight w:val="none"/>
                      <w:u w:val="none"/>
                      <w:lang w:val="en-US" w:eastAsia="zh-CN"/>
                    </w:rPr>
                    <w:t>新增</w:t>
                  </w:r>
                </w:p>
              </w:tc>
            </w:tr>
            <w:tr w14:paraId="39A1E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273" w:type="pct"/>
                  <w:vMerge w:val="restart"/>
                  <w:vAlign w:val="center"/>
                </w:tcPr>
                <w:p w14:paraId="648A9236">
                  <w:pPr>
                    <w:jc w:val="center"/>
                    <w:rPr>
                      <w:color w:val="auto"/>
                      <w:highlight w:val="none"/>
                      <w:u w:val="none"/>
                    </w:rPr>
                  </w:pPr>
                  <w:r>
                    <w:rPr>
                      <w:rFonts w:hAnsi="宋体"/>
                      <w:color w:val="auto"/>
                      <w:highlight w:val="none"/>
                      <w:u w:val="none"/>
                    </w:rPr>
                    <w:t>公用工程</w:t>
                  </w:r>
                </w:p>
              </w:tc>
              <w:tc>
                <w:tcPr>
                  <w:tcW w:w="448" w:type="pct"/>
                  <w:vAlign w:val="center"/>
                </w:tcPr>
                <w:p w14:paraId="63411E7E">
                  <w:pPr>
                    <w:jc w:val="center"/>
                    <w:rPr>
                      <w:color w:val="auto"/>
                      <w:highlight w:val="none"/>
                      <w:u w:val="none"/>
                    </w:rPr>
                  </w:pPr>
                  <w:r>
                    <w:rPr>
                      <w:rFonts w:hAnsi="宋体"/>
                      <w:color w:val="auto"/>
                      <w:highlight w:val="none"/>
                      <w:u w:val="none"/>
                    </w:rPr>
                    <w:t>供水</w:t>
                  </w:r>
                </w:p>
              </w:tc>
              <w:tc>
                <w:tcPr>
                  <w:tcW w:w="1918" w:type="pct"/>
                  <w:gridSpan w:val="2"/>
                  <w:vAlign w:val="center"/>
                </w:tcPr>
                <w:p w14:paraId="38ADAEFC">
                  <w:pPr>
                    <w:pStyle w:val="60"/>
                    <w:jc w:val="center"/>
                    <w:rPr>
                      <w:color w:val="auto"/>
                      <w:szCs w:val="21"/>
                      <w:highlight w:val="none"/>
                      <w:u w:val="none"/>
                    </w:rPr>
                  </w:pPr>
                  <w:r>
                    <w:rPr>
                      <w:rFonts w:hint="eastAsia" w:hAnsi="宋体"/>
                      <w:color w:val="auto"/>
                      <w:sz w:val="21"/>
                      <w:szCs w:val="21"/>
                      <w:highlight w:val="none"/>
                      <w:u w:val="none"/>
                    </w:rPr>
                    <w:t>依托</w:t>
                  </w:r>
                  <w:r>
                    <w:rPr>
                      <w:rFonts w:hint="eastAsia" w:hAnsi="Times New Roman"/>
                      <w:color w:val="auto"/>
                      <w:sz w:val="21"/>
                      <w:szCs w:val="21"/>
                      <w:highlight w:val="none"/>
                      <w:u w:val="none"/>
                      <w:shd w:val="clear" w:color="auto" w:fill="FFFFFF"/>
                    </w:rPr>
                    <w:t>湖南省永州经济技术开发区智慧装备产业园</w:t>
                  </w:r>
                  <w:r>
                    <w:rPr>
                      <w:rFonts w:hint="eastAsia" w:hAnsi="宋体"/>
                      <w:color w:val="auto"/>
                      <w:sz w:val="21"/>
                      <w:szCs w:val="21"/>
                      <w:highlight w:val="none"/>
                      <w:u w:val="none"/>
                    </w:rPr>
                    <w:t>供水系统</w:t>
                  </w:r>
                </w:p>
              </w:tc>
              <w:tc>
                <w:tcPr>
                  <w:tcW w:w="1493" w:type="pct"/>
                  <w:vAlign w:val="center"/>
                </w:tcPr>
                <w:p w14:paraId="1E3D9F05">
                  <w:pPr>
                    <w:pStyle w:val="60"/>
                    <w:ind w:firstLine="200" w:firstLineChars="0"/>
                    <w:jc w:val="center"/>
                    <w:rPr>
                      <w:rFonts w:hint="default" w:ascii="Times New Roman" w:hAnsi="Times New Roman" w:eastAsia="宋体" w:cs="Times New Roman"/>
                      <w:color w:val="auto"/>
                      <w:highlight w:val="none"/>
                      <w:u w:val="none"/>
                      <w:lang w:val="en-US" w:eastAsia="zh-CN"/>
                    </w:rPr>
                  </w:pPr>
                  <w:r>
                    <w:rPr>
                      <w:rFonts w:hint="eastAsia" w:hAnsi="宋体"/>
                      <w:color w:val="auto"/>
                      <w:sz w:val="21"/>
                      <w:szCs w:val="21"/>
                      <w:highlight w:val="none"/>
                      <w:u w:val="none"/>
                    </w:rPr>
                    <w:t>依托</w:t>
                  </w:r>
                  <w:r>
                    <w:rPr>
                      <w:rFonts w:hint="eastAsia" w:hAnsi="Times New Roman"/>
                      <w:color w:val="auto"/>
                      <w:sz w:val="21"/>
                      <w:szCs w:val="21"/>
                      <w:highlight w:val="none"/>
                      <w:u w:val="none"/>
                      <w:shd w:val="clear" w:color="auto" w:fill="FFFFFF"/>
                    </w:rPr>
                    <w:t>湖南省永州经济技术开发区智慧装备产业园</w:t>
                  </w:r>
                  <w:r>
                    <w:rPr>
                      <w:rFonts w:hint="eastAsia" w:hAnsi="宋体"/>
                      <w:color w:val="auto"/>
                      <w:sz w:val="21"/>
                      <w:szCs w:val="21"/>
                      <w:highlight w:val="none"/>
                      <w:u w:val="none"/>
                    </w:rPr>
                    <w:t>供水系统</w:t>
                  </w:r>
                </w:p>
              </w:tc>
              <w:tc>
                <w:tcPr>
                  <w:tcW w:w="867" w:type="pct"/>
                  <w:vAlign w:val="center"/>
                </w:tcPr>
                <w:p w14:paraId="452A38CA">
                  <w:pPr>
                    <w:jc w:val="center"/>
                    <w:rPr>
                      <w:rFonts w:hint="eastAsia" w:ascii="Times New Roman" w:hAnsi="Times New Roman" w:eastAsia="宋体" w:cs="Times New Roman"/>
                      <w:color w:val="auto"/>
                      <w:highlight w:val="none"/>
                      <w:u w:val="none"/>
                      <w:lang w:val="en-US" w:eastAsia="zh-CN"/>
                    </w:rPr>
                  </w:pPr>
                  <w:r>
                    <w:rPr>
                      <w:rFonts w:hint="eastAsia" w:ascii="Times New Roman" w:hAnsi="Times New Roman" w:eastAsia="宋体" w:cs="Times New Roman"/>
                      <w:color w:val="auto"/>
                      <w:highlight w:val="none"/>
                      <w:u w:val="none"/>
                      <w:lang w:val="en-US" w:eastAsia="zh-CN"/>
                    </w:rPr>
                    <w:t>不发生变动</w:t>
                  </w:r>
                </w:p>
              </w:tc>
            </w:tr>
            <w:tr w14:paraId="678F07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73" w:type="pct"/>
                  <w:vMerge w:val="continue"/>
                  <w:vAlign w:val="center"/>
                </w:tcPr>
                <w:p w14:paraId="6F8AD4FE">
                  <w:pPr>
                    <w:jc w:val="center"/>
                    <w:rPr>
                      <w:color w:val="auto"/>
                      <w:highlight w:val="none"/>
                      <w:u w:val="none"/>
                    </w:rPr>
                  </w:pPr>
                </w:p>
              </w:tc>
              <w:tc>
                <w:tcPr>
                  <w:tcW w:w="448" w:type="pct"/>
                  <w:vAlign w:val="center"/>
                </w:tcPr>
                <w:p w14:paraId="5831B335">
                  <w:pPr>
                    <w:jc w:val="center"/>
                    <w:rPr>
                      <w:rFonts w:hAnsi="宋体"/>
                      <w:color w:val="auto"/>
                      <w:kern w:val="0"/>
                      <w:highlight w:val="none"/>
                      <w:u w:val="none"/>
                    </w:rPr>
                  </w:pPr>
                  <w:r>
                    <w:rPr>
                      <w:rFonts w:hint="eastAsia" w:hAnsi="宋体"/>
                      <w:color w:val="auto"/>
                      <w:kern w:val="0"/>
                      <w:highlight w:val="none"/>
                      <w:u w:val="none"/>
                    </w:rPr>
                    <w:t>供电</w:t>
                  </w:r>
                </w:p>
              </w:tc>
              <w:tc>
                <w:tcPr>
                  <w:tcW w:w="1918" w:type="pct"/>
                  <w:gridSpan w:val="2"/>
                  <w:vAlign w:val="center"/>
                </w:tcPr>
                <w:p w14:paraId="59D4C5E9">
                  <w:pPr>
                    <w:pStyle w:val="17"/>
                    <w:spacing w:line="240" w:lineRule="auto"/>
                    <w:jc w:val="center"/>
                    <w:rPr>
                      <w:rFonts w:hAnsi="宋体"/>
                      <w:color w:val="auto"/>
                      <w:sz w:val="21"/>
                      <w:highlight w:val="none"/>
                      <w:u w:val="none"/>
                    </w:rPr>
                  </w:pPr>
                  <w:r>
                    <w:rPr>
                      <w:rFonts w:hint="eastAsia" w:hAnsi="宋体"/>
                      <w:color w:val="auto"/>
                      <w:sz w:val="21"/>
                      <w:highlight w:val="none"/>
                      <w:u w:val="none"/>
                    </w:rPr>
                    <w:t>依托</w:t>
                  </w:r>
                  <w:r>
                    <w:rPr>
                      <w:rFonts w:hint="eastAsia"/>
                      <w:color w:val="auto"/>
                      <w:sz w:val="21"/>
                      <w:highlight w:val="none"/>
                      <w:u w:val="none"/>
                      <w:shd w:val="clear" w:color="auto" w:fill="FFFFFF"/>
                    </w:rPr>
                    <w:t>湖南省永州经济技术开发区智慧装备产业园</w:t>
                  </w:r>
                  <w:r>
                    <w:rPr>
                      <w:rFonts w:hint="eastAsia" w:hAnsi="宋体"/>
                      <w:color w:val="auto"/>
                      <w:sz w:val="21"/>
                      <w:highlight w:val="none"/>
                      <w:u w:val="none"/>
                    </w:rPr>
                    <w:t>供电系统</w:t>
                  </w:r>
                  <w:r>
                    <w:rPr>
                      <w:rFonts w:hAnsi="宋体"/>
                      <w:color w:val="auto"/>
                      <w:sz w:val="21"/>
                      <w:highlight w:val="none"/>
                      <w:u w:val="none"/>
                    </w:rPr>
                    <w:t>，</w:t>
                  </w:r>
                  <w:r>
                    <w:rPr>
                      <w:rFonts w:hint="eastAsia" w:hAnsi="宋体"/>
                      <w:color w:val="auto"/>
                      <w:sz w:val="21"/>
                      <w:highlight w:val="none"/>
                      <w:u w:val="none"/>
                    </w:rPr>
                    <w:t>由区域供电电网供给，配套相应的配电设施</w:t>
                  </w:r>
                </w:p>
              </w:tc>
              <w:tc>
                <w:tcPr>
                  <w:tcW w:w="1493" w:type="pct"/>
                  <w:vAlign w:val="center"/>
                </w:tcPr>
                <w:p w14:paraId="06DD6D3C">
                  <w:pPr>
                    <w:pStyle w:val="17"/>
                    <w:spacing w:line="240" w:lineRule="auto"/>
                    <w:jc w:val="center"/>
                    <w:rPr>
                      <w:rFonts w:hint="eastAsia" w:ascii="Times New Roman" w:hAnsi="Times New Roman" w:eastAsia="宋体" w:cs="Times New Roman"/>
                      <w:color w:val="auto"/>
                      <w:highlight w:val="none"/>
                      <w:u w:val="none"/>
                      <w:lang w:val="en-US" w:eastAsia="zh-CN"/>
                    </w:rPr>
                  </w:pPr>
                  <w:r>
                    <w:rPr>
                      <w:rFonts w:hint="eastAsia" w:hAnsi="宋体"/>
                      <w:color w:val="auto"/>
                      <w:sz w:val="21"/>
                      <w:highlight w:val="none"/>
                      <w:u w:val="none"/>
                    </w:rPr>
                    <w:t>依托</w:t>
                  </w:r>
                  <w:r>
                    <w:rPr>
                      <w:rFonts w:hint="eastAsia"/>
                      <w:color w:val="auto"/>
                      <w:sz w:val="21"/>
                      <w:highlight w:val="none"/>
                      <w:u w:val="none"/>
                      <w:shd w:val="clear" w:color="auto" w:fill="FFFFFF"/>
                    </w:rPr>
                    <w:t>湖南省永州经济技术开发区智慧装备产业园</w:t>
                  </w:r>
                  <w:r>
                    <w:rPr>
                      <w:rFonts w:hint="eastAsia" w:hAnsi="宋体"/>
                      <w:color w:val="auto"/>
                      <w:sz w:val="21"/>
                      <w:highlight w:val="none"/>
                      <w:u w:val="none"/>
                    </w:rPr>
                    <w:t>供电系统</w:t>
                  </w:r>
                  <w:r>
                    <w:rPr>
                      <w:rFonts w:hAnsi="宋体"/>
                      <w:color w:val="auto"/>
                      <w:sz w:val="21"/>
                      <w:highlight w:val="none"/>
                      <w:u w:val="none"/>
                    </w:rPr>
                    <w:t>，</w:t>
                  </w:r>
                  <w:r>
                    <w:rPr>
                      <w:rFonts w:hint="eastAsia" w:hAnsi="宋体"/>
                      <w:color w:val="auto"/>
                      <w:sz w:val="21"/>
                      <w:highlight w:val="none"/>
                      <w:u w:val="none"/>
                    </w:rPr>
                    <w:t>由区域供电电网供给，配套相应的配电设施</w:t>
                  </w:r>
                </w:p>
              </w:tc>
              <w:tc>
                <w:tcPr>
                  <w:tcW w:w="867" w:type="pct"/>
                  <w:vAlign w:val="center"/>
                </w:tcPr>
                <w:p w14:paraId="1A316F42">
                  <w:pPr>
                    <w:jc w:val="center"/>
                    <w:rPr>
                      <w:rFonts w:hint="eastAsia" w:ascii="Times New Roman" w:hAnsi="Times New Roman" w:eastAsia="宋体" w:cs="Times New Roman"/>
                      <w:color w:val="auto"/>
                      <w:highlight w:val="none"/>
                      <w:u w:val="none"/>
                      <w:lang w:val="en-US" w:eastAsia="zh-CN"/>
                    </w:rPr>
                  </w:pPr>
                  <w:r>
                    <w:rPr>
                      <w:rFonts w:hint="eastAsia" w:ascii="Times New Roman" w:hAnsi="Times New Roman" w:eastAsia="宋体" w:cs="Times New Roman"/>
                      <w:color w:val="auto"/>
                      <w:highlight w:val="none"/>
                      <w:u w:val="none"/>
                      <w:lang w:val="en-US" w:eastAsia="zh-CN"/>
                    </w:rPr>
                    <w:t>不发生变动</w:t>
                  </w:r>
                </w:p>
              </w:tc>
            </w:tr>
            <w:tr w14:paraId="37F69F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73" w:type="pct"/>
                  <w:vMerge w:val="continue"/>
                  <w:vAlign w:val="center"/>
                </w:tcPr>
                <w:p w14:paraId="1EF1E9CE">
                  <w:pPr>
                    <w:jc w:val="center"/>
                    <w:rPr>
                      <w:color w:val="auto"/>
                      <w:highlight w:val="none"/>
                      <w:u w:val="none"/>
                    </w:rPr>
                  </w:pPr>
                </w:p>
              </w:tc>
              <w:tc>
                <w:tcPr>
                  <w:tcW w:w="448" w:type="pct"/>
                  <w:vAlign w:val="center"/>
                </w:tcPr>
                <w:p w14:paraId="201F50EC">
                  <w:pPr>
                    <w:jc w:val="center"/>
                    <w:rPr>
                      <w:color w:val="auto"/>
                      <w:highlight w:val="none"/>
                      <w:u w:val="none"/>
                    </w:rPr>
                  </w:pPr>
                  <w:r>
                    <w:rPr>
                      <w:rFonts w:hAnsi="宋体"/>
                      <w:color w:val="auto"/>
                      <w:highlight w:val="none"/>
                      <w:u w:val="none"/>
                    </w:rPr>
                    <w:t>道路</w:t>
                  </w:r>
                </w:p>
              </w:tc>
              <w:tc>
                <w:tcPr>
                  <w:tcW w:w="1918" w:type="pct"/>
                  <w:gridSpan w:val="2"/>
                  <w:vAlign w:val="center"/>
                </w:tcPr>
                <w:p w14:paraId="66C36497">
                  <w:pPr>
                    <w:jc w:val="center"/>
                    <w:rPr>
                      <w:color w:val="auto"/>
                      <w:highlight w:val="none"/>
                      <w:u w:val="none"/>
                    </w:rPr>
                  </w:pPr>
                  <w:r>
                    <w:rPr>
                      <w:rFonts w:hint="eastAsia" w:hAnsi="宋体"/>
                      <w:color w:val="auto"/>
                      <w:highlight w:val="none"/>
                      <w:u w:val="none"/>
                    </w:rPr>
                    <w:t>依托</w:t>
                  </w:r>
                  <w:r>
                    <w:rPr>
                      <w:rFonts w:hint="eastAsia"/>
                      <w:color w:val="auto"/>
                      <w:highlight w:val="none"/>
                      <w:u w:val="none"/>
                      <w:shd w:val="clear" w:color="auto" w:fill="FFFFFF"/>
                    </w:rPr>
                    <w:t>湖南省永州经济技术开发区智慧装备产业园</w:t>
                  </w:r>
                  <w:r>
                    <w:rPr>
                      <w:rFonts w:hint="eastAsia"/>
                      <w:color w:val="auto"/>
                      <w:highlight w:val="none"/>
                      <w:u w:val="none"/>
                    </w:rPr>
                    <w:t>车辆进出站道路、人行道及消防通道</w:t>
                  </w:r>
                </w:p>
              </w:tc>
              <w:tc>
                <w:tcPr>
                  <w:tcW w:w="1493" w:type="pct"/>
                  <w:vAlign w:val="center"/>
                </w:tcPr>
                <w:p w14:paraId="499AB253">
                  <w:pPr>
                    <w:jc w:val="center"/>
                    <w:rPr>
                      <w:rFonts w:hint="eastAsia" w:hAnsi="宋体"/>
                      <w:color w:val="auto"/>
                      <w:highlight w:val="none"/>
                      <w:u w:val="none"/>
                    </w:rPr>
                  </w:pPr>
                  <w:r>
                    <w:rPr>
                      <w:rFonts w:hint="eastAsia" w:hAnsi="宋体"/>
                      <w:color w:val="auto"/>
                      <w:highlight w:val="none"/>
                      <w:u w:val="none"/>
                    </w:rPr>
                    <w:t>依托</w:t>
                  </w:r>
                  <w:r>
                    <w:rPr>
                      <w:rFonts w:hint="eastAsia"/>
                      <w:color w:val="auto"/>
                      <w:highlight w:val="none"/>
                      <w:u w:val="none"/>
                      <w:shd w:val="clear" w:color="auto" w:fill="FFFFFF"/>
                    </w:rPr>
                    <w:t>湖南省永州经济技术开发区智慧装备产业园</w:t>
                  </w:r>
                  <w:r>
                    <w:rPr>
                      <w:rFonts w:hint="eastAsia"/>
                      <w:color w:val="auto"/>
                      <w:highlight w:val="none"/>
                      <w:u w:val="none"/>
                    </w:rPr>
                    <w:t>车辆进出站道路、人行道及消防通道</w:t>
                  </w:r>
                </w:p>
              </w:tc>
              <w:tc>
                <w:tcPr>
                  <w:tcW w:w="867" w:type="pct"/>
                  <w:vAlign w:val="center"/>
                </w:tcPr>
                <w:p w14:paraId="508380A2">
                  <w:pPr>
                    <w:jc w:val="center"/>
                    <w:rPr>
                      <w:rFonts w:hint="eastAsia" w:hAnsi="宋体"/>
                      <w:color w:val="auto"/>
                      <w:highlight w:val="none"/>
                      <w:u w:val="none"/>
                    </w:rPr>
                  </w:pPr>
                  <w:r>
                    <w:rPr>
                      <w:rFonts w:hint="eastAsia" w:ascii="Times New Roman" w:hAnsi="Times New Roman" w:eastAsia="宋体" w:cs="Times New Roman"/>
                      <w:color w:val="auto"/>
                      <w:highlight w:val="none"/>
                      <w:u w:val="none"/>
                      <w:lang w:val="en-US" w:eastAsia="zh-CN"/>
                    </w:rPr>
                    <w:t>不发生变动</w:t>
                  </w:r>
                </w:p>
              </w:tc>
            </w:tr>
            <w:tr w14:paraId="700902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73" w:type="pct"/>
                  <w:vMerge w:val="restart"/>
                  <w:vAlign w:val="center"/>
                </w:tcPr>
                <w:p w14:paraId="1BFE12C0">
                  <w:pPr>
                    <w:jc w:val="center"/>
                    <w:rPr>
                      <w:color w:val="auto"/>
                      <w:highlight w:val="none"/>
                      <w:u w:val="none"/>
                    </w:rPr>
                  </w:pPr>
                  <w:r>
                    <w:rPr>
                      <w:rFonts w:hAnsi="宋体"/>
                      <w:color w:val="auto"/>
                      <w:highlight w:val="none"/>
                      <w:u w:val="none"/>
                    </w:rPr>
                    <w:t>环保工程</w:t>
                  </w:r>
                </w:p>
              </w:tc>
              <w:tc>
                <w:tcPr>
                  <w:tcW w:w="448" w:type="pct"/>
                  <w:vAlign w:val="center"/>
                </w:tcPr>
                <w:p w14:paraId="1D3217C3">
                  <w:pPr>
                    <w:jc w:val="center"/>
                    <w:rPr>
                      <w:color w:val="auto"/>
                      <w:highlight w:val="none"/>
                      <w:u w:val="none"/>
                    </w:rPr>
                  </w:pPr>
                  <w:r>
                    <w:rPr>
                      <w:rFonts w:hAnsi="宋体"/>
                      <w:color w:val="auto"/>
                      <w:highlight w:val="none"/>
                      <w:u w:val="none"/>
                    </w:rPr>
                    <w:t>废水处理设施</w:t>
                  </w:r>
                </w:p>
              </w:tc>
              <w:tc>
                <w:tcPr>
                  <w:tcW w:w="1918" w:type="pct"/>
                  <w:gridSpan w:val="2"/>
                  <w:vAlign w:val="center"/>
                </w:tcPr>
                <w:p w14:paraId="11DEDDCF">
                  <w:pPr>
                    <w:widowControl/>
                    <w:jc w:val="center"/>
                    <w:rPr>
                      <w:color w:val="auto"/>
                      <w:kern w:val="0"/>
                      <w:highlight w:val="none"/>
                      <w:u w:val="none"/>
                    </w:rPr>
                  </w:pPr>
                  <w:r>
                    <w:rPr>
                      <w:rFonts w:hAnsi="宋体"/>
                      <w:color w:val="auto"/>
                      <w:szCs w:val="18"/>
                      <w:highlight w:val="none"/>
                      <w:u w:val="none"/>
                    </w:rPr>
                    <w:t>雨污分流</w:t>
                  </w:r>
                  <w:r>
                    <w:rPr>
                      <w:rFonts w:hint="eastAsia" w:hAnsi="宋体"/>
                      <w:color w:val="auto"/>
                      <w:szCs w:val="18"/>
                      <w:highlight w:val="none"/>
                      <w:u w:val="none"/>
                    </w:rPr>
                    <w:t>系统、</w:t>
                  </w:r>
                  <w:r>
                    <w:rPr>
                      <w:rFonts w:hint="eastAsia"/>
                      <w:color w:val="auto"/>
                      <w:highlight w:val="none"/>
                      <w:u w:val="none"/>
                    </w:rPr>
                    <w:t>生活污水：依托</w:t>
                  </w:r>
                  <w:r>
                    <w:rPr>
                      <w:rFonts w:hint="eastAsia"/>
                      <w:color w:val="auto"/>
                      <w:highlight w:val="none"/>
                      <w:u w:val="none"/>
                      <w:shd w:val="clear" w:color="auto" w:fill="FFFFFF"/>
                    </w:rPr>
                    <w:t>湖南省永州经济技术开发区智慧装备产业园</w:t>
                  </w:r>
                  <w:r>
                    <w:rPr>
                      <w:rFonts w:hint="eastAsia"/>
                      <w:color w:val="auto"/>
                      <w:highlight w:val="none"/>
                      <w:u w:val="none"/>
                    </w:rPr>
                    <w:t>化粪池处理。注塑冷却水：经冷却水塔处理后循环使用，不外排</w:t>
                  </w:r>
                </w:p>
              </w:tc>
              <w:tc>
                <w:tcPr>
                  <w:tcW w:w="1493" w:type="pct"/>
                  <w:vAlign w:val="center"/>
                </w:tcPr>
                <w:p w14:paraId="59A9E77C">
                  <w:pPr>
                    <w:widowControl/>
                    <w:jc w:val="center"/>
                    <w:rPr>
                      <w:rFonts w:hAnsi="宋体"/>
                      <w:color w:val="auto"/>
                      <w:szCs w:val="18"/>
                      <w:highlight w:val="none"/>
                      <w:u w:val="none"/>
                    </w:rPr>
                  </w:pPr>
                  <w:r>
                    <w:rPr>
                      <w:rFonts w:hAnsi="宋体"/>
                      <w:color w:val="auto"/>
                      <w:szCs w:val="18"/>
                      <w:highlight w:val="none"/>
                      <w:u w:val="none"/>
                    </w:rPr>
                    <w:t>雨污分流</w:t>
                  </w:r>
                  <w:r>
                    <w:rPr>
                      <w:rFonts w:hint="eastAsia" w:hAnsi="宋体"/>
                      <w:color w:val="auto"/>
                      <w:szCs w:val="18"/>
                      <w:highlight w:val="none"/>
                      <w:u w:val="none"/>
                    </w:rPr>
                    <w:t>系统、</w:t>
                  </w:r>
                  <w:r>
                    <w:rPr>
                      <w:rFonts w:hint="eastAsia"/>
                      <w:color w:val="auto"/>
                      <w:highlight w:val="none"/>
                      <w:u w:val="none"/>
                    </w:rPr>
                    <w:t>生活污水：依托</w:t>
                  </w:r>
                  <w:r>
                    <w:rPr>
                      <w:rFonts w:hint="eastAsia"/>
                      <w:color w:val="auto"/>
                      <w:highlight w:val="none"/>
                      <w:u w:val="none"/>
                      <w:shd w:val="clear" w:color="auto" w:fill="FFFFFF"/>
                    </w:rPr>
                    <w:t>湖南省永州经济技术开发区智慧装备产业园</w:t>
                  </w:r>
                  <w:r>
                    <w:rPr>
                      <w:rFonts w:hint="eastAsia"/>
                      <w:color w:val="auto"/>
                      <w:highlight w:val="none"/>
                      <w:u w:val="none"/>
                    </w:rPr>
                    <w:t>化粪池处理。注塑冷却水：经冷却水塔处理后循环使用，不外排</w:t>
                  </w:r>
                </w:p>
              </w:tc>
              <w:tc>
                <w:tcPr>
                  <w:tcW w:w="867" w:type="pct"/>
                  <w:vAlign w:val="center"/>
                </w:tcPr>
                <w:p w14:paraId="10213B22">
                  <w:pPr>
                    <w:widowControl/>
                    <w:jc w:val="center"/>
                    <w:rPr>
                      <w:rFonts w:hAnsi="宋体"/>
                      <w:color w:val="auto"/>
                      <w:szCs w:val="18"/>
                      <w:highlight w:val="none"/>
                      <w:u w:val="none"/>
                    </w:rPr>
                  </w:pPr>
                  <w:r>
                    <w:rPr>
                      <w:rFonts w:hint="eastAsia" w:ascii="Times New Roman" w:hAnsi="Times New Roman" w:eastAsia="宋体" w:cs="Times New Roman"/>
                      <w:color w:val="auto"/>
                      <w:highlight w:val="none"/>
                      <w:u w:val="none"/>
                      <w:lang w:val="en-US" w:eastAsia="zh-CN"/>
                    </w:rPr>
                    <w:t>不发生变动</w:t>
                  </w:r>
                </w:p>
              </w:tc>
            </w:tr>
            <w:tr w14:paraId="550468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273" w:type="pct"/>
                  <w:vMerge w:val="continue"/>
                  <w:vAlign w:val="center"/>
                </w:tcPr>
                <w:p w14:paraId="1074C2B3">
                  <w:pPr>
                    <w:jc w:val="center"/>
                    <w:rPr>
                      <w:color w:val="auto"/>
                      <w:highlight w:val="none"/>
                      <w:u w:val="none"/>
                    </w:rPr>
                  </w:pPr>
                </w:p>
              </w:tc>
              <w:tc>
                <w:tcPr>
                  <w:tcW w:w="448" w:type="pct"/>
                  <w:vAlign w:val="center"/>
                </w:tcPr>
                <w:p w14:paraId="4F212D22">
                  <w:pPr>
                    <w:widowControl/>
                    <w:jc w:val="center"/>
                    <w:rPr>
                      <w:color w:val="auto"/>
                      <w:highlight w:val="none"/>
                      <w:u w:val="none"/>
                    </w:rPr>
                  </w:pPr>
                  <w:r>
                    <w:rPr>
                      <w:rFonts w:hint="eastAsia"/>
                      <w:color w:val="auto"/>
                      <w:highlight w:val="none"/>
                      <w:u w:val="none"/>
                    </w:rPr>
                    <w:t>废气处理设施</w:t>
                  </w:r>
                </w:p>
              </w:tc>
              <w:tc>
                <w:tcPr>
                  <w:tcW w:w="1918" w:type="pct"/>
                  <w:gridSpan w:val="2"/>
                  <w:vAlign w:val="center"/>
                </w:tcPr>
                <w:p w14:paraId="3E5A592C">
                  <w:pPr>
                    <w:widowControl/>
                    <w:jc w:val="both"/>
                    <w:rPr>
                      <w:rFonts w:hint="eastAsia" w:cs="Times New Roman"/>
                      <w:b w:val="0"/>
                      <w:bCs w:val="0"/>
                      <w:color w:val="auto"/>
                      <w:sz w:val="21"/>
                      <w:szCs w:val="21"/>
                      <w:highlight w:val="none"/>
                      <w:u w:val="none" w:color="auto"/>
                      <w:lang w:val="en-US" w:eastAsia="zh-CN"/>
                    </w:rPr>
                  </w:pPr>
                  <w:r>
                    <w:rPr>
                      <w:rFonts w:hint="eastAsia" w:cs="Times New Roman"/>
                      <w:color w:val="auto"/>
                      <w:kern w:val="2"/>
                      <w:sz w:val="21"/>
                      <w:szCs w:val="21"/>
                      <w:highlight w:val="none"/>
                      <w:u w:val="none"/>
                      <w:lang w:val="en-US" w:eastAsia="zh-CN" w:bidi="ar-SA"/>
                    </w:rPr>
                    <w:t>（1</w:t>
                  </w:r>
                  <w:r>
                    <w:rPr>
                      <w:rFonts w:hint="eastAsia" w:cs="Times New Roman"/>
                      <w:b w:val="0"/>
                      <w:bCs w:val="0"/>
                      <w:color w:val="auto"/>
                      <w:sz w:val="21"/>
                      <w:szCs w:val="21"/>
                      <w:highlight w:val="none"/>
                      <w:u w:val="none" w:color="auto"/>
                      <w:lang w:val="en-US" w:eastAsia="zh-CN"/>
                    </w:rPr>
                    <w:t>）</w:t>
                  </w:r>
                  <w:r>
                    <w:rPr>
                      <w:rFonts w:hint="eastAsia" w:ascii="Times New Roman" w:hAnsi="Times New Roman" w:eastAsia="宋体" w:cs="Times New Roman"/>
                      <w:color w:val="auto"/>
                      <w:kern w:val="2"/>
                      <w:sz w:val="21"/>
                      <w:szCs w:val="21"/>
                      <w:highlight w:val="none"/>
                      <w:u w:val="none"/>
                      <w:lang w:val="en-US" w:eastAsia="zh-CN" w:bidi="ar-SA"/>
                    </w:rPr>
                    <w:t>注塑</w:t>
                  </w:r>
                  <w:r>
                    <w:rPr>
                      <w:rFonts w:hint="eastAsia" w:cs="Times New Roman"/>
                      <w:color w:val="auto"/>
                      <w:kern w:val="2"/>
                      <w:sz w:val="21"/>
                      <w:szCs w:val="21"/>
                      <w:highlight w:val="none"/>
                      <w:u w:val="none"/>
                      <w:lang w:val="en-US" w:eastAsia="zh-CN" w:bidi="ar-SA"/>
                    </w:rPr>
                    <w:t>车间废气：</w:t>
                  </w:r>
                  <w:r>
                    <w:rPr>
                      <w:rFonts w:hint="eastAsia" w:ascii="Times New Roman" w:hAnsi="Times New Roman" w:eastAsia="宋体" w:cs="Times New Roman"/>
                      <w:b w:val="0"/>
                      <w:bCs w:val="0"/>
                      <w:color w:val="auto"/>
                      <w:sz w:val="21"/>
                      <w:szCs w:val="21"/>
                      <w:highlight w:val="none"/>
                      <w:u w:val="none" w:color="auto"/>
                      <w:lang w:val="en-US" w:eastAsia="zh-CN"/>
                    </w:rPr>
                    <w:t>经集气罩收集后</w:t>
                  </w:r>
                  <w:r>
                    <w:rPr>
                      <w:rFonts w:hint="eastAsia" w:cs="Times New Roman"/>
                      <w:b w:val="0"/>
                      <w:bCs w:val="0"/>
                      <w:color w:val="auto"/>
                      <w:sz w:val="21"/>
                      <w:szCs w:val="21"/>
                      <w:highlight w:val="none"/>
                      <w:u w:val="none" w:color="auto"/>
                      <w:lang w:val="en-US" w:eastAsia="zh-CN"/>
                    </w:rPr>
                    <w:t>二级</w:t>
                  </w:r>
                  <w:r>
                    <w:rPr>
                      <w:rFonts w:hint="eastAsia" w:eastAsia="宋体" w:cs="Times New Roman"/>
                      <w:b w:val="0"/>
                      <w:bCs w:val="0"/>
                      <w:color w:val="auto"/>
                      <w:sz w:val="21"/>
                      <w:szCs w:val="21"/>
                      <w:highlight w:val="none"/>
                      <w:u w:val="none" w:color="auto"/>
                      <w:lang w:val="en-US" w:eastAsia="zh-CN"/>
                    </w:rPr>
                    <w:t>活性炭吸附装置</w:t>
                  </w:r>
                  <w:r>
                    <w:rPr>
                      <w:rFonts w:hint="eastAsia" w:ascii="Times New Roman" w:hAnsi="Times New Roman" w:eastAsia="宋体" w:cs="Times New Roman"/>
                      <w:b w:val="0"/>
                      <w:bCs w:val="0"/>
                      <w:color w:val="auto"/>
                      <w:sz w:val="21"/>
                      <w:szCs w:val="21"/>
                      <w:highlight w:val="none"/>
                      <w:u w:val="none" w:color="auto"/>
                      <w:lang w:val="en-US" w:eastAsia="zh-CN"/>
                    </w:rPr>
                    <w:t>处理，通过</w:t>
                  </w:r>
                  <w:r>
                    <w:rPr>
                      <w:rFonts w:hint="eastAsia" w:eastAsia="宋体" w:cs="Times New Roman"/>
                      <w:b w:val="0"/>
                      <w:bCs w:val="0"/>
                      <w:color w:val="auto"/>
                      <w:sz w:val="21"/>
                      <w:szCs w:val="21"/>
                      <w:highlight w:val="none"/>
                      <w:u w:val="none" w:color="auto"/>
                      <w:lang w:val="en-US" w:eastAsia="zh-CN"/>
                    </w:rPr>
                    <w:t>2</w:t>
                  </w:r>
                  <w:r>
                    <w:rPr>
                      <w:rFonts w:hint="eastAsia" w:cs="Times New Roman"/>
                      <w:b w:val="0"/>
                      <w:bCs w:val="0"/>
                      <w:color w:val="auto"/>
                      <w:sz w:val="21"/>
                      <w:szCs w:val="21"/>
                      <w:highlight w:val="none"/>
                      <w:u w:val="none" w:color="auto"/>
                      <w:lang w:val="en-US" w:eastAsia="zh-CN"/>
                    </w:rPr>
                    <w:t>5</w:t>
                  </w:r>
                  <w:r>
                    <w:rPr>
                      <w:rFonts w:hint="eastAsia" w:ascii="Times New Roman" w:hAnsi="Times New Roman" w:eastAsia="宋体" w:cs="Times New Roman"/>
                      <w:b w:val="0"/>
                      <w:bCs w:val="0"/>
                      <w:color w:val="auto"/>
                      <w:sz w:val="21"/>
                      <w:szCs w:val="21"/>
                      <w:highlight w:val="none"/>
                      <w:u w:val="none" w:color="auto"/>
                      <w:lang w:val="en-US" w:eastAsia="zh-CN"/>
                    </w:rPr>
                    <w:t>m高排气筒高空排放（DA00</w:t>
                  </w:r>
                  <w:r>
                    <w:rPr>
                      <w:rFonts w:hint="eastAsia" w:cs="Times New Roman"/>
                      <w:b w:val="0"/>
                      <w:bCs w:val="0"/>
                      <w:color w:val="auto"/>
                      <w:sz w:val="21"/>
                      <w:szCs w:val="21"/>
                      <w:highlight w:val="none"/>
                      <w:u w:val="none" w:color="auto"/>
                      <w:lang w:val="en-US" w:eastAsia="zh-CN"/>
                    </w:rPr>
                    <w:t>1</w:t>
                  </w:r>
                  <w:r>
                    <w:rPr>
                      <w:rFonts w:hint="eastAsia" w:ascii="Times New Roman" w:hAnsi="Times New Roman" w:eastAsia="宋体" w:cs="Times New Roman"/>
                      <w:b w:val="0"/>
                      <w:bCs w:val="0"/>
                      <w:color w:val="auto"/>
                      <w:sz w:val="21"/>
                      <w:szCs w:val="21"/>
                      <w:highlight w:val="none"/>
                      <w:u w:val="none" w:color="auto"/>
                      <w:lang w:val="en-US" w:eastAsia="zh-CN"/>
                    </w:rPr>
                    <w:t>）</w:t>
                  </w:r>
                  <w:r>
                    <w:rPr>
                      <w:rFonts w:hint="eastAsia" w:cs="Times New Roman"/>
                      <w:b w:val="0"/>
                      <w:bCs w:val="0"/>
                      <w:color w:val="auto"/>
                      <w:sz w:val="21"/>
                      <w:szCs w:val="21"/>
                      <w:highlight w:val="none"/>
                      <w:u w:val="none" w:color="auto"/>
                      <w:lang w:val="en-US" w:eastAsia="zh-CN"/>
                    </w:rPr>
                    <w:t>；</w:t>
                  </w:r>
                </w:p>
                <w:p w14:paraId="15B6956E">
                  <w:pPr>
                    <w:widowControl/>
                    <w:jc w:val="both"/>
                    <w:rPr>
                      <w:rFonts w:hint="eastAsia" w:cs="Times New Roman"/>
                      <w:b w:val="0"/>
                      <w:bCs w:val="0"/>
                      <w:color w:val="auto"/>
                      <w:sz w:val="21"/>
                      <w:szCs w:val="21"/>
                      <w:highlight w:val="none"/>
                      <w:u w:val="none" w:color="auto"/>
                      <w:lang w:val="en-US" w:eastAsia="zh-CN"/>
                    </w:rPr>
                  </w:pPr>
                  <w:r>
                    <w:rPr>
                      <w:rFonts w:hint="eastAsia" w:cs="Times New Roman"/>
                      <w:color w:val="auto"/>
                      <w:kern w:val="2"/>
                      <w:sz w:val="21"/>
                      <w:szCs w:val="21"/>
                      <w:highlight w:val="none"/>
                      <w:u w:val="none"/>
                      <w:lang w:val="en-US" w:eastAsia="zh-CN" w:bidi="ar-SA"/>
                    </w:rPr>
                    <w:t>(2)</w:t>
                  </w:r>
                  <w:r>
                    <w:rPr>
                      <w:rFonts w:hint="eastAsia" w:ascii="Times New Roman" w:hAnsi="Times New Roman" w:eastAsia="宋体" w:cs="Times New Roman"/>
                      <w:color w:val="auto"/>
                      <w:kern w:val="2"/>
                      <w:sz w:val="21"/>
                      <w:szCs w:val="21"/>
                      <w:highlight w:val="none"/>
                      <w:u w:val="none"/>
                      <w:lang w:val="en-US" w:eastAsia="zh-CN" w:bidi="ar-SA"/>
                    </w:rPr>
                    <w:t>点凡立水、烘烤、焊锡、</w:t>
                  </w:r>
                  <w:r>
                    <w:rPr>
                      <w:rFonts w:hint="eastAsia" w:cs="Times New Roman"/>
                      <w:color w:val="auto"/>
                      <w:kern w:val="2"/>
                      <w:sz w:val="21"/>
                      <w:szCs w:val="21"/>
                      <w:highlight w:val="none"/>
                      <w:u w:val="none"/>
                      <w:lang w:val="en-US" w:eastAsia="zh-CN" w:bidi="ar-SA"/>
                    </w:rPr>
                    <w:t>激光</w:t>
                  </w:r>
                  <w:r>
                    <w:rPr>
                      <w:rFonts w:hint="eastAsia" w:ascii="Times New Roman" w:hAnsi="Times New Roman" w:eastAsia="宋体" w:cs="Times New Roman"/>
                      <w:color w:val="auto"/>
                      <w:kern w:val="2"/>
                      <w:sz w:val="21"/>
                      <w:szCs w:val="21"/>
                      <w:highlight w:val="none"/>
                      <w:u w:val="none"/>
                      <w:lang w:val="en-US" w:eastAsia="zh-CN" w:bidi="ar-SA"/>
                    </w:rPr>
                    <w:t>工序废气</w:t>
                  </w:r>
                  <w:r>
                    <w:rPr>
                      <w:rFonts w:hint="eastAsia" w:cs="Times New Roman"/>
                      <w:color w:val="auto"/>
                      <w:kern w:val="2"/>
                      <w:sz w:val="21"/>
                      <w:szCs w:val="21"/>
                      <w:highlight w:val="none"/>
                      <w:u w:val="none"/>
                      <w:lang w:val="en-US" w:eastAsia="zh-CN" w:bidi="ar-SA"/>
                    </w:rPr>
                    <w:t>：</w:t>
                  </w:r>
                  <w:r>
                    <w:rPr>
                      <w:rFonts w:hint="eastAsia" w:ascii="Times New Roman" w:hAnsi="Times New Roman" w:eastAsia="宋体" w:cs="Times New Roman"/>
                      <w:b w:val="0"/>
                      <w:bCs w:val="0"/>
                      <w:color w:val="auto"/>
                      <w:sz w:val="21"/>
                      <w:szCs w:val="21"/>
                      <w:highlight w:val="none"/>
                      <w:u w:val="none" w:color="auto"/>
                      <w:lang w:val="en-US" w:eastAsia="zh-CN"/>
                    </w:rPr>
                    <w:t>经集气罩收集后</w:t>
                  </w:r>
                  <w:r>
                    <w:rPr>
                      <w:rFonts w:hint="eastAsia" w:cs="Times New Roman"/>
                      <w:b w:val="0"/>
                      <w:bCs w:val="0"/>
                      <w:color w:val="auto"/>
                      <w:sz w:val="21"/>
                      <w:szCs w:val="21"/>
                      <w:highlight w:val="none"/>
                      <w:u w:val="none" w:color="auto"/>
                      <w:lang w:val="en-US" w:eastAsia="zh-CN"/>
                    </w:rPr>
                    <w:t>二级</w:t>
                  </w:r>
                  <w:r>
                    <w:rPr>
                      <w:rFonts w:hint="eastAsia" w:eastAsia="宋体" w:cs="Times New Roman"/>
                      <w:b w:val="0"/>
                      <w:bCs w:val="0"/>
                      <w:color w:val="auto"/>
                      <w:sz w:val="21"/>
                      <w:szCs w:val="21"/>
                      <w:highlight w:val="none"/>
                      <w:u w:val="none" w:color="auto"/>
                      <w:lang w:val="en-US" w:eastAsia="zh-CN"/>
                    </w:rPr>
                    <w:t>活性炭吸附装置</w:t>
                  </w:r>
                  <w:r>
                    <w:rPr>
                      <w:rFonts w:hint="eastAsia" w:ascii="Times New Roman" w:hAnsi="Times New Roman" w:eastAsia="宋体" w:cs="Times New Roman"/>
                      <w:b w:val="0"/>
                      <w:bCs w:val="0"/>
                      <w:color w:val="auto"/>
                      <w:sz w:val="21"/>
                      <w:szCs w:val="21"/>
                      <w:highlight w:val="none"/>
                      <w:u w:val="none" w:color="auto"/>
                      <w:lang w:val="en-US" w:eastAsia="zh-CN"/>
                    </w:rPr>
                    <w:t>处理，通过</w:t>
                  </w:r>
                  <w:r>
                    <w:rPr>
                      <w:rFonts w:hint="eastAsia" w:eastAsia="宋体" w:cs="Times New Roman"/>
                      <w:b w:val="0"/>
                      <w:bCs w:val="0"/>
                      <w:color w:val="auto"/>
                      <w:sz w:val="21"/>
                      <w:szCs w:val="21"/>
                      <w:highlight w:val="none"/>
                      <w:u w:val="none" w:color="auto"/>
                      <w:lang w:val="en-US" w:eastAsia="zh-CN"/>
                    </w:rPr>
                    <w:t>2</w:t>
                  </w:r>
                  <w:r>
                    <w:rPr>
                      <w:rFonts w:hint="eastAsia" w:cs="Times New Roman"/>
                      <w:b w:val="0"/>
                      <w:bCs w:val="0"/>
                      <w:color w:val="auto"/>
                      <w:sz w:val="21"/>
                      <w:szCs w:val="21"/>
                      <w:highlight w:val="none"/>
                      <w:u w:val="none" w:color="auto"/>
                      <w:lang w:val="en-US" w:eastAsia="zh-CN"/>
                    </w:rPr>
                    <w:t>5</w:t>
                  </w:r>
                  <w:r>
                    <w:rPr>
                      <w:rFonts w:hint="eastAsia" w:ascii="Times New Roman" w:hAnsi="Times New Roman" w:eastAsia="宋体" w:cs="Times New Roman"/>
                      <w:b w:val="0"/>
                      <w:bCs w:val="0"/>
                      <w:color w:val="auto"/>
                      <w:sz w:val="21"/>
                      <w:szCs w:val="21"/>
                      <w:highlight w:val="none"/>
                      <w:u w:val="none" w:color="auto"/>
                      <w:lang w:val="en-US" w:eastAsia="zh-CN"/>
                    </w:rPr>
                    <w:t>m高排气筒高空排放（DA00</w:t>
                  </w:r>
                  <w:r>
                    <w:rPr>
                      <w:rFonts w:hint="eastAsia" w:cs="Times New Roman"/>
                      <w:b w:val="0"/>
                      <w:bCs w:val="0"/>
                      <w:color w:val="auto"/>
                      <w:sz w:val="21"/>
                      <w:szCs w:val="21"/>
                      <w:highlight w:val="none"/>
                      <w:u w:val="none" w:color="auto"/>
                      <w:lang w:val="en-US" w:eastAsia="zh-CN"/>
                    </w:rPr>
                    <w:t>2</w:t>
                  </w:r>
                  <w:r>
                    <w:rPr>
                      <w:rFonts w:hint="eastAsia" w:ascii="Times New Roman" w:hAnsi="Times New Roman" w:eastAsia="宋体" w:cs="Times New Roman"/>
                      <w:b w:val="0"/>
                      <w:bCs w:val="0"/>
                      <w:color w:val="auto"/>
                      <w:sz w:val="21"/>
                      <w:szCs w:val="21"/>
                      <w:highlight w:val="none"/>
                      <w:u w:val="none" w:color="auto"/>
                      <w:lang w:val="en-US" w:eastAsia="zh-CN"/>
                    </w:rPr>
                    <w:t>）</w:t>
                  </w:r>
                  <w:r>
                    <w:rPr>
                      <w:rFonts w:hint="eastAsia" w:cs="Times New Roman"/>
                      <w:b w:val="0"/>
                      <w:bCs w:val="0"/>
                      <w:color w:val="auto"/>
                      <w:sz w:val="21"/>
                      <w:szCs w:val="21"/>
                      <w:highlight w:val="none"/>
                      <w:u w:val="none" w:color="auto"/>
                      <w:lang w:val="en-US" w:eastAsia="zh-CN"/>
                    </w:rPr>
                    <w:t>；</w:t>
                  </w:r>
                </w:p>
                <w:p w14:paraId="2B53A643">
                  <w:pPr>
                    <w:widowControl/>
                    <w:jc w:val="both"/>
                    <w:rPr>
                      <w:rFonts w:hint="default"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（3）</w:t>
                  </w:r>
                  <w:r>
                    <w:rPr>
                      <w:rFonts w:hint="default" w:ascii="Times New Roman" w:hAnsi="Times New Roman" w:eastAsia="宋体" w:cs="Times New Roman"/>
                      <w:b w:val="0"/>
                      <w:bCs w:val="0"/>
                      <w:color w:val="auto"/>
                      <w:sz w:val="21"/>
                      <w:szCs w:val="21"/>
                      <w:highlight w:val="none"/>
                      <w:u w:val="none" w:color="auto"/>
                      <w:lang w:val="zh-CN" w:eastAsia="zh-CN"/>
                    </w:rPr>
                    <w:t>喷砂机自带旋风除尘系统</w:t>
                  </w:r>
                  <w:r>
                    <w:rPr>
                      <w:rFonts w:hint="eastAsia" w:ascii="Times New Roman" w:hAnsi="Times New Roman" w:eastAsia="宋体" w:cs="Times New Roman"/>
                      <w:b w:val="0"/>
                      <w:bCs w:val="0"/>
                      <w:color w:val="auto"/>
                      <w:sz w:val="21"/>
                      <w:szCs w:val="21"/>
                      <w:highlight w:val="none"/>
                      <w:u w:val="none" w:color="auto"/>
                      <w:lang w:val="en-US" w:eastAsia="zh-CN"/>
                    </w:rPr>
                    <w:t>处理后无组织外排</w:t>
                  </w:r>
                </w:p>
              </w:tc>
              <w:tc>
                <w:tcPr>
                  <w:tcW w:w="1493" w:type="pct"/>
                  <w:vAlign w:val="center"/>
                </w:tcPr>
                <w:p w14:paraId="78D8C7FE">
                  <w:pPr>
                    <w:widowControl/>
                    <w:jc w:val="both"/>
                    <w:rPr>
                      <w:rFonts w:hint="eastAsia" w:cs="Times New Roman"/>
                      <w:b w:val="0"/>
                      <w:bCs w:val="0"/>
                      <w:color w:val="auto"/>
                      <w:sz w:val="21"/>
                      <w:szCs w:val="21"/>
                      <w:highlight w:val="none"/>
                      <w:u w:val="none" w:color="auto"/>
                      <w:lang w:val="en-US" w:eastAsia="zh-CN"/>
                    </w:rPr>
                  </w:pPr>
                  <w:r>
                    <w:rPr>
                      <w:rFonts w:hint="eastAsia" w:cs="Times New Roman"/>
                      <w:color w:val="auto"/>
                      <w:kern w:val="2"/>
                      <w:sz w:val="21"/>
                      <w:szCs w:val="21"/>
                      <w:highlight w:val="none"/>
                      <w:u w:val="none"/>
                      <w:lang w:val="en-US" w:eastAsia="zh-CN" w:bidi="ar-SA"/>
                    </w:rPr>
                    <w:t>（1</w:t>
                  </w:r>
                  <w:r>
                    <w:rPr>
                      <w:rFonts w:hint="eastAsia" w:cs="Times New Roman"/>
                      <w:b w:val="0"/>
                      <w:bCs w:val="0"/>
                      <w:color w:val="auto"/>
                      <w:sz w:val="21"/>
                      <w:szCs w:val="21"/>
                      <w:highlight w:val="none"/>
                      <w:u w:val="none" w:color="auto"/>
                      <w:lang w:val="en-US" w:eastAsia="zh-CN"/>
                    </w:rPr>
                    <w:t>）</w:t>
                  </w:r>
                  <w:r>
                    <w:rPr>
                      <w:rFonts w:hint="eastAsia" w:ascii="Times New Roman" w:hAnsi="Times New Roman" w:eastAsia="宋体" w:cs="Times New Roman"/>
                      <w:color w:val="auto"/>
                      <w:kern w:val="2"/>
                      <w:sz w:val="21"/>
                      <w:szCs w:val="21"/>
                      <w:highlight w:val="none"/>
                      <w:u w:val="none"/>
                      <w:lang w:val="en-US" w:eastAsia="zh-CN" w:bidi="ar-SA"/>
                    </w:rPr>
                    <w:t>注塑</w:t>
                  </w:r>
                  <w:r>
                    <w:rPr>
                      <w:rFonts w:hint="eastAsia" w:cs="Times New Roman"/>
                      <w:color w:val="auto"/>
                      <w:kern w:val="2"/>
                      <w:sz w:val="21"/>
                      <w:szCs w:val="21"/>
                      <w:highlight w:val="none"/>
                      <w:u w:val="none"/>
                      <w:lang w:val="en-US" w:eastAsia="zh-CN" w:bidi="ar-SA"/>
                    </w:rPr>
                    <w:t>车间废气：</w:t>
                  </w:r>
                  <w:r>
                    <w:rPr>
                      <w:rFonts w:hint="eastAsia" w:ascii="Times New Roman" w:hAnsi="Times New Roman" w:eastAsia="宋体" w:cs="Times New Roman"/>
                      <w:b w:val="0"/>
                      <w:bCs w:val="0"/>
                      <w:color w:val="auto"/>
                      <w:sz w:val="21"/>
                      <w:szCs w:val="21"/>
                      <w:highlight w:val="none"/>
                      <w:u w:val="none" w:color="auto"/>
                      <w:lang w:val="en-US" w:eastAsia="zh-CN"/>
                    </w:rPr>
                    <w:t>经集气罩收集后</w:t>
                  </w:r>
                  <w:r>
                    <w:rPr>
                      <w:rFonts w:hint="eastAsia" w:cs="Times New Roman"/>
                      <w:b w:val="0"/>
                      <w:bCs w:val="0"/>
                      <w:color w:val="auto"/>
                      <w:sz w:val="21"/>
                      <w:szCs w:val="21"/>
                      <w:highlight w:val="none"/>
                      <w:u w:val="none" w:color="auto"/>
                      <w:lang w:val="en-US" w:eastAsia="zh-CN"/>
                    </w:rPr>
                    <w:t>二级</w:t>
                  </w:r>
                  <w:r>
                    <w:rPr>
                      <w:rFonts w:hint="eastAsia" w:eastAsia="宋体" w:cs="Times New Roman"/>
                      <w:b w:val="0"/>
                      <w:bCs w:val="0"/>
                      <w:color w:val="auto"/>
                      <w:sz w:val="21"/>
                      <w:szCs w:val="21"/>
                      <w:highlight w:val="none"/>
                      <w:u w:val="none" w:color="auto"/>
                      <w:lang w:val="en-US" w:eastAsia="zh-CN"/>
                    </w:rPr>
                    <w:t>活性炭吸附装置</w:t>
                  </w:r>
                  <w:r>
                    <w:rPr>
                      <w:rFonts w:hint="eastAsia" w:ascii="Times New Roman" w:hAnsi="Times New Roman" w:eastAsia="宋体" w:cs="Times New Roman"/>
                      <w:b w:val="0"/>
                      <w:bCs w:val="0"/>
                      <w:color w:val="auto"/>
                      <w:sz w:val="21"/>
                      <w:szCs w:val="21"/>
                      <w:highlight w:val="none"/>
                      <w:u w:val="none" w:color="auto"/>
                      <w:lang w:val="en-US" w:eastAsia="zh-CN"/>
                    </w:rPr>
                    <w:t>处理，通过</w:t>
                  </w:r>
                  <w:r>
                    <w:rPr>
                      <w:rFonts w:hint="eastAsia" w:eastAsia="宋体" w:cs="Times New Roman"/>
                      <w:b w:val="0"/>
                      <w:bCs w:val="0"/>
                      <w:color w:val="auto"/>
                      <w:sz w:val="21"/>
                      <w:szCs w:val="21"/>
                      <w:highlight w:val="none"/>
                      <w:u w:val="none" w:color="auto"/>
                      <w:lang w:val="en-US" w:eastAsia="zh-CN"/>
                    </w:rPr>
                    <w:t>2</w:t>
                  </w:r>
                  <w:r>
                    <w:rPr>
                      <w:rFonts w:hint="eastAsia" w:cs="Times New Roman"/>
                      <w:b w:val="0"/>
                      <w:bCs w:val="0"/>
                      <w:color w:val="auto"/>
                      <w:sz w:val="21"/>
                      <w:szCs w:val="21"/>
                      <w:highlight w:val="none"/>
                      <w:u w:val="none" w:color="auto"/>
                      <w:lang w:val="en-US" w:eastAsia="zh-CN"/>
                    </w:rPr>
                    <w:t>5</w:t>
                  </w:r>
                  <w:r>
                    <w:rPr>
                      <w:rFonts w:hint="eastAsia" w:ascii="Times New Roman" w:hAnsi="Times New Roman" w:eastAsia="宋体" w:cs="Times New Roman"/>
                      <w:b w:val="0"/>
                      <w:bCs w:val="0"/>
                      <w:color w:val="auto"/>
                      <w:sz w:val="21"/>
                      <w:szCs w:val="21"/>
                      <w:highlight w:val="none"/>
                      <w:u w:val="none" w:color="auto"/>
                      <w:lang w:val="en-US" w:eastAsia="zh-CN"/>
                    </w:rPr>
                    <w:t>m高排气筒高空排放（DA00</w:t>
                  </w:r>
                  <w:r>
                    <w:rPr>
                      <w:rFonts w:hint="eastAsia" w:cs="Times New Roman"/>
                      <w:b w:val="0"/>
                      <w:bCs w:val="0"/>
                      <w:color w:val="auto"/>
                      <w:sz w:val="21"/>
                      <w:szCs w:val="21"/>
                      <w:highlight w:val="none"/>
                      <w:u w:val="none" w:color="auto"/>
                      <w:lang w:val="en-US" w:eastAsia="zh-CN"/>
                    </w:rPr>
                    <w:t>1</w:t>
                  </w:r>
                  <w:r>
                    <w:rPr>
                      <w:rFonts w:hint="eastAsia" w:ascii="Times New Roman" w:hAnsi="Times New Roman" w:eastAsia="宋体" w:cs="Times New Roman"/>
                      <w:b w:val="0"/>
                      <w:bCs w:val="0"/>
                      <w:color w:val="auto"/>
                      <w:sz w:val="21"/>
                      <w:szCs w:val="21"/>
                      <w:highlight w:val="none"/>
                      <w:u w:val="none" w:color="auto"/>
                      <w:lang w:val="en-US" w:eastAsia="zh-CN"/>
                    </w:rPr>
                    <w:t>）</w:t>
                  </w:r>
                  <w:r>
                    <w:rPr>
                      <w:rFonts w:hint="eastAsia" w:cs="Times New Roman"/>
                      <w:b w:val="0"/>
                      <w:bCs w:val="0"/>
                      <w:color w:val="auto"/>
                      <w:sz w:val="21"/>
                      <w:szCs w:val="21"/>
                      <w:highlight w:val="none"/>
                      <w:u w:val="none" w:color="auto"/>
                      <w:lang w:val="en-US" w:eastAsia="zh-CN"/>
                    </w:rPr>
                    <w:t>；</w:t>
                  </w:r>
                </w:p>
                <w:p w14:paraId="256D6DA9">
                  <w:pPr>
                    <w:widowControl/>
                    <w:jc w:val="both"/>
                    <w:rPr>
                      <w:rFonts w:hint="eastAsia" w:cs="Times New Roman"/>
                      <w:b w:val="0"/>
                      <w:bCs w:val="0"/>
                      <w:color w:val="auto"/>
                      <w:sz w:val="21"/>
                      <w:szCs w:val="21"/>
                      <w:highlight w:val="none"/>
                      <w:u w:val="none" w:color="auto"/>
                      <w:lang w:val="en-US" w:eastAsia="zh-CN"/>
                    </w:rPr>
                  </w:pPr>
                  <w:r>
                    <w:rPr>
                      <w:rFonts w:hint="eastAsia" w:cs="Times New Roman"/>
                      <w:color w:val="auto"/>
                      <w:kern w:val="2"/>
                      <w:sz w:val="21"/>
                      <w:szCs w:val="21"/>
                      <w:highlight w:val="none"/>
                      <w:u w:val="none"/>
                      <w:lang w:val="en-US" w:eastAsia="zh-CN" w:bidi="ar-SA"/>
                    </w:rPr>
                    <w:t>(2)</w:t>
                  </w:r>
                  <w:r>
                    <w:rPr>
                      <w:rFonts w:hint="eastAsia" w:ascii="Times New Roman" w:hAnsi="Times New Roman" w:eastAsia="宋体" w:cs="Times New Roman"/>
                      <w:color w:val="auto"/>
                      <w:kern w:val="2"/>
                      <w:sz w:val="21"/>
                      <w:szCs w:val="21"/>
                      <w:highlight w:val="none"/>
                      <w:u w:val="none"/>
                      <w:lang w:val="en-US" w:eastAsia="zh-CN" w:bidi="ar-SA"/>
                    </w:rPr>
                    <w:t>点凡立水、烘烤、焊锡、</w:t>
                  </w:r>
                  <w:r>
                    <w:rPr>
                      <w:rFonts w:hint="eastAsia" w:cs="Times New Roman"/>
                      <w:color w:val="auto"/>
                      <w:kern w:val="2"/>
                      <w:sz w:val="21"/>
                      <w:szCs w:val="21"/>
                      <w:highlight w:val="none"/>
                      <w:u w:val="none"/>
                      <w:lang w:val="en-US" w:eastAsia="zh-CN" w:bidi="ar-SA"/>
                    </w:rPr>
                    <w:t>激光</w:t>
                  </w:r>
                  <w:r>
                    <w:rPr>
                      <w:rFonts w:hint="eastAsia" w:ascii="Times New Roman" w:hAnsi="Times New Roman" w:eastAsia="宋体" w:cs="Times New Roman"/>
                      <w:color w:val="auto"/>
                      <w:kern w:val="2"/>
                      <w:sz w:val="21"/>
                      <w:szCs w:val="21"/>
                      <w:highlight w:val="none"/>
                      <w:u w:val="none"/>
                      <w:lang w:val="en-US" w:eastAsia="zh-CN" w:bidi="ar-SA"/>
                    </w:rPr>
                    <w:t>工序废气</w:t>
                  </w:r>
                  <w:r>
                    <w:rPr>
                      <w:rFonts w:hint="eastAsia" w:cs="Times New Roman"/>
                      <w:color w:val="auto"/>
                      <w:kern w:val="2"/>
                      <w:sz w:val="21"/>
                      <w:szCs w:val="21"/>
                      <w:highlight w:val="none"/>
                      <w:u w:val="none"/>
                      <w:lang w:val="en-US" w:eastAsia="zh-CN" w:bidi="ar-SA"/>
                    </w:rPr>
                    <w:t>：</w:t>
                  </w:r>
                  <w:r>
                    <w:rPr>
                      <w:rFonts w:hint="eastAsia" w:ascii="Times New Roman" w:hAnsi="Times New Roman" w:eastAsia="宋体" w:cs="Times New Roman"/>
                      <w:b w:val="0"/>
                      <w:bCs w:val="0"/>
                      <w:color w:val="auto"/>
                      <w:sz w:val="21"/>
                      <w:szCs w:val="21"/>
                      <w:highlight w:val="none"/>
                      <w:u w:val="none" w:color="auto"/>
                      <w:lang w:val="en-US" w:eastAsia="zh-CN"/>
                    </w:rPr>
                    <w:t>经集气罩收集后</w:t>
                  </w:r>
                  <w:r>
                    <w:rPr>
                      <w:rFonts w:hint="eastAsia" w:cs="Times New Roman"/>
                      <w:b w:val="0"/>
                      <w:bCs w:val="0"/>
                      <w:color w:val="auto"/>
                      <w:sz w:val="21"/>
                      <w:szCs w:val="21"/>
                      <w:highlight w:val="none"/>
                      <w:u w:val="none" w:color="auto"/>
                      <w:lang w:val="en-US" w:eastAsia="zh-CN"/>
                    </w:rPr>
                    <w:t>二级</w:t>
                  </w:r>
                  <w:r>
                    <w:rPr>
                      <w:rFonts w:hint="eastAsia" w:eastAsia="宋体" w:cs="Times New Roman"/>
                      <w:b w:val="0"/>
                      <w:bCs w:val="0"/>
                      <w:color w:val="auto"/>
                      <w:sz w:val="21"/>
                      <w:szCs w:val="21"/>
                      <w:highlight w:val="none"/>
                      <w:u w:val="none" w:color="auto"/>
                      <w:lang w:val="en-US" w:eastAsia="zh-CN"/>
                    </w:rPr>
                    <w:t>活性炭吸附装置</w:t>
                  </w:r>
                  <w:r>
                    <w:rPr>
                      <w:rFonts w:hint="eastAsia" w:ascii="Times New Roman" w:hAnsi="Times New Roman" w:eastAsia="宋体" w:cs="Times New Roman"/>
                      <w:b w:val="0"/>
                      <w:bCs w:val="0"/>
                      <w:color w:val="auto"/>
                      <w:sz w:val="21"/>
                      <w:szCs w:val="21"/>
                      <w:highlight w:val="none"/>
                      <w:u w:val="none" w:color="auto"/>
                      <w:lang w:val="en-US" w:eastAsia="zh-CN"/>
                    </w:rPr>
                    <w:t>处理，通过</w:t>
                  </w:r>
                  <w:r>
                    <w:rPr>
                      <w:rFonts w:hint="eastAsia" w:eastAsia="宋体" w:cs="Times New Roman"/>
                      <w:b w:val="0"/>
                      <w:bCs w:val="0"/>
                      <w:color w:val="auto"/>
                      <w:sz w:val="21"/>
                      <w:szCs w:val="21"/>
                      <w:highlight w:val="none"/>
                      <w:u w:val="none" w:color="auto"/>
                      <w:lang w:val="en-US" w:eastAsia="zh-CN"/>
                    </w:rPr>
                    <w:t>2</w:t>
                  </w:r>
                  <w:r>
                    <w:rPr>
                      <w:rFonts w:hint="eastAsia" w:cs="Times New Roman"/>
                      <w:b w:val="0"/>
                      <w:bCs w:val="0"/>
                      <w:color w:val="auto"/>
                      <w:sz w:val="21"/>
                      <w:szCs w:val="21"/>
                      <w:highlight w:val="none"/>
                      <w:u w:val="none" w:color="auto"/>
                      <w:lang w:val="en-US" w:eastAsia="zh-CN"/>
                    </w:rPr>
                    <w:t>5</w:t>
                  </w:r>
                  <w:r>
                    <w:rPr>
                      <w:rFonts w:hint="eastAsia" w:ascii="Times New Roman" w:hAnsi="Times New Roman" w:eastAsia="宋体" w:cs="Times New Roman"/>
                      <w:b w:val="0"/>
                      <w:bCs w:val="0"/>
                      <w:color w:val="auto"/>
                      <w:sz w:val="21"/>
                      <w:szCs w:val="21"/>
                      <w:highlight w:val="none"/>
                      <w:u w:val="none" w:color="auto"/>
                      <w:lang w:val="en-US" w:eastAsia="zh-CN"/>
                    </w:rPr>
                    <w:t>m高排气筒高空排放（DA00</w:t>
                  </w:r>
                  <w:r>
                    <w:rPr>
                      <w:rFonts w:hint="eastAsia" w:cs="Times New Roman"/>
                      <w:b w:val="0"/>
                      <w:bCs w:val="0"/>
                      <w:color w:val="auto"/>
                      <w:sz w:val="21"/>
                      <w:szCs w:val="21"/>
                      <w:highlight w:val="none"/>
                      <w:u w:val="none" w:color="auto"/>
                      <w:lang w:val="en-US" w:eastAsia="zh-CN"/>
                    </w:rPr>
                    <w:t>2</w:t>
                  </w:r>
                  <w:r>
                    <w:rPr>
                      <w:rFonts w:hint="eastAsia" w:ascii="Times New Roman" w:hAnsi="Times New Roman" w:eastAsia="宋体" w:cs="Times New Roman"/>
                      <w:b w:val="0"/>
                      <w:bCs w:val="0"/>
                      <w:color w:val="auto"/>
                      <w:sz w:val="21"/>
                      <w:szCs w:val="21"/>
                      <w:highlight w:val="none"/>
                      <w:u w:val="none" w:color="auto"/>
                      <w:lang w:val="en-US" w:eastAsia="zh-CN"/>
                    </w:rPr>
                    <w:t>）</w:t>
                  </w:r>
                  <w:r>
                    <w:rPr>
                      <w:rFonts w:hint="eastAsia" w:cs="Times New Roman"/>
                      <w:b w:val="0"/>
                      <w:bCs w:val="0"/>
                      <w:color w:val="auto"/>
                      <w:sz w:val="21"/>
                      <w:szCs w:val="21"/>
                      <w:highlight w:val="none"/>
                      <w:u w:val="none" w:color="auto"/>
                      <w:lang w:val="en-US" w:eastAsia="zh-CN"/>
                    </w:rPr>
                    <w:t>；</w:t>
                  </w:r>
                </w:p>
                <w:p w14:paraId="35702009">
                  <w:pPr>
                    <w:widowControl/>
                    <w:jc w:val="both"/>
                    <w:rPr>
                      <w:rFonts w:hint="eastAsia"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（3）</w:t>
                  </w:r>
                  <w:r>
                    <w:rPr>
                      <w:rFonts w:hint="default" w:ascii="Times New Roman" w:hAnsi="Times New Roman" w:eastAsia="宋体" w:cs="Times New Roman"/>
                      <w:b w:val="0"/>
                      <w:bCs w:val="0"/>
                      <w:color w:val="auto"/>
                      <w:sz w:val="21"/>
                      <w:szCs w:val="21"/>
                      <w:highlight w:val="none"/>
                      <w:u w:val="none" w:color="auto"/>
                      <w:lang w:val="zh-CN" w:eastAsia="zh-CN"/>
                    </w:rPr>
                    <w:t>喷砂机自带旋风除尘系统</w:t>
                  </w:r>
                  <w:r>
                    <w:rPr>
                      <w:rFonts w:hint="eastAsia" w:ascii="Times New Roman" w:hAnsi="Times New Roman" w:eastAsia="宋体" w:cs="Times New Roman"/>
                      <w:b w:val="0"/>
                      <w:bCs w:val="0"/>
                      <w:color w:val="auto"/>
                      <w:sz w:val="21"/>
                      <w:szCs w:val="21"/>
                      <w:highlight w:val="none"/>
                      <w:u w:val="none" w:color="auto"/>
                      <w:lang w:val="en-US" w:eastAsia="zh-CN"/>
                    </w:rPr>
                    <w:t>处理后无组织外排</w:t>
                  </w:r>
                </w:p>
              </w:tc>
              <w:tc>
                <w:tcPr>
                  <w:tcW w:w="867" w:type="pct"/>
                  <w:vAlign w:val="center"/>
                </w:tcPr>
                <w:p w14:paraId="186AE6C7">
                  <w:pPr>
                    <w:widowControl/>
                    <w:jc w:val="center"/>
                    <w:rPr>
                      <w:rFonts w:hint="default" w:cs="Times New Roman"/>
                      <w:b w:val="0"/>
                      <w:bCs w:val="0"/>
                      <w:color w:val="auto"/>
                      <w:sz w:val="21"/>
                      <w:szCs w:val="21"/>
                      <w:highlight w:val="none"/>
                      <w:u w:val="none" w:color="auto"/>
                      <w:lang w:val="en-US" w:eastAsia="zh-CN"/>
                    </w:rPr>
                  </w:pPr>
                  <w:r>
                    <w:rPr>
                      <w:rFonts w:hint="eastAsia" w:ascii="Times New Roman" w:hAnsi="Times New Roman" w:eastAsia="宋体" w:cs="Times New Roman"/>
                      <w:color w:val="auto"/>
                      <w:highlight w:val="none"/>
                      <w:u w:val="none"/>
                      <w:lang w:val="en-US" w:eastAsia="zh-CN"/>
                    </w:rPr>
                    <w:t>不发生变动，依托原有环保设施</w:t>
                  </w:r>
                </w:p>
              </w:tc>
            </w:tr>
            <w:tr w14:paraId="74F3A8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3" w:type="pct"/>
                  <w:vMerge w:val="continue"/>
                  <w:vAlign w:val="center"/>
                </w:tcPr>
                <w:p w14:paraId="4335C80A">
                  <w:pPr>
                    <w:jc w:val="center"/>
                    <w:rPr>
                      <w:color w:val="auto"/>
                      <w:highlight w:val="none"/>
                      <w:u w:val="none"/>
                    </w:rPr>
                  </w:pPr>
                </w:p>
              </w:tc>
              <w:tc>
                <w:tcPr>
                  <w:tcW w:w="448" w:type="pct"/>
                  <w:vAlign w:val="center"/>
                </w:tcPr>
                <w:p w14:paraId="6E93622A">
                  <w:pPr>
                    <w:jc w:val="center"/>
                    <w:rPr>
                      <w:color w:val="auto"/>
                      <w:highlight w:val="none"/>
                      <w:u w:val="none"/>
                    </w:rPr>
                  </w:pPr>
                  <w:r>
                    <w:rPr>
                      <w:rFonts w:hAnsi="宋体"/>
                      <w:color w:val="auto"/>
                      <w:highlight w:val="none"/>
                      <w:u w:val="none"/>
                    </w:rPr>
                    <w:t>噪声处理设施</w:t>
                  </w:r>
                </w:p>
              </w:tc>
              <w:tc>
                <w:tcPr>
                  <w:tcW w:w="1918" w:type="pct"/>
                  <w:gridSpan w:val="2"/>
                  <w:vAlign w:val="center"/>
                </w:tcPr>
                <w:p w14:paraId="2DA3D42E">
                  <w:pPr>
                    <w:widowControl/>
                    <w:jc w:val="center"/>
                    <w:rPr>
                      <w:color w:val="auto"/>
                      <w:highlight w:val="none"/>
                      <w:u w:val="none"/>
                    </w:rPr>
                  </w:pPr>
                  <w:r>
                    <w:rPr>
                      <w:rFonts w:hint="eastAsia"/>
                      <w:color w:val="auto"/>
                      <w:highlight w:val="none"/>
                      <w:u w:val="none"/>
                    </w:rPr>
                    <w:t>设备隔声、减振、降噪</w:t>
                  </w:r>
                </w:p>
              </w:tc>
              <w:tc>
                <w:tcPr>
                  <w:tcW w:w="1493" w:type="pct"/>
                  <w:vAlign w:val="center"/>
                </w:tcPr>
                <w:p w14:paraId="664F43F2">
                  <w:pPr>
                    <w:widowControl/>
                    <w:jc w:val="center"/>
                    <w:rPr>
                      <w:rFonts w:hint="eastAsia"/>
                      <w:color w:val="auto"/>
                      <w:highlight w:val="none"/>
                      <w:u w:val="none"/>
                    </w:rPr>
                  </w:pPr>
                  <w:r>
                    <w:rPr>
                      <w:rFonts w:hint="eastAsia"/>
                      <w:color w:val="auto"/>
                      <w:highlight w:val="none"/>
                      <w:u w:val="none"/>
                    </w:rPr>
                    <w:t>设备隔声、减振、降噪</w:t>
                  </w:r>
                </w:p>
              </w:tc>
              <w:tc>
                <w:tcPr>
                  <w:tcW w:w="867" w:type="pct"/>
                  <w:vAlign w:val="center"/>
                </w:tcPr>
                <w:p w14:paraId="290DF0D0">
                  <w:pPr>
                    <w:widowControl/>
                    <w:jc w:val="center"/>
                    <w:rPr>
                      <w:rFonts w:hint="eastAsia" w:eastAsia="宋体"/>
                      <w:color w:val="auto"/>
                      <w:highlight w:val="none"/>
                      <w:u w:val="none"/>
                      <w:lang w:val="en-US" w:eastAsia="zh-CN"/>
                    </w:rPr>
                  </w:pPr>
                  <w:r>
                    <w:rPr>
                      <w:rFonts w:hint="eastAsia"/>
                      <w:color w:val="auto"/>
                      <w:highlight w:val="none"/>
                      <w:u w:val="none"/>
                      <w:lang w:val="en-US" w:eastAsia="zh-CN"/>
                    </w:rPr>
                    <w:t>新增设备采取</w:t>
                  </w:r>
                  <w:r>
                    <w:rPr>
                      <w:rFonts w:hint="eastAsia"/>
                      <w:color w:val="auto"/>
                      <w:highlight w:val="none"/>
                      <w:u w:val="none"/>
                    </w:rPr>
                    <w:t>隔声、减振、降噪</w:t>
                  </w:r>
                  <w:r>
                    <w:rPr>
                      <w:rFonts w:hint="eastAsia"/>
                      <w:color w:val="auto"/>
                      <w:highlight w:val="none"/>
                      <w:u w:val="none"/>
                      <w:lang w:val="en-US" w:eastAsia="zh-CN"/>
                    </w:rPr>
                    <w:t>措施</w:t>
                  </w:r>
                </w:p>
              </w:tc>
            </w:tr>
            <w:tr w14:paraId="2B609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73" w:type="pct"/>
                  <w:vMerge w:val="continue"/>
                  <w:vAlign w:val="center"/>
                </w:tcPr>
                <w:p w14:paraId="55F6986B">
                  <w:pPr>
                    <w:jc w:val="center"/>
                    <w:rPr>
                      <w:color w:val="auto"/>
                      <w:highlight w:val="none"/>
                      <w:u w:val="none"/>
                    </w:rPr>
                  </w:pPr>
                </w:p>
              </w:tc>
              <w:tc>
                <w:tcPr>
                  <w:tcW w:w="448" w:type="pct"/>
                  <w:vAlign w:val="center"/>
                </w:tcPr>
                <w:p w14:paraId="4A2633EC">
                  <w:pPr>
                    <w:jc w:val="center"/>
                    <w:rPr>
                      <w:color w:val="auto"/>
                      <w:highlight w:val="none"/>
                      <w:u w:val="none"/>
                    </w:rPr>
                  </w:pPr>
                  <w:r>
                    <w:rPr>
                      <w:rFonts w:hAnsi="宋体"/>
                      <w:color w:val="auto"/>
                      <w:highlight w:val="none"/>
                      <w:u w:val="none"/>
                    </w:rPr>
                    <w:t>固废处理设施</w:t>
                  </w:r>
                </w:p>
              </w:tc>
              <w:tc>
                <w:tcPr>
                  <w:tcW w:w="1918" w:type="pct"/>
                  <w:gridSpan w:val="2"/>
                  <w:vAlign w:val="center"/>
                </w:tcPr>
                <w:p w14:paraId="38BEDF81">
                  <w:pPr>
                    <w:widowControl/>
                    <w:jc w:val="center"/>
                    <w:rPr>
                      <w:color w:val="auto"/>
                      <w:highlight w:val="none"/>
                      <w:u w:val="none"/>
                    </w:rPr>
                  </w:pPr>
                  <w:r>
                    <w:rPr>
                      <w:rFonts w:hAnsi="宋体"/>
                      <w:color w:val="auto"/>
                      <w:highlight w:val="none"/>
                      <w:u w:val="none"/>
                    </w:rPr>
                    <w:t>垃圾桶、</w:t>
                  </w:r>
                  <w:r>
                    <w:rPr>
                      <w:rFonts w:hint="eastAsia"/>
                      <w:color w:val="auto"/>
                      <w:highlight w:val="none"/>
                      <w:u w:val="none"/>
                    </w:rPr>
                    <w:t>一般固废</w:t>
                  </w:r>
                  <w:r>
                    <w:rPr>
                      <w:rFonts w:hint="eastAsia"/>
                      <w:color w:val="auto"/>
                      <w:highlight w:val="none"/>
                      <w:u w:val="none"/>
                      <w:lang w:val="en-US" w:eastAsia="zh-CN"/>
                    </w:rPr>
                    <w:t>存放区</w:t>
                  </w:r>
                  <w:r>
                    <w:rPr>
                      <w:rFonts w:hint="eastAsia"/>
                      <w:color w:val="auto"/>
                      <w:highlight w:val="none"/>
                      <w:u w:val="none"/>
                    </w:rPr>
                    <w:t>（位于一层）、危险废物暂存间</w:t>
                  </w:r>
                  <w:r>
                    <w:rPr>
                      <w:rStyle w:val="39"/>
                      <w:rFonts w:hint="eastAsia"/>
                      <w:color w:val="auto"/>
                      <w:kern w:val="28"/>
                      <w:highlight w:val="none"/>
                      <w:u w:val="none"/>
                    </w:rPr>
                    <w:t>（位于</w:t>
                  </w:r>
                  <w:r>
                    <w:rPr>
                      <w:rStyle w:val="39"/>
                      <w:rFonts w:hint="eastAsia"/>
                      <w:color w:val="auto"/>
                      <w:kern w:val="28"/>
                      <w:highlight w:val="none"/>
                      <w:u w:val="none"/>
                      <w:lang w:val="en-US" w:eastAsia="zh-CN"/>
                    </w:rPr>
                    <w:t>3</w:t>
                  </w:r>
                  <w:r>
                    <w:rPr>
                      <w:rStyle w:val="39"/>
                      <w:rFonts w:hint="eastAsia"/>
                      <w:color w:val="auto"/>
                      <w:kern w:val="28"/>
                      <w:highlight w:val="none"/>
                      <w:u w:val="none"/>
                    </w:rPr>
                    <w:t>层）</w:t>
                  </w:r>
                </w:p>
              </w:tc>
              <w:tc>
                <w:tcPr>
                  <w:tcW w:w="1493" w:type="pct"/>
                  <w:vAlign w:val="center"/>
                </w:tcPr>
                <w:p w14:paraId="511A6D7D">
                  <w:pPr>
                    <w:widowControl/>
                    <w:jc w:val="center"/>
                    <w:rPr>
                      <w:rFonts w:hAnsi="宋体"/>
                      <w:color w:val="auto"/>
                      <w:highlight w:val="none"/>
                      <w:u w:val="none"/>
                    </w:rPr>
                  </w:pPr>
                  <w:r>
                    <w:rPr>
                      <w:rFonts w:hAnsi="宋体"/>
                      <w:color w:val="auto"/>
                      <w:highlight w:val="none"/>
                      <w:u w:val="none"/>
                    </w:rPr>
                    <w:t>垃圾桶、</w:t>
                  </w:r>
                  <w:r>
                    <w:rPr>
                      <w:rFonts w:hint="eastAsia"/>
                      <w:color w:val="auto"/>
                      <w:highlight w:val="none"/>
                      <w:u w:val="none"/>
                    </w:rPr>
                    <w:t>一般固废</w:t>
                  </w:r>
                  <w:r>
                    <w:rPr>
                      <w:rFonts w:hint="eastAsia"/>
                      <w:color w:val="auto"/>
                      <w:highlight w:val="none"/>
                      <w:u w:val="none"/>
                      <w:lang w:val="en-US" w:eastAsia="zh-CN"/>
                    </w:rPr>
                    <w:t>存放区</w:t>
                  </w:r>
                  <w:r>
                    <w:rPr>
                      <w:rFonts w:hint="eastAsia"/>
                      <w:color w:val="auto"/>
                      <w:highlight w:val="none"/>
                      <w:u w:val="none"/>
                    </w:rPr>
                    <w:t>（位于</w:t>
                  </w:r>
                  <w:r>
                    <w:rPr>
                      <w:rFonts w:hint="eastAsia"/>
                      <w:color w:val="auto"/>
                      <w:highlight w:val="none"/>
                      <w:u w:val="none"/>
                      <w:lang w:val="en-US" w:eastAsia="zh-CN"/>
                    </w:rPr>
                    <w:t>11栋</w:t>
                  </w:r>
                  <w:r>
                    <w:rPr>
                      <w:rFonts w:hint="eastAsia"/>
                      <w:color w:val="auto"/>
                      <w:highlight w:val="none"/>
                      <w:u w:val="none"/>
                    </w:rPr>
                    <w:t>一层）、危险废物暂存间</w:t>
                  </w:r>
                  <w:r>
                    <w:rPr>
                      <w:rStyle w:val="39"/>
                      <w:rFonts w:hint="eastAsia"/>
                      <w:color w:val="auto"/>
                      <w:kern w:val="28"/>
                      <w:highlight w:val="none"/>
                      <w:u w:val="none"/>
                    </w:rPr>
                    <w:t>（位于</w:t>
                  </w:r>
                  <w:r>
                    <w:rPr>
                      <w:rStyle w:val="39"/>
                      <w:rFonts w:hint="eastAsia"/>
                      <w:color w:val="auto"/>
                      <w:kern w:val="28"/>
                      <w:highlight w:val="none"/>
                      <w:u w:val="none"/>
                      <w:lang w:val="en-US" w:eastAsia="zh-CN"/>
                    </w:rPr>
                    <w:t>11栋1</w:t>
                  </w:r>
                  <w:r>
                    <w:rPr>
                      <w:rStyle w:val="39"/>
                      <w:rFonts w:hint="eastAsia"/>
                      <w:color w:val="auto"/>
                      <w:kern w:val="28"/>
                      <w:highlight w:val="none"/>
                      <w:u w:val="none"/>
                    </w:rPr>
                    <w:t>层）</w:t>
                  </w:r>
                </w:p>
              </w:tc>
              <w:tc>
                <w:tcPr>
                  <w:tcW w:w="867" w:type="pct"/>
                  <w:vAlign w:val="center"/>
                </w:tcPr>
                <w:p w14:paraId="2D506310">
                  <w:pPr>
                    <w:widowControl/>
                    <w:jc w:val="center"/>
                    <w:rPr>
                      <w:rFonts w:hint="default" w:hAnsi="宋体"/>
                      <w:color w:val="auto"/>
                      <w:highlight w:val="none"/>
                      <w:u w:val="none"/>
                      <w:lang w:val="en-US"/>
                    </w:rPr>
                  </w:pPr>
                  <w:r>
                    <w:rPr>
                      <w:rFonts w:hint="eastAsia" w:cs="Times New Roman"/>
                      <w:color w:val="auto"/>
                      <w:highlight w:val="none"/>
                      <w:u w:val="none"/>
                      <w:lang w:val="en-US" w:eastAsia="zh-CN"/>
                    </w:rPr>
                    <w:t>危废暂存间位置发生变动</w:t>
                  </w:r>
                </w:p>
              </w:tc>
            </w:tr>
          </w:tbl>
          <w:p w14:paraId="4DA0F69A">
            <w:pPr>
              <w:widowControl/>
              <w:spacing w:line="360" w:lineRule="auto"/>
              <w:jc w:val="left"/>
              <w:rPr>
                <w:b/>
                <w:color w:val="auto"/>
                <w:kern w:val="0"/>
                <w:sz w:val="24"/>
                <w:highlight w:val="none"/>
                <w:u w:val="none"/>
              </w:rPr>
            </w:pPr>
            <w:r>
              <w:rPr>
                <w:rFonts w:hint="eastAsia"/>
                <w:b/>
                <w:color w:val="auto"/>
                <w:kern w:val="0"/>
                <w:sz w:val="24"/>
                <w:highlight w:val="none"/>
                <w:u w:val="none"/>
              </w:rPr>
              <w:t>2</w:t>
            </w:r>
            <w:r>
              <w:rPr>
                <w:b/>
                <w:color w:val="auto"/>
                <w:kern w:val="0"/>
                <w:sz w:val="24"/>
                <w:highlight w:val="none"/>
                <w:u w:val="none"/>
              </w:rPr>
              <w:t>、</w:t>
            </w:r>
            <w:r>
              <w:rPr>
                <w:rFonts w:hint="eastAsia"/>
                <w:b/>
                <w:color w:val="auto"/>
                <w:kern w:val="0"/>
                <w:sz w:val="24"/>
                <w:highlight w:val="none"/>
                <w:u w:val="none"/>
              </w:rPr>
              <w:t>主要产品</w:t>
            </w:r>
          </w:p>
          <w:p w14:paraId="44F630D6">
            <w:pPr>
              <w:spacing w:line="360" w:lineRule="auto"/>
              <w:ind w:firstLine="480"/>
              <w:rPr>
                <w:color w:val="auto"/>
                <w:sz w:val="24"/>
                <w:szCs w:val="24"/>
                <w:highlight w:val="none"/>
                <w:u w:val="none"/>
              </w:rPr>
            </w:pPr>
            <w:r>
              <w:rPr>
                <w:rFonts w:hint="eastAsia" w:cs="Times New Roman"/>
                <w:color w:val="auto"/>
                <w:sz w:val="24"/>
                <w:highlight w:val="none"/>
                <w:lang w:val="en-US" w:eastAsia="zh-CN"/>
              </w:rPr>
              <w:t>项目产品规格及产量见表2-2</w:t>
            </w:r>
            <w:r>
              <w:rPr>
                <w:rFonts w:hAnsi="宋体"/>
                <w:color w:val="auto"/>
                <w:sz w:val="24"/>
                <w:szCs w:val="24"/>
                <w:highlight w:val="none"/>
                <w:u w:val="none"/>
              </w:rPr>
              <w:t>。</w:t>
            </w:r>
          </w:p>
          <w:p w14:paraId="7CD612B2">
            <w:pPr>
              <w:spacing w:line="360" w:lineRule="auto"/>
              <w:jc w:val="center"/>
              <w:rPr>
                <w:b/>
                <w:color w:val="auto"/>
                <w:highlight w:val="none"/>
                <w:u w:val="none"/>
              </w:rPr>
            </w:pPr>
            <w:r>
              <w:rPr>
                <w:rFonts w:hAnsi="宋体"/>
                <w:b/>
                <w:color w:val="auto"/>
                <w:highlight w:val="none"/>
                <w:u w:val="none"/>
              </w:rPr>
              <w:t>表</w:t>
            </w:r>
            <w:r>
              <w:rPr>
                <w:rFonts w:hint="eastAsia" w:hAnsi="宋体"/>
                <w:b/>
                <w:color w:val="auto"/>
                <w:highlight w:val="none"/>
                <w:u w:val="none"/>
              </w:rPr>
              <w:t>2-</w:t>
            </w:r>
            <w:r>
              <w:rPr>
                <w:b/>
                <w:color w:val="auto"/>
                <w:highlight w:val="none"/>
                <w:u w:val="none"/>
              </w:rPr>
              <w:t xml:space="preserve">2  </w:t>
            </w:r>
            <w:r>
              <w:rPr>
                <w:rFonts w:hAnsi="宋体"/>
                <w:b/>
                <w:color w:val="auto"/>
                <w:highlight w:val="none"/>
                <w:u w:val="none"/>
              </w:rPr>
              <w:t>产品方案及规模一览表</w:t>
            </w:r>
          </w:p>
          <w:tbl>
            <w:tblPr>
              <w:tblStyle w:val="36"/>
              <w:tblW w:w="778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720"/>
              <w:gridCol w:w="961"/>
              <w:gridCol w:w="1089"/>
              <w:gridCol w:w="1120"/>
              <w:gridCol w:w="2166"/>
              <w:gridCol w:w="1281"/>
            </w:tblGrid>
            <w:tr w14:paraId="726A3B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49" w:type="dxa"/>
                  <w:tcBorders>
                    <w:tl2br w:val="nil"/>
                    <w:tr2bl w:val="nil"/>
                  </w:tcBorders>
                  <w:vAlign w:val="center"/>
                </w:tcPr>
                <w:p w14:paraId="5ACA0C21">
                  <w:pPr>
                    <w:jc w:val="center"/>
                    <w:rPr>
                      <w:b/>
                      <w:color w:val="auto"/>
                      <w:spacing w:val="2"/>
                      <w:highlight w:val="none"/>
                      <w:u w:val="none"/>
                    </w:rPr>
                  </w:pPr>
                  <w:r>
                    <w:rPr>
                      <w:rFonts w:hint="eastAsia"/>
                      <w:b/>
                      <w:color w:val="auto"/>
                      <w:spacing w:val="2"/>
                      <w:highlight w:val="none"/>
                      <w:u w:val="none"/>
                    </w:rPr>
                    <w:t>序号</w:t>
                  </w:r>
                </w:p>
              </w:tc>
              <w:tc>
                <w:tcPr>
                  <w:tcW w:w="720" w:type="dxa"/>
                  <w:tcBorders>
                    <w:tl2br w:val="nil"/>
                    <w:tr2bl w:val="nil"/>
                  </w:tcBorders>
                  <w:vAlign w:val="center"/>
                </w:tcPr>
                <w:p w14:paraId="5F6927FF">
                  <w:pPr>
                    <w:jc w:val="center"/>
                    <w:rPr>
                      <w:b/>
                      <w:color w:val="auto"/>
                      <w:spacing w:val="2"/>
                      <w:highlight w:val="none"/>
                      <w:u w:val="none"/>
                    </w:rPr>
                  </w:pPr>
                  <w:r>
                    <w:rPr>
                      <w:rFonts w:hint="eastAsia"/>
                      <w:b/>
                      <w:color w:val="auto"/>
                      <w:highlight w:val="none"/>
                      <w:u w:val="none"/>
                    </w:rPr>
                    <w:t>产品名称</w:t>
                  </w:r>
                </w:p>
              </w:tc>
              <w:tc>
                <w:tcPr>
                  <w:tcW w:w="961" w:type="dxa"/>
                  <w:tcBorders>
                    <w:tl2br w:val="nil"/>
                    <w:tr2bl w:val="nil"/>
                  </w:tcBorders>
                  <w:vAlign w:val="center"/>
                </w:tcPr>
                <w:p w14:paraId="7597EDF4">
                  <w:pPr>
                    <w:jc w:val="center"/>
                    <w:rPr>
                      <w:b/>
                      <w:color w:val="auto"/>
                      <w:spacing w:val="2"/>
                      <w:highlight w:val="none"/>
                      <w:u w:val="none"/>
                    </w:rPr>
                  </w:pPr>
                  <w:r>
                    <w:rPr>
                      <w:rFonts w:hint="eastAsia"/>
                      <w:b/>
                      <w:color w:val="auto"/>
                      <w:spacing w:val="2"/>
                      <w:highlight w:val="none"/>
                      <w:u w:val="none"/>
                      <w:lang w:val="en-US" w:eastAsia="zh-CN"/>
                    </w:rPr>
                    <w:t>原环评</w:t>
                  </w:r>
                  <w:r>
                    <w:rPr>
                      <w:rFonts w:hint="eastAsia"/>
                      <w:b/>
                      <w:color w:val="auto"/>
                      <w:spacing w:val="2"/>
                      <w:highlight w:val="none"/>
                      <w:u w:val="none"/>
                    </w:rPr>
                    <w:t>年产量</w:t>
                  </w:r>
                </w:p>
              </w:tc>
              <w:tc>
                <w:tcPr>
                  <w:tcW w:w="1089" w:type="dxa"/>
                  <w:tcBorders>
                    <w:tl2br w:val="nil"/>
                    <w:tr2bl w:val="nil"/>
                  </w:tcBorders>
                  <w:vAlign w:val="center"/>
                </w:tcPr>
                <w:p w14:paraId="4B0123C3">
                  <w:pPr>
                    <w:jc w:val="center"/>
                    <w:rPr>
                      <w:rFonts w:hint="default"/>
                      <w:b/>
                      <w:color w:val="auto"/>
                      <w:highlight w:val="none"/>
                      <w:u w:val="none"/>
                      <w:lang w:val="en-US" w:eastAsia="zh-CN"/>
                    </w:rPr>
                  </w:pPr>
                  <w:r>
                    <w:rPr>
                      <w:rFonts w:hint="eastAsia"/>
                      <w:b/>
                      <w:color w:val="auto"/>
                      <w:highlight w:val="none"/>
                      <w:u w:val="none"/>
                      <w:lang w:val="en-US" w:eastAsia="zh-CN"/>
                    </w:rPr>
                    <w:t>变更后年产量</w:t>
                  </w:r>
                </w:p>
              </w:tc>
              <w:tc>
                <w:tcPr>
                  <w:tcW w:w="1120" w:type="dxa"/>
                  <w:tcBorders>
                    <w:tl2br w:val="nil"/>
                    <w:tr2bl w:val="nil"/>
                  </w:tcBorders>
                  <w:vAlign w:val="center"/>
                </w:tcPr>
                <w:p w14:paraId="79CCE797">
                  <w:pPr>
                    <w:jc w:val="center"/>
                    <w:rPr>
                      <w:rFonts w:hint="eastAsia" w:eastAsia="宋体"/>
                      <w:b/>
                      <w:color w:val="auto"/>
                      <w:highlight w:val="none"/>
                      <w:u w:val="none"/>
                      <w:lang w:val="en-US" w:eastAsia="zh-CN"/>
                    </w:rPr>
                  </w:pPr>
                  <w:r>
                    <w:rPr>
                      <w:rFonts w:hint="eastAsia"/>
                      <w:b/>
                      <w:color w:val="auto"/>
                      <w:highlight w:val="none"/>
                      <w:u w:val="none"/>
                      <w:lang w:val="en-US" w:eastAsia="zh-CN"/>
                    </w:rPr>
                    <w:t>规格</w:t>
                  </w:r>
                </w:p>
              </w:tc>
              <w:tc>
                <w:tcPr>
                  <w:tcW w:w="2166" w:type="dxa"/>
                  <w:tcBorders>
                    <w:tl2br w:val="nil"/>
                    <w:tr2bl w:val="nil"/>
                  </w:tcBorders>
                  <w:vAlign w:val="center"/>
                </w:tcPr>
                <w:p w14:paraId="73C7318E">
                  <w:pPr>
                    <w:jc w:val="center"/>
                    <w:rPr>
                      <w:rFonts w:hint="default" w:eastAsia="宋体"/>
                      <w:b/>
                      <w:color w:val="auto"/>
                      <w:highlight w:val="none"/>
                      <w:u w:val="none"/>
                      <w:lang w:val="en-US" w:eastAsia="zh-CN"/>
                    </w:rPr>
                  </w:pPr>
                  <w:r>
                    <w:rPr>
                      <w:rFonts w:hint="eastAsia"/>
                      <w:b/>
                      <w:color w:val="auto"/>
                      <w:highlight w:val="none"/>
                      <w:u w:val="none"/>
                      <w:lang w:val="en-US" w:eastAsia="zh-CN"/>
                    </w:rPr>
                    <w:t>产品照片</w:t>
                  </w:r>
                </w:p>
              </w:tc>
              <w:tc>
                <w:tcPr>
                  <w:tcW w:w="1281" w:type="dxa"/>
                  <w:tcBorders>
                    <w:tl2br w:val="nil"/>
                    <w:tr2bl w:val="nil"/>
                  </w:tcBorders>
                  <w:vAlign w:val="center"/>
                </w:tcPr>
                <w:p w14:paraId="6ABB0448">
                  <w:pPr>
                    <w:jc w:val="center"/>
                    <w:rPr>
                      <w:b/>
                      <w:color w:val="auto"/>
                      <w:spacing w:val="2"/>
                      <w:highlight w:val="none"/>
                      <w:u w:val="none"/>
                    </w:rPr>
                  </w:pPr>
                  <w:r>
                    <w:rPr>
                      <w:rFonts w:hint="eastAsia"/>
                      <w:b/>
                      <w:color w:val="auto"/>
                      <w:highlight w:val="none"/>
                      <w:u w:val="none"/>
                    </w:rPr>
                    <w:t>备注</w:t>
                  </w:r>
                </w:p>
              </w:tc>
            </w:tr>
            <w:tr w14:paraId="6A6F1B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449" w:type="dxa"/>
                  <w:tcBorders>
                    <w:tl2br w:val="nil"/>
                    <w:tr2bl w:val="nil"/>
                  </w:tcBorders>
                  <w:vAlign w:val="center"/>
                </w:tcPr>
                <w:p w14:paraId="77D845F6">
                  <w:pPr>
                    <w:jc w:val="center"/>
                    <w:rPr>
                      <w:bCs/>
                      <w:color w:val="auto"/>
                      <w:spacing w:val="2"/>
                      <w:highlight w:val="none"/>
                      <w:u w:val="none"/>
                    </w:rPr>
                  </w:pPr>
                  <w:r>
                    <w:rPr>
                      <w:rFonts w:hint="eastAsia"/>
                      <w:bCs/>
                      <w:color w:val="auto"/>
                      <w:spacing w:val="2"/>
                      <w:highlight w:val="none"/>
                      <w:u w:val="none"/>
                    </w:rPr>
                    <w:t>1</w:t>
                  </w:r>
                </w:p>
              </w:tc>
              <w:tc>
                <w:tcPr>
                  <w:tcW w:w="720" w:type="dxa"/>
                  <w:tcBorders>
                    <w:tl2br w:val="nil"/>
                    <w:tr2bl w:val="nil"/>
                  </w:tcBorders>
                  <w:vAlign w:val="center"/>
                </w:tcPr>
                <w:p w14:paraId="2F47B70D">
                  <w:pPr>
                    <w:spacing w:line="40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电子接插件</w:t>
                  </w:r>
                </w:p>
              </w:tc>
              <w:tc>
                <w:tcPr>
                  <w:tcW w:w="961" w:type="dxa"/>
                  <w:tcBorders>
                    <w:tl2br w:val="nil"/>
                    <w:tr2bl w:val="nil"/>
                  </w:tcBorders>
                  <w:vAlign w:val="center"/>
                </w:tcPr>
                <w:p w14:paraId="6B56CE73">
                  <w:pPr>
                    <w:spacing w:line="40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4500万只</w:t>
                  </w:r>
                </w:p>
              </w:tc>
              <w:tc>
                <w:tcPr>
                  <w:tcW w:w="1089" w:type="dxa"/>
                  <w:tcBorders>
                    <w:tl2br w:val="nil"/>
                    <w:tr2bl w:val="nil"/>
                  </w:tcBorders>
                  <w:shd w:val="clear" w:color="auto" w:fill="auto"/>
                  <w:vAlign w:val="center"/>
                </w:tcPr>
                <w:p w14:paraId="21EEA2DE">
                  <w:pPr>
                    <w:spacing w:line="400" w:lineRule="exac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Cs w:val="21"/>
                      <w:highlight w:val="none"/>
                    </w:rPr>
                    <w:t>4500万只</w:t>
                  </w:r>
                </w:p>
              </w:tc>
              <w:tc>
                <w:tcPr>
                  <w:tcW w:w="1120" w:type="dxa"/>
                  <w:vMerge w:val="restart"/>
                  <w:tcBorders>
                    <w:tl2br w:val="nil"/>
                    <w:tr2bl w:val="nil"/>
                  </w:tcBorders>
                  <w:vAlign w:val="center"/>
                </w:tcPr>
                <w:p w14:paraId="1139AD99">
                  <w:pPr>
                    <w:jc w:val="center"/>
                    <w:rPr>
                      <w:rFonts w:hint="eastAsia"/>
                      <w:bCs/>
                      <w:color w:val="auto"/>
                      <w:spacing w:val="2"/>
                      <w:highlight w:val="none"/>
                      <w:u w:val="none"/>
                      <w:lang w:val="en-US" w:eastAsia="zh-CN"/>
                    </w:rPr>
                  </w:pPr>
                  <w:r>
                    <w:rPr>
                      <w:rFonts w:hint="eastAsia"/>
                      <w:bCs/>
                      <w:color w:val="auto"/>
                      <w:spacing w:val="2"/>
                      <w:highlight w:val="none"/>
                      <w:u w:val="none"/>
                      <w:lang w:val="en-US" w:eastAsia="zh-CN"/>
                    </w:rPr>
                    <w:t xml:space="preserve">RJ45 180度 1X1 </w:t>
                  </w:r>
                </w:p>
                <w:p w14:paraId="5EE218B8">
                  <w:pPr>
                    <w:jc w:val="center"/>
                    <w:rPr>
                      <w:rFonts w:hint="eastAsia"/>
                      <w:bCs/>
                      <w:color w:val="auto"/>
                      <w:spacing w:val="2"/>
                      <w:highlight w:val="none"/>
                      <w:u w:val="none"/>
                      <w:lang w:val="en-US" w:eastAsia="zh-CN"/>
                    </w:rPr>
                  </w:pPr>
                  <w:r>
                    <w:rPr>
                      <w:rFonts w:hint="eastAsia"/>
                      <w:bCs/>
                      <w:color w:val="auto"/>
                      <w:spacing w:val="2"/>
                      <w:highlight w:val="none"/>
                      <w:u w:val="none"/>
                      <w:lang w:val="en-US" w:eastAsia="zh-CN"/>
                    </w:rPr>
                    <w:t>SMT 16.85高 24pin</w:t>
                  </w:r>
                </w:p>
              </w:tc>
              <w:tc>
                <w:tcPr>
                  <w:tcW w:w="2166" w:type="dxa"/>
                  <w:tcBorders>
                    <w:tl2br w:val="nil"/>
                    <w:tr2bl w:val="nil"/>
                  </w:tcBorders>
                  <w:vAlign w:val="center"/>
                </w:tcPr>
                <w:p w14:paraId="7774207C">
                  <w:pPr>
                    <w:jc w:val="center"/>
                    <w:rPr>
                      <w:rFonts w:hint="eastAsia"/>
                      <w:bCs/>
                      <w:color w:val="auto"/>
                      <w:spacing w:val="2"/>
                      <w:highlight w:val="none"/>
                      <w:u w:val="none"/>
                      <w:lang w:val="en-US" w:eastAsia="zh-CN"/>
                    </w:rPr>
                  </w:pPr>
                  <w:r>
                    <w:rPr>
                      <w:rFonts w:hint="eastAsia"/>
                      <w:bCs/>
                      <w:color w:val="auto"/>
                      <w:spacing w:val="2"/>
                      <w:highlight w:val="none"/>
                      <w:u w:val="none"/>
                      <w:lang w:val="en-US" w:eastAsia="zh-CN"/>
                    </w:rPr>
                    <w:drawing>
                      <wp:inline distT="0" distB="0" distL="114300" distR="114300">
                        <wp:extent cx="1073785" cy="1110615"/>
                        <wp:effectExtent l="0" t="0" r="12065" b="13335"/>
                        <wp:docPr id="18" name="图片 18" descr="8149c0d540e324cd24ccbafe81083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8149c0d540e324cd24ccbafe81083a0"/>
                                <pic:cNvPicPr>
                                  <a:picLocks noChangeAspect="1"/>
                                </pic:cNvPicPr>
                              </pic:nvPicPr>
                              <pic:blipFill>
                                <a:blip r:embed="rId7"/>
                                <a:stretch>
                                  <a:fillRect/>
                                </a:stretch>
                              </pic:blipFill>
                              <pic:spPr>
                                <a:xfrm>
                                  <a:off x="0" y="0"/>
                                  <a:ext cx="1073785" cy="1110615"/>
                                </a:xfrm>
                                <a:prstGeom prst="rect">
                                  <a:avLst/>
                                </a:prstGeom>
                              </pic:spPr>
                            </pic:pic>
                          </a:graphicData>
                        </a:graphic>
                      </wp:inline>
                    </w:drawing>
                  </w:r>
                </w:p>
              </w:tc>
              <w:tc>
                <w:tcPr>
                  <w:tcW w:w="1281" w:type="dxa"/>
                  <w:tcBorders>
                    <w:tl2br w:val="nil"/>
                    <w:tr2bl w:val="nil"/>
                  </w:tcBorders>
                  <w:vAlign w:val="center"/>
                </w:tcPr>
                <w:p w14:paraId="313D81B2">
                  <w:pPr>
                    <w:jc w:val="center"/>
                    <w:rPr>
                      <w:rFonts w:hint="eastAsia" w:eastAsia="宋体"/>
                      <w:bCs/>
                      <w:color w:val="auto"/>
                      <w:spacing w:val="2"/>
                      <w:highlight w:val="none"/>
                      <w:u w:val="none"/>
                      <w:lang w:eastAsia="zh-CN"/>
                    </w:rPr>
                  </w:pPr>
                  <w:r>
                    <w:rPr>
                      <w:rFonts w:hint="eastAsia"/>
                      <w:bCs/>
                      <w:color w:val="auto"/>
                      <w:spacing w:val="2"/>
                      <w:highlight w:val="none"/>
                      <w:u w:val="none"/>
                      <w:lang w:val="en-US" w:eastAsia="zh-CN"/>
                    </w:rPr>
                    <w:t>/</w:t>
                  </w:r>
                </w:p>
              </w:tc>
            </w:tr>
            <w:tr w14:paraId="659DF1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449" w:type="dxa"/>
                  <w:tcBorders>
                    <w:tl2br w:val="nil"/>
                    <w:tr2bl w:val="nil"/>
                  </w:tcBorders>
                  <w:vAlign w:val="center"/>
                </w:tcPr>
                <w:p w14:paraId="2C8A81EA">
                  <w:pPr>
                    <w:jc w:val="center"/>
                    <w:rPr>
                      <w:bCs/>
                      <w:color w:val="auto"/>
                      <w:spacing w:val="2"/>
                      <w:highlight w:val="none"/>
                      <w:u w:val="none"/>
                    </w:rPr>
                  </w:pPr>
                  <w:r>
                    <w:rPr>
                      <w:rFonts w:hint="eastAsia"/>
                      <w:bCs/>
                      <w:color w:val="auto"/>
                      <w:spacing w:val="2"/>
                      <w:highlight w:val="none"/>
                      <w:u w:val="none"/>
                    </w:rPr>
                    <w:t>2</w:t>
                  </w:r>
                </w:p>
              </w:tc>
              <w:tc>
                <w:tcPr>
                  <w:tcW w:w="720" w:type="dxa"/>
                  <w:tcBorders>
                    <w:tl2br w:val="nil"/>
                    <w:tr2bl w:val="nil"/>
                  </w:tcBorders>
                  <w:vAlign w:val="center"/>
                </w:tcPr>
                <w:p w14:paraId="3992C275">
                  <w:pPr>
                    <w:spacing w:line="40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胶壳</w:t>
                  </w:r>
                </w:p>
              </w:tc>
              <w:tc>
                <w:tcPr>
                  <w:tcW w:w="961" w:type="dxa"/>
                  <w:tcBorders>
                    <w:tl2br w:val="nil"/>
                    <w:tr2bl w:val="nil"/>
                  </w:tcBorders>
                  <w:vAlign w:val="center"/>
                </w:tcPr>
                <w:p w14:paraId="749CF313">
                  <w:pPr>
                    <w:spacing w:line="400" w:lineRule="exact"/>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85</w:t>
                  </w:r>
                  <w:r>
                    <w:rPr>
                      <w:rFonts w:hint="eastAsia" w:ascii="Times New Roman" w:hAnsi="Times New Roman" w:eastAsia="宋体" w:cs="Times New Roman"/>
                      <w:szCs w:val="21"/>
                      <w:highlight w:val="none"/>
                    </w:rPr>
                    <w:t>00万只</w:t>
                  </w:r>
                </w:p>
              </w:tc>
              <w:tc>
                <w:tcPr>
                  <w:tcW w:w="1089" w:type="dxa"/>
                  <w:tcBorders>
                    <w:tl2br w:val="nil"/>
                    <w:tr2bl w:val="nil"/>
                  </w:tcBorders>
                  <w:shd w:val="clear" w:color="auto" w:fill="auto"/>
                  <w:vAlign w:val="center"/>
                </w:tcPr>
                <w:p w14:paraId="505B645D">
                  <w:pPr>
                    <w:spacing w:line="400" w:lineRule="exac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Cs w:val="21"/>
                      <w:highlight w:val="none"/>
                      <w:lang w:val="en-US" w:eastAsia="zh-CN"/>
                    </w:rPr>
                    <w:t>85</w:t>
                  </w:r>
                  <w:r>
                    <w:rPr>
                      <w:rFonts w:hint="eastAsia" w:ascii="Times New Roman" w:hAnsi="Times New Roman" w:eastAsia="宋体" w:cs="Times New Roman"/>
                      <w:szCs w:val="21"/>
                      <w:highlight w:val="none"/>
                    </w:rPr>
                    <w:t>00万只</w:t>
                  </w:r>
                </w:p>
              </w:tc>
              <w:tc>
                <w:tcPr>
                  <w:tcW w:w="1120" w:type="dxa"/>
                  <w:vMerge w:val="continue"/>
                  <w:tcBorders>
                    <w:tl2br w:val="nil"/>
                    <w:tr2bl w:val="nil"/>
                  </w:tcBorders>
                  <w:vAlign w:val="center"/>
                </w:tcPr>
                <w:p w14:paraId="1EF6B17C">
                  <w:pPr>
                    <w:jc w:val="center"/>
                    <w:rPr>
                      <w:rFonts w:ascii="Times New Roman" w:hAnsi="Times New Roman"/>
                      <w:b w:val="0"/>
                      <w:bCs/>
                      <w:sz w:val="21"/>
                      <w:szCs w:val="21"/>
                      <w:highlight w:val="none"/>
                    </w:rPr>
                  </w:pPr>
                </w:p>
              </w:tc>
              <w:tc>
                <w:tcPr>
                  <w:tcW w:w="2166" w:type="dxa"/>
                  <w:tcBorders>
                    <w:tl2br w:val="nil"/>
                    <w:tr2bl w:val="nil"/>
                  </w:tcBorders>
                  <w:vAlign w:val="center"/>
                </w:tcPr>
                <w:p w14:paraId="35FF07FE">
                  <w:pPr>
                    <w:jc w:val="center"/>
                    <w:rPr>
                      <w:rFonts w:hint="eastAsia" w:ascii="Times New Roman" w:hAnsi="Times New Roman" w:eastAsia="宋体"/>
                      <w:b w:val="0"/>
                      <w:bCs/>
                      <w:sz w:val="21"/>
                      <w:szCs w:val="21"/>
                      <w:highlight w:val="none"/>
                      <w:lang w:eastAsia="zh-CN"/>
                    </w:rPr>
                  </w:pPr>
                  <w:r>
                    <w:rPr>
                      <w:rFonts w:hint="eastAsia" w:ascii="Times New Roman" w:hAnsi="Times New Roman" w:eastAsia="宋体"/>
                      <w:b w:val="0"/>
                      <w:bCs/>
                      <w:sz w:val="21"/>
                      <w:szCs w:val="21"/>
                      <w:highlight w:val="none"/>
                      <w:lang w:eastAsia="zh-CN"/>
                    </w:rPr>
                    <w:drawing>
                      <wp:inline distT="0" distB="0" distL="114300" distR="114300">
                        <wp:extent cx="1224915" cy="1245235"/>
                        <wp:effectExtent l="0" t="0" r="13335" b="12065"/>
                        <wp:docPr id="21" name="图片 21" descr="852be3b57a1724c9bec739a74a7b2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852be3b57a1724c9bec739a74a7b23b"/>
                                <pic:cNvPicPr>
                                  <a:picLocks noChangeAspect="1"/>
                                </pic:cNvPicPr>
                              </pic:nvPicPr>
                              <pic:blipFill>
                                <a:blip r:embed="rId8"/>
                                <a:stretch>
                                  <a:fillRect/>
                                </a:stretch>
                              </pic:blipFill>
                              <pic:spPr>
                                <a:xfrm>
                                  <a:off x="0" y="0"/>
                                  <a:ext cx="1224915" cy="1245235"/>
                                </a:xfrm>
                                <a:prstGeom prst="rect">
                                  <a:avLst/>
                                </a:prstGeom>
                              </pic:spPr>
                            </pic:pic>
                          </a:graphicData>
                        </a:graphic>
                      </wp:inline>
                    </w:drawing>
                  </w:r>
                </w:p>
              </w:tc>
              <w:tc>
                <w:tcPr>
                  <w:tcW w:w="1281" w:type="dxa"/>
                  <w:tcBorders>
                    <w:tl2br w:val="nil"/>
                    <w:tr2bl w:val="nil"/>
                  </w:tcBorders>
                  <w:vAlign w:val="center"/>
                </w:tcPr>
                <w:p w14:paraId="44135382">
                  <w:pPr>
                    <w:spacing w:line="240" w:lineRule="auto"/>
                    <w:jc w:val="center"/>
                    <w:rPr>
                      <w:bCs/>
                      <w:color w:val="auto"/>
                      <w:spacing w:val="2"/>
                      <w:highlight w:val="none"/>
                      <w:u w:val="none"/>
                    </w:rPr>
                  </w:pPr>
                  <w:r>
                    <w:rPr>
                      <w:rFonts w:hint="eastAsia"/>
                      <w:b w:val="0"/>
                      <w:bCs/>
                      <w:sz w:val="21"/>
                      <w:szCs w:val="21"/>
                      <w:highlight w:val="none"/>
                      <w:lang w:val="en-US" w:eastAsia="zh-CN"/>
                    </w:rPr>
                    <w:t>其中4000万只</w:t>
                  </w:r>
                  <w:r>
                    <w:rPr>
                      <w:rFonts w:hint="eastAsia" w:ascii="Times New Roman" w:hAnsi="Times New Roman"/>
                      <w:b w:val="0"/>
                      <w:bCs/>
                      <w:sz w:val="21"/>
                      <w:szCs w:val="21"/>
                      <w:highlight w:val="none"/>
                    </w:rPr>
                    <w:t>外售</w:t>
                  </w:r>
                  <w:r>
                    <w:rPr>
                      <w:rFonts w:hint="eastAsia"/>
                      <w:b w:val="0"/>
                      <w:bCs/>
                      <w:sz w:val="21"/>
                      <w:szCs w:val="21"/>
                      <w:highlight w:val="none"/>
                      <w:lang w:eastAsia="zh-CN"/>
                    </w:rPr>
                    <w:t>；</w:t>
                  </w:r>
                  <w:r>
                    <w:rPr>
                      <w:rFonts w:hint="eastAsia"/>
                      <w:b w:val="0"/>
                      <w:bCs/>
                      <w:sz w:val="21"/>
                      <w:szCs w:val="21"/>
                      <w:highlight w:val="none"/>
                      <w:lang w:val="en-US" w:eastAsia="zh-CN"/>
                    </w:rPr>
                    <w:t>4500万只</w:t>
                  </w:r>
                  <w:r>
                    <w:rPr>
                      <w:rFonts w:ascii="Times New Roman" w:hAnsi="Times New Roman"/>
                      <w:b w:val="0"/>
                      <w:bCs/>
                      <w:sz w:val="21"/>
                      <w:szCs w:val="21"/>
                      <w:highlight w:val="none"/>
                    </w:rPr>
                    <w:t>自用</w:t>
                  </w:r>
                  <w:r>
                    <w:rPr>
                      <w:rFonts w:hint="eastAsia"/>
                      <w:b w:val="0"/>
                      <w:bCs/>
                      <w:sz w:val="21"/>
                      <w:szCs w:val="21"/>
                      <w:highlight w:val="none"/>
                      <w:lang w:eastAsia="zh-CN"/>
                    </w:rPr>
                    <w:t>，</w:t>
                  </w:r>
                  <w:r>
                    <w:rPr>
                      <w:rFonts w:hint="eastAsia"/>
                      <w:b w:val="0"/>
                      <w:bCs/>
                      <w:sz w:val="21"/>
                      <w:szCs w:val="21"/>
                      <w:highlight w:val="none"/>
                      <w:lang w:val="en-US" w:eastAsia="zh-CN"/>
                    </w:rPr>
                    <w:t>作为电子接插件零部件</w:t>
                  </w:r>
                </w:p>
              </w:tc>
            </w:tr>
            <w:tr w14:paraId="06628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49" w:type="dxa"/>
                  <w:vMerge w:val="restart"/>
                  <w:tcBorders>
                    <w:tl2br w:val="nil"/>
                    <w:tr2bl w:val="nil"/>
                  </w:tcBorders>
                  <w:vAlign w:val="center"/>
                </w:tcPr>
                <w:p w14:paraId="1A52327B">
                  <w:pPr>
                    <w:jc w:val="center"/>
                    <w:rPr>
                      <w:rFonts w:hint="eastAsia" w:eastAsia="宋体"/>
                      <w:bCs/>
                      <w:color w:val="auto"/>
                      <w:spacing w:val="2"/>
                      <w:highlight w:val="none"/>
                      <w:u w:val="none"/>
                      <w:lang w:val="en-US" w:eastAsia="zh-CN"/>
                    </w:rPr>
                  </w:pPr>
                  <w:r>
                    <w:rPr>
                      <w:rFonts w:hint="eastAsia"/>
                      <w:bCs/>
                      <w:color w:val="auto"/>
                      <w:spacing w:val="2"/>
                      <w:highlight w:val="none"/>
                      <w:u w:val="none"/>
                      <w:lang w:val="en-US" w:eastAsia="zh-CN"/>
                    </w:rPr>
                    <w:t>3</w:t>
                  </w:r>
                </w:p>
              </w:tc>
              <w:tc>
                <w:tcPr>
                  <w:tcW w:w="720" w:type="dxa"/>
                  <w:vMerge w:val="restart"/>
                  <w:tcBorders>
                    <w:tl2br w:val="nil"/>
                    <w:tr2bl w:val="nil"/>
                  </w:tcBorders>
                  <w:vAlign w:val="center"/>
                </w:tcPr>
                <w:p w14:paraId="41A8FCDA">
                  <w:pPr>
                    <w:pStyle w:val="88"/>
                    <w:ind w:firstLine="0" w:firstLineChars="0"/>
                    <w:rPr>
                      <w:color w:val="auto"/>
                      <w:kern w:val="0"/>
                      <w:sz w:val="22"/>
                      <w:szCs w:val="22"/>
                      <w:highlight w:val="none"/>
                      <w:u w:val="none"/>
                      <w:lang w:bidi="ar"/>
                    </w:rPr>
                  </w:pPr>
                  <w:r>
                    <w:rPr>
                      <w:rFonts w:hint="eastAsia"/>
                      <w:highlight w:val="none"/>
                      <w:lang w:val="en-US" w:eastAsia="zh-CN"/>
                    </w:rPr>
                    <w:t>光模块</w:t>
                  </w:r>
                </w:p>
              </w:tc>
              <w:tc>
                <w:tcPr>
                  <w:tcW w:w="961" w:type="dxa"/>
                  <w:tcBorders>
                    <w:tl2br w:val="nil"/>
                    <w:tr2bl w:val="nil"/>
                  </w:tcBorders>
                  <w:vAlign w:val="center"/>
                </w:tcPr>
                <w:p w14:paraId="16D319D5">
                  <w:pPr>
                    <w:pStyle w:val="88"/>
                    <w:ind w:firstLine="0" w:firstLineChars="0"/>
                    <w:rPr>
                      <w:rFonts w:hint="eastAsia"/>
                      <w:bCs/>
                      <w:color w:val="auto"/>
                      <w:spacing w:val="2"/>
                      <w:highlight w:val="none"/>
                      <w:u w:val="none"/>
                    </w:rPr>
                  </w:pPr>
                  <w:r>
                    <w:rPr>
                      <w:rFonts w:hint="eastAsia" w:ascii="Times New Roman" w:hAnsi="Times New Roman" w:eastAsia="宋体" w:cs="Times New Roman"/>
                      <w:kern w:val="2"/>
                      <w:sz w:val="21"/>
                      <w:szCs w:val="21"/>
                      <w:highlight w:val="none"/>
                      <w:lang w:val="en-US" w:eastAsia="zh-CN" w:bidi="ar-SA"/>
                    </w:rPr>
                    <w:t>10万个</w:t>
                  </w:r>
                </w:p>
              </w:tc>
              <w:tc>
                <w:tcPr>
                  <w:tcW w:w="1089" w:type="dxa"/>
                  <w:tcBorders>
                    <w:tl2br w:val="nil"/>
                    <w:tr2bl w:val="nil"/>
                  </w:tcBorders>
                  <w:shd w:val="clear" w:color="auto" w:fill="auto"/>
                  <w:vAlign w:val="center"/>
                </w:tcPr>
                <w:p w14:paraId="340E23E8">
                  <w:pPr>
                    <w:pStyle w:val="88"/>
                    <w:ind w:firstLine="0" w:firstLineChars="0"/>
                    <w:rPr>
                      <w:rFonts w:hint="eastAsia" w:ascii="Times New Roman" w:hAnsi="Times New Roman" w:eastAsia="宋体" w:cs="Times New Roman"/>
                      <w:bCs/>
                      <w:color w:val="auto"/>
                      <w:spacing w:val="2"/>
                      <w:kern w:val="2"/>
                      <w:sz w:val="21"/>
                      <w:szCs w:val="21"/>
                      <w:highlight w:val="none"/>
                      <w:u w:val="none"/>
                      <w:lang w:val="en-US" w:eastAsia="zh-CN" w:bidi="ar-SA"/>
                    </w:rPr>
                  </w:pPr>
                  <w:r>
                    <w:rPr>
                      <w:rFonts w:hint="eastAsia" w:ascii="Times New Roman" w:hAnsi="Times New Roman" w:eastAsia="宋体" w:cs="Times New Roman"/>
                      <w:kern w:val="2"/>
                      <w:sz w:val="21"/>
                      <w:szCs w:val="21"/>
                      <w:highlight w:val="none"/>
                      <w:lang w:val="en-US" w:eastAsia="zh-CN" w:bidi="ar-SA"/>
                    </w:rPr>
                    <w:t>10万个</w:t>
                  </w:r>
                </w:p>
              </w:tc>
              <w:tc>
                <w:tcPr>
                  <w:tcW w:w="1120" w:type="dxa"/>
                  <w:vMerge w:val="continue"/>
                  <w:tcBorders>
                    <w:tl2br w:val="nil"/>
                    <w:tr2bl w:val="nil"/>
                  </w:tcBorders>
                  <w:vAlign w:val="center"/>
                </w:tcPr>
                <w:p w14:paraId="0E34297A">
                  <w:pPr>
                    <w:jc w:val="center"/>
                    <w:rPr>
                      <w:rFonts w:hint="eastAsia"/>
                      <w:highlight w:val="none"/>
                      <w:lang w:val="en-US" w:eastAsia="zh-CN"/>
                    </w:rPr>
                  </w:pPr>
                </w:p>
              </w:tc>
              <w:tc>
                <w:tcPr>
                  <w:tcW w:w="2166" w:type="dxa"/>
                  <w:vMerge w:val="restart"/>
                  <w:tcBorders>
                    <w:tl2br w:val="nil"/>
                    <w:tr2bl w:val="nil"/>
                  </w:tcBorders>
                  <w:vAlign w:val="center"/>
                </w:tcPr>
                <w:p w14:paraId="14C395FE">
                  <w:pPr>
                    <w:jc w:val="center"/>
                    <w:rPr>
                      <w:rFonts w:hint="eastAsia"/>
                      <w:highlight w:val="none"/>
                      <w:lang w:val="en-US" w:eastAsia="zh-CN"/>
                    </w:rPr>
                  </w:pPr>
                  <w:r>
                    <w:rPr>
                      <w:rFonts w:hint="eastAsia"/>
                      <w:highlight w:val="none"/>
                      <w:lang w:val="en-US" w:eastAsia="zh-CN"/>
                    </w:rPr>
                    <w:drawing>
                      <wp:inline distT="0" distB="0" distL="114300" distR="114300">
                        <wp:extent cx="1101725" cy="1097280"/>
                        <wp:effectExtent l="0" t="0" r="3175" b="7620"/>
                        <wp:docPr id="19" name="图片 19" descr="9b177206d513041d3c6cb78fa1c57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9b177206d513041d3c6cb78fa1c579d"/>
                                <pic:cNvPicPr>
                                  <a:picLocks noChangeAspect="1"/>
                                </pic:cNvPicPr>
                              </pic:nvPicPr>
                              <pic:blipFill>
                                <a:blip r:embed="rId9"/>
                                <a:stretch>
                                  <a:fillRect/>
                                </a:stretch>
                              </pic:blipFill>
                              <pic:spPr>
                                <a:xfrm>
                                  <a:off x="0" y="0"/>
                                  <a:ext cx="1101725" cy="1097280"/>
                                </a:xfrm>
                                <a:prstGeom prst="rect">
                                  <a:avLst/>
                                </a:prstGeom>
                              </pic:spPr>
                            </pic:pic>
                          </a:graphicData>
                        </a:graphic>
                      </wp:inline>
                    </w:drawing>
                  </w:r>
                </w:p>
              </w:tc>
              <w:tc>
                <w:tcPr>
                  <w:tcW w:w="1281" w:type="dxa"/>
                  <w:tcBorders>
                    <w:tl2br w:val="nil"/>
                    <w:tr2bl w:val="nil"/>
                  </w:tcBorders>
                  <w:vAlign w:val="center"/>
                </w:tcPr>
                <w:p w14:paraId="77C09ED1">
                  <w:pPr>
                    <w:jc w:val="center"/>
                    <w:rPr>
                      <w:bCs/>
                      <w:color w:val="auto"/>
                      <w:spacing w:val="2"/>
                      <w:highlight w:val="none"/>
                      <w:u w:val="none"/>
                    </w:rPr>
                  </w:pPr>
                  <w:r>
                    <w:rPr>
                      <w:rFonts w:hint="eastAsia"/>
                      <w:highlight w:val="none"/>
                      <w:lang w:val="en-US" w:eastAsia="zh-CN"/>
                    </w:rPr>
                    <w:t>SFP系列</w:t>
                  </w:r>
                </w:p>
              </w:tc>
            </w:tr>
            <w:tr w14:paraId="3F21D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49" w:type="dxa"/>
                  <w:vMerge w:val="continue"/>
                  <w:tcBorders>
                    <w:tl2br w:val="nil"/>
                    <w:tr2bl w:val="nil"/>
                  </w:tcBorders>
                  <w:vAlign w:val="center"/>
                </w:tcPr>
                <w:p w14:paraId="2EDAD5B5">
                  <w:pPr>
                    <w:jc w:val="center"/>
                    <w:rPr>
                      <w:rFonts w:hint="eastAsia"/>
                      <w:bCs/>
                      <w:color w:val="auto"/>
                      <w:spacing w:val="2"/>
                      <w:highlight w:val="none"/>
                      <w:u w:val="none"/>
                    </w:rPr>
                  </w:pPr>
                </w:p>
              </w:tc>
              <w:tc>
                <w:tcPr>
                  <w:tcW w:w="720" w:type="dxa"/>
                  <w:vMerge w:val="continue"/>
                  <w:tcBorders>
                    <w:tl2br w:val="nil"/>
                    <w:tr2bl w:val="nil"/>
                  </w:tcBorders>
                  <w:vAlign w:val="center"/>
                </w:tcPr>
                <w:p w14:paraId="26BF07C2">
                  <w:pPr>
                    <w:pStyle w:val="88"/>
                    <w:ind w:firstLine="0" w:firstLineChars="0"/>
                    <w:rPr>
                      <w:color w:val="auto"/>
                      <w:kern w:val="0"/>
                      <w:sz w:val="22"/>
                      <w:szCs w:val="22"/>
                      <w:highlight w:val="none"/>
                      <w:u w:val="none"/>
                      <w:lang w:bidi="ar"/>
                    </w:rPr>
                  </w:pPr>
                </w:p>
              </w:tc>
              <w:tc>
                <w:tcPr>
                  <w:tcW w:w="961" w:type="dxa"/>
                  <w:tcBorders>
                    <w:tl2br w:val="nil"/>
                    <w:tr2bl w:val="nil"/>
                  </w:tcBorders>
                  <w:vAlign w:val="center"/>
                </w:tcPr>
                <w:p w14:paraId="2F1EDB68">
                  <w:pPr>
                    <w:pStyle w:val="88"/>
                    <w:ind w:firstLine="0" w:firstLineChars="0"/>
                    <w:rPr>
                      <w:rFonts w:hint="eastAsia"/>
                      <w:bCs/>
                      <w:color w:val="auto"/>
                      <w:spacing w:val="2"/>
                      <w:highlight w:val="none"/>
                      <w:u w:val="none"/>
                    </w:rPr>
                  </w:pPr>
                  <w:r>
                    <w:rPr>
                      <w:rFonts w:hint="eastAsia"/>
                      <w:highlight w:val="none"/>
                      <w:lang w:val="en-US" w:eastAsia="zh-CN"/>
                    </w:rPr>
                    <w:t>15</w:t>
                  </w:r>
                  <w:r>
                    <w:rPr>
                      <w:rFonts w:hint="eastAsia" w:ascii="Times New Roman" w:hAnsi="Times New Roman" w:eastAsia="宋体" w:cs="Times New Roman"/>
                      <w:kern w:val="2"/>
                      <w:sz w:val="21"/>
                      <w:szCs w:val="21"/>
                      <w:highlight w:val="none"/>
                      <w:lang w:val="en-US" w:eastAsia="zh-CN" w:bidi="ar-SA"/>
                    </w:rPr>
                    <w:t>万个</w:t>
                  </w:r>
                </w:p>
              </w:tc>
              <w:tc>
                <w:tcPr>
                  <w:tcW w:w="1089" w:type="dxa"/>
                  <w:tcBorders>
                    <w:tl2br w:val="nil"/>
                    <w:tr2bl w:val="nil"/>
                  </w:tcBorders>
                  <w:shd w:val="clear" w:color="auto" w:fill="auto"/>
                  <w:vAlign w:val="center"/>
                </w:tcPr>
                <w:p w14:paraId="0638A5D8">
                  <w:pPr>
                    <w:pStyle w:val="88"/>
                    <w:ind w:firstLine="0" w:firstLineChars="0"/>
                    <w:rPr>
                      <w:rFonts w:hint="eastAsia" w:ascii="Times New Roman" w:hAnsi="Times New Roman" w:eastAsia="宋体" w:cs="Times New Roman"/>
                      <w:bCs/>
                      <w:color w:val="auto"/>
                      <w:spacing w:val="2"/>
                      <w:kern w:val="2"/>
                      <w:sz w:val="21"/>
                      <w:szCs w:val="21"/>
                      <w:highlight w:val="none"/>
                      <w:u w:val="none"/>
                      <w:lang w:val="en-US" w:eastAsia="zh-CN" w:bidi="ar-SA"/>
                    </w:rPr>
                  </w:pPr>
                  <w:r>
                    <w:rPr>
                      <w:rFonts w:hint="eastAsia"/>
                      <w:highlight w:val="none"/>
                      <w:lang w:val="en-US" w:eastAsia="zh-CN"/>
                    </w:rPr>
                    <w:t>15</w:t>
                  </w:r>
                  <w:r>
                    <w:rPr>
                      <w:rFonts w:hint="eastAsia" w:ascii="Times New Roman" w:hAnsi="Times New Roman" w:eastAsia="宋体" w:cs="Times New Roman"/>
                      <w:kern w:val="2"/>
                      <w:sz w:val="21"/>
                      <w:szCs w:val="21"/>
                      <w:highlight w:val="none"/>
                      <w:lang w:val="en-US" w:eastAsia="zh-CN" w:bidi="ar-SA"/>
                    </w:rPr>
                    <w:t>万个</w:t>
                  </w:r>
                </w:p>
              </w:tc>
              <w:tc>
                <w:tcPr>
                  <w:tcW w:w="1120" w:type="dxa"/>
                  <w:vMerge w:val="continue"/>
                  <w:tcBorders>
                    <w:tl2br w:val="nil"/>
                    <w:tr2bl w:val="nil"/>
                  </w:tcBorders>
                  <w:vAlign w:val="center"/>
                </w:tcPr>
                <w:p w14:paraId="1C2BECEA">
                  <w:pPr>
                    <w:jc w:val="center"/>
                    <w:rPr>
                      <w:rFonts w:hint="eastAsia"/>
                      <w:highlight w:val="none"/>
                      <w:lang w:val="en-US" w:eastAsia="zh-CN"/>
                    </w:rPr>
                  </w:pPr>
                </w:p>
              </w:tc>
              <w:tc>
                <w:tcPr>
                  <w:tcW w:w="2166" w:type="dxa"/>
                  <w:vMerge w:val="continue"/>
                  <w:tcBorders>
                    <w:tl2br w:val="nil"/>
                    <w:tr2bl w:val="nil"/>
                  </w:tcBorders>
                  <w:vAlign w:val="center"/>
                </w:tcPr>
                <w:p w14:paraId="64A3BB8B">
                  <w:pPr>
                    <w:jc w:val="center"/>
                    <w:rPr>
                      <w:rFonts w:hint="eastAsia"/>
                      <w:highlight w:val="none"/>
                      <w:lang w:val="en-US" w:eastAsia="zh-CN"/>
                    </w:rPr>
                  </w:pPr>
                </w:p>
              </w:tc>
              <w:tc>
                <w:tcPr>
                  <w:tcW w:w="1281" w:type="dxa"/>
                  <w:tcBorders>
                    <w:tl2br w:val="nil"/>
                    <w:tr2bl w:val="nil"/>
                  </w:tcBorders>
                  <w:vAlign w:val="center"/>
                </w:tcPr>
                <w:p w14:paraId="3A601969">
                  <w:pPr>
                    <w:jc w:val="center"/>
                    <w:rPr>
                      <w:bCs/>
                      <w:color w:val="auto"/>
                      <w:spacing w:val="2"/>
                      <w:highlight w:val="none"/>
                      <w:u w:val="none"/>
                    </w:rPr>
                  </w:pPr>
                  <w:r>
                    <w:rPr>
                      <w:rFonts w:hint="eastAsia"/>
                      <w:highlight w:val="none"/>
                      <w:lang w:val="en-US" w:eastAsia="zh-CN"/>
                    </w:rPr>
                    <w:t>SFP+系列</w:t>
                  </w:r>
                </w:p>
              </w:tc>
            </w:tr>
            <w:tr w14:paraId="4D002C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49" w:type="dxa"/>
                  <w:vMerge w:val="continue"/>
                  <w:tcBorders>
                    <w:tl2br w:val="nil"/>
                    <w:tr2bl w:val="nil"/>
                  </w:tcBorders>
                  <w:vAlign w:val="center"/>
                </w:tcPr>
                <w:p w14:paraId="0C22F517">
                  <w:pPr>
                    <w:jc w:val="center"/>
                    <w:rPr>
                      <w:rFonts w:hint="eastAsia"/>
                      <w:bCs/>
                      <w:color w:val="auto"/>
                      <w:spacing w:val="2"/>
                      <w:highlight w:val="none"/>
                      <w:u w:val="none"/>
                    </w:rPr>
                  </w:pPr>
                </w:p>
              </w:tc>
              <w:tc>
                <w:tcPr>
                  <w:tcW w:w="720" w:type="dxa"/>
                  <w:vMerge w:val="continue"/>
                  <w:tcBorders>
                    <w:tl2br w:val="nil"/>
                    <w:tr2bl w:val="nil"/>
                  </w:tcBorders>
                  <w:vAlign w:val="center"/>
                </w:tcPr>
                <w:p w14:paraId="673C34CE">
                  <w:pPr>
                    <w:pStyle w:val="88"/>
                    <w:ind w:firstLine="0" w:firstLineChars="0"/>
                    <w:rPr>
                      <w:color w:val="auto"/>
                      <w:kern w:val="0"/>
                      <w:sz w:val="22"/>
                      <w:szCs w:val="22"/>
                      <w:highlight w:val="none"/>
                      <w:u w:val="none"/>
                      <w:lang w:bidi="ar"/>
                    </w:rPr>
                  </w:pPr>
                </w:p>
              </w:tc>
              <w:tc>
                <w:tcPr>
                  <w:tcW w:w="961" w:type="dxa"/>
                  <w:tcBorders>
                    <w:tl2br w:val="nil"/>
                    <w:tr2bl w:val="nil"/>
                  </w:tcBorders>
                  <w:vAlign w:val="center"/>
                </w:tcPr>
                <w:p w14:paraId="3B685D58">
                  <w:pPr>
                    <w:pStyle w:val="88"/>
                    <w:ind w:firstLine="0" w:firstLineChars="0"/>
                    <w:rPr>
                      <w:rFonts w:hint="eastAsia"/>
                      <w:bCs/>
                      <w:color w:val="auto"/>
                      <w:spacing w:val="2"/>
                      <w:highlight w:val="none"/>
                      <w:u w:val="none"/>
                    </w:rPr>
                  </w:pPr>
                  <w:r>
                    <w:rPr>
                      <w:rFonts w:hint="eastAsia"/>
                      <w:highlight w:val="none"/>
                      <w:lang w:val="en-US" w:eastAsia="zh-CN"/>
                    </w:rPr>
                    <w:t>5</w:t>
                  </w:r>
                  <w:r>
                    <w:rPr>
                      <w:rFonts w:hint="eastAsia" w:ascii="Times New Roman" w:hAnsi="Times New Roman" w:eastAsia="宋体" w:cs="Times New Roman"/>
                      <w:kern w:val="2"/>
                      <w:sz w:val="21"/>
                      <w:szCs w:val="21"/>
                      <w:highlight w:val="none"/>
                      <w:lang w:val="en-US" w:eastAsia="zh-CN" w:bidi="ar-SA"/>
                    </w:rPr>
                    <w:t>万个</w:t>
                  </w:r>
                </w:p>
              </w:tc>
              <w:tc>
                <w:tcPr>
                  <w:tcW w:w="1089" w:type="dxa"/>
                  <w:tcBorders>
                    <w:tl2br w:val="nil"/>
                    <w:tr2bl w:val="nil"/>
                  </w:tcBorders>
                  <w:shd w:val="clear" w:color="auto" w:fill="auto"/>
                  <w:vAlign w:val="center"/>
                </w:tcPr>
                <w:p w14:paraId="0CB3E60E">
                  <w:pPr>
                    <w:pStyle w:val="88"/>
                    <w:ind w:firstLine="0" w:firstLineChars="0"/>
                    <w:rPr>
                      <w:rFonts w:hint="eastAsia" w:ascii="Times New Roman" w:hAnsi="Times New Roman" w:eastAsia="宋体" w:cs="Times New Roman"/>
                      <w:bCs/>
                      <w:color w:val="auto"/>
                      <w:spacing w:val="2"/>
                      <w:kern w:val="2"/>
                      <w:sz w:val="21"/>
                      <w:szCs w:val="21"/>
                      <w:highlight w:val="none"/>
                      <w:u w:val="none"/>
                      <w:lang w:val="en-US" w:eastAsia="zh-CN" w:bidi="ar-SA"/>
                    </w:rPr>
                  </w:pPr>
                  <w:r>
                    <w:rPr>
                      <w:rFonts w:hint="eastAsia"/>
                      <w:highlight w:val="none"/>
                      <w:lang w:val="en-US" w:eastAsia="zh-CN"/>
                    </w:rPr>
                    <w:t>5</w:t>
                  </w:r>
                  <w:r>
                    <w:rPr>
                      <w:rFonts w:hint="eastAsia" w:ascii="Times New Roman" w:hAnsi="Times New Roman" w:eastAsia="宋体" w:cs="Times New Roman"/>
                      <w:kern w:val="2"/>
                      <w:sz w:val="21"/>
                      <w:szCs w:val="21"/>
                      <w:highlight w:val="none"/>
                      <w:lang w:val="en-US" w:eastAsia="zh-CN" w:bidi="ar-SA"/>
                    </w:rPr>
                    <w:t>万个</w:t>
                  </w:r>
                </w:p>
              </w:tc>
              <w:tc>
                <w:tcPr>
                  <w:tcW w:w="1120" w:type="dxa"/>
                  <w:vMerge w:val="continue"/>
                  <w:tcBorders>
                    <w:tl2br w:val="nil"/>
                    <w:tr2bl w:val="nil"/>
                  </w:tcBorders>
                  <w:vAlign w:val="center"/>
                </w:tcPr>
                <w:p w14:paraId="7144E7B5">
                  <w:pPr>
                    <w:jc w:val="center"/>
                    <w:rPr>
                      <w:rFonts w:hint="eastAsia"/>
                      <w:highlight w:val="none"/>
                      <w:lang w:val="en-US" w:eastAsia="zh-CN"/>
                    </w:rPr>
                  </w:pPr>
                </w:p>
              </w:tc>
              <w:tc>
                <w:tcPr>
                  <w:tcW w:w="2166" w:type="dxa"/>
                  <w:vMerge w:val="continue"/>
                  <w:tcBorders>
                    <w:tl2br w:val="nil"/>
                    <w:tr2bl w:val="nil"/>
                  </w:tcBorders>
                  <w:vAlign w:val="center"/>
                </w:tcPr>
                <w:p w14:paraId="38344FAC">
                  <w:pPr>
                    <w:jc w:val="center"/>
                    <w:rPr>
                      <w:rFonts w:hint="eastAsia"/>
                      <w:highlight w:val="none"/>
                      <w:lang w:val="en-US" w:eastAsia="zh-CN"/>
                    </w:rPr>
                  </w:pPr>
                </w:p>
              </w:tc>
              <w:tc>
                <w:tcPr>
                  <w:tcW w:w="1281" w:type="dxa"/>
                  <w:tcBorders>
                    <w:tl2br w:val="nil"/>
                    <w:tr2bl w:val="nil"/>
                  </w:tcBorders>
                  <w:vAlign w:val="center"/>
                </w:tcPr>
                <w:p w14:paraId="232FA5C0">
                  <w:pPr>
                    <w:jc w:val="center"/>
                    <w:rPr>
                      <w:bCs/>
                      <w:color w:val="auto"/>
                      <w:spacing w:val="2"/>
                      <w:highlight w:val="none"/>
                      <w:u w:val="none"/>
                    </w:rPr>
                  </w:pPr>
                  <w:r>
                    <w:rPr>
                      <w:rFonts w:hint="eastAsia"/>
                      <w:highlight w:val="none"/>
                      <w:lang w:val="en-US" w:eastAsia="zh-CN"/>
                    </w:rPr>
                    <w:t>QSFP系列</w:t>
                  </w:r>
                </w:p>
              </w:tc>
            </w:tr>
            <w:tr w14:paraId="3CA27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49" w:type="dxa"/>
                  <w:vMerge w:val="continue"/>
                  <w:tcBorders>
                    <w:tl2br w:val="nil"/>
                    <w:tr2bl w:val="nil"/>
                  </w:tcBorders>
                  <w:vAlign w:val="center"/>
                </w:tcPr>
                <w:p w14:paraId="221E50B6">
                  <w:pPr>
                    <w:jc w:val="center"/>
                    <w:rPr>
                      <w:rFonts w:hint="eastAsia"/>
                      <w:bCs/>
                      <w:color w:val="auto"/>
                      <w:spacing w:val="2"/>
                      <w:highlight w:val="none"/>
                      <w:u w:val="none"/>
                    </w:rPr>
                  </w:pPr>
                </w:p>
              </w:tc>
              <w:tc>
                <w:tcPr>
                  <w:tcW w:w="720" w:type="dxa"/>
                  <w:vMerge w:val="continue"/>
                  <w:tcBorders>
                    <w:tl2br w:val="nil"/>
                    <w:tr2bl w:val="nil"/>
                  </w:tcBorders>
                  <w:vAlign w:val="center"/>
                </w:tcPr>
                <w:p w14:paraId="01829C0E">
                  <w:pPr>
                    <w:pStyle w:val="88"/>
                    <w:ind w:firstLine="0" w:firstLineChars="0"/>
                    <w:rPr>
                      <w:color w:val="auto"/>
                      <w:kern w:val="0"/>
                      <w:sz w:val="22"/>
                      <w:szCs w:val="22"/>
                      <w:highlight w:val="none"/>
                      <w:u w:val="none"/>
                      <w:lang w:bidi="ar"/>
                    </w:rPr>
                  </w:pPr>
                </w:p>
              </w:tc>
              <w:tc>
                <w:tcPr>
                  <w:tcW w:w="961" w:type="dxa"/>
                  <w:tcBorders>
                    <w:tl2br w:val="nil"/>
                    <w:tr2bl w:val="nil"/>
                  </w:tcBorders>
                  <w:vAlign w:val="center"/>
                </w:tcPr>
                <w:p w14:paraId="260DEA57">
                  <w:pPr>
                    <w:pStyle w:val="88"/>
                    <w:ind w:firstLine="0" w:firstLineChars="0"/>
                    <w:rPr>
                      <w:rFonts w:hint="eastAsia"/>
                      <w:bCs/>
                      <w:color w:val="auto"/>
                      <w:spacing w:val="2"/>
                      <w:highlight w:val="none"/>
                      <w:u w:val="none"/>
                    </w:rPr>
                  </w:pPr>
                  <w:r>
                    <w:rPr>
                      <w:rFonts w:hint="eastAsia"/>
                      <w:highlight w:val="none"/>
                      <w:lang w:val="en-US" w:eastAsia="zh-CN"/>
                    </w:rPr>
                    <w:t>20</w:t>
                  </w:r>
                  <w:r>
                    <w:rPr>
                      <w:rFonts w:hint="eastAsia" w:ascii="Times New Roman" w:hAnsi="Times New Roman" w:eastAsia="宋体" w:cs="Times New Roman"/>
                      <w:kern w:val="2"/>
                      <w:sz w:val="21"/>
                      <w:szCs w:val="21"/>
                      <w:highlight w:val="none"/>
                      <w:lang w:val="en-US" w:eastAsia="zh-CN" w:bidi="ar-SA"/>
                    </w:rPr>
                    <w:t>万个</w:t>
                  </w:r>
                </w:p>
              </w:tc>
              <w:tc>
                <w:tcPr>
                  <w:tcW w:w="1089" w:type="dxa"/>
                  <w:tcBorders>
                    <w:tl2br w:val="nil"/>
                    <w:tr2bl w:val="nil"/>
                  </w:tcBorders>
                  <w:shd w:val="clear" w:color="auto" w:fill="auto"/>
                  <w:vAlign w:val="center"/>
                </w:tcPr>
                <w:p w14:paraId="3694DF4C">
                  <w:pPr>
                    <w:pStyle w:val="88"/>
                    <w:ind w:firstLine="0" w:firstLineChars="0"/>
                    <w:rPr>
                      <w:rFonts w:hint="eastAsia" w:ascii="Times New Roman" w:hAnsi="Times New Roman" w:eastAsia="宋体" w:cs="Times New Roman"/>
                      <w:bCs/>
                      <w:color w:val="auto"/>
                      <w:spacing w:val="2"/>
                      <w:kern w:val="2"/>
                      <w:sz w:val="21"/>
                      <w:szCs w:val="21"/>
                      <w:highlight w:val="none"/>
                      <w:u w:val="none"/>
                      <w:lang w:val="en-US" w:eastAsia="zh-CN" w:bidi="ar-SA"/>
                    </w:rPr>
                  </w:pPr>
                  <w:r>
                    <w:rPr>
                      <w:rFonts w:hint="eastAsia"/>
                      <w:highlight w:val="none"/>
                      <w:lang w:val="en-US" w:eastAsia="zh-CN"/>
                    </w:rPr>
                    <w:t>20</w:t>
                  </w:r>
                  <w:r>
                    <w:rPr>
                      <w:rFonts w:hint="eastAsia" w:ascii="Times New Roman" w:hAnsi="Times New Roman" w:eastAsia="宋体" w:cs="Times New Roman"/>
                      <w:kern w:val="2"/>
                      <w:sz w:val="21"/>
                      <w:szCs w:val="21"/>
                      <w:highlight w:val="none"/>
                      <w:lang w:val="en-US" w:eastAsia="zh-CN" w:bidi="ar-SA"/>
                    </w:rPr>
                    <w:t>万个</w:t>
                  </w:r>
                </w:p>
              </w:tc>
              <w:tc>
                <w:tcPr>
                  <w:tcW w:w="1120" w:type="dxa"/>
                  <w:vMerge w:val="continue"/>
                  <w:tcBorders>
                    <w:tl2br w:val="nil"/>
                    <w:tr2bl w:val="nil"/>
                  </w:tcBorders>
                  <w:vAlign w:val="center"/>
                </w:tcPr>
                <w:p w14:paraId="0D8D9262">
                  <w:pPr>
                    <w:jc w:val="center"/>
                    <w:rPr>
                      <w:rFonts w:hint="eastAsia"/>
                      <w:highlight w:val="none"/>
                      <w:lang w:val="en-US" w:eastAsia="zh-CN"/>
                    </w:rPr>
                  </w:pPr>
                </w:p>
              </w:tc>
              <w:tc>
                <w:tcPr>
                  <w:tcW w:w="2166" w:type="dxa"/>
                  <w:vMerge w:val="continue"/>
                  <w:tcBorders>
                    <w:tl2br w:val="nil"/>
                    <w:tr2bl w:val="nil"/>
                  </w:tcBorders>
                  <w:vAlign w:val="center"/>
                </w:tcPr>
                <w:p w14:paraId="79CAE76F">
                  <w:pPr>
                    <w:jc w:val="center"/>
                    <w:rPr>
                      <w:rFonts w:hint="eastAsia"/>
                      <w:highlight w:val="none"/>
                      <w:lang w:val="en-US" w:eastAsia="zh-CN"/>
                    </w:rPr>
                  </w:pPr>
                </w:p>
              </w:tc>
              <w:tc>
                <w:tcPr>
                  <w:tcW w:w="1281" w:type="dxa"/>
                  <w:tcBorders>
                    <w:tl2br w:val="nil"/>
                    <w:tr2bl w:val="nil"/>
                  </w:tcBorders>
                  <w:vAlign w:val="center"/>
                </w:tcPr>
                <w:p w14:paraId="23B6D105">
                  <w:pPr>
                    <w:jc w:val="center"/>
                    <w:rPr>
                      <w:bCs/>
                      <w:color w:val="auto"/>
                      <w:spacing w:val="2"/>
                      <w:highlight w:val="none"/>
                      <w:u w:val="none"/>
                    </w:rPr>
                  </w:pPr>
                  <w:r>
                    <w:rPr>
                      <w:rFonts w:hint="eastAsia"/>
                      <w:highlight w:val="none"/>
                      <w:lang w:val="en-US" w:eastAsia="zh-CN"/>
                    </w:rPr>
                    <w:t>PON系列</w:t>
                  </w:r>
                </w:p>
              </w:tc>
            </w:tr>
            <w:tr w14:paraId="403C4F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49" w:type="dxa"/>
                  <w:tcBorders>
                    <w:tl2br w:val="nil"/>
                    <w:tr2bl w:val="nil"/>
                  </w:tcBorders>
                  <w:vAlign w:val="center"/>
                </w:tcPr>
                <w:p w14:paraId="657860FE">
                  <w:pPr>
                    <w:jc w:val="center"/>
                    <w:rPr>
                      <w:rFonts w:hint="eastAsia" w:eastAsia="宋体"/>
                      <w:bCs/>
                      <w:color w:val="auto"/>
                      <w:spacing w:val="2"/>
                      <w:highlight w:val="none"/>
                      <w:u w:val="none"/>
                      <w:lang w:val="en-US" w:eastAsia="zh-CN"/>
                    </w:rPr>
                  </w:pPr>
                  <w:r>
                    <w:rPr>
                      <w:rFonts w:hint="eastAsia"/>
                      <w:bCs/>
                      <w:color w:val="auto"/>
                      <w:spacing w:val="2"/>
                      <w:highlight w:val="none"/>
                      <w:u w:val="none"/>
                      <w:lang w:val="en-US" w:eastAsia="zh-CN"/>
                    </w:rPr>
                    <w:t>4</w:t>
                  </w:r>
                </w:p>
              </w:tc>
              <w:tc>
                <w:tcPr>
                  <w:tcW w:w="720" w:type="dxa"/>
                  <w:tcBorders>
                    <w:tl2br w:val="nil"/>
                    <w:tr2bl w:val="nil"/>
                  </w:tcBorders>
                  <w:vAlign w:val="center"/>
                </w:tcPr>
                <w:p w14:paraId="283FAE5F">
                  <w:pPr>
                    <w:pStyle w:val="88"/>
                    <w:ind w:firstLine="0" w:firstLineChars="0"/>
                    <w:rPr>
                      <w:rFonts w:hint="eastAsia" w:eastAsia="宋体"/>
                      <w:color w:val="auto"/>
                      <w:kern w:val="0"/>
                      <w:sz w:val="22"/>
                      <w:szCs w:val="22"/>
                      <w:highlight w:val="none"/>
                      <w:u w:val="none"/>
                      <w:lang w:val="en-US" w:eastAsia="zh-CN" w:bidi="ar"/>
                    </w:rPr>
                  </w:pPr>
                  <w:r>
                    <w:rPr>
                      <w:rFonts w:hint="eastAsia"/>
                      <w:color w:val="auto"/>
                      <w:kern w:val="0"/>
                      <w:sz w:val="22"/>
                      <w:szCs w:val="22"/>
                      <w:highlight w:val="none"/>
                      <w:u w:val="none"/>
                      <w:lang w:val="en-US" w:eastAsia="zh-CN" w:bidi="ar"/>
                    </w:rPr>
                    <w:t>适配器</w:t>
                  </w:r>
                </w:p>
              </w:tc>
              <w:tc>
                <w:tcPr>
                  <w:tcW w:w="961" w:type="dxa"/>
                  <w:tcBorders>
                    <w:tl2br w:val="nil"/>
                    <w:tr2bl w:val="nil"/>
                  </w:tcBorders>
                  <w:vAlign w:val="center"/>
                </w:tcPr>
                <w:p w14:paraId="1E22543A">
                  <w:pPr>
                    <w:pStyle w:val="88"/>
                    <w:ind w:firstLine="0" w:firstLineChars="0"/>
                    <w:rPr>
                      <w:rFonts w:hint="default"/>
                      <w:highlight w:val="none"/>
                      <w:lang w:val="en-US" w:eastAsia="zh-CN"/>
                    </w:rPr>
                  </w:pPr>
                  <w:r>
                    <w:rPr>
                      <w:rFonts w:hint="eastAsia"/>
                      <w:highlight w:val="none"/>
                      <w:lang w:val="en-US" w:eastAsia="zh-CN"/>
                    </w:rPr>
                    <w:t>0</w:t>
                  </w:r>
                </w:p>
              </w:tc>
              <w:tc>
                <w:tcPr>
                  <w:tcW w:w="1089" w:type="dxa"/>
                  <w:tcBorders>
                    <w:tl2br w:val="nil"/>
                    <w:tr2bl w:val="nil"/>
                  </w:tcBorders>
                  <w:shd w:val="clear" w:color="auto" w:fill="auto"/>
                  <w:vAlign w:val="center"/>
                </w:tcPr>
                <w:p w14:paraId="58833756">
                  <w:pPr>
                    <w:pStyle w:val="88"/>
                    <w:ind w:firstLine="0" w:firstLineChars="0"/>
                    <w:rPr>
                      <w:rFonts w:hint="eastAsia" w:ascii="Times New Roman" w:hAnsi="Times New Roman" w:eastAsia="宋体" w:cs="Times New Roman"/>
                      <w:kern w:val="2"/>
                      <w:sz w:val="21"/>
                      <w:szCs w:val="21"/>
                      <w:highlight w:val="none"/>
                      <w:lang w:val="en-US" w:eastAsia="zh-CN" w:bidi="ar-SA"/>
                    </w:rPr>
                  </w:pPr>
                  <w:r>
                    <w:rPr>
                      <w:rFonts w:hint="eastAsia"/>
                      <w:highlight w:val="none"/>
                      <w:lang w:val="en-US" w:eastAsia="zh-CN"/>
                    </w:rPr>
                    <w:t>3600万个</w:t>
                  </w:r>
                </w:p>
              </w:tc>
              <w:tc>
                <w:tcPr>
                  <w:tcW w:w="1120" w:type="dxa"/>
                  <w:tcBorders>
                    <w:tl2br w:val="nil"/>
                    <w:tr2bl w:val="nil"/>
                  </w:tcBorders>
                  <w:vAlign w:val="center"/>
                </w:tcPr>
                <w:p w14:paraId="1767579D">
                  <w:pPr>
                    <w:jc w:val="center"/>
                    <w:rPr>
                      <w:rFonts w:hint="eastAsia"/>
                      <w:highlight w:val="none"/>
                      <w:lang w:val="en-US" w:eastAsia="zh-CN"/>
                    </w:rPr>
                  </w:pPr>
                  <w:r>
                    <w:rPr>
                      <w:rFonts w:hint="eastAsia"/>
                      <w:szCs w:val="21"/>
                    </w:rPr>
                    <w:t>LC单工/SC长耳短耳</w:t>
                  </w:r>
                </w:p>
              </w:tc>
              <w:tc>
                <w:tcPr>
                  <w:tcW w:w="2166" w:type="dxa"/>
                  <w:tcBorders>
                    <w:tl2br w:val="nil"/>
                    <w:tr2bl w:val="nil"/>
                  </w:tcBorders>
                  <w:vAlign w:val="center"/>
                </w:tcPr>
                <w:p w14:paraId="608C15F0">
                  <w:pPr>
                    <w:jc w:val="center"/>
                    <w:rPr>
                      <w:rFonts w:hint="eastAsia"/>
                      <w:highlight w:val="none"/>
                      <w:lang w:val="en-US" w:eastAsia="zh-CN"/>
                    </w:rPr>
                  </w:pPr>
                  <w:r>
                    <w:drawing>
                      <wp:inline distT="0" distB="0" distL="114300" distR="114300">
                        <wp:extent cx="1223645" cy="1082040"/>
                        <wp:effectExtent l="0" t="0" r="14605" b="381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0"/>
                                <a:stretch>
                                  <a:fillRect/>
                                </a:stretch>
                              </pic:blipFill>
                              <pic:spPr>
                                <a:xfrm>
                                  <a:off x="0" y="0"/>
                                  <a:ext cx="1223645" cy="1082040"/>
                                </a:xfrm>
                                <a:prstGeom prst="rect">
                                  <a:avLst/>
                                </a:prstGeom>
                                <a:noFill/>
                                <a:ln>
                                  <a:noFill/>
                                </a:ln>
                              </pic:spPr>
                            </pic:pic>
                          </a:graphicData>
                        </a:graphic>
                      </wp:inline>
                    </w:drawing>
                  </w:r>
                </w:p>
              </w:tc>
              <w:tc>
                <w:tcPr>
                  <w:tcW w:w="1281" w:type="dxa"/>
                  <w:tcBorders>
                    <w:tl2br w:val="nil"/>
                    <w:tr2bl w:val="nil"/>
                  </w:tcBorders>
                  <w:vAlign w:val="center"/>
                </w:tcPr>
                <w:p w14:paraId="0CE21565">
                  <w:pPr>
                    <w:jc w:val="center"/>
                    <w:rPr>
                      <w:rFonts w:hint="default"/>
                      <w:highlight w:val="none"/>
                      <w:lang w:val="en-US" w:eastAsia="zh-CN"/>
                    </w:rPr>
                  </w:pPr>
                  <w:r>
                    <w:rPr>
                      <w:rFonts w:hint="eastAsia"/>
                      <w:highlight w:val="none"/>
                      <w:lang w:val="en-US" w:eastAsia="zh-CN"/>
                    </w:rPr>
                    <w:t>/</w:t>
                  </w:r>
                </w:p>
              </w:tc>
            </w:tr>
          </w:tbl>
          <w:p w14:paraId="745D695D">
            <w:pPr>
              <w:spacing w:line="360" w:lineRule="auto"/>
              <w:jc w:val="left"/>
              <w:rPr>
                <w:b/>
                <w:bCs/>
                <w:color w:val="auto"/>
                <w:sz w:val="24"/>
                <w:highlight w:val="none"/>
                <w:u w:val="none"/>
              </w:rPr>
            </w:pPr>
            <w:r>
              <w:rPr>
                <w:rFonts w:hint="eastAsia"/>
                <w:b/>
                <w:bCs/>
                <w:color w:val="auto"/>
                <w:sz w:val="24"/>
                <w:highlight w:val="none"/>
                <w:u w:val="none"/>
              </w:rPr>
              <w:t>3、主要原辅材料</w:t>
            </w:r>
          </w:p>
          <w:p w14:paraId="43B35858">
            <w:pPr>
              <w:tabs>
                <w:tab w:val="center" w:pos="4871"/>
              </w:tabs>
              <w:spacing w:line="360" w:lineRule="auto"/>
              <w:ind w:firstLine="480" w:firstLineChars="200"/>
              <w:jc w:val="left"/>
              <w:rPr>
                <w:rFonts w:eastAsia="黑体"/>
                <w:color w:val="auto"/>
                <w:highlight w:val="none"/>
                <w:u w:val="none"/>
              </w:rPr>
            </w:pPr>
            <w:r>
              <w:rPr>
                <w:rFonts w:hint="eastAsia"/>
                <w:color w:val="auto"/>
                <w:sz w:val="24"/>
                <w:highlight w:val="none"/>
                <w:u w:val="none"/>
              </w:rPr>
              <w:t>本项目主要原辅材料见下表2-3。</w:t>
            </w:r>
            <w:r>
              <w:rPr>
                <w:color w:val="auto"/>
                <w:highlight w:val="none"/>
                <w:u w:val="none"/>
              </w:rPr>
              <w:tab/>
            </w:r>
          </w:p>
          <w:p w14:paraId="1A15A08D">
            <w:pPr>
              <w:autoSpaceDE w:val="0"/>
              <w:autoSpaceDN w:val="0"/>
              <w:adjustRightInd w:val="0"/>
              <w:spacing w:line="360" w:lineRule="auto"/>
              <w:jc w:val="center"/>
              <w:rPr>
                <w:rFonts w:eastAsia="黑体"/>
                <w:b/>
                <w:bCs/>
                <w:color w:val="auto"/>
                <w:sz w:val="24"/>
                <w:highlight w:val="none"/>
                <w:u w:val="none"/>
              </w:rPr>
            </w:pPr>
            <w:r>
              <w:rPr>
                <w:rFonts w:hint="eastAsia" w:ascii="宋体" w:hAnsi="宋体" w:cs="宋体"/>
                <w:b/>
                <w:bCs/>
                <w:color w:val="auto"/>
                <w:highlight w:val="none"/>
                <w:u w:val="none"/>
              </w:rPr>
              <w:t>表2-3  主要原辅材料一览表</w:t>
            </w:r>
          </w:p>
          <w:tbl>
            <w:tblPr>
              <w:tblStyle w:val="3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602"/>
              <w:gridCol w:w="887"/>
              <w:gridCol w:w="1598"/>
              <w:gridCol w:w="1517"/>
              <w:gridCol w:w="1832"/>
            </w:tblGrid>
            <w:tr w14:paraId="4766F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408" w:type="pct"/>
                  <w:vAlign w:val="center"/>
                </w:tcPr>
                <w:p w14:paraId="52CF0FA7">
                  <w:pPr>
                    <w:keepNext w:val="0"/>
                    <w:keepLines w:val="0"/>
                    <w:pageBreakBefore w:val="0"/>
                    <w:kinsoku/>
                    <w:wordWrap/>
                    <w:overflowPunct/>
                    <w:topLinePunct w:val="0"/>
                    <w:autoSpaceDE/>
                    <w:autoSpaceDN/>
                    <w:bidi w:val="0"/>
                    <w:adjustRightInd/>
                    <w:snapToGrid/>
                    <w:spacing w:line="240" w:lineRule="auto"/>
                    <w:jc w:val="center"/>
                    <w:rPr>
                      <w:b/>
                      <w:color w:val="auto"/>
                      <w:sz w:val="21"/>
                      <w:szCs w:val="21"/>
                      <w:highlight w:val="none"/>
                      <w:u w:val="none"/>
                    </w:rPr>
                  </w:pPr>
                  <w:r>
                    <w:rPr>
                      <w:b/>
                      <w:color w:val="auto"/>
                      <w:sz w:val="21"/>
                      <w:szCs w:val="21"/>
                      <w:highlight w:val="none"/>
                      <w:u w:val="none"/>
                    </w:rPr>
                    <w:t>序号</w:t>
                  </w:r>
                </w:p>
              </w:tc>
              <w:tc>
                <w:tcPr>
                  <w:tcW w:w="989" w:type="pct"/>
                  <w:vAlign w:val="center"/>
                </w:tcPr>
                <w:p w14:paraId="57B6A7DD">
                  <w:pPr>
                    <w:keepNext w:val="0"/>
                    <w:keepLines w:val="0"/>
                    <w:pageBreakBefore w:val="0"/>
                    <w:kinsoku/>
                    <w:wordWrap/>
                    <w:overflowPunct/>
                    <w:topLinePunct w:val="0"/>
                    <w:autoSpaceDE/>
                    <w:autoSpaceDN/>
                    <w:bidi w:val="0"/>
                    <w:adjustRightInd/>
                    <w:snapToGrid/>
                    <w:spacing w:line="240" w:lineRule="auto"/>
                    <w:jc w:val="center"/>
                    <w:rPr>
                      <w:b/>
                      <w:color w:val="auto"/>
                      <w:sz w:val="21"/>
                      <w:szCs w:val="21"/>
                      <w:highlight w:val="none"/>
                      <w:u w:val="none"/>
                    </w:rPr>
                  </w:pPr>
                  <w:r>
                    <w:rPr>
                      <w:b/>
                      <w:color w:val="auto"/>
                      <w:sz w:val="21"/>
                      <w:szCs w:val="21"/>
                      <w:highlight w:val="none"/>
                      <w:u w:val="none"/>
                    </w:rPr>
                    <w:t>名称</w:t>
                  </w:r>
                </w:p>
              </w:tc>
              <w:tc>
                <w:tcPr>
                  <w:tcW w:w="548" w:type="pct"/>
                  <w:vAlign w:val="center"/>
                </w:tcPr>
                <w:p w14:paraId="365CB7D6">
                  <w:pPr>
                    <w:keepNext w:val="0"/>
                    <w:keepLines w:val="0"/>
                    <w:pageBreakBefore w:val="0"/>
                    <w:kinsoku/>
                    <w:wordWrap/>
                    <w:overflowPunct/>
                    <w:topLinePunct w:val="0"/>
                    <w:autoSpaceDE/>
                    <w:autoSpaceDN/>
                    <w:bidi w:val="0"/>
                    <w:adjustRightInd/>
                    <w:snapToGrid/>
                    <w:spacing w:line="240" w:lineRule="auto"/>
                    <w:jc w:val="center"/>
                    <w:rPr>
                      <w:b/>
                      <w:color w:val="auto"/>
                      <w:sz w:val="21"/>
                      <w:szCs w:val="21"/>
                      <w:highlight w:val="none"/>
                      <w:u w:val="none"/>
                    </w:rPr>
                  </w:pPr>
                  <w:r>
                    <w:rPr>
                      <w:rFonts w:hint="eastAsia"/>
                      <w:b/>
                      <w:color w:val="auto"/>
                      <w:sz w:val="21"/>
                      <w:szCs w:val="21"/>
                      <w:highlight w:val="none"/>
                      <w:u w:val="none"/>
                    </w:rPr>
                    <w:t>单位</w:t>
                  </w:r>
                </w:p>
              </w:tc>
              <w:tc>
                <w:tcPr>
                  <w:tcW w:w="987" w:type="pct"/>
                  <w:vAlign w:val="center"/>
                </w:tcPr>
                <w:p w14:paraId="7BCB4165">
                  <w:pPr>
                    <w:keepNext w:val="0"/>
                    <w:keepLines w:val="0"/>
                    <w:pageBreakBefore w:val="0"/>
                    <w:kinsoku/>
                    <w:wordWrap/>
                    <w:overflowPunct/>
                    <w:topLinePunct w:val="0"/>
                    <w:autoSpaceDE/>
                    <w:autoSpaceDN/>
                    <w:bidi w:val="0"/>
                    <w:adjustRightInd/>
                    <w:snapToGrid/>
                    <w:spacing w:line="240" w:lineRule="auto"/>
                    <w:jc w:val="center"/>
                    <w:rPr>
                      <w:b/>
                      <w:color w:val="auto"/>
                      <w:sz w:val="21"/>
                      <w:szCs w:val="21"/>
                      <w:highlight w:val="none"/>
                      <w:u w:val="none"/>
                    </w:rPr>
                  </w:pPr>
                  <w:r>
                    <w:rPr>
                      <w:rFonts w:hint="eastAsia"/>
                      <w:b/>
                      <w:color w:val="auto"/>
                      <w:sz w:val="21"/>
                      <w:szCs w:val="21"/>
                      <w:highlight w:val="none"/>
                      <w:u w:val="none"/>
                      <w:lang w:val="en-US" w:eastAsia="zh-CN"/>
                    </w:rPr>
                    <w:t>原环评</w:t>
                  </w:r>
                  <w:r>
                    <w:rPr>
                      <w:b/>
                      <w:color w:val="auto"/>
                      <w:sz w:val="21"/>
                      <w:szCs w:val="21"/>
                      <w:highlight w:val="none"/>
                      <w:u w:val="none"/>
                    </w:rPr>
                    <w:t>年耗量</w:t>
                  </w:r>
                </w:p>
              </w:tc>
              <w:tc>
                <w:tcPr>
                  <w:tcW w:w="937" w:type="pct"/>
                  <w:vAlign w:val="center"/>
                </w:tcPr>
                <w:p w14:paraId="21ADF77D">
                  <w:pPr>
                    <w:keepNext w:val="0"/>
                    <w:keepLines w:val="0"/>
                    <w:pageBreakBefore w:val="0"/>
                    <w:kinsoku/>
                    <w:wordWrap/>
                    <w:overflowPunct/>
                    <w:topLinePunct w:val="0"/>
                    <w:autoSpaceDE/>
                    <w:autoSpaceDN/>
                    <w:bidi w:val="0"/>
                    <w:adjustRightInd/>
                    <w:snapToGrid/>
                    <w:spacing w:line="240" w:lineRule="auto"/>
                    <w:jc w:val="center"/>
                    <w:rPr>
                      <w:rFonts w:hint="default" w:eastAsia="宋体"/>
                      <w:b/>
                      <w:color w:val="auto"/>
                      <w:sz w:val="21"/>
                      <w:szCs w:val="21"/>
                      <w:highlight w:val="none"/>
                      <w:u w:val="none"/>
                      <w:lang w:val="en-US" w:eastAsia="zh-CN"/>
                    </w:rPr>
                  </w:pPr>
                  <w:r>
                    <w:rPr>
                      <w:rFonts w:hint="eastAsia"/>
                      <w:b/>
                      <w:color w:val="auto"/>
                      <w:sz w:val="21"/>
                      <w:szCs w:val="21"/>
                      <w:highlight w:val="none"/>
                      <w:u w:val="none"/>
                      <w:lang w:val="en-US" w:eastAsia="zh-CN"/>
                    </w:rPr>
                    <w:t>本次变更后年耗量</w:t>
                  </w:r>
                </w:p>
              </w:tc>
              <w:tc>
                <w:tcPr>
                  <w:tcW w:w="1130" w:type="pct"/>
                  <w:vAlign w:val="center"/>
                </w:tcPr>
                <w:p w14:paraId="0F71B70A">
                  <w:pPr>
                    <w:keepNext w:val="0"/>
                    <w:keepLines w:val="0"/>
                    <w:pageBreakBefore w:val="0"/>
                    <w:kinsoku/>
                    <w:wordWrap/>
                    <w:overflowPunct/>
                    <w:topLinePunct w:val="0"/>
                    <w:autoSpaceDE/>
                    <w:autoSpaceDN/>
                    <w:bidi w:val="0"/>
                    <w:adjustRightInd/>
                    <w:snapToGrid/>
                    <w:spacing w:line="240" w:lineRule="auto"/>
                    <w:jc w:val="center"/>
                    <w:rPr>
                      <w:b/>
                      <w:color w:val="auto"/>
                      <w:sz w:val="21"/>
                      <w:szCs w:val="21"/>
                      <w:highlight w:val="none"/>
                      <w:u w:val="none"/>
                    </w:rPr>
                  </w:pPr>
                  <w:r>
                    <w:rPr>
                      <w:rFonts w:hint="eastAsia"/>
                      <w:b/>
                      <w:color w:val="auto"/>
                      <w:sz w:val="21"/>
                      <w:szCs w:val="21"/>
                      <w:highlight w:val="none"/>
                      <w:u w:val="none"/>
                    </w:rPr>
                    <w:t>最大暂存量</w:t>
                  </w:r>
                </w:p>
              </w:tc>
            </w:tr>
            <w:tr w14:paraId="319A45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5000" w:type="pct"/>
                  <w:gridSpan w:val="6"/>
                  <w:vAlign w:val="center"/>
                </w:tcPr>
                <w:p w14:paraId="196593B5">
                  <w:pPr>
                    <w:keepNext w:val="0"/>
                    <w:keepLines w:val="0"/>
                    <w:pageBreakBefore w:val="0"/>
                    <w:kinsoku/>
                    <w:wordWrap/>
                    <w:overflowPunct/>
                    <w:topLinePunct w:val="0"/>
                    <w:autoSpaceDE/>
                    <w:autoSpaceDN/>
                    <w:bidi w:val="0"/>
                    <w:adjustRightInd/>
                    <w:snapToGrid/>
                    <w:spacing w:line="240" w:lineRule="auto"/>
                    <w:jc w:val="center"/>
                    <w:rPr>
                      <w:rFonts w:hint="eastAsia"/>
                      <w:b/>
                      <w:color w:val="auto"/>
                      <w:sz w:val="21"/>
                      <w:szCs w:val="21"/>
                      <w:highlight w:val="none"/>
                      <w:u w:val="none"/>
                    </w:rPr>
                  </w:pPr>
                  <w:r>
                    <w:rPr>
                      <w:rFonts w:hint="eastAsia"/>
                      <w:b/>
                      <w:bCs/>
                      <w:color w:val="auto"/>
                      <w:szCs w:val="21"/>
                      <w:highlight w:val="none"/>
                    </w:rPr>
                    <w:t>电子接插件</w:t>
                  </w:r>
                </w:p>
              </w:tc>
            </w:tr>
            <w:tr w14:paraId="63386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408" w:type="pct"/>
                  <w:vAlign w:val="center"/>
                </w:tcPr>
                <w:p w14:paraId="2B3553AF">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1</w:t>
                  </w:r>
                </w:p>
              </w:tc>
              <w:tc>
                <w:tcPr>
                  <w:tcW w:w="989" w:type="pct"/>
                  <w:vAlign w:val="center"/>
                </w:tcPr>
                <w:p w14:paraId="1B4B6D9B">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无铅锡</w:t>
                  </w:r>
                </w:p>
              </w:tc>
              <w:tc>
                <w:tcPr>
                  <w:tcW w:w="548" w:type="pct"/>
                  <w:vAlign w:val="center"/>
                </w:tcPr>
                <w:p w14:paraId="0C1C48C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t/a</w:t>
                  </w:r>
                </w:p>
              </w:tc>
              <w:tc>
                <w:tcPr>
                  <w:tcW w:w="987" w:type="pct"/>
                  <w:vAlign w:val="center"/>
                </w:tcPr>
                <w:p w14:paraId="1C2B509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w:t>
                  </w:r>
                  <w:r>
                    <w:rPr>
                      <w:rFonts w:hint="eastAsia" w:ascii="Times New Roman" w:hAnsi="Times New Roman" w:eastAsia="宋体" w:cs="Times New Roman"/>
                      <w:sz w:val="21"/>
                      <w:szCs w:val="21"/>
                      <w:highlight w:val="none"/>
                    </w:rPr>
                    <w:t>54</w:t>
                  </w:r>
                </w:p>
              </w:tc>
              <w:tc>
                <w:tcPr>
                  <w:tcW w:w="937" w:type="pct"/>
                  <w:shd w:val="clear" w:color="auto" w:fill="auto"/>
                  <w:vAlign w:val="center"/>
                </w:tcPr>
                <w:p w14:paraId="74E7D66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w:t>
                  </w:r>
                  <w:r>
                    <w:rPr>
                      <w:rFonts w:hint="eastAsia" w:ascii="Times New Roman" w:hAnsi="Times New Roman" w:eastAsia="宋体" w:cs="Times New Roman"/>
                      <w:sz w:val="21"/>
                      <w:szCs w:val="21"/>
                      <w:highlight w:val="none"/>
                    </w:rPr>
                    <w:t>54</w:t>
                  </w:r>
                </w:p>
              </w:tc>
              <w:tc>
                <w:tcPr>
                  <w:tcW w:w="1130" w:type="pct"/>
                  <w:vAlign w:val="center"/>
                </w:tcPr>
                <w:p w14:paraId="36165AD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0.1</w:t>
                  </w:r>
                </w:p>
              </w:tc>
            </w:tr>
            <w:tr w14:paraId="6045C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408" w:type="pct"/>
                  <w:vAlign w:val="center"/>
                </w:tcPr>
                <w:p w14:paraId="041B8E6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2</w:t>
                  </w:r>
                </w:p>
              </w:tc>
              <w:tc>
                <w:tcPr>
                  <w:tcW w:w="989" w:type="pct"/>
                  <w:vAlign w:val="center"/>
                </w:tcPr>
                <w:p w14:paraId="23C11EE2">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胶壳</w:t>
                  </w:r>
                </w:p>
              </w:tc>
              <w:tc>
                <w:tcPr>
                  <w:tcW w:w="548" w:type="pct"/>
                  <w:vAlign w:val="center"/>
                </w:tcPr>
                <w:p w14:paraId="768AFBA7">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vAlign w:val="center"/>
                </w:tcPr>
                <w:p w14:paraId="5EFE452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4500万</w:t>
                  </w:r>
                </w:p>
              </w:tc>
              <w:tc>
                <w:tcPr>
                  <w:tcW w:w="937" w:type="pct"/>
                  <w:shd w:val="clear" w:color="auto" w:fill="auto"/>
                  <w:vAlign w:val="center"/>
                </w:tcPr>
                <w:p w14:paraId="14763B4A">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4500万</w:t>
                  </w:r>
                </w:p>
              </w:tc>
              <w:tc>
                <w:tcPr>
                  <w:tcW w:w="1130" w:type="pct"/>
                  <w:vAlign w:val="center"/>
                </w:tcPr>
                <w:p w14:paraId="0BD5425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100万</w:t>
                  </w:r>
                </w:p>
              </w:tc>
            </w:tr>
            <w:tr w14:paraId="48821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408" w:type="pct"/>
                  <w:vAlign w:val="center"/>
                </w:tcPr>
                <w:p w14:paraId="60EB85D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3</w:t>
                  </w:r>
                </w:p>
              </w:tc>
              <w:tc>
                <w:tcPr>
                  <w:tcW w:w="989" w:type="pct"/>
                  <w:vAlign w:val="center"/>
                </w:tcPr>
                <w:p w14:paraId="5AA86D4F">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凡立水</w:t>
                  </w:r>
                </w:p>
              </w:tc>
              <w:tc>
                <w:tcPr>
                  <w:tcW w:w="548" w:type="pct"/>
                  <w:vAlign w:val="center"/>
                </w:tcPr>
                <w:p w14:paraId="18EC2D9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t/a</w:t>
                  </w:r>
                </w:p>
              </w:tc>
              <w:tc>
                <w:tcPr>
                  <w:tcW w:w="987" w:type="pct"/>
                  <w:vAlign w:val="center"/>
                </w:tcPr>
                <w:p w14:paraId="57B4D18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0.</w:t>
                  </w:r>
                  <w:r>
                    <w:rPr>
                      <w:rFonts w:hint="eastAsia" w:ascii="Times New Roman" w:hAnsi="Times New Roman" w:eastAsia="宋体" w:cs="Times New Roman"/>
                      <w:sz w:val="21"/>
                      <w:szCs w:val="21"/>
                      <w:highlight w:val="none"/>
                    </w:rPr>
                    <w:t>68</w:t>
                  </w:r>
                </w:p>
              </w:tc>
              <w:tc>
                <w:tcPr>
                  <w:tcW w:w="937" w:type="pct"/>
                  <w:shd w:val="clear" w:color="auto" w:fill="auto"/>
                  <w:vAlign w:val="center"/>
                </w:tcPr>
                <w:p w14:paraId="24BF5C21">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w:t>
                  </w:r>
                  <w:r>
                    <w:rPr>
                      <w:rFonts w:hint="eastAsia" w:ascii="Times New Roman" w:hAnsi="Times New Roman" w:eastAsia="宋体" w:cs="Times New Roman"/>
                      <w:sz w:val="21"/>
                      <w:szCs w:val="21"/>
                      <w:highlight w:val="none"/>
                    </w:rPr>
                    <w:t>68</w:t>
                  </w:r>
                </w:p>
              </w:tc>
              <w:tc>
                <w:tcPr>
                  <w:tcW w:w="1130" w:type="pct"/>
                  <w:vAlign w:val="center"/>
                </w:tcPr>
                <w:p w14:paraId="390DAD2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0.08</w:t>
                  </w:r>
                </w:p>
              </w:tc>
            </w:tr>
            <w:tr w14:paraId="4721B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408" w:type="pct"/>
                  <w:vAlign w:val="center"/>
                </w:tcPr>
                <w:p w14:paraId="709F8B4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4</w:t>
                  </w:r>
                </w:p>
              </w:tc>
              <w:tc>
                <w:tcPr>
                  <w:tcW w:w="989" w:type="pct"/>
                  <w:vAlign w:val="center"/>
                </w:tcPr>
                <w:p w14:paraId="350C5126">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黑胶</w:t>
                  </w:r>
                </w:p>
              </w:tc>
              <w:tc>
                <w:tcPr>
                  <w:tcW w:w="548" w:type="pct"/>
                  <w:vAlign w:val="center"/>
                </w:tcPr>
                <w:p w14:paraId="6576CA4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t/a</w:t>
                  </w:r>
                </w:p>
              </w:tc>
              <w:tc>
                <w:tcPr>
                  <w:tcW w:w="987" w:type="pct"/>
                  <w:vAlign w:val="center"/>
                </w:tcPr>
                <w:p w14:paraId="6718F75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0.</w:t>
                  </w:r>
                  <w:r>
                    <w:rPr>
                      <w:rFonts w:hint="eastAsia" w:ascii="Times New Roman" w:hAnsi="Times New Roman" w:eastAsia="宋体" w:cs="Times New Roman"/>
                      <w:sz w:val="21"/>
                      <w:szCs w:val="21"/>
                      <w:highlight w:val="none"/>
                    </w:rPr>
                    <w:t>3</w:t>
                  </w:r>
                </w:p>
              </w:tc>
              <w:tc>
                <w:tcPr>
                  <w:tcW w:w="937" w:type="pct"/>
                  <w:shd w:val="clear" w:color="auto" w:fill="auto"/>
                  <w:vAlign w:val="center"/>
                </w:tcPr>
                <w:p w14:paraId="1B807A6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w:t>
                  </w:r>
                  <w:r>
                    <w:rPr>
                      <w:rFonts w:hint="eastAsia" w:ascii="Times New Roman" w:hAnsi="Times New Roman" w:eastAsia="宋体" w:cs="Times New Roman"/>
                      <w:sz w:val="21"/>
                      <w:szCs w:val="21"/>
                      <w:highlight w:val="none"/>
                    </w:rPr>
                    <w:t>3</w:t>
                  </w:r>
                </w:p>
              </w:tc>
              <w:tc>
                <w:tcPr>
                  <w:tcW w:w="1130" w:type="pct"/>
                  <w:vAlign w:val="center"/>
                </w:tcPr>
                <w:p w14:paraId="2A96BDB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0.05</w:t>
                  </w:r>
                </w:p>
              </w:tc>
            </w:tr>
            <w:tr w14:paraId="53229E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408" w:type="pct"/>
                  <w:vAlign w:val="center"/>
                </w:tcPr>
                <w:p w14:paraId="7C81EF51">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5</w:t>
                  </w:r>
                </w:p>
              </w:tc>
              <w:tc>
                <w:tcPr>
                  <w:tcW w:w="989" w:type="pct"/>
                  <w:vAlign w:val="center"/>
                </w:tcPr>
                <w:p w14:paraId="7B45C97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助焊剂</w:t>
                  </w:r>
                </w:p>
              </w:tc>
              <w:tc>
                <w:tcPr>
                  <w:tcW w:w="548" w:type="pct"/>
                  <w:vAlign w:val="center"/>
                </w:tcPr>
                <w:p w14:paraId="3D74DBB6">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t/a</w:t>
                  </w:r>
                </w:p>
              </w:tc>
              <w:tc>
                <w:tcPr>
                  <w:tcW w:w="987" w:type="pct"/>
                  <w:vAlign w:val="center"/>
                </w:tcPr>
                <w:p w14:paraId="0BC09CA2">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1</w:t>
                  </w:r>
                  <w:r>
                    <w:rPr>
                      <w:rFonts w:hint="eastAsia"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4</w:t>
                  </w:r>
                </w:p>
              </w:tc>
              <w:tc>
                <w:tcPr>
                  <w:tcW w:w="937" w:type="pct"/>
                  <w:shd w:val="clear" w:color="auto" w:fill="auto"/>
                  <w:vAlign w:val="center"/>
                </w:tcPr>
                <w:p w14:paraId="128E489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1</w:t>
                  </w:r>
                  <w:r>
                    <w:rPr>
                      <w:rFonts w:hint="eastAsia"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rPr>
                    <w:t>4</w:t>
                  </w:r>
                </w:p>
              </w:tc>
              <w:tc>
                <w:tcPr>
                  <w:tcW w:w="1130" w:type="pct"/>
                  <w:vAlign w:val="center"/>
                </w:tcPr>
                <w:p w14:paraId="3BF5E5B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0.1</w:t>
                  </w:r>
                </w:p>
              </w:tc>
            </w:tr>
            <w:tr w14:paraId="76F3ED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0882437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6</w:t>
                  </w:r>
                </w:p>
              </w:tc>
              <w:tc>
                <w:tcPr>
                  <w:tcW w:w="989" w:type="pct"/>
                  <w:vAlign w:val="center"/>
                </w:tcPr>
                <w:p w14:paraId="67C8FD2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漆包线</w:t>
                  </w:r>
                </w:p>
              </w:tc>
              <w:tc>
                <w:tcPr>
                  <w:tcW w:w="548" w:type="pct"/>
                  <w:vAlign w:val="center"/>
                </w:tcPr>
                <w:p w14:paraId="6C43DEFB">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t/a</w:t>
                  </w:r>
                </w:p>
              </w:tc>
              <w:tc>
                <w:tcPr>
                  <w:tcW w:w="987" w:type="pct"/>
                  <w:vAlign w:val="center"/>
                </w:tcPr>
                <w:p w14:paraId="481D806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28.8</w:t>
                  </w:r>
                </w:p>
              </w:tc>
              <w:tc>
                <w:tcPr>
                  <w:tcW w:w="937" w:type="pct"/>
                  <w:shd w:val="clear" w:color="auto" w:fill="auto"/>
                  <w:vAlign w:val="center"/>
                </w:tcPr>
                <w:p w14:paraId="13D53D9C">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28.8</w:t>
                  </w:r>
                </w:p>
              </w:tc>
              <w:tc>
                <w:tcPr>
                  <w:tcW w:w="1130" w:type="pct"/>
                  <w:vAlign w:val="center"/>
                </w:tcPr>
                <w:p w14:paraId="719FD09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1</w:t>
                  </w:r>
                  <w:r>
                    <w:rPr>
                      <w:rFonts w:hint="eastAsia" w:ascii="Times New Roman" w:hAnsi="Times New Roman" w:eastAsia="宋体" w:cs="Times New Roman"/>
                      <w:sz w:val="21"/>
                      <w:szCs w:val="21"/>
                      <w:highlight w:val="none"/>
                      <w:lang w:val="en-US" w:eastAsia="zh-CN"/>
                    </w:rPr>
                    <w:t>.5</w:t>
                  </w:r>
                </w:p>
              </w:tc>
            </w:tr>
            <w:tr w14:paraId="05E18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08" w:type="pct"/>
                  <w:vAlign w:val="center"/>
                </w:tcPr>
                <w:p w14:paraId="05DD8D9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7</w:t>
                  </w:r>
                </w:p>
              </w:tc>
              <w:tc>
                <w:tcPr>
                  <w:tcW w:w="989" w:type="pct"/>
                  <w:vAlign w:val="center"/>
                </w:tcPr>
                <w:p w14:paraId="245C8A4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磁环</w:t>
                  </w:r>
                </w:p>
              </w:tc>
              <w:tc>
                <w:tcPr>
                  <w:tcW w:w="548" w:type="pct"/>
                  <w:vAlign w:val="center"/>
                </w:tcPr>
                <w:p w14:paraId="3356C1D1">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vAlign w:val="center"/>
                </w:tcPr>
                <w:p w14:paraId="18500AC6">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45840万</w:t>
                  </w:r>
                </w:p>
              </w:tc>
              <w:tc>
                <w:tcPr>
                  <w:tcW w:w="937" w:type="pct"/>
                  <w:shd w:val="clear" w:color="auto" w:fill="auto"/>
                  <w:vAlign w:val="center"/>
                </w:tcPr>
                <w:p w14:paraId="7A74D3A1">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45840万</w:t>
                  </w:r>
                </w:p>
              </w:tc>
              <w:tc>
                <w:tcPr>
                  <w:tcW w:w="1130" w:type="pct"/>
                  <w:vAlign w:val="center"/>
                </w:tcPr>
                <w:p w14:paraId="5783FB9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3800万</w:t>
                  </w:r>
                </w:p>
              </w:tc>
            </w:tr>
            <w:tr w14:paraId="5351CF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5000" w:type="pct"/>
                  <w:gridSpan w:val="6"/>
                  <w:vAlign w:val="center"/>
                </w:tcPr>
                <w:p w14:paraId="6CBF2664">
                  <w:pPr>
                    <w:keepNext w:val="0"/>
                    <w:keepLines w:val="0"/>
                    <w:pageBreakBefore w:val="0"/>
                    <w:kinsoku/>
                    <w:wordWrap/>
                    <w:overflowPunct/>
                    <w:topLinePunct w:val="0"/>
                    <w:autoSpaceDE/>
                    <w:autoSpaceDN/>
                    <w:bidi w:val="0"/>
                    <w:adjustRightInd/>
                    <w:snapToGrid/>
                    <w:spacing w:line="240" w:lineRule="auto"/>
                    <w:ind w:right="110"/>
                    <w:jc w:val="center"/>
                    <w:rPr>
                      <w:rFonts w:hint="eastAsia" w:eastAsia="宋体"/>
                      <w:color w:val="auto"/>
                      <w:sz w:val="21"/>
                      <w:szCs w:val="21"/>
                      <w:highlight w:val="none"/>
                      <w:u w:val="none"/>
                      <w:lang w:val="en-US" w:eastAsia="zh-CN"/>
                    </w:rPr>
                  </w:pPr>
                  <w:r>
                    <w:rPr>
                      <w:rFonts w:hint="eastAsia"/>
                      <w:b/>
                      <w:bCs/>
                      <w:color w:val="auto"/>
                      <w:sz w:val="21"/>
                      <w:szCs w:val="21"/>
                      <w:highlight w:val="none"/>
                      <w:u w:val="none"/>
                      <w:lang w:val="en-US" w:eastAsia="zh-CN"/>
                    </w:rPr>
                    <w:t>胶壳</w:t>
                  </w:r>
                </w:p>
              </w:tc>
            </w:tr>
            <w:tr w14:paraId="7EC52E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08" w:type="pct"/>
                  <w:vAlign w:val="center"/>
                </w:tcPr>
                <w:p w14:paraId="5DD715A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c>
                <w:tcPr>
                  <w:tcW w:w="989" w:type="pct"/>
                  <w:shd w:val="clear" w:color="auto" w:fill="auto"/>
                  <w:vAlign w:val="center"/>
                </w:tcPr>
                <w:p w14:paraId="5BF93191">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酚醛树脂颗粒</w:t>
                  </w:r>
                </w:p>
              </w:tc>
              <w:tc>
                <w:tcPr>
                  <w:tcW w:w="548" w:type="pct"/>
                  <w:shd w:val="clear" w:color="auto" w:fill="auto"/>
                  <w:vAlign w:val="top"/>
                </w:tcPr>
                <w:p w14:paraId="2BCB7222">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top"/>
                </w:tcPr>
                <w:p w14:paraId="77ED706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45</w:t>
                  </w:r>
                </w:p>
              </w:tc>
              <w:tc>
                <w:tcPr>
                  <w:tcW w:w="937" w:type="pct"/>
                  <w:shd w:val="clear" w:color="auto" w:fill="auto"/>
                  <w:vAlign w:val="top"/>
                </w:tcPr>
                <w:p w14:paraId="129C1FF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45</w:t>
                  </w:r>
                </w:p>
              </w:tc>
              <w:tc>
                <w:tcPr>
                  <w:tcW w:w="1130" w:type="pct"/>
                  <w:shd w:val="clear" w:color="auto" w:fill="auto"/>
                  <w:vAlign w:val="top"/>
                </w:tcPr>
                <w:p w14:paraId="6AF64ECF">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5</w:t>
                  </w:r>
                </w:p>
              </w:tc>
            </w:tr>
            <w:tr w14:paraId="687BB3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08" w:type="pct"/>
                  <w:vAlign w:val="center"/>
                </w:tcPr>
                <w:p w14:paraId="7E3D284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w:t>
                  </w:r>
                </w:p>
              </w:tc>
              <w:tc>
                <w:tcPr>
                  <w:tcW w:w="989" w:type="pct"/>
                  <w:shd w:val="clear" w:color="auto" w:fill="auto"/>
                  <w:vAlign w:val="center"/>
                </w:tcPr>
                <w:p w14:paraId="3ADB8AE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磷铜线</w:t>
                  </w:r>
                </w:p>
              </w:tc>
              <w:tc>
                <w:tcPr>
                  <w:tcW w:w="548" w:type="pct"/>
                  <w:shd w:val="clear" w:color="auto" w:fill="auto"/>
                  <w:vAlign w:val="top"/>
                </w:tcPr>
                <w:p w14:paraId="272FAC0F">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top"/>
                </w:tcPr>
                <w:p w14:paraId="560D504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2</w:t>
                  </w:r>
                  <w:r>
                    <w:rPr>
                      <w:rFonts w:hint="eastAsia" w:ascii="Times New Roman" w:hAnsi="Times New Roman" w:eastAsia="宋体" w:cs="Times New Roman"/>
                      <w:sz w:val="21"/>
                      <w:szCs w:val="21"/>
                      <w:highlight w:val="none"/>
                      <w:lang w:val="en-US" w:eastAsia="zh-CN"/>
                    </w:rPr>
                    <w:t>.25</w:t>
                  </w:r>
                </w:p>
              </w:tc>
              <w:tc>
                <w:tcPr>
                  <w:tcW w:w="937" w:type="pct"/>
                  <w:shd w:val="clear" w:color="auto" w:fill="auto"/>
                  <w:vAlign w:val="top"/>
                </w:tcPr>
                <w:p w14:paraId="1DA2534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2</w:t>
                  </w:r>
                  <w:r>
                    <w:rPr>
                      <w:rFonts w:hint="eastAsia" w:ascii="Times New Roman" w:hAnsi="Times New Roman" w:eastAsia="宋体" w:cs="Times New Roman"/>
                      <w:sz w:val="21"/>
                      <w:szCs w:val="21"/>
                      <w:highlight w:val="none"/>
                      <w:lang w:val="en-US" w:eastAsia="zh-CN"/>
                    </w:rPr>
                    <w:t>.25</w:t>
                  </w:r>
                </w:p>
              </w:tc>
              <w:tc>
                <w:tcPr>
                  <w:tcW w:w="1130" w:type="pct"/>
                  <w:shd w:val="clear" w:color="auto" w:fill="auto"/>
                  <w:vAlign w:val="top"/>
                </w:tcPr>
                <w:p w14:paraId="55A6A16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0.23</w:t>
                  </w:r>
                </w:p>
              </w:tc>
            </w:tr>
            <w:tr w14:paraId="764840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08" w:type="pct"/>
                  <w:vAlign w:val="center"/>
                </w:tcPr>
                <w:p w14:paraId="123E980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w:t>
                  </w:r>
                </w:p>
              </w:tc>
              <w:tc>
                <w:tcPr>
                  <w:tcW w:w="989" w:type="pct"/>
                  <w:shd w:val="clear" w:color="auto" w:fill="auto"/>
                  <w:vAlign w:val="center"/>
                </w:tcPr>
                <w:p w14:paraId="5513758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CP线</w:t>
                  </w:r>
                </w:p>
              </w:tc>
              <w:tc>
                <w:tcPr>
                  <w:tcW w:w="548" w:type="pct"/>
                  <w:shd w:val="clear" w:color="auto" w:fill="auto"/>
                  <w:vAlign w:val="top"/>
                </w:tcPr>
                <w:p w14:paraId="6070648B">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top"/>
                </w:tcPr>
                <w:p w14:paraId="08DD0BA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8.7</w:t>
                  </w:r>
                </w:p>
              </w:tc>
              <w:tc>
                <w:tcPr>
                  <w:tcW w:w="937" w:type="pct"/>
                  <w:shd w:val="clear" w:color="auto" w:fill="auto"/>
                  <w:vAlign w:val="top"/>
                </w:tcPr>
                <w:p w14:paraId="024BAB6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8.7</w:t>
                  </w:r>
                </w:p>
              </w:tc>
              <w:tc>
                <w:tcPr>
                  <w:tcW w:w="1130" w:type="pct"/>
                  <w:shd w:val="clear" w:color="auto" w:fill="auto"/>
                  <w:vAlign w:val="top"/>
                </w:tcPr>
                <w:p w14:paraId="54BCEBC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0.7</w:t>
                  </w:r>
                </w:p>
              </w:tc>
            </w:tr>
            <w:tr w14:paraId="1AB6D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08" w:type="pct"/>
                  <w:vAlign w:val="center"/>
                </w:tcPr>
                <w:p w14:paraId="6C0A88E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p>
              </w:tc>
              <w:tc>
                <w:tcPr>
                  <w:tcW w:w="989" w:type="pct"/>
                  <w:shd w:val="clear" w:color="auto" w:fill="auto"/>
                  <w:vAlign w:val="center"/>
                </w:tcPr>
                <w:p w14:paraId="7C80D45C">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扁针</w:t>
                  </w:r>
                </w:p>
              </w:tc>
              <w:tc>
                <w:tcPr>
                  <w:tcW w:w="548" w:type="pct"/>
                  <w:shd w:val="clear" w:color="auto" w:fill="auto"/>
                  <w:vAlign w:val="top"/>
                </w:tcPr>
                <w:p w14:paraId="556A7F4A">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top"/>
                </w:tcPr>
                <w:p w14:paraId="5463AE37">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106万</w:t>
                  </w:r>
                </w:p>
              </w:tc>
              <w:tc>
                <w:tcPr>
                  <w:tcW w:w="937" w:type="pct"/>
                  <w:shd w:val="clear" w:color="auto" w:fill="auto"/>
                  <w:vAlign w:val="top"/>
                </w:tcPr>
                <w:p w14:paraId="3107D030">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106万</w:t>
                  </w:r>
                </w:p>
              </w:tc>
              <w:tc>
                <w:tcPr>
                  <w:tcW w:w="1130" w:type="pct"/>
                  <w:shd w:val="clear" w:color="auto" w:fill="auto"/>
                  <w:vAlign w:val="top"/>
                </w:tcPr>
                <w:p w14:paraId="5A8BB52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26万</w:t>
                  </w:r>
                </w:p>
              </w:tc>
            </w:tr>
            <w:tr w14:paraId="0068D4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08" w:type="pct"/>
                  <w:vAlign w:val="center"/>
                </w:tcPr>
                <w:p w14:paraId="05A9868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w:t>
                  </w:r>
                </w:p>
              </w:tc>
              <w:tc>
                <w:tcPr>
                  <w:tcW w:w="989" w:type="pct"/>
                  <w:shd w:val="clear" w:color="auto" w:fill="auto"/>
                  <w:vAlign w:val="center"/>
                </w:tcPr>
                <w:p w14:paraId="05396B56">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插件管</w:t>
                  </w:r>
                </w:p>
              </w:tc>
              <w:tc>
                <w:tcPr>
                  <w:tcW w:w="548" w:type="pct"/>
                  <w:shd w:val="clear" w:color="auto" w:fill="auto"/>
                  <w:vAlign w:val="center"/>
                </w:tcPr>
                <w:p w14:paraId="33A65D6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center"/>
                </w:tcPr>
                <w:p w14:paraId="4147C2C7">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205万</w:t>
                  </w:r>
                </w:p>
              </w:tc>
              <w:tc>
                <w:tcPr>
                  <w:tcW w:w="937" w:type="pct"/>
                  <w:shd w:val="clear" w:color="auto" w:fill="auto"/>
                  <w:vAlign w:val="center"/>
                </w:tcPr>
                <w:p w14:paraId="144F123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205万</w:t>
                  </w:r>
                </w:p>
              </w:tc>
              <w:tc>
                <w:tcPr>
                  <w:tcW w:w="1130" w:type="pct"/>
                  <w:shd w:val="clear" w:color="auto" w:fill="auto"/>
                  <w:vAlign w:val="center"/>
                </w:tcPr>
                <w:p w14:paraId="528974F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68400</w:t>
                  </w:r>
                </w:p>
              </w:tc>
            </w:tr>
            <w:tr w14:paraId="38C0B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08" w:type="pct"/>
                  <w:vAlign w:val="center"/>
                </w:tcPr>
                <w:p w14:paraId="7671333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6</w:t>
                  </w:r>
                </w:p>
              </w:tc>
              <w:tc>
                <w:tcPr>
                  <w:tcW w:w="989" w:type="pct"/>
                  <w:shd w:val="clear" w:color="auto" w:fill="auto"/>
                  <w:vAlign w:val="center"/>
                </w:tcPr>
                <w:p w14:paraId="258404F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脱模剂</w:t>
                  </w:r>
                </w:p>
              </w:tc>
              <w:tc>
                <w:tcPr>
                  <w:tcW w:w="548" w:type="pct"/>
                  <w:shd w:val="clear" w:color="auto" w:fill="auto"/>
                  <w:vAlign w:val="center"/>
                </w:tcPr>
                <w:p w14:paraId="04A94D9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center"/>
                </w:tcPr>
                <w:p w14:paraId="5E5E161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0.0324</w:t>
                  </w:r>
                </w:p>
              </w:tc>
              <w:tc>
                <w:tcPr>
                  <w:tcW w:w="937" w:type="pct"/>
                  <w:shd w:val="clear" w:color="auto" w:fill="auto"/>
                  <w:vAlign w:val="center"/>
                </w:tcPr>
                <w:p w14:paraId="78891DA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0.0324</w:t>
                  </w:r>
                </w:p>
              </w:tc>
              <w:tc>
                <w:tcPr>
                  <w:tcW w:w="1130" w:type="pct"/>
                  <w:shd w:val="clear" w:color="auto" w:fill="auto"/>
                  <w:vAlign w:val="center"/>
                </w:tcPr>
                <w:p w14:paraId="2EFB096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0.0045</w:t>
                  </w:r>
                </w:p>
              </w:tc>
            </w:tr>
            <w:tr w14:paraId="20910B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08" w:type="pct"/>
                  <w:vAlign w:val="center"/>
                </w:tcPr>
                <w:p w14:paraId="70A9908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7</w:t>
                  </w:r>
                </w:p>
              </w:tc>
              <w:tc>
                <w:tcPr>
                  <w:tcW w:w="989" w:type="pct"/>
                  <w:shd w:val="clear" w:color="auto" w:fill="auto"/>
                  <w:vAlign w:val="center"/>
                </w:tcPr>
                <w:p w14:paraId="600E053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离型剂</w:t>
                  </w:r>
                </w:p>
              </w:tc>
              <w:tc>
                <w:tcPr>
                  <w:tcW w:w="548" w:type="pct"/>
                  <w:shd w:val="clear" w:color="auto" w:fill="auto"/>
                  <w:vAlign w:val="center"/>
                </w:tcPr>
                <w:p w14:paraId="72C70B1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center"/>
                </w:tcPr>
                <w:p w14:paraId="419292F0">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0.0216</w:t>
                  </w:r>
                </w:p>
              </w:tc>
              <w:tc>
                <w:tcPr>
                  <w:tcW w:w="937" w:type="pct"/>
                  <w:shd w:val="clear" w:color="auto" w:fill="auto"/>
                  <w:vAlign w:val="center"/>
                </w:tcPr>
                <w:p w14:paraId="5CA62A70">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0.0216</w:t>
                  </w:r>
                </w:p>
              </w:tc>
              <w:tc>
                <w:tcPr>
                  <w:tcW w:w="1130" w:type="pct"/>
                  <w:vAlign w:val="center"/>
                </w:tcPr>
                <w:p w14:paraId="3B8A806C">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0.0108</w:t>
                  </w:r>
                </w:p>
              </w:tc>
            </w:tr>
            <w:tr w14:paraId="798176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08" w:type="pct"/>
                  <w:vAlign w:val="center"/>
                </w:tcPr>
                <w:p w14:paraId="68CBD31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w:t>
                  </w:r>
                </w:p>
              </w:tc>
              <w:tc>
                <w:tcPr>
                  <w:tcW w:w="989" w:type="pct"/>
                  <w:shd w:val="clear" w:color="auto" w:fill="auto"/>
                  <w:vAlign w:val="center"/>
                </w:tcPr>
                <w:p w14:paraId="7D514FEA">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模具</w:t>
                  </w:r>
                </w:p>
              </w:tc>
              <w:tc>
                <w:tcPr>
                  <w:tcW w:w="548" w:type="pct"/>
                  <w:shd w:val="clear" w:color="auto" w:fill="auto"/>
                  <w:vAlign w:val="center"/>
                </w:tcPr>
                <w:p w14:paraId="64A338D0">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套/a</w:t>
                  </w:r>
                </w:p>
              </w:tc>
              <w:tc>
                <w:tcPr>
                  <w:tcW w:w="987" w:type="pct"/>
                  <w:shd w:val="clear" w:color="auto" w:fill="auto"/>
                  <w:vAlign w:val="center"/>
                </w:tcPr>
                <w:p w14:paraId="53E1D1C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200</w:t>
                  </w:r>
                </w:p>
              </w:tc>
              <w:tc>
                <w:tcPr>
                  <w:tcW w:w="937" w:type="pct"/>
                  <w:shd w:val="clear" w:color="auto" w:fill="auto"/>
                  <w:vAlign w:val="center"/>
                </w:tcPr>
                <w:p w14:paraId="5C6D2B40">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200</w:t>
                  </w:r>
                </w:p>
              </w:tc>
              <w:tc>
                <w:tcPr>
                  <w:tcW w:w="1130" w:type="pct"/>
                  <w:vAlign w:val="center"/>
                </w:tcPr>
                <w:p w14:paraId="3DFF7211">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200</w:t>
                  </w:r>
                </w:p>
              </w:tc>
            </w:tr>
            <w:tr w14:paraId="5AC31A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5000" w:type="pct"/>
                  <w:gridSpan w:val="6"/>
                  <w:vAlign w:val="center"/>
                </w:tcPr>
                <w:p w14:paraId="342D7B94">
                  <w:pPr>
                    <w:keepNext w:val="0"/>
                    <w:keepLines w:val="0"/>
                    <w:pageBreakBefore w:val="0"/>
                    <w:kinsoku/>
                    <w:wordWrap/>
                    <w:overflowPunct/>
                    <w:topLinePunct w:val="0"/>
                    <w:autoSpaceDE/>
                    <w:autoSpaceDN/>
                    <w:bidi w:val="0"/>
                    <w:adjustRightInd/>
                    <w:snapToGrid/>
                    <w:spacing w:line="240" w:lineRule="auto"/>
                    <w:ind w:right="110"/>
                    <w:jc w:val="center"/>
                    <w:rPr>
                      <w:rFonts w:hint="default"/>
                      <w:color w:val="auto"/>
                      <w:sz w:val="21"/>
                      <w:szCs w:val="21"/>
                      <w:highlight w:val="none"/>
                      <w:u w:val="none"/>
                      <w:lang w:val="en-US"/>
                    </w:rPr>
                  </w:pPr>
                  <w:r>
                    <w:rPr>
                      <w:rFonts w:hint="default"/>
                      <w:b/>
                      <w:bCs/>
                      <w:highlight w:val="none"/>
                      <w:lang w:val="en-US" w:eastAsia="zh-CN"/>
                    </w:rPr>
                    <w:t>光模块</w:t>
                  </w:r>
                </w:p>
              </w:tc>
            </w:tr>
            <w:tr w14:paraId="7BCB3B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4C630AD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c>
                <w:tcPr>
                  <w:tcW w:w="989" w:type="pct"/>
                  <w:shd w:val="clear" w:color="auto" w:fill="auto"/>
                  <w:vAlign w:val="center"/>
                </w:tcPr>
                <w:p w14:paraId="6E04AB5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TOSA（</w:t>
                  </w:r>
                  <w:r>
                    <w:rPr>
                      <w:rFonts w:ascii="PingFang SC" w:hAnsi="PingFang SC" w:eastAsia="PingFang SC" w:cs="PingFang SC"/>
                      <w:i w:val="0"/>
                      <w:iCs w:val="0"/>
                      <w:caps w:val="0"/>
                      <w:color w:val="333333"/>
                      <w:spacing w:val="0"/>
                      <w:sz w:val="21"/>
                      <w:szCs w:val="21"/>
                      <w:highlight w:val="none"/>
                      <w:shd w:val="clear" w:fill="FFFFFF"/>
                    </w:rPr>
                    <w:t>光发射次模块</w:t>
                  </w:r>
                  <w:r>
                    <w:rPr>
                      <w:rFonts w:hint="eastAsia" w:ascii="PingFang SC" w:hAnsi="PingFang SC" w:eastAsia="宋体" w:cs="PingFang SC"/>
                      <w:i w:val="0"/>
                      <w:iCs w:val="0"/>
                      <w:caps w:val="0"/>
                      <w:color w:val="333333"/>
                      <w:spacing w:val="0"/>
                      <w:sz w:val="21"/>
                      <w:szCs w:val="21"/>
                      <w:highlight w:val="none"/>
                      <w:shd w:val="clear" w:fill="FFFFFF"/>
                      <w:lang w:eastAsia="zh-CN"/>
                    </w:rPr>
                    <w:t>）</w:t>
                  </w:r>
                </w:p>
              </w:tc>
              <w:tc>
                <w:tcPr>
                  <w:tcW w:w="548" w:type="pct"/>
                  <w:shd w:val="clear" w:color="auto" w:fill="auto"/>
                  <w:vAlign w:val="center"/>
                </w:tcPr>
                <w:p w14:paraId="6F41F83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center"/>
                </w:tcPr>
                <w:p w14:paraId="4D9B474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30万</w:t>
                  </w:r>
                </w:p>
              </w:tc>
              <w:tc>
                <w:tcPr>
                  <w:tcW w:w="937" w:type="pct"/>
                  <w:shd w:val="clear" w:color="auto" w:fill="auto"/>
                  <w:vAlign w:val="center"/>
                </w:tcPr>
                <w:p w14:paraId="07C834A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30万</w:t>
                  </w:r>
                </w:p>
              </w:tc>
              <w:tc>
                <w:tcPr>
                  <w:tcW w:w="1130" w:type="pct"/>
                  <w:shd w:val="clear" w:color="auto" w:fill="auto"/>
                  <w:vAlign w:val="center"/>
                </w:tcPr>
                <w:p w14:paraId="51E8EE8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1万</w:t>
                  </w:r>
                </w:p>
              </w:tc>
            </w:tr>
            <w:tr w14:paraId="533E88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10899F7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w:t>
                  </w:r>
                </w:p>
              </w:tc>
              <w:tc>
                <w:tcPr>
                  <w:tcW w:w="989" w:type="pct"/>
                  <w:shd w:val="clear" w:color="auto" w:fill="auto"/>
                  <w:vAlign w:val="center"/>
                </w:tcPr>
                <w:p w14:paraId="2056540C">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ROSA（</w:t>
                  </w:r>
                  <w:r>
                    <w:rPr>
                      <w:rFonts w:ascii="PingFang SC" w:hAnsi="PingFang SC" w:eastAsia="PingFang SC" w:cs="PingFang SC"/>
                      <w:i w:val="0"/>
                      <w:iCs w:val="0"/>
                      <w:caps w:val="0"/>
                      <w:color w:val="333333"/>
                      <w:spacing w:val="0"/>
                      <w:sz w:val="21"/>
                      <w:szCs w:val="21"/>
                      <w:highlight w:val="none"/>
                      <w:shd w:val="clear" w:fill="FFFFFF"/>
                    </w:rPr>
                    <w:t>光接收器组件</w:t>
                  </w:r>
                  <w:r>
                    <w:rPr>
                      <w:rFonts w:hint="eastAsia" w:ascii="PingFang SC" w:hAnsi="PingFang SC" w:eastAsia="宋体" w:cs="PingFang SC"/>
                      <w:i w:val="0"/>
                      <w:iCs w:val="0"/>
                      <w:caps w:val="0"/>
                      <w:color w:val="333333"/>
                      <w:spacing w:val="0"/>
                      <w:sz w:val="21"/>
                      <w:szCs w:val="21"/>
                      <w:highlight w:val="none"/>
                      <w:shd w:val="clear" w:fill="FFFFFF"/>
                      <w:lang w:eastAsia="zh-CN"/>
                    </w:rPr>
                    <w:t>）</w:t>
                  </w:r>
                </w:p>
              </w:tc>
              <w:tc>
                <w:tcPr>
                  <w:tcW w:w="548" w:type="pct"/>
                  <w:shd w:val="clear" w:color="auto" w:fill="auto"/>
                  <w:vAlign w:val="center"/>
                </w:tcPr>
                <w:p w14:paraId="2EE6A10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center"/>
                </w:tcPr>
                <w:p w14:paraId="64B9CD6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30万</w:t>
                  </w:r>
                </w:p>
              </w:tc>
              <w:tc>
                <w:tcPr>
                  <w:tcW w:w="937" w:type="pct"/>
                  <w:shd w:val="clear" w:color="auto" w:fill="auto"/>
                  <w:vAlign w:val="center"/>
                </w:tcPr>
                <w:p w14:paraId="4BCA8CC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30万</w:t>
                  </w:r>
                </w:p>
              </w:tc>
              <w:tc>
                <w:tcPr>
                  <w:tcW w:w="1130" w:type="pct"/>
                  <w:shd w:val="clear" w:color="auto" w:fill="auto"/>
                  <w:vAlign w:val="center"/>
                </w:tcPr>
                <w:p w14:paraId="278267F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1万</w:t>
                  </w:r>
                </w:p>
              </w:tc>
            </w:tr>
            <w:tr w14:paraId="681108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6F8E0E7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w:t>
                  </w:r>
                </w:p>
              </w:tc>
              <w:tc>
                <w:tcPr>
                  <w:tcW w:w="989" w:type="pct"/>
                  <w:shd w:val="clear" w:color="auto" w:fill="auto"/>
                  <w:vAlign w:val="center"/>
                </w:tcPr>
                <w:p w14:paraId="63A0A98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BOSA光模块</w:t>
                  </w:r>
                </w:p>
              </w:tc>
              <w:tc>
                <w:tcPr>
                  <w:tcW w:w="548" w:type="pct"/>
                  <w:shd w:val="clear" w:color="auto" w:fill="auto"/>
                  <w:vAlign w:val="center"/>
                </w:tcPr>
                <w:p w14:paraId="1AEB5AA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center"/>
                </w:tcPr>
                <w:p w14:paraId="712F8D1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20万</w:t>
                  </w:r>
                </w:p>
              </w:tc>
              <w:tc>
                <w:tcPr>
                  <w:tcW w:w="937" w:type="pct"/>
                  <w:shd w:val="clear" w:color="auto" w:fill="auto"/>
                  <w:vAlign w:val="center"/>
                </w:tcPr>
                <w:p w14:paraId="2643B7D0">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20万</w:t>
                  </w:r>
                </w:p>
              </w:tc>
              <w:tc>
                <w:tcPr>
                  <w:tcW w:w="1130" w:type="pct"/>
                  <w:shd w:val="clear" w:color="auto" w:fill="auto"/>
                  <w:vAlign w:val="center"/>
                </w:tcPr>
                <w:p w14:paraId="31949EC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1万</w:t>
                  </w:r>
                </w:p>
              </w:tc>
            </w:tr>
            <w:tr w14:paraId="2DB72B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691D8A9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w:t>
                  </w:r>
                </w:p>
              </w:tc>
              <w:tc>
                <w:tcPr>
                  <w:tcW w:w="989" w:type="pct"/>
                  <w:shd w:val="clear" w:color="auto" w:fill="auto"/>
                  <w:vAlign w:val="center"/>
                </w:tcPr>
                <w:p w14:paraId="1C7B213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PCBA光模块</w:t>
                  </w:r>
                </w:p>
              </w:tc>
              <w:tc>
                <w:tcPr>
                  <w:tcW w:w="548" w:type="pct"/>
                  <w:shd w:val="clear" w:color="auto" w:fill="auto"/>
                  <w:vAlign w:val="center"/>
                </w:tcPr>
                <w:p w14:paraId="7263684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center"/>
                </w:tcPr>
                <w:p w14:paraId="2C66490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50万</w:t>
                  </w:r>
                </w:p>
              </w:tc>
              <w:tc>
                <w:tcPr>
                  <w:tcW w:w="937" w:type="pct"/>
                  <w:shd w:val="clear" w:color="auto" w:fill="auto"/>
                  <w:vAlign w:val="center"/>
                </w:tcPr>
                <w:p w14:paraId="7420E9D2">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50万</w:t>
                  </w:r>
                </w:p>
              </w:tc>
              <w:tc>
                <w:tcPr>
                  <w:tcW w:w="1130" w:type="pct"/>
                  <w:shd w:val="clear" w:color="auto" w:fill="auto"/>
                  <w:vAlign w:val="center"/>
                </w:tcPr>
                <w:p w14:paraId="7642F6D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1万</w:t>
                  </w:r>
                </w:p>
              </w:tc>
            </w:tr>
            <w:tr w14:paraId="1725DF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73A82E8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w:t>
                  </w:r>
                </w:p>
              </w:tc>
              <w:tc>
                <w:tcPr>
                  <w:tcW w:w="989" w:type="pct"/>
                  <w:shd w:val="clear" w:color="auto" w:fill="auto"/>
                  <w:vAlign w:val="center"/>
                </w:tcPr>
                <w:p w14:paraId="05FE283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FPC光模块</w:t>
                  </w:r>
                </w:p>
              </w:tc>
              <w:tc>
                <w:tcPr>
                  <w:tcW w:w="548" w:type="pct"/>
                  <w:shd w:val="clear" w:color="auto" w:fill="auto"/>
                  <w:vAlign w:val="center"/>
                </w:tcPr>
                <w:p w14:paraId="6E9CF87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center"/>
                </w:tcPr>
                <w:p w14:paraId="3C8CB7FC">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80万</w:t>
                  </w:r>
                </w:p>
              </w:tc>
              <w:tc>
                <w:tcPr>
                  <w:tcW w:w="937" w:type="pct"/>
                  <w:shd w:val="clear" w:color="auto" w:fill="auto"/>
                  <w:vAlign w:val="center"/>
                </w:tcPr>
                <w:p w14:paraId="76CED7A7">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80万</w:t>
                  </w:r>
                </w:p>
              </w:tc>
              <w:tc>
                <w:tcPr>
                  <w:tcW w:w="1130" w:type="pct"/>
                  <w:shd w:val="clear" w:color="auto" w:fill="auto"/>
                  <w:vAlign w:val="center"/>
                </w:tcPr>
                <w:p w14:paraId="04692FA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2万</w:t>
                  </w:r>
                </w:p>
              </w:tc>
            </w:tr>
            <w:tr w14:paraId="79F702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59F7C3F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6</w:t>
                  </w:r>
                </w:p>
              </w:tc>
              <w:tc>
                <w:tcPr>
                  <w:tcW w:w="989" w:type="pct"/>
                  <w:shd w:val="clear" w:color="auto" w:fill="auto"/>
                  <w:vAlign w:val="center"/>
                </w:tcPr>
                <w:p w14:paraId="4D6A6D6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COB光模块</w:t>
                  </w:r>
                </w:p>
              </w:tc>
              <w:tc>
                <w:tcPr>
                  <w:tcW w:w="548" w:type="pct"/>
                  <w:shd w:val="clear" w:color="auto" w:fill="auto"/>
                  <w:vAlign w:val="center"/>
                </w:tcPr>
                <w:p w14:paraId="0FD4E4C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center"/>
                </w:tcPr>
                <w:p w14:paraId="02B2237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1万</w:t>
                  </w:r>
                </w:p>
              </w:tc>
              <w:tc>
                <w:tcPr>
                  <w:tcW w:w="937" w:type="pct"/>
                  <w:shd w:val="clear" w:color="auto" w:fill="auto"/>
                  <w:vAlign w:val="center"/>
                </w:tcPr>
                <w:p w14:paraId="0F18DE3C">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1万</w:t>
                  </w:r>
                </w:p>
              </w:tc>
              <w:tc>
                <w:tcPr>
                  <w:tcW w:w="1130" w:type="pct"/>
                  <w:shd w:val="clear" w:color="auto" w:fill="auto"/>
                  <w:vAlign w:val="center"/>
                </w:tcPr>
                <w:p w14:paraId="7B443C9D">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1000</w:t>
                  </w:r>
                </w:p>
              </w:tc>
            </w:tr>
            <w:tr w14:paraId="3EBDA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61DB850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7</w:t>
                  </w:r>
                </w:p>
              </w:tc>
              <w:tc>
                <w:tcPr>
                  <w:tcW w:w="989" w:type="pct"/>
                  <w:shd w:val="clear" w:color="auto" w:fill="auto"/>
                  <w:vAlign w:val="center"/>
                </w:tcPr>
                <w:p w14:paraId="33AA9AC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金属外壳</w:t>
                  </w:r>
                </w:p>
              </w:tc>
              <w:tc>
                <w:tcPr>
                  <w:tcW w:w="548" w:type="pct"/>
                  <w:shd w:val="clear" w:color="auto" w:fill="auto"/>
                  <w:vAlign w:val="center"/>
                </w:tcPr>
                <w:p w14:paraId="640ADBD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center"/>
                </w:tcPr>
                <w:p w14:paraId="6A606A67">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50万</w:t>
                  </w:r>
                </w:p>
              </w:tc>
              <w:tc>
                <w:tcPr>
                  <w:tcW w:w="937" w:type="pct"/>
                  <w:shd w:val="clear" w:color="auto" w:fill="auto"/>
                  <w:vAlign w:val="center"/>
                </w:tcPr>
                <w:p w14:paraId="401662F2">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50万</w:t>
                  </w:r>
                </w:p>
              </w:tc>
              <w:tc>
                <w:tcPr>
                  <w:tcW w:w="1130" w:type="pct"/>
                  <w:shd w:val="clear" w:color="auto" w:fill="auto"/>
                  <w:vAlign w:val="center"/>
                </w:tcPr>
                <w:p w14:paraId="2E01087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1万</w:t>
                  </w:r>
                </w:p>
              </w:tc>
            </w:tr>
            <w:tr w14:paraId="56ACB2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69E4222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w:t>
                  </w:r>
                </w:p>
              </w:tc>
              <w:tc>
                <w:tcPr>
                  <w:tcW w:w="989" w:type="pct"/>
                  <w:shd w:val="clear" w:color="auto" w:fill="auto"/>
                  <w:vAlign w:val="center"/>
                </w:tcPr>
                <w:p w14:paraId="621A3D4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螺钉</w:t>
                  </w:r>
                </w:p>
              </w:tc>
              <w:tc>
                <w:tcPr>
                  <w:tcW w:w="548" w:type="pct"/>
                  <w:shd w:val="clear" w:color="auto" w:fill="auto"/>
                  <w:vAlign w:val="center"/>
                </w:tcPr>
                <w:p w14:paraId="5858B6E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center"/>
                </w:tcPr>
                <w:p w14:paraId="47CFF2F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90万</w:t>
                  </w:r>
                </w:p>
              </w:tc>
              <w:tc>
                <w:tcPr>
                  <w:tcW w:w="937" w:type="pct"/>
                  <w:shd w:val="clear" w:color="auto" w:fill="auto"/>
                  <w:vAlign w:val="center"/>
                </w:tcPr>
                <w:p w14:paraId="04CA3831">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90万</w:t>
                  </w:r>
                </w:p>
              </w:tc>
              <w:tc>
                <w:tcPr>
                  <w:tcW w:w="1130" w:type="pct"/>
                  <w:shd w:val="clear" w:color="auto" w:fill="auto"/>
                  <w:vAlign w:val="center"/>
                </w:tcPr>
                <w:p w14:paraId="69E0027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2万</w:t>
                  </w:r>
                </w:p>
              </w:tc>
            </w:tr>
            <w:tr w14:paraId="0D4E38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4B0C9BB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9</w:t>
                  </w:r>
                </w:p>
              </w:tc>
              <w:tc>
                <w:tcPr>
                  <w:tcW w:w="989" w:type="pct"/>
                  <w:shd w:val="clear" w:color="auto" w:fill="auto"/>
                  <w:vAlign w:val="center"/>
                </w:tcPr>
                <w:p w14:paraId="7456B62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吸塑盒</w:t>
                  </w:r>
                </w:p>
              </w:tc>
              <w:tc>
                <w:tcPr>
                  <w:tcW w:w="548" w:type="pct"/>
                  <w:shd w:val="clear" w:color="auto" w:fill="auto"/>
                  <w:vAlign w:val="center"/>
                </w:tcPr>
                <w:p w14:paraId="3DECE78E">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center"/>
                </w:tcPr>
                <w:p w14:paraId="56E79F3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5万</w:t>
                  </w:r>
                </w:p>
              </w:tc>
              <w:tc>
                <w:tcPr>
                  <w:tcW w:w="937" w:type="pct"/>
                  <w:shd w:val="clear" w:color="auto" w:fill="auto"/>
                  <w:vAlign w:val="center"/>
                </w:tcPr>
                <w:p w14:paraId="75AA910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5万</w:t>
                  </w:r>
                </w:p>
              </w:tc>
              <w:tc>
                <w:tcPr>
                  <w:tcW w:w="1130" w:type="pct"/>
                  <w:shd w:val="clear" w:color="auto" w:fill="auto"/>
                  <w:vAlign w:val="center"/>
                </w:tcPr>
                <w:p w14:paraId="1408F60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1000</w:t>
                  </w:r>
                </w:p>
              </w:tc>
            </w:tr>
            <w:tr w14:paraId="7833B4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3654126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10</w:t>
                  </w:r>
                </w:p>
              </w:tc>
              <w:tc>
                <w:tcPr>
                  <w:tcW w:w="989" w:type="pct"/>
                  <w:shd w:val="clear" w:color="auto" w:fill="auto"/>
                  <w:vAlign w:val="center"/>
                </w:tcPr>
                <w:p w14:paraId="1B1265BC">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纸箱</w:t>
                  </w:r>
                </w:p>
              </w:tc>
              <w:tc>
                <w:tcPr>
                  <w:tcW w:w="548" w:type="pct"/>
                  <w:shd w:val="clear" w:color="auto" w:fill="auto"/>
                  <w:vAlign w:val="center"/>
                </w:tcPr>
                <w:p w14:paraId="1BC9BBF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center"/>
                </w:tcPr>
                <w:p w14:paraId="1EC60D5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1万</w:t>
                  </w:r>
                </w:p>
              </w:tc>
              <w:tc>
                <w:tcPr>
                  <w:tcW w:w="937" w:type="pct"/>
                  <w:shd w:val="clear" w:color="auto" w:fill="auto"/>
                  <w:vAlign w:val="center"/>
                </w:tcPr>
                <w:p w14:paraId="323A787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1万</w:t>
                  </w:r>
                </w:p>
              </w:tc>
              <w:tc>
                <w:tcPr>
                  <w:tcW w:w="1130" w:type="pct"/>
                  <w:shd w:val="clear" w:color="auto" w:fill="auto"/>
                  <w:vAlign w:val="center"/>
                </w:tcPr>
                <w:p w14:paraId="26C763C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1000</w:t>
                  </w:r>
                </w:p>
              </w:tc>
            </w:tr>
            <w:tr w14:paraId="4BFE43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78C5D49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11</w:t>
                  </w:r>
                </w:p>
              </w:tc>
              <w:tc>
                <w:tcPr>
                  <w:tcW w:w="989" w:type="pct"/>
                  <w:shd w:val="clear" w:color="auto" w:fill="auto"/>
                  <w:vAlign w:val="center"/>
                </w:tcPr>
                <w:p w14:paraId="473684C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无铅锡</w:t>
                  </w:r>
                </w:p>
              </w:tc>
              <w:tc>
                <w:tcPr>
                  <w:tcW w:w="548" w:type="pct"/>
                  <w:shd w:val="clear" w:color="auto" w:fill="auto"/>
                  <w:vAlign w:val="center"/>
                </w:tcPr>
                <w:p w14:paraId="11270296">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center"/>
                </w:tcPr>
                <w:p w14:paraId="01504B6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0.12</w:t>
                  </w:r>
                </w:p>
              </w:tc>
              <w:tc>
                <w:tcPr>
                  <w:tcW w:w="937" w:type="pct"/>
                  <w:shd w:val="clear" w:color="auto" w:fill="auto"/>
                  <w:vAlign w:val="center"/>
                </w:tcPr>
                <w:p w14:paraId="0956AE0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0.12</w:t>
                  </w:r>
                </w:p>
              </w:tc>
              <w:tc>
                <w:tcPr>
                  <w:tcW w:w="1130" w:type="pct"/>
                  <w:shd w:val="clear" w:color="auto" w:fill="auto"/>
                  <w:vAlign w:val="center"/>
                </w:tcPr>
                <w:p w14:paraId="58143E7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0.01</w:t>
                  </w:r>
                </w:p>
              </w:tc>
            </w:tr>
            <w:tr w14:paraId="3DD5F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2FF6A96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12</w:t>
                  </w:r>
                </w:p>
              </w:tc>
              <w:tc>
                <w:tcPr>
                  <w:tcW w:w="989" w:type="pct"/>
                  <w:shd w:val="clear" w:color="auto" w:fill="auto"/>
                  <w:vAlign w:val="center"/>
                </w:tcPr>
                <w:p w14:paraId="4CCC743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助焊剂</w:t>
                  </w:r>
                </w:p>
              </w:tc>
              <w:tc>
                <w:tcPr>
                  <w:tcW w:w="548" w:type="pct"/>
                  <w:shd w:val="clear" w:color="auto" w:fill="auto"/>
                  <w:vAlign w:val="center"/>
                </w:tcPr>
                <w:p w14:paraId="2A5EE19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center"/>
                </w:tcPr>
                <w:p w14:paraId="05B1675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0.001</w:t>
                  </w:r>
                </w:p>
              </w:tc>
              <w:tc>
                <w:tcPr>
                  <w:tcW w:w="937" w:type="pct"/>
                  <w:shd w:val="clear" w:color="auto" w:fill="auto"/>
                  <w:vAlign w:val="center"/>
                </w:tcPr>
                <w:p w14:paraId="5B15790F">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0.001</w:t>
                  </w:r>
                </w:p>
              </w:tc>
              <w:tc>
                <w:tcPr>
                  <w:tcW w:w="1130" w:type="pct"/>
                  <w:shd w:val="clear" w:color="auto" w:fill="auto"/>
                  <w:vAlign w:val="center"/>
                </w:tcPr>
                <w:p w14:paraId="43A852C6">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0.001</w:t>
                  </w:r>
                </w:p>
              </w:tc>
            </w:tr>
            <w:tr w14:paraId="508F2B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5000" w:type="pct"/>
                  <w:gridSpan w:val="6"/>
                  <w:vAlign w:val="center"/>
                </w:tcPr>
                <w:p w14:paraId="2DA41401">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b/>
                      <w:bCs/>
                      <w:color w:val="auto"/>
                      <w:sz w:val="21"/>
                      <w:szCs w:val="21"/>
                      <w:highlight w:val="none"/>
                      <w:lang w:val="en-US" w:eastAsia="zh-CN"/>
                    </w:rPr>
                    <w:t>适配器</w:t>
                  </w:r>
                </w:p>
              </w:tc>
            </w:tr>
            <w:tr w14:paraId="7D7D8F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8" w:type="pct"/>
                  <w:shd w:val="clear" w:color="auto" w:fill="auto"/>
                  <w:vAlign w:val="center"/>
                </w:tcPr>
                <w:p w14:paraId="5D72D6C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1</w:t>
                  </w:r>
                </w:p>
              </w:tc>
              <w:tc>
                <w:tcPr>
                  <w:tcW w:w="989" w:type="pct"/>
                  <w:shd w:val="clear" w:color="auto" w:fill="auto"/>
                  <w:vAlign w:val="top"/>
                </w:tcPr>
                <w:p w14:paraId="32E1E73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PBT</w:t>
                  </w:r>
                </w:p>
              </w:tc>
              <w:tc>
                <w:tcPr>
                  <w:tcW w:w="548" w:type="pct"/>
                  <w:shd w:val="clear" w:color="auto" w:fill="auto"/>
                  <w:vAlign w:val="top"/>
                </w:tcPr>
                <w:p w14:paraId="27C97BC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 xml:space="preserve"> </w:t>
                  </w:r>
                  <w:r>
                    <w:rPr>
                      <w:rFonts w:hint="eastAsia" w:ascii="Times New Roman" w:hAnsi="Times New Roman" w:eastAsia="宋体" w:cs="Times New Roman"/>
                      <w:sz w:val="21"/>
                      <w:szCs w:val="21"/>
                      <w:highlight w:val="none"/>
                      <w:lang w:val="en-US" w:eastAsia="zh-CN"/>
                    </w:rPr>
                    <w:t xml:space="preserve">吨/年 </w:t>
                  </w:r>
                </w:p>
              </w:tc>
              <w:tc>
                <w:tcPr>
                  <w:tcW w:w="987" w:type="pct"/>
                  <w:shd w:val="clear" w:color="auto" w:fill="auto"/>
                  <w:vAlign w:val="top"/>
                </w:tcPr>
                <w:p w14:paraId="3A120712">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w:t>
                  </w:r>
                </w:p>
              </w:tc>
              <w:tc>
                <w:tcPr>
                  <w:tcW w:w="937" w:type="pct"/>
                  <w:shd w:val="clear" w:color="auto" w:fill="auto"/>
                  <w:vAlign w:val="top"/>
                </w:tcPr>
                <w:p w14:paraId="5DAFF09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130</w:t>
                  </w:r>
                </w:p>
              </w:tc>
              <w:tc>
                <w:tcPr>
                  <w:tcW w:w="1130" w:type="pct"/>
                  <w:shd w:val="clear" w:color="auto" w:fill="auto"/>
                  <w:vAlign w:val="center"/>
                </w:tcPr>
                <w:p w14:paraId="5F32F5C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10</w:t>
                  </w:r>
                </w:p>
              </w:tc>
            </w:tr>
            <w:tr w14:paraId="3390D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shd w:val="clear" w:color="auto" w:fill="auto"/>
                  <w:vAlign w:val="center"/>
                </w:tcPr>
                <w:p w14:paraId="20D3FCB7">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2</w:t>
                  </w:r>
                </w:p>
              </w:tc>
              <w:tc>
                <w:tcPr>
                  <w:tcW w:w="989" w:type="pct"/>
                  <w:shd w:val="clear" w:color="auto" w:fill="auto"/>
                  <w:vAlign w:val="center"/>
                </w:tcPr>
                <w:p w14:paraId="08997651">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不锈钢</w:t>
                  </w:r>
                </w:p>
              </w:tc>
              <w:tc>
                <w:tcPr>
                  <w:tcW w:w="548" w:type="pct"/>
                  <w:shd w:val="clear" w:color="auto" w:fill="auto"/>
                  <w:vAlign w:val="top"/>
                </w:tcPr>
                <w:p w14:paraId="70FF153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 xml:space="preserve"> </w:t>
                  </w:r>
                  <w:r>
                    <w:rPr>
                      <w:rFonts w:hint="eastAsia" w:ascii="Times New Roman" w:hAnsi="Times New Roman" w:eastAsia="宋体" w:cs="Times New Roman"/>
                      <w:sz w:val="21"/>
                      <w:szCs w:val="21"/>
                      <w:highlight w:val="none"/>
                      <w:lang w:val="en-US" w:eastAsia="zh-CN"/>
                    </w:rPr>
                    <w:t>吨/年</w:t>
                  </w:r>
                </w:p>
              </w:tc>
              <w:tc>
                <w:tcPr>
                  <w:tcW w:w="987" w:type="pct"/>
                  <w:shd w:val="clear" w:color="auto" w:fill="auto"/>
                  <w:vAlign w:val="top"/>
                </w:tcPr>
                <w:p w14:paraId="4C8BC92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w:t>
                  </w:r>
                </w:p>
              </w:tc>
              <w:tc>
                <w:tcPr>
                  <w:tcW w:w="937" w:type="pct"/>
                  <w:shd w:val="clear" w:color="auto" w:fill="auto"/>
                  <w:vAlign w:val="top"/>
                </w:tcPr>
                <w:p w14:paraId="618B977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40</w:t>
                  </w:r>
                </w:p>
              </w:tc>
              <w:tc>
                <w:tcPr>
                  <w:tcW w:w="1130" w:type="pct"/>
                  <w:shd w:val="clear" w:color="auto" w:fill="auto"/>
                  <w:vAlign w:val="center"/>
                </w:tcPr>
                <w:p w14:paraId="03E61FB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4</w:t>
                  </w:r>
                </w:p>
              </w:tc>
            </w:tr>
            <w:tr w14:paraId="3D57D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shd w:val="clear" w:color="auto" w:fill="auto"/>
                  <w:vAlign w:val="center"/>
                </w:tcPr>
                <w:p w14:paraId="1E1B0E7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3</w:t>
                  </w:r>
                </w:p>
              </w:tc>
              <w:tc>
                <w:tcPr>
                  <w:tcW w:w="989" w:type="pct"/>
                  <w:shd w:val="clear" w:color="auto" w:fill="auto"/>
                  <w:vAlign w:val="center"/>
                </w:tcPr>
                <w:p w14:paraId="6946E54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陶瓷管</w:t>
                  </w:r>
                </w:p>
              </w:tc>
              <w:tc>
                <w:tcPr>
                  <w:tcW w:w="548" w:type="pct"/>
                  <w:shd w:val="clear" w:color="auto" w:fill="auto"/>
                  <w:vAlign w:val="top"/>
                </w:tcPr>
                <w:p w14:paraId="6B760666">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top"/>
                </w:tcPr>
                <w:p w14:paraId="14B10A3B">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w:t>
                  </w:r>
                </w:p>
              </w:tc>
              <w:tc>
                <w:tcPr>
                  <w:tcW w:w="937" w:type="pct"/>
                  <w:shd w:val="clear" w:color="auto" w:fill="auto"/>
                  <w:vAlign w:val="top"/>
                </w:tcPr>
                <w:p w14:paraId="7ACD234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3600</w:t>
                  </w:r>
                  <w:r>
                    <w:rPr>
                      <w:rFonts w:hint="eastAsia" w:cs="Times New Roman"/>
                      <w:sz w:val="21"/>
                      <w:szCs w:val="21"/>
                      <w:highlight w:val="none"/>
                      <w:lang w:val="en-US" w:eastAsia="zh-CN"/>
                    </w:rPr>
                    <w:t>万</w:t>
                  </w:r>
                </w:p>
              </w:tc>
              <w:tc>
                <w:tcPr>
                  <w:tcW w:w="1130" w:type="pct"/>
                  <w:shd w:val="clear" w:color="auto" w:fill="auto"/>
                  <w:vAlign w:val="center"/>
                </w:tcPr>
                <w:p w14:paraId="5062165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360万</w:t>
                  </w:r>
                </w:p>
              </w:tc>
            </w:tr>
            <w:tr w14:paraId="46772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shd w:val="clear" w:color="auto" w:fill="auto"/>
                  <w:vAlign w:val="center"/>
                </w:tcPr>
                <w:p w14:paraId="4D08F3A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4</w:t>
                  </w:r>
                </w:p>
              </w:tc>
              <w:tc>
                <w:tcPr>
                  <w:tcW w:w="989" w:type="pct"/>
                  <w:shd w:val="clear" w:color="auto" w:fill="auto"/>
                  <w:vAlign w:val="center"/>
                </w:tcPr>
                <w:p w14:paraId="282558F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真空盒</w:t>
                  </w:r>
                </w:p>
              </w:tc>
              <w:tc>
                <w:tcPr>
                  <w:tcW w:w="548" w:type="pct"/>
                  <w:shd w:val="clear" w:color="auto" w:fill="auto"/>
                  <w:vAlign w:val="top"/>
                </w:tcPr>
                <w:p w14:paraId="1D06148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top"/>
                </w:tcPr>
                <w:p w14:paraId="6369BB0F">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w:t>
                  </w:r>
                </w:p>
              </w:tc>
              <w:tc>
                <w:tcPr>
                  <w:tcW w:w="937" w:type="pct"/>
                  <w:shd w:val="clear" w:color="auto" w:fill="auto"/>
                  <w:vAlign w:val="top"/>
                </w:tcPr>
                <w:p w14:paraId="7F2B4DA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768</w:t>
                  </w:r>
                  <w:r>
                    <w:rPr>
                      <w:rFonts w:hint="eastAsia" w:cs="Times New Roman"/>
                      <w:sz w:val="21"/>
                      <w:szCs w:val="21"/>
                      <w:highlight w:val="none"/>
                      <w:lang w:val="en-US" w:eastAsia="zh-CN"/>
                    </w:rPr>
                    <w:t>万</w:t>
                  </w:r>
                </w:p>
              </w:tc>
              <w:tc>
                <w:tcPr>
                  <w:tcW w:w="1130" w:type="pct"/>
                  <w:shd w:val="clear" w:color="auto" w:fill="auto"/>
                  <w:vAlign w:val="center"/>
                </w:tcPr>
                <w:p w14:paraId="7EC88C0A">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70万</w:t>
                  </w:r>
                </w:p>
              </w:tc>
            </w:tr>
            <w:tr w14:paraId="1B77A5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shd w:val="clear" w:color="auto" w:fill="auto"/>
                  <w:vAlign w:val="center"/>
                </w:tcPr>
                <w:p w14:paraId="36470FEF">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5</w:t>
                  </w:r>
                </w:p>
              </w:tc>
              <w:tc>
                <w:tcPr>
                  <w:tcW w:w="989" w:type="pct"/>
                  <w:shd w:val="clear" w:color="auto" w:fill="auto"/>
                  <w:vAlign w:val="center"/>
                </w:tcPr>
                <w:p w14:paraId="3CBFF9F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纸箱</w:t>
                  </w:r>
                </w:p>
              </w:tc>
              <w:tc>
                <w:tcPr>
                  <w:tcW w:w="548" w:type="pct"/>
                  <w:shd w:val="clear" w:color="auto" w:fill="auto"/>
                  <w:vAlign w:val="top"/>
                </w:tcPr>
                <w:p w14:paraId="7C66CB37">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个</w:t>
                  </w:r>
                  <w:r>
                    <w:rPr>
                      <w:rFonts w:hint="eastAsia" w:ascii="Times New Roman" w:hAnsi="Times New Roman" w:eastAsia="宋体" w:cs="Times New Roman"/>
                      <w:sz w:val="21"/>
                      <w:szCs w:val="21"/>
                      <w:highlight w:val="none"/>
                      <w:lang w:val="en-US" w:eastAsia="zh-CN"/>
                    </w:rPr>
                    <w:t>/a</w:t>
                  </w:r>
                </w:p>
              </w:tc>
              <w:tc>
                <w:tcPr>
                  <w:tcW w:w="987" w:type="pct"/>
                  <w:shd w:val="clear" w:color="auto" w:fill="auto"/>
                  <w:vAlign w:val="top"/>
                </w:tcPr>
                <w:p w14:paraId="6F79AF0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w:t>
                  </w:r>
                </w:p>
              </w:tc>
              <w:tc>
                <w:tcPr>
                  <w:tcW w:w="937" w:type="pct"/>
                  <w:shd w:val="clear" w:color="auto" w:fill="auto"/>
                  <w:vAlign w:val="top"/>
                </w:tcPr>
                <w:p w14:paraId="5F4DBC3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 xml:space="preserve">74000 </w:t>
                  </w:r>
                </w:p>
              </w:tc>
              <w:tc>
                <w:tcPr>
                  <w:tcW w:w="1130" w:type="pct"/>
                  <w:shd w:val="clear" w:color="auto" w:fill="auto"/>
                  <w:vAlign w:val="center"/>
                </w:tcPr>
                <w:p w14:paraId="7A1165C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7000</w:t>
                  </w:r>
                </w:p>
              </w:tc>
            </w:tr>
            <w:tr w14:paraId="6B8B4B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shd w:val="clear" w:color="auto" w:fill="auto"/>
                  <w:vAlign w:val="center"/>
                </w:tcPr>
                <w:p w14:paraId="539882B2">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6</w:t>
                  </w:r>
                </w:p>
              </w:tc>
              <w:tc>
                <w:tcPr>
                  <w:tcW w:w="989" w:type="pct"/>
                  <w:shd w:val="clear" w:color="auto" w:fill="auto"/>
                  <w:vAlign w:val="top"/>
                </w:tcPr>
                <w:p w14:paraId="4A12076A">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LCP</w:t>
                  </w:r>
                </w:p>
              </w:tc>
              <w:tc>
                <w:tcPr>
                  <w:tcW w:w="548" w:type="pct"/>
                  <w:shd w:val="clear" w:color="auto" w:fill="auto"/>
                  <w:vAlign w:val="top"/>
                </w:tcPr>
                <w:p w14:paraId="1A04079A">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 xml:space="preserve"> 吨/年 </w:t>
                  </w:r>
                </w:p>
              </w:tc>
              <w:tc>
                <w:tcPr>
                  <w:tcW w:w="987" w:type="pct"/>
                  <w:shd w:val="clear" w:color="auto" w:fill="auto"/>
                  <w:vAlign w:val="top"/>
                </w:tcPr>
                <w:p w14:paraId="58DBC3F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w:t>
                  </w:r>
                </w:p>
              </w:tc>
              <w:tc>
                <w:tcPr>
                  <w:tcW w:w="937" w:type="pct"/>
                  <w:shd w:val="clear" w:color="auto" w:fill="auto"/>
                  <w:vAlign w:val="top"/>
                </w:tcPr>
                <w:p w14:paraId="5E0ACDD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50吨</w:t>
                  </w:r>
                </w:p>
              </w:tc>
              <w:tc>
                <w:tcPr>
                  <w:tcW w:w="1130" w:type="pct"/>
                  <w:shd w:val="clear" w:color="auto" w:fill="auto"/>
                  <w:vAlign w:val="center"/>
                </w:tcPr>
                <w:p w14:paraId="63E8030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w:t>
                  </w:r>
                </w:p>
              </w:tc>
            </w:tr>
            <w:tr w14:paraId="120A57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shd w:val="clear" w:color="auto" w:fill="auto"/>
                  <w:vAlign w:val="center"/>
                </w:tcPr>
                <w:p w14:paraId="79C17080">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7</w:t>
                  </w:r>
                </w:p>
              </w:tc>
              <w:tc>
                <w:tcPr>
                  <w:tcW w:w="989" w:type="pct"/>
                  <w:shd w:val="clear" w:color="auto" w:fill="auto"/>
                  <w:vAlign w:val="center"/>
                </w:tcPr>
                <w:p w14:paraId="3B9170C7">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脱模剂</w:t>
                  </w:r>
                </w:p>
              </w:tc>
              <w:tc>
                <w:tcPr>
                  <w:tcW w:w="548" w:type="pct"/>
                  <w:shd w:val="clear" w:color="auto" w:fill="auto"/>
                  <w:vAlign w:val="center"/>
                </w:tcPr>
                <w:p w14:paraId="70572CE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center"/>
                </w:tcPr>
                <w:p w14:paraId="7362824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0</w:t>
                  </w:r>
                </w:p>
              </w:tc>
              <w:tc>
                <w:tcPr>
                  <w:tcW w:w="937" w:type="pct"/>
                  <w:shd w:val="clear" w:color="auto" w:fill="auto"/>
                  <w:vAlign w:val="center"/>
                </w:tcPr>
                <w:p w14:paraId="5327CFE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0.0324</w:t>
                  </w:r>
                </w:p>
              </w:tc>
              <w:tc>
                <w:tcPr>
                  <w:tcW w:w="1130" w:type="pct"/>
                  <w:shd w:val="clear" w:color="auto" w:fill="auto"/>
                  <w:vAlign w:val="center"/>
                </w:tcPr>
                <w:p w14:paraId="7699846C">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0.0045</w:t>
                  </w:r>
                </w:p>
              </w:tc>
            </w:tr>
            <w:tr w14:paraId="2B2622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4384263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8</w:t>
                  </w:r>
                </w:p>
              </w:tc>
              <w:tc>
                <w:tcPr>
                  <w:tcW w:w="989" w:type="pct"/>
                  <w:shd w:val="clear" w:color="auto" w:fill="auto"/>
                  <w:vAlign w:val="center"/>
                </w:tcPr>
                <w:p w14:paraId="18ABCF32">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rPr>
                    <w:t>离型剂</w:t>
                  </w:r>
                </w:p>
              </w:tc>
              <w:tc>
                <w:tcPr>
                  <w:tcW w:w="548" w:type="pct"/>
                  <w:shd w:val="clear" w:color="auto" w:fill="auto"/>
                  <w:vAlign w:val="center"/>
                </w:tcPr>
                <w:p w14:paraId="523E1137">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center"/>
                </w:tcPr>
                <w:p w14:paraId="7B8D269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0</w:t>
                  </w:r>
                </w:p>
              </w:tc>
              <w:tc>
                <w:tcPr>
                  <w:tcW w:w="937" w:type="pct"/>
                  <w:shd w:val="clear" w:color="auto" w:fill="auto"/>
                  <w:vAlign w:val="center"/>
                </w:tcPr>
                <w:p w14:paraId="16ABA02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0.0216</w:t>
                  </w:r>
                </w:p>
              </w:tc>
              <w:tc>
                <w:tcPr>
                  <w:tcW w:w="1130" w:type="pct"/>
                  <w:shd w:val="clear" w:color="auto" w:fill="auto"/>
                  <w:vAlign w:val="center"/>
                </w:tcPr>
                <w:p w14:paraId="2163CE1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0.0108</w:t>
                  </w:r>
                </w:p>
              </w:tc>
            </w:tr>
            <w:tr w14:paraId="3F197D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08" w:type="pct"/>
                  <w:vAlign w:val="center"/>
                </w:tcPr>
                <w:p w14:paraId="5E4C231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9</w:t>
                  </w:r>
                </w:p>
              </w:tc>
              <w:tc>
                <w:tcPr>
                  <w:tcW w:w="989" w:type="pct"/>
                  <w:shd w:val="clear" w:color="auto" w:fill="auto"/>
                  <w:vAlign w:val="center"/>
                </w:tcPr>
                <w:p w14:paraId="0AD802A6">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模具</w:t>
                  </w:r>
                </w:p>
              </w:tc>
              <w:tc>
                <w:tcPr>
                  <w:tcW w:w="548" w:type="pct"/>
                  <w:shd w:val="clear" w:color="auto" w:fill="auto"/>
                  <w:vAlign w:val="center"/>
                </w:tcPr>
                <w:p w14:paraId="0B58563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套/a</w:t>
                  </w:r>
                </w:p>
              </w:tc>
              <w:tc>
                <w:tcPr>
                  <w:tcW w:w="987" w:type="pct"/>
                  <w:shd w:val="clear" w:color="auto" w:fill="auto"/>
                  <w:vAlign w:val="center"/>
                </w:tcPr>
                <w:p w14:paraId="0708A168">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0</w:t>
                  </w:r>
                </w:p>
              </w:tc>
              <w:tc>
                <w:tcPr>
                  <w:tcW w:w="937" w:type="pct"/>
                  <w:shd w:val="clear" w:color="auto" w:fill="auto"/>
                  <w:vAlign w:val="center"/>
                </w:tcPr>
                <w:p w14:paraId="55C2C300">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200</w:t>
                  </w:r>
                </w:p>
              </w:tc>
              <w:tc>
                <w:tcPr>
                  <w:tcW w:w="1130" w:type="pct"/>
                  <w:shd w:val="clear" w:color="auto" w:fill="auto"/>
                  <w:vAlign w:val="center"/>
                </w:tcPr>
                <w:p w14:paraId="140031E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200</w:t>
                  </w:r>
                </w:p>
              </w:tc>
            </w:tr>
            <w:tr w14:paraId="71C987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5000" w:type="pct"/>
                  <w:gridSpan w:val="6"/>
                  <w:vAlign w:val="center"/>
                </w:tcPr>
                <w:p w14:paraId="533D628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b/>
                      <w:bCs/>
                      <w:sz w:val="21"/>
                      <w:szCs w:val="21"/>
                      <w:highlight w:val="none"/>
                      <w:lang w:val="en-US" w:eastAsia="zh-CN"/>
                    </w:rPr>
                    <w:t>公用原料</w:t>
                  </w:r>
                </w:p>
              </w:tc>
            </w:tr>
            <w:tr w14:paraId="250CD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08" w:type="pct"/>
                  <w:vAlign w:val="center"/>
                </w:tcPr>
                <w:p w14:paraId="111457D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c>
                <w:tcPr>
                  <w:tcW w:w="989" w:type="pct"/>
                  <w:shd w:val="clear" w:color="auto" w:fill="auto"/>
                  <w:vAlign w:val="center"/>
                </w:tcPr>
                <w:p w14:paraId="75505D2C">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润滑</w:t>
                  </w:r>
                  <w:r>
                    <w:rPr>
                      <w:rFonts w:hint="eastAsia" w:cs="Times New Roman"/>
                      <w:sz w:val="21"/>
                      <w:szCs w:val="21"/>
                      <w:highlight w:val="none"/>
                      <w:lang w:val="en-US" w:eastAsia="zh-CN"/>
                    </w:rPr>
                    <w:t>油</w:t>
                  </w:r>
                </w:p>
              </w:tc>
              <w:tc>
                <w:tcPr>
                  <w:tcW w:w="548" w:type="pct"/>
                  <w:shd w:val="clear" w:color="auto" w:fill="auto"/>
                  <w:vAlign w:val="center"/>
                </w:tcPr>
                <w:p w14:paraId="5CD03750">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center"/>
                </w:tcPr>
                <w:p w14:paraId="2E8A5025">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0.03</w:t>
                  </w:r>
                  <w:r>
                    <w:rPr>
                      <w:rFonts w:hint="eastAsia" w:cs="Times New Roman"/>
                      <w:sz w:val="21"/>
                      <w:szCs w:val="21"/>
                      <w:highlight w:val="none"/>
                      <w:lang w:val="en-US" w:eastAsia="zh-CN"/>
                    </w:rPr>
                    <w:t>24</w:t>
                  </w:r>
                </w:p>
              </w:tc>
              <w:tc>
                <w:tcPr>
                  <w:tcW w:w="937" w:type="pct"/>
                  <w:shd w:val="clear" w:color="auto" w:fill="auto"/>
                  <w:vAlign w:val="center"/>
                </w:tcPr>
                <w:p w14:paraId="2D51D326">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0.05</w:t>
                  </w:r>
                </w:p>
              </w:tc>
              <w:tc>
                <w:tcPr>
                  <w:tcW w:w="1130" w:type="pct"/>
                  <w:shd w:val="clear" w:color="auto" w:fill="auto"/>
                  <w:vAlign w:val="center"/>
                </w:tcPr>
                <w:p w14:paraId="34DD18AF">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w:t>
                  </w:r>
                  <w:r>
                    <w:rPr>
                      <w:rFonts w:hint="eastAsia" w:cs="Times New Roman"/>
                      <w:sz w:val="21"/>
                      <w:szCs w:val="21"/>
                      <w:highlight w:val="none"/>
                      <w:lang w:val="en-US" w:eastAsia="zh-CN"/>
                    </w:rPr>
                    <w:t>1</w:t>
                  </w:r>
                </w:p>
              </w:tc>
            </w:tr>
            <w:tr w14:paraId="2FAB7A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08" w:type="pct"/>
                  <w:vAlign w:val="center"/>
                </w:tcPr>
                <w:p w14:paraId="4149DC3C">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w:t>
                  </w:r>
                </w:p>
              </w:tc>
              <w:tc>
                <w:tcPr>
                  <w:tcW w:w="989" w:type="pct"/>
                  <w:shd w:val="clear" w:color="auto" w:fill="auto"/>
                  <w:vAlign w:val="center"/>
                </w:tcPr>
                <w:p w14:paraId="1DE425B9">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空压机油</w:t>
                  </w:r>
                </w:p>
              </w:tc>
              <w:tc>
                <w:tcPr>
                  <w:tcW w:w="548" w:type="pct"/>
                  <w:shd w:val="clear" w:color="auto" w:fill="auto"/>
                  <w:vAlign w:val="center"/>
                </w:tcPr>
                <w:p w14:paraId="19A6E846">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center"/>
                </w:tcPr>
                <w:p w14:paraId="3EEE7345">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w:t>
                  </w:r>
                  <w:r>
                    <w:rPr>
                      <w:rFonts w:hint="eastAsia" w:cs="Times New Roman"/>
                      <w:sz w:val="21"/>
                      <w:szCs w:val="21"/>
                      <w:highlight w:val="none"/>
                      <w:lang w:val="en-US" w:eastAsia="zh-CN"/>
                    </w:rPr>
                    <w:t>6</w:t>
                  </w:r>
                </w:p>
              </w:tc>
              <w:tc>
                <w:tcPr>
                  <w:tcW w:w="937" w:type="pct"/>
                  <w:shd w:val="clear" w:color="auto" w:fill="auto"/>
                  <w:vAlign w:val="center"/>
                </w:tcPr>
                <w:p w14:paraId="0BCB1F6E">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w:t>
                  </w:r>
                </w:p>
              </w:tc>
              <w:tc>
                <w:tcPr>
                  <w:tcW w:w="1130" w:type="pct"/>
                  <w:shd w:val="clear" w:color="auto" w:fill="auto"/>
                  <w:vAlign w:val="center"/>
                </w:tcPr>
                <w:p w14:paraId="6BAD18E4">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0.01</w:t>
                  </w:r>
                </w:p>
              </w:tc>
            </w:tr>
            <w:tr w14:paraId="4FD2BC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08" w:type="pct"/>
                  <w:vAlign w:val="center"/>
                </w:tcPr>
                <w:p w14:paraId="3348D73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w:t>
                  </w:r>
                </w:p>
              </w:tc>
              <w:tc>
                <w:tcPr>
                  <w:tcW w:w="989" w:type="pct"/>
                  <w:shd w:val="clear" w:color="auto" w:fill="auto"/>
                  <w:vAlign w:val="center"/>
                </w:tcPr>
                <w:p w14:paraId="3F7F043C">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液压油</w:t>
                  </w:r>
                </w:p>
              </w:tc>
              <w:tc>
                <w:tcPr>
                  <w:tcW w:w="548" w:type="pct"/>
                  <w:shd w:val="clear" w:color="auto" w:fill="auto"/>
                  <w:vAlign w:val="center"/>
                </w:tcPr>
                <w:p w14:paraId="1BCEDFC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t/a</w:t>
                  </w:r>
                </w:p>
              </w:tc>
              <w:tc>
                <w:tcPr>
                  <w:tcW w:w="987" w:type="pct"/>
                  <w:shd w:val="clear" w:color="auto" w:fill="auto"/>
                  <w:vAlign w:val="center"/>
                </w:tcPr>
                <w:p w14:paraId="34988700">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w:t>
                  </w:r>
                  <w:r>
                    <w:rPr>
                      <w:rFonts w:hint="eastAsia" w:cs="Times New Roman"/>
                      <w:sz w:val="21"/>
                      <w:szCs w:val="21"/>
                      <w:highlight w:val="none"/>
                      <w:lang w:val="en-US" w:eastAsia="zh-CN"/>
                    </w:rPr>
                    <w:t>5</w:t>
                  </w:r>
                </w:p>
              </w:tc>
              <w:tc>
                <w:tcPr>
                  <w:tcW w:w="937" w:type="pct"/>
                  <w:shd w:val="clear" w:color="auto" w:fill="auto"/>
                  <w:vAlign w:val="center"/>
                </w:tcPr>
                <w:p w14:paraId="70EE2B43">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0.</w:t>
                  </w:r>
                  <w:r>
                    <w:rPr>
                      <w:rFonts w:hint="eastAsia" w:cs="Times New Roman"/>
                      <w:sz w:val="21"/>
                      <w:szCs w:val="21"/>
                      <w:highlight w:val="none"/>
                      <w:lang w:val="en-US" w:eastAsia="zh-CN"/>
                    </w:rPr>
                    <w:t>1</w:t>
                  </w:r>
                </w:p>
              </w:tc>
              <w:tc>
                <w:tcPr>
                  <w:tcW w:w="1130" w:type="pct"/>
                  <w:vAlign w:val="center"/>
                </w:tcPr>
                <w:p w14:paraId="748099B2">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0.0</w:t>
                  </w:r>
                  <w:r>
                    <w:rPr>
                      <w:rFonts w:hint="eastAsia" w:cs="Times New Roman"/>
                      <w:sz w:val="21"/>
                      <w:szCs w:val="21"/>
                      <w:highlight w:val="none"/>
                      <w:lang w:val="en-US" w:eastAsia="zh-CN"/>
                    </w:rPr>
                    <w:t>1</w:t>
                  </w:r>
                </w:p>
              </w:tc>
            </w:tr>
            <w:tr w14:paraId="2AB31B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5000" w:type="pct"/>
                  <w:gridSpan w:val="6"/>
                  <w:vAlign w:val="center"/>
                </w:tcPr>
                <w:p w14:paraId="56E8D71B">
                  <w:pPr>
                    <w:keepNext w:val="0"/>
                    <w:keepLines w:val="0"/>
                    <w:pageBreakBefore w:val="0"/>
                    <w:kinsoku/>
                    <w:wordWrap/>
                    <w:overflowPunct/>
                    <w:topLinePunct w:val="0"/>
                    <w:autoSpaceDE/>
                    <w:autoSpaceDN/>
                    <w:bidi w:val="0"/>
                    <w:adjustRightInd/>
                    <w:snapToGrid/>
                    <w:spacing w:line="240" w:lineRule="auto"/>
                    <w:ind w:right="110"/>
                    <w:jc w:val="center"/>
                    <w:rPr>
                      <w:rFonts w:hint="default" w:ascii="Times New Roman" w:hAnsi="Times New Roman" w:eastAsia="宋体"/>
                      <w:szCs w:val="21"/>
                      <w:highlight w:val="none"/>
                      <w:lang w:val="en-US" w:eastAsia="zh-CN"/>
                    </w:rPr>
                  </w:pPr>
                  <w:r>
                    <w:rPr>
                      <w:rFonts w:hint="eastAsia" w:ascii="Times New Roman" w:hAnsi="Times New Roman"/>
                      <w:b/>
                      <w:bCs/>
                      <w:szCs w:val="21"/>
                      <w:highlight w:val="none"/>
                      <w:lang w:val="en-US" w:eastAsia="zh-CN"/>
                    </w:rPr>
                    <w:t>能源消耗</w:t>
                  </w:r>
                </w:p>
              </w:tc>
            </w:tr>
            <w:tr w14:paraId="7F7966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408" w:type="pct"/>
                  <w:vAlign w:val="center"/>
                </w:tcPr>
                <w:p w14:paraId="6F85337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1</w:t>
                  </w:r>
                </w:p>
              </w:tc>
              <w:tc>
                <w:tcPr>
                  <w:tcW w:w="989" w:type="pct"/>
                  <w:vAlign w:val="center"/>
                </w:tcPr>
                <w:p w14:paraId="42041F4D">
                  <w:pPr>
                    <w:adjustRightInd w:val="0"/>
                    <w:snapToGrid w:val="0"/>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水</w:t>
                  </w:r>
                </w:p>
              </w:tc>
              <w:tc>
                <w:tcPr>
                  <w:tcW w:w="548" w:type="pct"/>
                  <w:vAlign w:val="center"/>
                </w:tcPr>
                <w:p w14:paraId="709E7A97">
                  <w:pPr>
                    <w:keepNext w:val="0"/>
                    <w:keepLines w:val="0"/>
                    <w:pageBreakBefore w:val="0"/>
                    <w:kinsoku/>
                    <w:wordWrap/>
                    <w:overflowPunct/>
                    <w:topLinePunct w:val="0"/>
                    <w:autoSpaceDE/>
                    <w:autoSpaceDN/>
                    <w:bidi w:val="0"/>
                    <w:adjustRightInd/>
                    <w:snapToGrid/>
                    <w:spacing w:line="240" w:lineRule="auto"/>
                    <w:jc w:val="center"/>
                    <w:rPr>
                      <w:color w:val="auto"/>
                      <w:sz w:val="21"/>
                      <w:szCs w:val="21"/>
                      <w:highlight w:val="none"/>
                      <w:u w:val="none"/>
                    </w:rPr>
                  </w:pPr>
                  <w:r>
                    <w:rPr>
                      <w:color w:val="auto"/>
                      <w:sz w:val="21"/>
                      <w:szCs w:val="21"/>
                      <w:highlight w:val="none"/>
                      <w:u w:val="none"/>
                    </w:rPr>
                    <w:t>m</w:t>
                  </w:r>
                  <w:r>
                    <w:rPr>
                      <w:color w:val="auto"/>
                      <w:sz w:val="21"/>
                      <w:szCs w:val="21"/>
                      <w:highlight w:val="none"/>
                      <w:u w:val="none"/>
                      <w:vertAlign w:val="superscript"/>
                    </w:rPr>
                    <w:t>3</w:t>
                  </w:r>
                  <w:r>
                    <w:rPr>
                      <w:color w:val="auto"/>
                      <w:sz w:val="21"/>
                      <w:szCs w:val="21"/>
                      <w:highlight w:val="none"/>
                      <w:u w:val="none"/>
                    </w:rPr>
                    <w:t>/a</w:t>
                  </w:r>
                </w:p>
              </w:tc>
              <w:tc>
                <w:tcPr>
                  <w:tcW w:w="987" w:type="pct"/>
                  <w:vAlign w:val="center"/>
                </w:tcPr>
                <w:p w14:paraId="78E8D0C3">
                  <w:pPr>
                    <w:keepNext w:val="0"/>
                    <w:keepLines w:val="0"/>
                    <w:pageBreakBefore w:val="0"/>
                    <w:kinsoku/>
                    <w:wordWrap/>
                    <w:overflowPunct/>
                    <w:topLinePunct w:val="0"/>
                    <w:autoSpaceDE/>
                    <w:autoSpaceDN/>
                    <w:bidi w:val="0"/>
                    <w:adjustRightInd/>
                    <w:snapToGrid/>
                    <w:spacing w:line="240" w:lineRule="auto"/>
                    <w:jc w:val="center"/>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2370.24</w:t>
                  </w:r>
                </w:p>
              </w:tc>
              <w:tc>
                <w:tcPr>
                  <w:tcW w:w="937" w:type="pct"/>
                  <w:shd w:val="clear" w:color="auto" w:fill="auto"/>
                  <w:vAlign w:val="center"/>
                </w:tcPr>
                <w:p w14:paraId="7847F847">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lang w:val="en-US" w:eastAsia="zh-CN"/>
                    </w:rPr>
                    <w:t>2370.24</w:t>
                  </w:r>
                </w:p>
              </w:tc>
              <w:tc>
                <w:tcPr>
                  <w:tcW w:w="1130" w:type="pct"/>
                  <w:vAlign w:val="center"/>
                </w:tcPr>
                <w:p w14:paraId="2211B9B6">
                  <w:pPr>
                    <w:keepNext w:val="0"/>
                    <w:keepLines w:val="0"/>
                    <w:pageBreakBefore w:val="0"/>
                    <w:kinsoku/>
                    <w:wordWrap/>
                    <w:overflowPunct/>
                    <w:topLinePunct w:val="0"/>
                    <w:autoSpaceDE/>
                    <w:autoSpaceDN/>
                    <w:bidi w:val="0"/>
                    <w:adjustRightInd/>
                    <w:snapToGrid/>
                    <w:spacing w:line="240" w:lineRule="auto"/>
                    <w:jc w:val="center"/>
                    <w:rPr>
                      <w:color w:val="auto"/>
                      <w:sz w:val="21"/>
                      <w:szCs w:val="21"/>
                      <w:highlight w:val="none"/>
                      <w:u w:val="none"/>
                    </w:rPr>
                  </w:pPr>
                  <w:r>
                    <w:rPr>
                      <w:rFonts w:hint="eastAsia"/>
                      <w:color w:val="auto"/>
                      <w:sz w:val="21"/>
                      <w:szCs w:val="21"/>
                      <w:highlight w:val="none"/>
                      <w:u w:val="none"/>
                    </w:rPr>
                    <w:t>/</w:t>
                  </w:r>
                </w:p>
              </w:tc>
            </w:tr>
            <w:tr w14:paraId="7C70BF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408" w:type="pct"/>
                  <w:vAlign w:val="center"/>
                </w:tcPr>
                <w:p w14:paraId="4CE6DC8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2</w:t>
                  </w:r>
                </w:p>
              </w:tc>
              <w:tc>
                <w:tcPr>
                  <w:tcW w:w="989" w:type="pct"/>
                  <w:vAlign w:val="center"/>
                </w:tcPr>
                <w:p w14:paraId="71C37DB3">
                  <w:pPr>
                    <w:keepNext w:val="0"/>
                    <w:keepLines w:val="0"/>
                    <w:pageBreakBefore w:val="0"/>
                    <w:widowControl/>
                    <w:kinsoku/>
                    <w:wordWrap/>
                    <w:overflowPunct/>
                    <w:topLinePunct w:val="0"/>
                    <w:autoSpaceDE/>
                    <w:autoSpaceDN/>
                    <w:bidi w:val="0"/>
                    <w:adjustRightInd/>
                    <w:snapToGrid/>
                    <w:spacing w:line="240" w:lineRule="auto"/>
                    <w:jc w:val="center"/>
                    <w:rPr>
                      <w:color w:val="auto"/>
                      <w:kern w:val="0"/>
                      <w:sz w:val="21"/>
                      <w:szCs w:val="21"/>
                      <w:highlight w:val="none"/>
                      <w:u w:val="none"/>
                      <w:lang w:bidi="ar"/>
                    </w:rPr>
                  </w:pPr>
                  <w:r>
                    <w:rPr>
                      <w:color w:val="auto"/>
                      <w:kern w:val="0"/>
                      <w:sz w:val="21"/>
                      <w:szCs w:val="21"/>
                      <w:highlight w:val="none"/>
                      <w:u w:val="none"/>
                      <w:lang w:bidi="ar"/>
                    </w:rPr>
                    <w:t>电</w:t>
                  </w:r>
                </w:p>
              </w:tc>
              <w:tc>
                <w:tcPr>
                  <w:tcW w:w="548" w:type="pct"/>
                  <w:vAlign w:val="center"/>
                </w:tcPr>
                <w:p w14:paraId="5D81DB4A">
                  <w:pPr>
                    <w:keepNext w:val="0"/>
                    <w:keepLines w:val="0"/>
                    <w:pageBreakBefore w:val="0"/>
                    <w:kinsoku/>
                    <w:wordWrap/>
                    <w:overflowPunct/>
                    <w:topLinePunct w:val="0"/>
                    <w:autoSpaceDE/>
                    <w:autoSpaceDN/>
                    <w:bidi w:val="0"/>
                    <w:adjustRightInd/>
                    <w:snapToGrid/>
                    <w:spacing w:line="240" w:lineRule="auto"/>
                    <w:jc w:val="center"/>
                    <w:rPr>
                      <w:color w:val="auto"/>
                      <w:sz w:val="21"/>
                      <w:szCs w:val="21"/>
                      <w:highlight w:val="none"/>
                      <w:u w:val="none"/>
                    </w:rPr>
                  </w:pPr>
                  <w:r>
                    <w:rPr>
                      <w:rFonts w:hint="eastAsia"/>
                      <w:color w:val="auto"/>
                      <w:sz w:val="21"/>
                      <w:szCs w:val="21"/>
                      <w:highlight w:val="none"/>
                      <w:u w:val="none"/>
                      <w:lang w:eastAsia="zh-CN"/>
                    </w:rPr>
                    <w:t>kW</w:t>
                  </w:r>
                  <w:r>
                    <w:rPr>
                      <w:color w:val="auto"/>
                      <w:sz w:val="21"/>
                      <w:szCs w:val="21"/>
                      <w:highlight w:val="none"/>
                      <w:u w:val="none"/>
                    </w:rPr>
                    <w:t>·h</w:t>
                  </w:r>
                </w:p>
              </w:tc>
              <w:tc>
                <w:tcPr>
                  <w:tcW w:w="987" w:type="pct"/>
                  <w:vAlign w:val="center"/>
                </w:tcPr>
                <w:p w14:paraId="785579CC">
                  <w:pPr>
                    <w:keepNext w:val="0"/>
                    <w:keepLines w:val="0"/>
                    <w:pageBreakBefore w:val="0"/>
                    <w:kinsoku/>
                    <w:wordWrap/>
                    <w:overflowPunct/>
                    <w:topLinePunct w:val="0"/>
                    <w:autoSpaceDE/>
                    <w:autoSpaceDN/>
                    <w:bidi w:val="0"/>
                    <w:adjustRightInd/>
                    <w:snapToGrid/>
                    <w:spacing w:line="240" w:lineRule="auto"/>
                    <w:jc w:val="center"/>
                    <w:rPr>
                      <w:color w:val="auto"/>
                      <w:sz w:val="21"/>
                      <w:szCs w:val="21"/>
                      <w:highlight w:val="none"/>
                      <w:u w:val="none"/>
                    </w:rPr>
                  </w:pPr>
                  <w:r>
                    <w:rPr>
                      <w:rFonts w:hint="eastAsia"/>
                      <w:color w:val="auto"/>
                      <w:sz w:val="21"/>
                      <w:szCs w:val="21"/>
                      <w:highlight w:val="none"/>
                      <w:u w:val="none"/>
                      <w:lang w:val="en-US" w:eastAsia="zh-CN"/>
                    </w:rPr>
                    <w:t>50</w:t>
                  </w:r>
                  <w:r>
                    <w:rPr>
                      <w:rFonts w:hint="eastAsia"/>
                      <w:color w:val="auto"/>
                      <w:sz w:val="21"/>
                      <w:szCs w:val="21"/>
                      <w:highlight w:val="none"/>
                      <w:u w:val="none"/>
                    </w:rPr>
                    <w:t>万</w:t>
                  </w:r>
                </w:p>
              </w:tc>
              <w:tc>
                <w:tcPr>
                  <w:tcW w:w="937" w:type="pct"/>
                  <w:shd w:val="clear" w:color="auto" w:fill="auto"/>
                  <w:vAlign w:val="center"/>
                </w:tcPr>
                <w:p w14:paraId="59C1009D">
                  <w:pPr>
                    <w:keepNext w:val="0"/>
                    <w:keepLines w:val="0"/>
                    <w:pageBreakBefore w:val="0"/>
                    <w:kinsoku/>
                    <w:wordWrap/>
                    <w:overflowPunct/>
                    <w:topLinePunct w:val="0"/>
                    <w:autoSpaceDE/>
                    <w:autoSpaceDN/>
                    <w:bidi w:val="0"/>
                    <w:adjustRightInd/>
                    <w:snapToGrid/>
                    <w:spacing w:line="240" w:lineRule="auto"/>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lang w:val="en-US" w:eastAsia="zh-CN"/>
                    </w:rPr>
                    <w:t>240</w:t>
                  </w:r>
                  <w:r>
                    <w:rPr>
                      <w:rFonts w:hint="eastAsia"/>
                      <w:color w:val="auto"/>
                      <w:sz w:val="21"/>
                      <w:szCs w:val="21"/>
                      <w:highlight w:val="none"/>
                      <w:u w:val="none"/>
                    </w:rPr>
                    <w:t>万</w:t>
                  </w:r>
                </w:p>
              </w:tc>
              <w:tc>
                <w:tcPr>
                  <w:tcW w:w="1130" w:type="pct"/>
                  <w:vAlign w:val="center"/>
                </w:tcPr>
                <w:p w14:paraId="6B0477A9">
                  <w:pPr>
                    <w:keepNext w:val="0"/>
                    <w:keepLines w:val="0"/>
                    <w:pageBreakBefore w:val="0"/>
                    <w:kinsoku/>
                    <w:wordWrap/>
                    <w:overflowPunct/>
                    <w:topLinePunct w:val="0"/>
                    <w:autoSpaceDE/>
                    <w:autoSpaceDN/>
                    <w:bidi w:val="0"/>
                    <w:adjustRightInd/>
                    <w:snapToGrid/>
                    <w:spacing w:line="240" w:lineRule="auto"/>
                    <w:jc w:val="center"/>
                    <w:rPr>
                      <w:color w:val="auto"/>
                      <w:sz w:val="21"/>
                      <w:szCs w:val="21"/>
                      <w:highlight w:val="none"/>
                      <w:u w:val="none"/>
                    </w:rPr>
                  </w:pPr>
                  <w:r>
                    <w:rPr>
                      <w:rFonts w:hint="eastAsia"/>
                      <w:color w:val="auto"/>
                      <w:sz w:val="21"/>
                      <w:szCs w:val="21"/>
                      <w:highlight w:val="none"/>
                      <w:u w:val="none"/>
                    </w:rPr>
                    <w:t>/</w:t>
                  </w:r>
                </w:p>
              </w:tc>
            </w:tr>
          </w:tbl>
          <w:p w14:paraId="6DFEBD3F">
            <w:pPr>
              <w:spacing w:line="360" w:lineRule="auto"/>
              <w:ind w:firstLine="482" w:firstLineChars="200"/>
              <w:rPr>
                <w:b/>
                <w:color w:val="auto"/>
                <w:sz w:val="24"/>
                <w:highlight w:val="none"/>
                <w:u w:val="none"/>
              </w:rPr>
            </w:pPr>
            <w:r>
              <w:rPr>
                <w:b/>
                <w:color w:val="auto"/>
                <w:sz w:val="24"/>
                <w:highlight w:val="none"/>
                <w:u w:val="none"/>
              </w:rPr>
              <w:t>本项目主要原材料理化性质如下：</w:t>
            </w:r>
          </w:p>
          <w:p w14:paraId="77C3FE41">
            <w:pPr>
              <w:spacing w:line="360" w:lineRule="auto"/>
              <w:ind w:firstLine="482" w:firstLineChars="200"/>
              <w:rPr>
                <w:rFonts w:ascii="Times New Roman" w:hAnsi="Times New Roman"/>
                <w:sz w:val="24"/>
                <w:szCs w:val="24"/>
                <w:highlight w:val="none"/>
              </w:rPr>
            </w:pPr>
            <w:r>
              <w:rPr>
                <w:rFonts w:hint="eastAsia"/>
                <w:b/>
                <w:bCs/>
                <w:color w:val="auto"/>
                <w:sz w:val="24"/>
                <w:highlight w:val="none"/>
                <w:u w:val="none"/>
              </w:rPr>
              <w:t>①</w:t>
            </w:r>
            <w:r>
              <w:rPr>
                <w:rFonts w:ascii="Times New Roman" w:hAnsi="Times New Roman"/>
                <w:b/>
                <w:sz w:val="24"/>
                <w:szCs w:val="24"/>
                <w:highlight w:val="none"/>
              </w:rPr>
              <w:t>凡立水</w:t>
            </w:r>
            <w:r>
              <w:rPr>
                <w:rFonts w:ascii="Times New Roman" w:hAnsi="Times New Roman"/>
                <w:b/>
                <w:bCs/>
                <w:sz w:val="24"/>
                <w:highlight w:val="none"/>
              </w:rPr>
              <w:t>：</w:t>
            </w:r>
            <w:r>
              <w:rPr>
                <w:rFonts w:hint="eastAsia" w:ascii="Times New Roman" w:hAnsi="Times New Roman"/>
                <w:b w:val="0"/>
                <w:bCs w:val="0"/>
                <w:sz w:val="24"/>
                <w:highlight w:val="none"/>
                <w:lang w:val="en-US" w:eastAsia="zh-CN"/>
              </w:rPr>
              <w:t>拟建</w:t>
            </w:r>
            <w:r>
              <w:rPr>
                <w:rFonts w:ascii="Times New Roman" w:hAnsi="Times New Roman"/>
                <w:sz w:val="24"/>
                <w:szCs w:val="24"/>
                <w:highlight w:val="none"/>
              </w:rPr>
              <w:t>项目凡立水主要用于提高电子接插件的绝缘性，增强性能避免电磁干扰，为淡黄色液体，沸点181℃，闪火点45℃，主要成分为石油提炼树脂42%，环保溶剂油32%，固化剂10%，添加剂</w:t>
            </w:r>
            <w:bookmarkStart w:id="11" w:name="_GoBack"/>
            <w:r>
              <w:rPr>
                <w:rFonts w:ascii="Times New Roman" w:hAnsi="Times New Roman"/>
                <w:sz w:val="24"/>
                <w:szCs w:val="24"/>
                <w:highlight w:val="none"/>
              </w:rPr>
              <w:t>（</w:t>
            </w:r>
            <w:bookmarkEnd w:id="11"/>
            <w:r>
              <w:rPr>
                <w:rFonts w:ascii="Times New Roman" w:hAnsi="Times New Roman"/>
                <w:sz w:val="24"/>
                <w:szCs w:val="24"/>
                <w:highlight w:val="none"/>
              </w:rPr>
              <w:t>H</w:t>
            </w:r>
            <w:r>
              <w:rPr>
                <w:rFonts w:ascii="Times New Roman" w:hAnsi="Times New Roman"/>
                <w:sz w:val="24"/>
                <w:szCs w:val="24"/>
                <w:highlight w:val="none"/>
                <w:vertAlign w:val="subscript"/>
              </w:rPr>
              <w:t>2</w:t>
            </w:r>
            <w:r>
              <w:rPr>
                <w:rFonts w:ascii="Times New Roman" w:hAnsi="Times New Roman"/>
                <w:sz w:val="24"/>
                <w:szCs w:val="24"/>
                <w:highlight w:val="none"/>
              </w:rPr>
              <w:t>NC</w:t>
            </w:r>
            <w:r>
              <w:rPr>
                <w:rFonts w:ascii="Times New Roman" w:hAnsi="Times New Roman"/>
                <w:sz w:val="24"/>
                <w:szCs w:val="24"/>
                <w:highlight w:val="none"/>
                <w:vertAlign w:val="subscript"/>
              </w:rPr>
              <w:t>3</w:t>
            </w:r>
            <w:r>
              <w:rPr>
                <w:rFonts w:ascii="Times New Roman" w:hAnsi="Times New Roman"/>
                <w:sz w:val="24"/>
                <w:szCs w:val="24"/>
                <w:highlight w:val="none"/>
              </w:rPr>
              <w:t>H</w:t>
            </w:r>
            <w:r>
              <w:rPr>
                <w:rFonts w:ascii="Times New Roman" w:hAnsi="Times New Roman"/>
                <w:sz w:val="24"/>
                <w:szCs w:val="24"/>
                <w:highlight w:val="none"/>
                <w:vertAlign w:val="subscript"/>
              </w:rPr>
              <w:t>6</w:t>
            </w:r>
            <w:r>
              <w:rPr>
                <w:rFonts w:ascii="Times New Roman" w:hAnsi="Times New Roman"/>
                <w:sz w:val="24"/>
                <w:szCs w:val="24"/>
                <w:highlight w:val="none"/>
              </w:rPr>
              <w:t>Si(OC</w:t>
            </w:r>
            <w:r>
              <w:rPr>
                <w:rFonts w:ascii="Times New Roman" w:hAnsi="Times New Roman"/>
                <w:sz w:val="24"/>
                <w:szCs w:val="24"/>
                <w:highlight w:val="none"/>
                <w:vertAlign w:val="subscript"/>
              </w:rPr>
              <w:t>2</w:t>
            </w:r>
            <w:r>
              <w:rPr>
                <w:rFonts w:ascii="Times New Roman" w:hAnsi="Times New Roman"/>
                <w:sz w:val="24"/>
                <w:szCs w:val="24"/>
                <w:highlight w:val="none"/>
              </w:rPr>
              <w:t>H</w:t>
            </w:r>
            <w:r>
              <w:rPr>
                <w:rFonts w:ascii="Times New Roman" w:hAnsi="Times New Roman"/>
                <w:sz w:val="24"/>
                <w:szCs w:val="24"/>
                <w:highlight w:val="none"/>
                <w:vertAlign w:val="subscript"/>
              </w:rPr>
              <w:t>5</w:t>
            </w:r>
            <w:r>
              <w:rPr>
                <w:rFonts w:ascii="Times New Roman" w:hAnsi="Times New Roman"/>
                <w:sz w:val="24"/>
                <w:szCs w:val="24"/>
                <w:highlight w:val="none"/>
              </w:rPr>
              <w:t>)</w:t>
            </w:r>
            <w:r>
              <w:rPr>
                <w:rFonts w:ascii="Times New Roman" w:hAnsi="Times New Roman"/>
                <w:sz w:val="24"/>
                <w:szCs w:val="24"/>
                <w:highlight w:val="none"/>
                <w:vertAlign w:val="subscript"/>
              </w:rPr>
              <w:t>3</w:t>
            </w:r>
            <w:r>
              <w:rPr>
                <w:rFonts w:ascii="Times New Roman" w:hAnsi="Times New Roman"/>
                <w:sz w:val="24"/>
                <w:szCs w:val="24"/>
                <w:highlight w:val="none"/>
              </w:rPr>
              <w:t>）14%，流平剂2%。</w:t>
            </w:r>
          </w:p>
          <w:p w14:paraId="3EF0DA9E">
            <w:pPr>
              <w:spacing w:line="360" w:lineRule="auto"/>
              <w:ind w:firstLine="482" w:firstLineChars="200"/>
              <w:rPr>
                <w:highlight w:val="none"/>
              </w:rPr>
            </w:pPr>
            <w:r>
              <w:rPr>
                <w:rFonts w:hint="eastAsia"/>
                <w:b/>
                <w:bCs/>
                <w:color w:val="auto"/>
                <w:sz w:val="24"/>
                <w:highlight w:val="none"/>
                <w:u w:val="none"/>
              </w:rPr>
              <w:t>②</w:t>
            </w:r>
            <w:r>
              <w:rPr>
                <w:rFonts w:ascii="Times New Roman" w:hAnsi="Times New Roman"/>
                <w:b/>
                <w:sz w:val="24"/>
                <w:szCs w:val="24"/>
                <w:highlight w:val="none"/>
              </w:rPr>
              <w:t>黑胶：</w:t>
            </w:r>
            <w:r>
              <w:rPr>
                <w:rFonts w:ascii="Times New Roman" w:hAnsi="Times New Roman"/>
                <w:sz w:val="24"/>
                <w:szCs w:val="24"/>
                <w:highlight w:val="none"/>
              </w:rPr>
              <w:t>又称有机硅导热灌封胶，黑色固体混合物，分解温度大于400℃，闪点大于110℃。主要成分</w:t>
            </w:r>
            <w:r>
              <w:rPr>
                <w:rFonts w:hint="eastAsia" w:ascii="Times New Roman" w:hAnsi="Times New Roman"/>
                <w:sz w:val="24"/>
                <w:szCs w:val="24"/>
                <w:highlight w:val="none"/>
                <w:lang w:val="en-US" w:eastAsia="zh-CN"/>
              </w:rPr>
              <w:t>见下表</w:t>
            </w:r>
            <w:r>
              <w:rPr>
                <w:rFonts w:ascii="Times New Roman" w:hAnsi="Times New Roman"/>
                <w:sz w:val="24"/>
                <w:szCs w:val="24"/>
                <w:highlight w:val="none"/>
              </w:rPr>
              <w:t>。</w:t>
            </w:r>
          </w:p>
          <w:p w14:paraId="79F6F89E">
            <w:pPr>
              <w:pStyle w:val="60"/>
              <w:spacing w:line="360" w:lineRule="auto"/>
              <w:jc w:val="center"/>
              <w:rPr>
                <w:rFonts w:hint="default" w:ascii="Times New Roman" w:hAnsi="Times New Roman"/>
                <w:b/>
                <w:bCs/>
                <w:sz w:val="21"/>
                <w:szCs w:val="21"/>
                <w:highlight w:val="none"/>
                <w:lang w:val="en-US" w:eastAsia="zh-CN"/>
              </w:rPr>
            </w:pPr>
            <w:r>
              <w:rPr>
                <w:rFonts w:hint="eastAsia" w:ascii="Times New Roman" w:hAnsi="Times New Roman"/>
                <w:b/>
                <w:bCs/>
                <w:sz w:val="21"/>
                <w:szCs w:val="21"/>
                <w:highlight w:val="none"/>
                <w:lang w:val="en-US" w:eastAsia="zh-CN"/>
              </w:rPr>
              <w:t>表2-4 黑胶组成成分表</w:t>
            </w:r>
          </w:p>
          <w:tbl>
            <w:tblPr>
              <w:tblStyle w:val="35"/>
              <w:tblW w:w="76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16"/>
              <w:gridCol w:w="2777"/>
              <w:gridCol w:w="1779"/>
              <w:gridCol w:w="2105"/>
            </w:tblGrid>
            <w:tr w14:paraId="5D95E5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1016" w:type="dxa"/>
                  <w:noWrap w:val="0"/>
                  <w:vAlign w:val="center"/>
                </w:tcPr>
                <w:p w14:paraId="6FC097E4">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序号</w:t>
                  </w:r>
                </w:p>
              </w:tc>
              <w:tc>
                <w:tcPr>
                  <w:tcW w:w="2777" w:type="dxa"/>
                  <w:noWrap w:val="0"/>
                  <w:vAlign w:val="center"/>
                </w:tcPr>
                <w:p w14:paraId="24BAC217">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化学品名称</w:t>
                  </w:r>
                </w:p>
              </w:tc>
              <w:tc>
                <w:tcPr>
                  <w:tcW w:w="1779" w:type="dxa"/>
                  <w:noWrap w:val="0"/>
                  <w:vAlign w:val="center"/>
                </w:tcPr>
                <w:p w14:paraId="761955AD">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CAS编号</w:t>
                  </w:r>
                </w:p>
              </w:tc>
              <w:tc>
                <w:tcPr>
                  <w:tcW w:w="2105" w:type="dxa"/>
                  <w:noWrap w:val="0"/>
                  <w:vAlign w:val="center"/>
                </w:tcPr>
                <w:p w14:paraId="328F50A9">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含量%</w:t>
                  </w:r>
                </w:p>
              </w:tc>
            </w:tr>
            <w:tr w14:paraId="6C1A3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1016" w:type="dxa"/>
                  <w:noWrap w:val="0"/>
                  <w:vAlign w:val="center"/>
                </w:tcPr>
                <w:p w14:paraId="39890765">
                  <w:pPr>
                    <w:snapToGrid w:val="0"/>
                    <w:spacing w:line="240" w:lineRule="auto"/>
                    <w:jc w:val="center"/>
                    <w:rPr>
                      <w:rFonts w:ascii="Times New Roman" w:hAnsi="Times New Roman"/>
                      <w:sz w:val="21"/>
                      <w:szCs w:val="21"/>
                      <w:highlight w:val="none"/>
                    </w:rPr>
                  </w:pPr>
                  <w:r>
                    <w:rPr>
                      <w:rFonts w:ascii="Times New Roman" w:hAnsi="Times New Roman"/>
                      <w:sz w:val="21"/>
                      <w:szCs w:val="21"/>
                      <w:highlight w:val="none"/>
                    </w:rPr>
                    <w:t>1</w:t>
                  </w:r>
                </w:p>
              </w:tc>
              <w:tc>
                <w:tcPr>
                  <w:tcW w:w="2777" w:type="dxa"/>
                  <w:noWrap w:val="0"/>
                  <w:vAlign w:val="center"/>
                </w:tcPr>
                <w:p w14:paraId="7E8D890A">
                  <w:pPr>
                    <w:snapToGrid w:val="0"/>
                    <w:spacing w:line="240" w:lineRule="auto"/>
                    <w:jc w:val="center"/>
                    <w:rPr>
                      <w:rFonts w:hint="eastAsia" w:ascii="Times New Roman" w:hAnsi="Times New Roman" w:eastAsia="宋体"/>
                      <w:sz w:val="21"/>
                      <w:szCs w:val="21"/>
                      <w:highlight w:val="none"/>
                      <w:lang w:eastAsia="zh-CN"/>
                    </w:rPr>
                  </w:pPr>
                  <w:r>
                    <w:rPr>
                      <w:rFonts w:hint="eastAsia" w:ascii="Times New Roman" w:hAnsi="Times New Roman"/>
                      <w:sz w:val="21"/>
                      <w:szCs w:val="21"/>
                      <w:highlight w:val="none"/>
                      <w:lang w:val="en-US" w:eastAsia="zh-CN"/>
                    </w:rPr>
                    <w:t>聚有机硅氧烷</w:t>
                  </w:r>
                </w:p>
              </w:tc>
              <w:tc>
                <w:tcPr>
                  <w:tcW w:w="1779" w:type="dxa"/>
                  <w:noWrap w:val="0"/>
                  <w:vAlign w:val="center"/>
                </w:tcPr>
                <w:p w14:paraId="27061FD2">
                  <w:pPr>
                    <w:snapToGrid w:val="0"/>
                    <w:spacing w:line="240" w:lineRule="auto"/>
                    <w:jc w:val="center"/>
                    <w:rPr>
                      <w:rFonts w:hint="default" w:ascii="Times New Roman" w:hAnsi="Times New Roman"/>
                      <w:sz w:val="21"/>
                      <w:szCs w:val="21"/>
                      <w:highlight w:val="none"/>
                      <w:lang w:val="en-US"/>
                    </w:rPr>
                  </w:pPr>
                  <w:r>
                    <w:rPr>
                      <w:rFonts w:hint="eastAsia"/>
                      <w:sz w:val="21"/>
                      <w:szCs w:val="21"/>
                      <w:highlight w:val="none"/>
                      <w:lang w:val="en-US" w:eastAsia="zh-CN"/>
                    </w:rPr>
                    <w:t>68083-19-2</w:t>
                  </w:r>
                </w:p>
              </w:tc>
              <w:tc>
                <w:tcPr>
                  <w:tcW w:w="2105" w:type="dxa"/>
                  <w:noWrap w:val="0"/>
                  <w:vAlign w:val="center"/>
                </w:tcPr>
                <w:p w14:paraId="243E26E5">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20~40</w:t>
                  </w:r>
                </w:p>
              </w:tc>
            </w:tr>
            <w:tr w14:paraId="5D5EF6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1016" w:type="dxa"/>
                  <w:noWrap w:val="0"/>
                  <w:vAlign w:val="center"/>
                </w:tcPr>
                <w:p w14:paraId="7CC6CC31">
                  <w:pPr>
                    <w:snapToGrid w:val="0"/>
                    <w:spacing w:line="240" w:lineRule="auto"/>
                    <w:jc w:val="center"/>
                    <w:rPr>
                      <w:rFonts w:ascii="Times New Roman" w:hAnsi="Times New Roman"/>
                      <w:sz w:val="21"/>
                      <w:szCs w:val="21"/>
                      <w:highlight w:val="none"/>
                    </w:rPr>
                  </w:pPr>
                  <w:r>
                    <w:rPr>
                      <w:rFonts w:ascii="Times New Roman" w:hAnsi="Times New Roman"/>
                      <w:sz w:val="21"/>
                      <w:szCs w:val="21"/>
                      <w:highlight w:val="none"/>
                    </w:rPr>
                    <w:t>2</w:t>
                  </w:r>
                </w:p>
              </w:tc>
              <w:tc>
                <w:tcPr>
                  <w:tcW w:w="2777" w:type="dxa"/>
                  <w:noWrap w:val="0"/>
                  <w:vAlign w:val="center"/>
                </w:tcPr>
                <w:p w14:paraId="1F96BF35">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功能填料</w:t>
                  </w:r>
                </w:p>
              </w:tc>
              <w:tc>
                <w:tcPr>
                  <w:tcW w:w="1779" w:type="dxa"/>
                  <w:noWrap w:val="0"/>
                  <w:vAlign w:val="center"/>
                </w:tcPr>
                <w:p w14:paraId="46C7BB9C">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1344-28-1</w:t>
                  </w:r>
                </w:p>
              </w:tc>
              <w:tc>
                <w:tcPr>
                  <w:tcW w:w="2105" w:type="dxa"/>
                  <w:noWrap w:val="0"/>
                  <w:vAlign w:val="center"/>
                </w:tcPr>
                <w:p w14:paraId="73E14F4F">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30~50</w:t>
                  </w:r>
                </w:p>
              </w:tc>
            </w:tr>
            <w:tr w14:paraId="68B701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1016" w:type="dxa"/>
                  <w:noWrap w:val="0"/>
                  <w:vAlign w:val="center"/>
                </w:tcPr>
                <w:p w14:paraId="3C922D36">
                  <w:pPr>
                    <w:snapToGrid w:val="0"/>
                    <w:spacing w:line="240" w:lineRule="auto"/>
                    <w:jc w:val="center"/>
                    <w:rPr>
                      <w:rFonts w:ascii="Times New Roman" w:hAnsi="Times New Roman"/>
                      <w:sz w:val="21"/>
                      <w:szCs w:val="21"/>
                      <w:highlight w:val="none"/>
                    </w:rPr>
                  </w:pPr>
                  <w:r>
                    <w:rPr>
                      <w:rFonts w:ascii="Times New Roman" w:hAnsi="Times New Roman"/>
                      <w:sz w:val="21"/>
                      <w:szCs w:val="21"/>
                      <w:highlight w:val="none"/>
                    </w:rPr>
                    <w:t>3</w:t>
                  </w:r>
                </w:p>
              </w:tc>
              <w:tc>
                <w:tcPr>
                  <w:tcW w:w="2777" w:type="dxa"/>
                  <w:noWrap w:val="0"/>
                  <w:vAlign w:val="center"/>
                </w:tcPr>
                <w:p w14:paraId="3F582A9A">
                  <w:pPr>
                    <w:snapToGrid w:val="0"/>
                    <w:spacing w:line="240" w:lineRule="auto"/>
                    <w:jc w:val="center"/>
                    <w:rPr>
                      <w:rFonts w:ascii="Times New Roman" w:hAnsi="Times New Roman"/>
                      <w:sz w:val="21"/>
                      <w:szCs w:val="21"/>
                      <w:highlight w:val="none"/>
                    </w:rPr>
                  </w:pPr>
                  <w:r>
                    <w:rPr>
                      <w:rFonts w:ascii="Times New Roman" w:hAnsi="Times New Roman"/>
                      <w:sz w:val="21"/>
                      <w:szCs w:val="21"/>
                      <w:highlight w:val="none"/>
                    </w:rPr>
                    <w:t>二氧化硅</w:t>
                  </w:r>
                </w:p>
              </w:tc>
              <w:tc>
                <w:tcPr>
                  <w:tcW w:w="1779" w:type="dxa"/>
                  <w:noWrap w:val="0"/>
                  <w:vAlign w:val="center"/>
                </w:tcPr>
                <w:p w14:paraId="310F971D">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7631-86-9</w:t>
                  </w:r>
                </w:p>
              </w:tc>
              <w:tc>
                <w:tcPr>
                  <w:tcW w:w="2105" w:type="dxa"/>
                  <w:noWrap w:val="0"/>
                  <w:vAlign w:val="center"/>
                </w:tcPr>
                <w:p w14:paraId="6067F2F9">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10~25</w:t>
                  </w:r>
                </w:p>
              </w:tc>
            </w:tr>
            <w:tr w14:paraId="64FFCC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1016" w:type="dxa"/>
                  <w:noWrap w:val="0"/>
                  <w:vAlign w:val="center"/>
                </w:tcPr>
                <w:p w14:paraId="618BFB95">
                  <w:pPr>
                    <w:snapToGrid w:val="0"/>
                    <w:spacing w:line="240" w:lineRule="auto"/>
                    <w:jc w:val="center"/>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4</w:t>
                  </w:r>
                </w:p>
              </w:tc>
              <w:tc>
                <w:tcPr>
                  <w:tcW w:w="2777" w:type="dxa"/>
                  <w:noWrap w:val="0"/>
                  <w:vAlign w:val="center"/>
                </w:tcPr>
                <w:p w14:paraId="71334D47">
                  <w:pPr>
                    <w:snapToGrid w:val="0"/>
                    <w:spacing w:line="240" w:lineRule="auto"/>
                    <w:jc w:val="center"/>
                    <w:rPr>
                      <w:rFonts w:ascii="Times New Roman" w:hAnsi="Times New Roman"/>
                      <w:sz w:val="21"/>
                      <w:szCs w:val="21"/>
                      <w:highlight w:val="none"/>
                    </w:rPr>
                  </w:pPr>
                  <w:r>
                    <w:rPr>
                      <w:rFonts w:ascii="Times New Roman" w:hAnsi="Times New Roman"/>
                      <w:sz w:val="21"/>
                      <w:szCs w:val="21"/>
                      <w:highlight w:val="none"/>
                    </w:rPr>
                    <w:t>炭黑</w:t>
                  </w:r>
                </w:p>
              </w:tc>
              <w:tc>
                <w:tcPr>
                  <w:tcW w:w="1779" w:type="dxa"/>
                  <w:noWrap w:val="0"/>
                  <w:vAlign w:val="center"/>
                </w:tcPr>
                <w:p w14:paraId="474C4AE5">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1333-86-4</w:t>
                  </w:r>
                </w:p>
              </w:tc>
              <w:tc>
                <w:tcPr>
                  <w:tcW w:w="2105" w:type="dxa"/>
                  <w:noWrap w:val="0"/>
                  <w:vAlign w:val="center"/>
                </w:tcPr>
                <w:p w14:paraId="19B77A45">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w:t>
                  </w:r>
                </w:p>
              </w:tc>
            </w:tr>
            <w:tr w14:paraId="349F3E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 w:hRule="atLeast"/>
                <w:jc w:val="center"/>
              </w:trPr>
              <w:tc>
                <w:tcPr>
                  <w:tcW w:w="1016" w:type="dxa"/>
                  <w:noWrap w:val="0"/>
                  <w:vAlign w:val="center"/>
                </w:tcPr>
                <w:p w14:paraId="22741136">
                  <w:pPr>
                    <w:snapToGrid w:val="0"/>
                    <w:spacing w:line="240" w:lineRule="auto"/>
                    <w:jc w:val="center"/>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5</w:t>
                  </w:r>
                </w:p>
              </w:tc>
              <w:tc>
                <w:tcPr>
                  <w:tcW w:w="2777" w:type="dxa"/>
                  <w:noWrap w:val="0"/>
                  <w:vAlign w:val="center"/>
                </w:tcPr>
                <w:p w14:paraId="180911B9">
                  <w:pPr>
                    <w:snapToGrid w:val="0"/>
                    <w:spacing w:line="240" w:lineRule="auto"/>
                    <w:jc w:val="center"/>
                    <w:rPr>
                      <w:rFonts w:hint="eastAsia" w:ascii="Times New Roman" w:hAnsi="Times New Roman" w:eastAsia="宋体"/>
                      <w:sz w:val="21"/>
                      <w:szCs w:val="21"/>
                      <w:highlight w:val="none"/>
                      <w:lang w:eastAsia="zh-CN"/>
                    </w:rPr>
                  </w:pPr>
                  <w:r>
                    <w:rPr>
                      <w:rFonts w:hint="eastAsia"/>
                      <w:sz w:val="21"/>
                      <w:szCs w:val="21"/>
                      <w:highlight w:val="none"/>
                      <w:lang w:val="en-US" w:eastAsia="zh-CN"/>
                    </w:rPr>
                    <w:t>其他</w:t>
                  </w:r>
                </w:p>
              </w:tc>
              <w:tc>
                <w:tcPr>
                  <w:tcW w:w="1779" w:type="dxa"/>
                  <w:noWrap w:val="0"/>
                  <w:vAlign w:val="center"/>
                </w:tcPr>
                <w:p w14:paraId="367E9272">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w:t>
                  </w:r>
                </w:p>
              </w:tc>
              <w:tc>
                <w:tcPr>
                  <w:tcW w:w="2105" w:type="dxa"/>
                  <w:noWrap w:val="0"/>
                  <w:vAlign w:val="center"/>
                </w:tcPr>
                <w:p w14:paraId="4118471B">
                  <w:pPr>
                    <w:snapToGrid w:val="0"/>
                    <w:spacing w:line="240" w:lineRule="auto"/>
                    <w:jc w:val="center"/>
                    <w:rPr>
                      <w:rFonts w:ascii="Times New Roman" w:hAnsi="Times New Roman"/>
                      <w:sz w:val="21"/>
                      <w:szCs w:val="21"/>
                      <w:highlight w:val="none"/>
                    </w:rPr>
                  </w:pPr>
                  <w:r>
                    <w:rPr>
                      <w:rFonts w:hint="eastAsia"/>
                      <w:sz w:val="21"/>
                      <w:szCs w:val="21"/>
                      <w:highlight w:val="none"/>
                      <w:lang w:val="en-US" w:eastAsia="zh-CN"/>
                    </w:rPr>
                    <w:t>＜1</w:t>
                  </w:r>
                </w:p>
              </w:tc>
            </w:tr>
          </w:tbl>
          <w:p w14:paraId="7D599F78">
            <w:pPr>
              <w:keepNext w:val="0"/>
              <w:keepLines w:val="0"/>
              <w:widowControl/>
              <w:suppressLineNumbers w:val="0"/>
              <w:spacing w:line="360" w:lineRule="auto"/>
              <w:ind w:firstLine="482" w:firstLineChars="200"/>
              <w:jc w:val="left"/>
              <w:rPr>
                <w:rFonts w:hint="default" w:ascii="Times New Roman" w:hAnsi="Times New Roman" w:eastAsia="宋体" w:cs="Times New Roman"/>
                <w:sz w:val="24"/>
                <w:szCs w:val="24"/>
                <w:highlight w:val="none"/>
                <w:lang w:val="en-US" w:eastAsia="zh-CN"/>
              </w:rPr>
            </w:pPr>
            <w:r>
              <w:rPr>
                <w:rFonts w:hint="eastAsia"/>
                <w:b/>
                <w:bCs/>
                <w:color w:val="auto"/>
                <w:sz w:val="24"/>
                <w:highlight w:val="none"/>
                <w:u w:val="none"/>
              </w:rPr>
              <w:t>③</w:t>
            </w:r>
            <w:r>
              <w:rPr>
                <w:rFonts w:ascii="Times New Roman" w:hAnsi="Times New Roman" w:cs="Times New Roman"/>
                <w:b/>
                <w:sz w:val="24"/>
                <w:szCs w:val="24"/>
                <w:highlight w:val="none"/>
              </w:rPr>
              <w:t>脱模剂</w:t>
            </w:r>
            <w:r>
              <w:rPr>
                <w:rFonts w:hint="eastAsia" w:ascii="Times New Roman" w:hAnsi="Times New Roman" w:cs="Times New Roman"/>
                <w:b/>
                <w:sz w:val="24"/>
                <w:szCs w:val="24"/>
                <w:highlight w:val="none"/>
                <w:lang w:eastAsia="zh-CN"/>
              </w:rPr>
              <w:t>：</w:t>
            </w:r>
            <w:r>
              <w:rPr>
                <w:rFonts w:ascii="Times New Roman" w:hAnsi="Times New Roman" w:cs="Times New Roman"/>
                <w:sz w:val="24"/>
                <w:szCs w:val="24"/>
                <w:highlight w:val="none"/>
              </w:rPr>
              <w:t>是一种介于</w:t>
            </w:r>
            <w:r>
              <w:rPr>
                <w:rFonts w:hint="default" w:ascii="Times New Roman" w:hAnsi="Times New Roman" w:cs="Times New Roman"/>
                <w:sz w:val="24"/>
                <w:szCs w:val="24"/>
                <w:highlight w:val="none"/>
              </w:rPr>
              <w:fldChar w:fldCharType="begin"/>
            </w:r>
            <w:r>
              <w:rPr>
                <w:rFonts w:hint="default" w:ascii="Times New Roman" w:hAnsi="Times New Roman" w:cs="Times New Roman"/>
                <w:sz w:val="24"/>
                <w:szCs w:val="24"/>
                <w:highlight w:val="none"/>
              </w:rPr>
              <w:instrText xml:space="preserve"> HYPERLINK "https://baike.baidu.com/item/%E6%A8%A1%E5%85%B7/371134" \t "https://baike.baidu.com/item/%E8%84%B1%E6%A8%A1%E5%89%82/_blank" </w:instrText>
            </w:r>
            <w:r>
              <w:rPr>
                <w:rFonts w:hint="default" w:ascii="Times New Roman" w:hAnsi="Times New Roman" w:cs="Times New Roman"/>
                <w:sz w:val="24"/>
                <w:szCs w:val="24"/>
                <w:highlight w:val="none"/>
              </w:rPr>
              <w:fldChar w:fldCharType="separate"/>
            </w:r>
            <w:r>
              <w:rPr>
                <w:rFonts w:hint="default" w:ascii="Times New Roman" w:hAnsi="Times New Roman" w:cs="Times New Roman"/>
                <w:sz w:val="24"/>
                <w:szCs w:val="24"/>
                <w:highlight w:val="none"/>
              </w:rPr>
              <w:t>模具</w:t>
            </w:r>
            <w:r>
              <w:rPr>
                <w:rFonts w:hint="default" w:ascii="Times New Roman" w:hAnsi="Times New Roman" w:cs="Times New Roman"/>
                <w:sz w:val="24"/>
                <w:szCs w:val="24"/>
                <w:highlight w:val="none"/>
              </w:rPr>
              <w:fldChar w:fldCharType="end"/>
            </w:r>
            <w:r>
              <w:rPr>
                <w:rFonts w:hint="default" w:ascii="Times New Roman" w:hAnsi="Times New Roman" w:cs="Times New Roman"/>
                <w:sz w:val="24"/>
                <w:szCs w:val="24"/>
                <w:highlight w:val="none"/>
              </w:rPr>
              <w:t>和成品之间的功能性物质。脱模剂有耐化学性，在与不同树脂的</w:t>
            </w:r>
            <w:r>
              <w:rPr>
                <w:rFonts w:hint="eastAsia" w:cs="Times New Roman"/>
                <w:sz w:val="24"/>
                <w:szCs w:val="24"/>
                <w:highlight w:val="none"/>
                <w:lang w:eastAsia="zh-CN"/>
              </w:rPr>
              <w:t>化学成分</w:t>
            </w:r>
            <w:r>
              <w:rPr>
                <w:rFonts w:hint="default" w:ascii="Times New Roman" w:hAnsi="Times New Roman" w:cs="Times New Roman"/>
                <w:sz w:val="24"/>
                <w:szCs w:val="24"/>
                <w:highlight w:val="none"/>
              </w:rPr>
              <w:t>（特别是苯乙烯和胺类）接触时不被溶解。脱模剂还具有耐热及应力性能，不易分解或磨损；脱模剂粘合到模具上而不转移到被加工的制件上，不妨碍喷漆或其他二次加工操作。</w:t>
            </w:r>
            <w:r>
              <w:rPr>
                <w:rFonts w:hint="eastAsia" w:ascii="Times New Roman" w:hAnsi="Times New Roman" w:cs="Times New Roman"/>
                <w:sz w:val="24"/>
                <w:szCs w:val="24"/>
                <w:highlight w:val="none"/>
                <w:lang w:val="en-US" w:eastAsia="zh-CN"/>
              </w:rPr>
              <w:t>拟建项目使用脱模剂为无色透明液体，易燃，易挥发，主要成分见下表。</w:t>
            </w:r>
          </w:p>
          <w:p w14:paraId="61AFBFEC">
            <w:pPr>
              <w:pStyle w:val="60"/>
              <w:spacing w:line="360" w:lineRule="auto"/>
              <w:jc w:val="center"/>
              <w:rPr>
                <w:rFonts w:hint="eastAsia" w:ascii="Times New Roman" w:hAnsi="Times New Roman"/>
                <w:b/>
                <w:bCs/>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表2-</w:t>
            </w:r>
            <w:r>
              <w:rPr>
                <w:rFonts w:hint="eastAsia" w:ascii="Times New Roman" w:hAnsi="Times New Roman" w:cs="Times New Roman"/>
                <w:b/>
                <w:bCs/>
                <w:color w:val="auto"/>
                <w:sz w:val="21"/>
                <w:szCs w:val="21"/>
                <w:highlight w:val="none"/>
                <w:lang w:val="en-US" w:eastAsia="zh-CN"/>
              </w:rPr>
              <w:t xml:space="preserve">5 </w:t>
            </w:r>
            <w:r>
              <w:rPr>
                <w:rFonts w:hint="eastAsia" w:cs="Times New Roman"/>
                <w:b/>
                <w:bCs/>
                <w:color w:val="auto"/>
                <w:sz w:val="21"/>
                <w:szCs w:val="21"/>
                <w:highlight w:val="none"/>
                <w:lang w:val="en-US" w:eastAsia="zh-CN"/>
              </w:rPr>
              <w:t>脱模剂</w:t>
            </w:r>
            <w:r>
              <w:rPr>
                <w:rFonts w:hint="eastAsia" w:ascii="Times New Roman" w:hAnsi="Times New Roman"/>
                <w:b/>
                <w:bCs/>
                <w:sz w:val="21"/>
                <w:szCs w:val="21"/>
                <w:highlight w:val="none"/>
                <w:lang w:val="en-US" w:eastAsia="zh-CN"/>
              </w:rPr>
              <w:t>组成成分表</w:t>
            </w:r>
          </w:p>
          <w:tbl>
            <w:tblPr>
              <w:tblStyle w:val="35"/>
              <w:tblW w:w="769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18"/>
              <w:gridCol w:w="2782"/>
              <w:gridCol w:w="1783"/>
              <w:gridCol w:w="2115"/>
            </w:tblGrid>
            <w:tr w14:paraId="3B22B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1018" w:type="dxa"/>
                  <w:noWrap w:val="0"/>
                  <w:vAlign w:val="center"/>
                </w:tcPr>
                <w:p w14:paraId="61803373">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序号</w:t>
                  </w:r>
                </w:p>
              </w:tc>
              <w:tc>
                <w:tcPr>
                  <w:tcW w:w="2782" w:type="dxa"/>
                  <w:noWrap w:val="0"/>
                  <w:vAlign w:val="center"/>
                </w:tcPr>
                <w:p w14:paraId="66EE4046">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化学品名称</w:t>
                  </w:r>
                </w:p>
              </w:tc>
              <w:tc>
                <w:tcPr>
                  <w:tcW w:w="1783" w:type="dxa"/>
                  <w:noWrap w:val="0"/>
                  <w:vAlign w:val="center"/>
                </w:tcPr>
                <w:p w14:paraId="2DB3ACE7">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CAS编号</w:t>
                  </w:r>
                </w:p>
              </w:tc>
              <w:tc>
                <w:tcPr>
                  <w:tcW w:w="2115" w:type="dxa"/>
                  <w:noWrap w:val="0"/>
                  <w:vAlign w:val="center"/>
                </w:tcPr>
                <w:p w14:paraId="7EFDE44D">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含量%</w:t>
                  </w:r>
                </w:p>
              </w:tc>
            </w:tr>
            <w:tr w14:paraId="0AFBF4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1018" w:type="dxa"/>
                  <w:noWrap w:val="0"/>
                  <w:vAlign w:val="center"/>
                </w:tcPr>
                <w:p w14:paraId="58E7CA84">
                  <w:pPr>
                    <w:snapToGrid w:val="0"/>
                    <w:spacing w:line="240" w:lineRule="auto"/>
                    <w:jc w:val="center"/>
                    <w:rPr>
                      <w:rFonts w:ascii="Times New Roman" w:hAnsi="Times New Roman"/>
                      <w:sz w:val="21"/>
                      <w:szCs w:val="21"/>
                      <w:highlight w:val="none"/>
                    </w:rPr>
                  </w:pPr>
                  <w:r>
                    <w:rPr>
                      <w:rFonts w:ascii="Times New Roman" w:hAnsi="Times New Roman"/>
                      <w:sz w:val="21"/>
                      <w:szCs w:val="21"/>
                      <w:highlight w:val="none"/>
                    </w:rPr>
                    <w:t>1</w:t>
                  </w:r>
                </w:p>
              </w:tc>
              <w:tc>
                <w:tcPr>
                  <w:tcW w:w="2782" w:type="dxa"/>
                  <w:noWrap w:val="0"/>
                  <w:vAlign w:val="center"/>
                </w:tcPr>
                <w:p w14:paraId="2EAF090D">
                  <w:pPr>
                    <w:snapToGrid w:val="0"/>
                    <w:spacing w:line="240" w:lineRule="auto"/>
                    <w:jc w:val="center"/>
                    <w:rPr>
                      <w:rFonts w:hint="eastAsia" w:ascii="Times New Roman" w:hAnsi="Times New Roman" w:eastAsia="宋体"/>
                      <w:sz w:val="21"/>
                      <w:szCs w:val="21"/>
                      <w:highlight w:val="none"/>
                      <w:lang w:eastAsia="zh-CN"/>
                    </w:rPr>
                  </w:pPr>
                  <w:r>
                    <w:rPr>
                      <w:rFonts w:hint="eastAsia" w:ascii="Times New Roman" w:hAnsi="Times New Roman"/>
                      <w:sz w:val="21"/>
                      <w:szCs w:val="21"/>
                      <w:highlight w:val="none"/>
                      <w:lang w:val="en-US" w:eastAsia="zh-CN"/>
                    </w:rPr>
                    <w:t>液化石油气</w:t>
                  </w:r>
                </w:p>
              </w:tc>
              <w:tc>
                <w:tcPr>
                  <w:tcW w:w="1783" w:type="dxa"/>
                  <w:noWrap w:val="0"/>
                  <w:vAlign w:val="center"/>
                </w:tcPr>
                <w:p w14:paraId="085D2FE1">
                  <w:pPr>
                    <w:snapToGrid w:val="0"/>
                    <w:spacing w:line="240" w:lineRule="auto"/>
                    <w:jc w:val="center"/>
                    <w:rPr>
                      <w:rFonts w:hint="default" w:ascii="Times New Roman" w:hAnsi="Times New Roman"/>
                      <w:sz w:val="21"/>
                      <w:szCs w:val="21"/>
                      <w:highlight w:val="none"/>
                      <w:lang w:val="en-US"/>
                    </w:rPr>
                  </w:pPr>
                  <w:r>
                    <w:rPr>
                      <w:rFonts w:hint="eastAsia"/>
                      <w:sz w:val="21"/>
                      <w:szCs w:val="21"/>
                      <w:highlight w:val="none"/>
                      <w:lang w:val="en-US" w:eastAsia="zh-CN"/>
                    </w:rPr>
                    <w:t>68476-85-7</w:t>
                  </w:r>
                </w:p>
              </w:tc>
              <w:tc>
                <w:tcPr>
                  <w:tcW w:w="2115" w:type="dxa"/>
                  <w:noWrap w:val="0"/>
                  <w:vAlign w:val="center"/>
                </w:tcPr>
                <w:p w14:paraId="0D8723DF">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50</w:t>
                  </w:r>
                </w:p>
              </w:tc>
            </w:tr>
            <w:tr w14:paraId="543BB1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1018" w:type="dxa"/>
                  <w:noWrap w:val="0"/>
                  <w:vAlign w:val="center"/>
                </w:tcPr>
                <w:p w14:paraId="22282CB9">
                  <w:pPr>
                    <w:snapToGrid w:val="0"/>
                    <w:spacing w:line="240" w:lineRule="auto"/>
                    <w:jc w:val="center"/>
                    <w:rPr>
                      <w:rFonts w:ascii="Times New Roman" w:hAnsi="Times New Roman"/>
                      <w:sz w:val="21"/>
                      <w:szCs w:val="21"/>
                      <w:highlight w:val="none"/>
                    </w:rPr>
                  </w:pPr>
                  <w:r>
                    <w:rPr>
                      <w:rFonts w:ascii="Times New Roman" w:hAnsi="Times New Roman"/>
                      <w:sz w:val="21"/>
                      <w:szCs w:val="21"/>
                      <w:highlight w:val="none"/>
                    </w:rPr>
                    <w:t>2</w:t>
                  </w:r>
                </w:p>
              </w:tc>
              <w:tc>
                <w:tcPr>
                  <w:tcW w:w="2782" w:type="dxa"/>
                  <w:noWrap w:val="0"/>
                  <w:vAlign w:val="center"/>
                </w:tcPr>
                <w:p w14:paraId="22B7835E">
                  <w:pPr>
                    <w:snapToGrid w:val="0"/>
                    <w:spacing w:line="240" w:lineRule="auto"/>
                    <w:jc w:val="center"/>
                    <w:rPr>
                      <w:rFonts w:hint="eastAsia" w:ascii="Times New Roman" w:hAnsi="Times New Roman" w:eastAsia="宋体"/>
                      <w:sz w:val="21"/>
                      <w:szCs w:val="21"/>
                      <w:highlight w:val="none"/>
                      <w:lang w:eastAsia="zh-CN"/>
                    </w:rPr>
                  </w:pPr>
                  <w:r>
                    <w:rPr>
                      <w:rFonts w:hint="eastAsia" w:ascii="Times New Roman" w:hAnsi="Times New Roman"/>
                      <w:sz w:val="21"/>
                      <w:szCs w:val="21"/>
                      <w:highlight w:val="none"/>
                      <w:lang w:val="en-US" w:eastAsia="zh-CN"/>
                    </w:rPr>
                    <w:t>石油醚</w:t>
                  </w:r>
                </w:p>
              </w:tc>
              <w:tc>
                <w:tcPr>
                  <w:tcW w:w="1783" w:type="dxa"/>
                  <w:noWrap w:val="0"/>
                  <w:vAlign w:val="center"/>
                </w:tcPr>
                <w:p w14:paraId="5364FD27">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8032-32-4</w:t>
                  </w:r>
                </w:p>
              </w:tc>
              <w:tc>
                <w:tcPr>
                  <w:tcW w:w="2115" w:type="dxa"/>
                  <w:noWrap w:val="0"/>
                  <w:vAlign w:val="center"/>
                </w:tcPr>
                <w:p w14:paraId="53CBE907">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40</w:t>
                  </w:r>
                </w:p>
              </w:tc>
            </w:tr>
            <w:tr w14:paraId="7258C9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7" w:hRule="atLeast"/>
                <w:jc w:val="center"/>
              </w:trPr>
              <w:tc>
                <w:tcPr>
                  <w:tcW w:w="1018" w:type="dxa"/>
                  <w:noWrap w:val="0"/>
                  <w:vAlign w:val="center"/>
                </w:tcPr>
                <w:p w14:paraId="36817BC1">
                  <w:pPr>
                    <w:snapToGrid w:val="0"/>
                    <w:spacing w:line="240" w:lineRule="auto"/>
                    <w:jc w:val="center"/>
                    <w:rPr>
                      <w:rFonts w:ascii="Times New Roman" w:hAnsi="Times New Roman"/>
                      <w:sz w:val="21"/>
                      <w:szCs w:val="21"/>
                      <w:highlight w:val="none"/>
                    </w:rPr>
                  </w:pPr>
                  <w:r>
                    <w:rPr>
                      <w:rFonts w:ascii="Times New Roman" w:hAnsi="Times New Roman"/>
                      <w:sz w:val="21"/>
                      <w:szCs w:val="21"/>
                      <w:highlight w:val="none"/>
                    </w:rPr>
                    <w:t>3</w:t>
                  </w:r>
                </w:p>
              </w:tc>
              <w:tc>
                <w:tcPr>
                  <w:tcW w:w="2782" w:type="dxa"/>
                  <w:noWrap w:val="0"/>
                  <w:vAlign w:val="center"/>
                </w:tcPr>
                <w:p w14:paraId="4E5E16F7">
                  <w:pPr>
                    <w:snapToGrid w:val="0"/>
                    <w:spacing w:line="240" w:lineRule="auto"/>
                    <w:jc w:val="center"/>
                    <w:rPr>
                      <w:rFonts w:hint="eastAsia" w:ascii="Times New Roman" w:hAnsi="Times New Roman" w:eastAsia="宋体"/>
                      <w:sz w:val="21"/>
                      <w:szCs w:val="21"/>
                      <w:highlight w:val="none"/>
                      <w:lang w:eastAsia="zh-CN"/>
                    </w:rPr>
                  </w:pPr>
                  <w:r>
                    <w:rPr>
                      <w:rFonts w:hint="eastAsia" w:ascii="Times New Roman" w:hAnsi="Times New Roman"/>
                      <w:sz w:val="21"/>
                      <w:szCs w:val="21"/>
                      <w:highlight w:val="none"/>
                      <w:lang w:val="en-US" w:eastAsia="zh-CN"/>
                    </w:rPr>
                    <w:t>改性硅油</w:t>
                  </w:r>
                </w:p>
              </w:tc>
              <w:tc>
                <w:tcPr>
                  <w:tcW w:w="1783" w:type="dxa"/>
                  <w:noWrap w:val="0"/>
                  <w:vAlign w:val="center"/>
                </w:tcPr>
                <w:p w14:paraId="293990C1">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63148-62-9</w:t>
                  </w:r>
                </w:p>
              </w:tc>
              <w:tc>
                <w:tcPr>
                  <w:tcW w:w="2115" w:type="dxa"/>
                  <w:noWrap w:val="0"/>
                  <w:vAlign w:val="center"/>
                </w:tcPr>
                <w:p w14:paraId="2E58D5E7">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10</w:t>
                  </w:r>
                </w:p>
              </w:tc>
            </w:tr>
          </w:tbl>
          <w:p w14:paraId="7830708D">
            <w:pPr>
              <w:pStyle w:val="60"/>
              <w:spacing w:line="360" w:lineRule="auto"/>
              <w:ind w:firstLine="482" w:firstLineChars="200"/>
              <w:rPr>
                <w:rFonts w:hint="default" w:ascii="Times New Roman" w:hAnsi="Times New Roman" w:eastAsia="宋体"/>
                <w:highlight w:val="none"/>
                <w:lang w:val="en-US" w:eastAsia="zh-CN"/>
              </w:rPr>
            </w:pPr>
            <w:r>
              <w:rPr>
                <w:rFonts w:hint="eastAsia"/>
                <w:b/>
                <w:bCs/>
                <w:color w:val="auto"/>
                <w:kern w:val="2"/>
                <w:sz w:val="24"/>
                <w:highlight w:val="none"/>
                <w:u w:val="none"/>
              </w:rPr>
              <w:t>④</w:t>
            </w:r>
            <w:r>
              <w:rPr>
                <w:rFonts w:hint="eastAsia" w:ascii="Times New Roman" w:hAnsi="Times New Roman"/>
                <w:b/>
                <w:bCs/>
                <w:highlight w:val="none"/>
                <w:lang w:val="en-US" w:eastAsia="zh-CN"/>
              </w:rPr>
              <w:t>助焊剂：</w:t>
            </w:r>
            <w:r>
              <w:rPr>
                <w:rFonts w:hint="eastAsia" w:ascii="Times New Roman" w:hAnsi="Times New Roman"/>
                <w:highlight w:val="none"/>
                <w:lang w:val="en-US" w:eastAsia="zh-CN"/>
              </w:rPr>
              <w:t>拟建项目使用的</w:t>
            </w:r>
            <w:r>
              <w:rPr>
                <w:rFonts w:ascii="Times New Roman" w:hAnsi="Times New Roman"/>
                <w:highlight w:val="none"/>
              </w:rPr>
              <w:t>助焊剂</w:t>
            </w:r>
            <w:r>
              <w:rPr>
                <w:rFonts w:hint="eastAsia" w:ascii="Times New Roman" w:hAnsi="Times New Roman"/>
                <w:highlight w:val="none"/>
                <w:lang w:val="en-US" w:eastAsia="zh-CN"/>
              </w:rPr>
              <w:t>为无色透明液体，沸点82℃，闪火点320℃，主要成分见下表。</w:t>
            </w:r>
          </w:p>
          <w:p w14:paraId="757FE477">
            <w:pPr>
              <w:pStyle w:val="60"/>
              <w:spacing w:line="360" w:lineRule="auto"/>
              <w:ind w:firstLine="422" w:firstLineChars="200"/>
              <w:jc w:val="center"/>
              <w:rPr>
                <w:rFonts w:hint="default" w:ascii="Times New Roman" w:hAnsi="Times New Roman" w:eastAsia="宋体"/>
                <w:b/>
                <w:bCs/>
                <w:sz w:val="21"/>
                <w:szCs w:val="21"/>
                <w:highlight w:val="none"/>
                <w:lang w:val="en-US" w:eastAsia="zh-CN"/>
              </w:rPr>
            </w:pPr>
            <w:r>
              <w:rPr>
                <w:rFonts w:hint="eastAsia" w:ascii="Times New Roman" w:hAnsi="Times New Roman"/>
                <w:b/>
                <w:bCs/>
                <w:sz w:val="21"/>
                <w:szCs w:val="21"/>
                <w:highlight w:val="none"/>
                <w:lang w:val="en-US" w:eastAsia="zh-CN"/>
              </w:rPr>
              <w:t>表2-6 助焊剂组成成分表</w:t>
            </w:r>
          </w:p>
          <w:tbl>
            <w:tblPr>
              <w:tblStyle w:val="35"/>
              <w:tblW w:w="765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12"/>
              <w:gridCol w:w="2768"/>
              <w:gridCol w:w="1774"/>
              <w:gridCol w:w="2105"/>
            </w:tblGrid>
            <w:tr w14:paraId="0048C5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2" w:type="dxa"/>
                  <w:noWrap w:val="0"/>
                  <w:vAlign w:val="center"/>
                </w:tcPr>
                <w:p w14:paraId="31B19AB1">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序号</w:t>
                  </w:r>
                </w:p>
              </w:tc>
              <w:tc>
                <w:tcPr>
                  <w:tcW w:w="2768" w:type="dxa"/>
                  <w:noWrap w:val="0"/>
                  <w:vAlign w:val="center"/>
                </w:tcPr>
                <w:p w14:paraId="796BBFB3">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化学品名称</w:t>
                  </w:r>
                </w:p>
              </w:tc>
              <w:tc>
                <w:tcPr>
                  <w:tcW w:w="1774" w:type="dxa"/>
                  <w:noWrap w:val="0"/>
                  <w:vAlign w:val="center"/>
                </w:tcPr>
                <w:p w14:paraId="23D8942B">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CAS编号</w:t>
                  </w:r>
                </w:p>
              </w:tc>
              <w:tc>
                <w:tcPr>
                  <w:tcW w:w="2105" w:type="dxa"/>
                  <w:noWrap w:val="0"/>
                  <w:vAlign w:val="center"/>
                </w:tcPr>
                <w:p w14:paraId="3C8E6903">
                  <w:pPr>
                    <w:snapToGrid w:val="0"/>
                    <w:spacing w:line="240" w:lineRule="auto"/>
                    <w:jc w:val="center"/>
                    <w:rPr>
                      <w:rFonts w:ascii="Times New Roman" w:hAnsi="Times New Roman"/>
                      <w:b/>
                      <w:bCs/>
                      <w:sz w:val="21"/>
                      <w:szCs w:val="21"/>
                      <w:highlight w:val="none"/>
                    </w:rPr>
                  </w:pPr>
                  <w:r>
                    <w:rPr>
                      <w:rFonts w:ascii="Times New Roman" w:hAnsi="Times New Roman"/>
                      <w:b/>
                      <w:bCs/>
                      <w:sz w:val="21"/>
                      <w:szCs w:val="21"/>
                      <w:highlight w:val="none"/>
                    </w:rPr>
                    <w:t>含量%</w:t>
                  </w:r>
                </w:p>
              </w:tc>
            </w:tr>
            <w:tr w14:paraId="1BD5B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2" w:type="dxa"/>
                  <w:noWrap w:val="0"/>
                  <w:vAlign w:val="center"/>
                </w:tcPr>
                <w:p w14:paraId="60759BAC">
                  <w:pPr>
                    <w:snapToGrid w:val="0"/>
                    <w:spacing w:line="240" w:lineRule="auto"/>
                    <w:jc w:val="center"/>
                    <w:rPr>
                      <w:rFonts w:ascii="Times New Roman" w:hAnsi="Times New Roman"/>
                      <w:sz w:val="21"/>
                      <w:szCs w:val="21"/>
                      <w:highlight w:val="none"/>
                    </w:rPr>
                  </w:pPr>
                  <w:r>
                    <w:rPr>
                      <w:rFonts w:ascii="Times New Roman" w:hAnsi="Times New Roman"/>
                      <w:sz w:val="21"/>
                      <w:szCs w:val="21"/>
                      <w:highlight w:val="none"/>
                    </w:rPr>
                    <w:t>1</w:t>
                  </w:r>
                </w:p>
              </w:tc>
              <w:tc>
                <w:tcPr>
                  <w:tcW w:w="2768" w:type="dxa"/>
                  <w:noWrap w:val="0"/>
                  <w:vAlign w:val="center"/>
                </w:tcPr>
                <w:p w14:paraId="41CD820D">
                  <w:pPr>
                    <w:snapToGrid w:val="0"/>
                    <w:spacing w:line="240" w:lineRule="auto"/>
                    <w:jc w:val="center"/>
                    <w:rPr>
                      <w:rFonts w:hint="eastAsia" w:ascii="Times New Roman" w:hAnsi="Times New Roman" w:eastAsia="宋体"/>
                      <w:sz w:val="21"/>
                      <w:szCs w:val="21"/>
                      <w:highlight w:val="none"/>
                      <w:lang w:eastAsia="zh-CN"/>
                    </w:rPr>
                  </w:pPr>
                  <w:r>
                    <w:rPr>
                      <w:rFonts w:hint="eastAsia" w:ascii="Times New Roman" w:hAnsi="Times New Roman"/>
                      <w:sz w:val="21"/>
                      <w:szCs w:val="21"/>
                      <w:highlight w:val="none"/>
                      <w:lang w:val="en-US" w:eastAsia="zh-CN"/>
                    </w:rPr>
                    <w:t>松香</w:t>
                  </w:r>
                </w:p>
              </w:tc>
              <w:tc>
                <w:tcPr>
                  <w:tcW w:w="1774" w:type="dxa"/>
                  <w:noWrap w:val="0"/>
                  <w:vAlign w:val="center"/>
                </w:tcPr>
                <w:p w14:paraId="69530982">
                  <w:pPr>
                    <w:snapToGrid w:val="0"/>
                    <w:spacing w:line="240" w:lineRule="auto"/>
                    <w:jc w:val="center"/>
                    <w:rPr>
                      <w:rFonts w:hint="default" w:ascii="Times New Roman" w:hAnsi="Times New Roman"/>
                      <w:sz w:val="21"/>
                      <w:szCs w:val="21"/>
                      <w:highlight w:val="none"/>
                      <w:lang w:val="en-US"/>
                    </w:rPr>
                  </w:pPr>
                  <w:r>
                    <w:rPr>
                      <w:rFonts w:hint="eastAsia"/>
                      <w:sz w:val="21"/>
                      <w:szCs w:val="21"/>
                      <w:highlight w:val="none"/>
                      <w:lang w:val="en-US" w:eastAsia="zh-CN"/>
                    </w:rPr>
                    <w:t>8050-09-7</w:t>
                  </w:r>
                </w:p>
              </w:tc>
              <w:tc>
                <w:tcPr>
                  <w:tcW w:w="2105" w:type="dxa"/>
                  <w:noWrap w:val="0"/>
                  <w:vAlign w:val="center"/>
                </w:tcPr>
                <w:p w14:paraId="1B6A0AF9">
                  <w:pPr>
                    <w:snapToGrid w:val="0"/>
                    <w:spacing w:line="240" w:lineRule="auto"/>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3</w:t>
                  </w:r>
                </w:p>
              </w:tc>
            </w:tr>
            <w:tr w14:paraId="7CDC2B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2" w:type="dxa"/>
                  <w:noWrap w:val="0"/>
                  <w:vAlign w:val="center"/>
                </w:tcPr>
                <w:p w14:paraId="5B404036">
                  <w:pPr>
                    <w:snapToGrid w:val="0"/>
                    <w:spacing w:line="240" w:lineRule="auto"/>
                    <w:jc w:val="center"/>
                    <w:rPr>
                      <w:rFonts w:ascii="Times New Roman" w:hAnsi="Times New Roman"/>
                      <w:sz w:val="21"/>
                      <w:szCs w:val="21"/>
                      <w:highlight w:val="none"/>
                    </w:rPr>
                  </w:pPr>
                  <w:r>
                    <w:rPr>
                      <w:rFonts w:ascii="Times New Roman" w:hAnsi="Times New Roman"/>
                      <w:sz w:val="21"/>
                      <w:szCs w:val="21"/>
                      <w:highlight w:val="none"/>
                    </w:rPr>
                    <w:t>2</w:t>
                  </w:r>
                </w:p>
              </w:tc>
              <w:tc>
                <w:tcPr>
                  <w:tcW w:w="2768" w:type="dxa"/>
                  <w:noWrap w:val="0"/>
                  <w:vAlign w:val="center"/>
                </w:tcPr>
                <w:p w14:paraId="1C4FF292">
                  <w:pPr>
                    <w:snapToGrid w:val="0"/>
                    <w:spacing w:line="240" w:lineRule="auto"/>
                    <w:jc w:val="center"/>
                    <w:rPr>
                      <w:rFonts w:hint="eastAsia" w:ascii="Times New Roman" w:hAnsi="Times New Roman" w:eastAsia="宋体"/>
                      <w:sz w:val="21"/>
                      <w:szCs w:val="21"/>
                      <w:highlight w:val="none"/>
                      <w:lang w:eastAsia="zh-CN"/>
                    </w:rPr>
                  </w:pPr>
                  <w:r>
                    <w:rPr>
                      <w:rFonts w:hint="eastAsia" w:ascii="Times New Roman" w:hAnsi="Times New Roman" w:eastAsia="宋体" w:cs="Times New Roman"/>
                      <w:sz w:val="21"/>
                      <w:szCs w:val="21"/>
                      <w:highlight w:val="none"/>
                      <w:lang w:eastAsia="zh-CN"/>
                    </w:rPr>
                    <w:t>羟基丁二酸</w:t>
                  </w:r>
                </w:p>
              </w:tc>
              <w:tc>
                <w:tcPr>
                  <w:tcW w:w="1774" w:type="dxa"/>
                  <w:noWrap w:val="0"/>
                  <w:vAlign w:val="center"/>
                </w:tcPr>
                <w:p w14:paraId="23A79E6D">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97-67-6</w:t>
                  </w:r>
                </w:p>
              </w:tc>
              <w:tc>
                <w:tcPr>
                  <w:tcW w:w="2105" w:type="dxa"/>
                  <w:noWrap w:val="0"/>
                  <w:vAlign w:val="center"/>
                </w:tcPr>
                <w:p w14:paraId="3FA74153">
                  <w:pPr>
                    <w:snapToGrid w:val="0"/>
                    <w:spacing w:line="240" w:lineRule="auto"/>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4</w:t>
                  </w:r>
                </w:p>
              </w:tc>
            </w:tr>
            <w:tr w14:paraId="70E66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2" w:type="dxa"/>
                  <w:noWrap w:val="0"/>
                  <w:vAlign w:val="center"/>
                </w:tcPr>
                <w:p w14:paraId="22C3648D">
                  <w:pPr>
                    <w:snapToGrid w:val="0"/>
                    <w:spacing w:line="240" w:lineRule="auto"/>
                    <w:jc w:val="center"/>
                    <w:rPr>
                      <w:rFonts w:ascii="Times New Roman" w:hAnsi="Times New Roman"/>
                      <w:sz w:val="21"/>
                      <w:szCs w:val="21"/>
                      <w:highlight w:val="none"/>
                    </w:rPr>
                  </w:pPr>
                  <w:r>
                    <w:rPr>
                      <w:rFonts w:ascii="Times New Roman" w:hAnsi="Times New Roman"/>
                      <w:sz w:val="21"/>
                      <w:szCs w:val="21"/>
                      <w:highlight w:val="none"/>
                    </w:rPr>
                    <w:t>3</w:t>
                  </w:r>
                </w:p>
              </w:tc>
              <w:tc>
                <w:tcPr>
                  <w:tcW w:w="2768" w:type="dxa"/>
                  <w:noWrap w:val="0"/>
                  <w:vAlign w:val="center"/>
                </w:tcPr>
                <w:p w14:paraId="6EEF7E01">
                  <w:pPr>
                    <w:snapToGrid w:val="0"/>
                    <w:spacing w:line="240" w:lineRule="auto"/>
                    <w:jc w:val="center"/>
                    <w:rPr>
                      <w:rFonts w:hint="eastAsia" w:ascii="Times New Roman" w:hAnsi="Times New Roman" w:eastAsia="宋体"/>
                      <w:sz w:val="21"/>
                      <w:szCs w:val="21"/>
                      <w:highlight w:val="none"/>
                      <w:lang w:eastAsia="zh-CN"/>
                    </w:rPr>
                  </w:pPr>
                  <w:r>
                    <w:rPr>
                      <w:rFonts w:ascii="Times New Roman" w:hAnsi="Times New Roman"/>
                      <w:sz w:val="21"/>
                      <w:szCs w:val="21"/>
                      <w:highlight w:val="none"/>
                      <w:shd w:val="clear" w:color="auto" w:fill="FFFFFF"/>
                    </w:rPr>
                    <w:t>异丙醇（IPA）</w:t>
                  </w:r>
                </w:p>
              </w:tc>
              <w:tc>
                <w:tcPr>
                  <w:tcW w:w="1774" w:type="dxa"/>
                  <w:noWrap w:val="0"/>
                  <w:vAlign w:val="center"/>
                </w:tcPr>
                <w:p w14:paraId="14F414D4">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67-63-0</w:t>
                  </w:r>
                </w:p>
              </w:tc>
              <w:tc>
                <w:tcPr>
                  <w:tcW w:w="2105" w:type="dxa"/>
                  <w:noWrap w:val="0"/>
                  <w:vAlign w:val="center"/>
                </w:tcPr>
                <w:p w14:paraId="3FE12D05">
                  <w:pPr>
                    <w:snapToGrid w:val="0"/>
                    <w:spacing w:line="240" w:lineRule="auto"/>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85</w:t>
                  </w:r>
                </w:p>
              </w:tc>
            </w:tr>
            <w:tr w14:paraId="10B4E6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12" w:type="dxa"/>
                  <w:noWrap w:val="0"/>
                  <w:vAlign w:val="center"/>
                </w:tcPr>
                <w:p w14:paraId="543C3BE3">
                  <w:pPr>
                    <w:snapToGrid w:val="0"/>
                    <w:spacing w:line="240" w:lineRule="auto"/>
                    <w:jc w:val="center"/>
                    <w:rPr>
                      <w:rFonts w:hint="eastAsia" w:ascii="Times New Roman" w:hAnsi="Courier New" w:eastAsia="宋体" w:cs="Times New Roman"/>
                      <w:b w:val="0"/>
                      <w:bCs w:val="0"/>
                      <w:color w:val="auto"/>
                      <w:kern w:val="2"/>
                      <w:sz w:val="24"/>
                      <w:szCs w:val="24"/>
                      <w:highlight w:val="none"/>
                      <w:u w:val="none"/>
                      <w:lang w:val="en-US" w:eastAsia="zh-CN" w:bidi="ar-SA"/>
                    </w:rPr>
                  </w:pPr>
                  <w:r>
                    <w:rPr>
                      <w:rFonts w:hint="eastAsia" w:ascii="Times New Roman" w:hAnsi="Courier New" w:eastAsia="宋体" w:cs="Times New Roman"/>
                      <w:b w:val="0"/>
                      <w:bCs w:val="0"/>
                      <w:color w:val="auto"/>
                      <w:kern w:val="2"/>
                      <w:sz w:val="24"/>
                      <w:szCs w:val="24"/>
                      <w:highlight w:val="none"/>
                      <w:u w:val="none"/>
                      <w:lang w:val="en-US" w:eastAsia="zh-CN" w:bidi="ar-SA"/>
                    </w:rPr>
                    <w:t>4</w:t>
                  </w:r>
                </w:p>
              </w:tc>
              <w:tc>
                <w:tcPr>
                  <w:tcW w:w="2768" w:type="dxa"/>
                  <w:noWrap w:val="0"/>
                  <w:vAlign w:val="center"/>
                </w:tcPr>
                <w:p w14:paraId="62A680A1">
                  <w:pPr>
                    <w:snapToGrid w:val="0"/>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催化剂</w:t>
                  </w:r>
                </w:p>
              </w:tc>
              <w:tc>
                <w:tcPr>
                  <w:tcW w:w="1774" w:type="dxa"/>
                  <w:noWrap w:val="0"/>
                  <w:vAlign w:val="center"/>
                </w:tcPr>
                <w:p w14:paraId="48E3406E">
                  <w:pPr>
                    <w:snapToGrid w:val="0"/>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tc>
              <w:tc>
                <w:tcPr>
                  <w:tcW w:w="2105" w:type="dxa"/>
                  <w:noWrap w:val="0"/>
                  <w:vAlign w:val="center"/>
                </w:tcPr>
                <w:p w14:paraId="41EC4796">
                  <w:pPr>
                    <w:snapToGrid w:val="0"/>
                    <w:spacing w:line="240" w:lineRule="auto"/>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w:t>
                  </w:r>
                </w:p>
              </w:tc>
            </w:tr>
          </w:tbl>
          <w:p w14:paraId="5CEB5E6B">
            <w:pPr>
              <w:keepNext w:val="0"/>
              <w:keepLines w:val="0"/>
              <w:pageBreakBefore w:val="0"/>
              <w:widowControl w:val="0"/>
              <w:tabs>
                <w:tab w:val="left" w:pos="484"/>
              </w:tabs>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宋体" w:cs="Times New Roman"/>
                <w:color w:val="000000"/>
                <w:kern w:val="0"/>
                <w:sz w:val="24"/>
                <w:szCs w:val="24"/>
                <w:highlight w:val="none"/>
                <w:lang w:val="en-US" w:eastAsia="zh-CN" w:bidi="ar-SA"/>
              </w:rPr>
            </w:pPr>
            <w:r>
              <w:rPr>
                <w:rFonts w:hint="eastAsia" w:ascii="Times New Roman" w:hAnsi="Times New Roman" w:eastAsia="宋体" w:cs="Times New Roman"/>
                <w:b/>
                <w:bCs/>
                <w:color w:val="000000"/>
                <w:kern w:val="0"/>
                <w:sz w:val="24"/>
                <w:szCs w:val="24"/>
                <w:highlight w:val="none"/>
                <w:lang w:val="en-US" w:eastAsia="zh-CN" w:bidi="ar-SA"/>
              </w:rPr>
              <w:t>⑤酚醛树脂颗粒：</w:t>
            </w:r>
            <w:r>
              <w:rPr>
                <w:rFonts w:hint="eastAsia" w:ascii="Times New Roman" w:hAnsi="Times New Roman" w:eastAsia="宋体" w:cs="Times New Roman"/>
                <w:color w:val="000000"/>
                <w:kern w:val="0"/>
                <w:sz w:val="24"/>
                <w:szCs w:val="24"/>
                <w:highlight w:val="none"/>
                <w:lang w:val="en-US" w:eastAsia="zh-CN" w:bidi="ar-SA"/>
              </w:rPr>
              <w:t>固体酚醛树脂为</w:t>
            </w:r>
            <w:r>
              <w:rPr>
                <w:rFonts w:hint="eastAsia" w:cs="Times New Roman"/>
                <w:color w:val="000000"/>
                <w:kern w:val="0"/>
                <w:sz w:val="24"/>
                <w:szCs w:val="24"/>
                <w:highlight w:val="none"/>
                <w:lang w:val="en-US" w:eastAsia="zh-CN" w:bidi="ar-SA"/>
              </w:rPr>
              <w:t>黑</w:t>
            </w:r>
            <w:r>
              <w:rPr>
                <w:rFonts w:hint="eastAsia" w:ascii="Times New Roman" w:hAnsi="Times New Roman" w:eastAsia="宋体" w:cs="Times New Roman"/>
                <w:color w:val="000000"/>
                <w:kern w:val="0"/>
                <w:sz w:val="24"/>
                <w:szCs w:val="24"/>
                <w:highlight w:val="none"/>
                <w:lang w:val="en-US" w:eastAsia="zh-CN" w:bidi="ar-SA"/>
              </w:rPr>
              <w:t>色、</w:t>
            </w:r>
            <w:r>
              <w:rPr>
                <w:rFonts w:hint="eastAsia" w:cs="Times New Roman"/>
                <w:color w:val="000000"/>
                <w:kern w:val="0"/>
                <w:sz w:val="24"/>
                <w:szCs w:val="24"/>
                <w:highlight w:val="none"/>
                <w:lang w:val="en-US" w:eastAsia="zh-CN" w:bidi="ar-SA"/>
              </w:rPr>
              <w:t>颗粒</w:t>
            </w:r>
            <w:r>
              <w:rPr>
                <w:rFonts w:hint="eastAsia" w:ascii="Times New Roman" w:hAnsi="Times New Roman" w:eastAsia="宋体" w:cs="Times New Roman"/>
                <w:color w:val="000000"/>
                <w:kern w:val="0"/>
                <w:sz w:val="24"/>
                <w:szCs w:val="24"/>
                <w:highlight w:val="none"/>
                <w:lang w:val="en-US" w:eastAsia="zh-CN" w:bidi="ar-SA"/>
              </w:rPr>
              <w:t>状物质，实体的比重平均1.</w:t>
            </w:r>
            <w:r>
              <w:rPr>
                <w:rFonts w:hint="eastAsia" w:cs="Times New Roman"/>
                <w:color w:val="000000"/>
                <w:kern w:val="0"/>
                <w:sz w:val="24"/>
                <w:szCs w:val="24"/>
                <w:highlight w:val="none"/>
                <w:lang w:val="en-US" w:eastAsia="zh-CN" w:bidi="ar-SA"/>
              </w:rPr>
              <w:t>82</w:t>
            </w:r>
            <w:r>
              <w:rPr>
                <w:rFonts w:hint="eastAsia" w:ascii="Times New Roman" w:hAnsi="Times New Roman" w:eastAsia="宋体" w:cs="Times New Roman"/>
                <w:color w:val="000000"/>
                <w:kern w:val="0"/>
                <w:sz w:val="24"/>
                <w:szCs w:val="24"/>
                <w:highlight w:val="none"/>
                <w:lang w:val="en-US" w:eastAsia="zh-CN" w:bidi="ar-SA"/>
              </w:rPr>
              <w:t>左右，易溶于醇，不溶于水，对水、弱酸、弱碱溶液稳定。由苯酚和甲醛在催化剂条件下缩聚、经中和、水洗而制成的树脂。因选用催化剂的不同，可分为热固性和热塑性两类。酚醛树脂具有良好的耐酸性能、力学性能、耐热性能，广泛应用于防腐蚀工程、胶粘剂、阻燃材料、砂轮片制造等行业。 酚醛树脂主要用于制造各种塑料、涂料、胶粘剂及合成纤维等。</w:t>
            </w:r>
          </w:p>
          <w:p w14:paraId="0FCB3E45">
            <w:pPr>
              <w:keepNext w:val="0"/>
              <w:keepLines w:val="0"/>
              <w:pageBreakBefore w:val="0"/>
              <w:widowControl w:val="0"/>
              <w:tabs>
                <w:tab w:val="left" w:pos="484"/>
              </w:tabs>
              <w:kinsoku/>
              <w:wordWrap/>
              <w:overflowPunct/>
              <w:topLinePunct w:val="0"/>
              <w:autoSpaceDE/>
              <w:autoSpaceDN/>
              <w:bidi w:val="0"/>
              <w:adjustRightInd/>
              <w:snapToGrid/>
              <w:spacing w:line="360" w:lineRule="auto"/>
              <w:ind w:firstLine="482" w:firstLineChars="200"/>
              <w:jc w:val="left"/>
              <w:textAlignment w:val="auto"/>
              <w:rPr>
                <w:rFonts w:hint="eastAsia" w:ascii="Times New Roman" w:hAnsi="Times New Roman" w:eastAsia="宋体" w:cs="Times New Roman"/>
                <w:b w:val="0"/>
                <w:bCs w:val="0"/>
                <w:color w:val="000000"/>
                <w:kern w:val="0"/>
                <w:sz w:val="24"/>
                <w:szCs w:val="24"/>
                <w:highlight w:val="none"/>
                <w:lang w:val="en-US" w:eastAsia="zh-CN" w:bidi="ar-SA"/>
              </w:rPr>
            </w:pPr>
            <w:r>
              <w:rPr>
                <w:rFonts w:hint="eastAsia" w:ascii="Times New Roman" w:hAnsi="Times New Roman" w:eastAsia="宋体" w:cs="Times New Roman"/>
                <w:b/>
                <w:bCs/>
                <w:color w:val="000000"/>
                <w:kern w:val="0"/>
                <w:sz w:val="24"/>
                <w:szCs w:val="24"/>
                <w:highlight w:val="none"/>
                <w:lang w:val="en-US" w:eastAsia="zh-CN" w:bidi="ar-SA"/>
              </w:rPr>
              <w:t>⑥CP线：</w:t>
            </w:r>
            <w:r>
              <w:rPr>
                <w:rFonts w:hint="eastAsia" w:ascii="Times New Roman" w:hAnsi="Times New Roman" w:eastAsia="宋体" w:cs="Times New Roman"/>
                <w:b w:val="0"/>
                <w:bCs w:val="0"/>
                <w:color w:val="000000"/>
                <w:kern w:val="0"/>
                <w:sz w:val="24"/>
                <w:szCs w:val="24"/>
                <w:highlight w:val="none"/>
                <w:lang w:val="en-US" w:eastAsia="zh-CN" w:bidi="ar-SA"/>
              </w:rPr>
              <w:t>是一种复合线材，主要由‌低碳钢为芯线，外表依次镀覆铜、锡或锡基合金层加工而成。‌这种线材具有高强度和韧性，易于切断，在整机装配流水过程中能自立而不倾倒，适应阻容元件生产自动化。CP线的导电率良好，具有良好的折弯性能、可焊性和导磁性，同时还具备优良的高频特性和对铝熔接特性。由于其强度高、性价比高，CP线被广泛应用于电容器引线等领域，特别是在插件类电容器的引线中，CP线的使用非常普遍，其价格仅为纯铜线产品价格的1/2到1/3，但强度却是纯铜线的2倍。</w:t>
            </w:r>
          </w:p>
          <w:p w14:paraId="60AA7407">
            <w:pPr>
              <w:keepNext w:val="0"/>
              <w:keepLines w:val="0"/>
              <w:pageBreakBefore w:val="0"/>
              <w:widowControl w:val="0"/>
              <w:tabs>
                <w:tab w:val="left" w:pos="484"/>
              </w:tabs>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000000"/>
                <w:kern w:val="0"/>
                <w:sz w:val="24"/>
                <w:szCs w:val="24"/>
                <w:highlight w:val="none"/>
                <w:lang w:val="en-US" w:eastAsia="zh-CN" w:bidi="ar-SA"/>
              </w:rPr>
            </w:pPr>
            <w:r>
              <w:rPr>
                <w:rFonts w:hint="eastAsia" w:ascii="Times New Roman" w:hAnsi="Times New Roman" w:eastAsia="宋体" w:cs="Times New Roman"/>
                <w:b/>
                <w:bCs/>
                <w:color w:val="000000"/>
                <w:kern w:val="0"/>
                <w:sz w:val="24"/>
                <w:szCs w:val="24"/>
                <w:highlight w:val="none"/>
                <w:lang w:val="en-US" w:eastAsia="zh-CN" w:bidi="ar-SA"/>
              </w:rPr>
              <w:t>⑦PBT树脂</w:t>
            </w:r>
            <w:r>
              <w:rPr>
                <w:rFonts w:hint="eastAsia" w:cs="Times New Roman"/>
                <w:b/>
                <w:bCs/>
                <w:color w:val="000000"/>
                <w:kern w:val="0"/>
                <w:sz w:val="24"/>
                <w:szCs w:val="24"/>
                <w:highlight w:val="none"/>
                <w:lang w:val="en-US" w:eastAsia="zh-CN" w:bidi="ar-SA"/>
              </w:rPr>
              <w:t>：</w:t>
            </w:r>
            <w:r>
              <w:rPr>
                <w:rFonts w:hint="eastAsia" w:ascii="Times New Roman" w:hAnsi="Times New Roman" w:eastAsia="宋体" w:cs="Times New Roman"/>
                <w:b w:val="0"/>
                <w:bCs w:val="0"/>
                <w:color w:val="000000"/>
                <w:kern w:val="0"/>
                <w:sz w:val="24"/>
                <w:szCs w:val="24"/>
                <w:highlight w:val="none"/>
                <w:lang w:val="en-US" w:eastAsia="zh-CN" w:bidi="ar-SA"/>
              </w:rPr>
              <w:t>聚对苯二甲酸丁二酯 (Polybutylene terephthalate ，简称PBT) 是一种半透明或不透明、结晶型热塑性聚酯树脂，又名聚对苯二甲酸四次甲基酯。化学式为</w:t>
            </w:r>
            <w:r>
              <w:rPr>
                <w:rFonts w:hint="eastAsia" w:cs="Times New Roman"/>
                <w:b w:val="0"/>
                <w:bCs w:val="0"/>
                <w:color w:val="000000"/>
                <w:kern w:val="0"/>
                <w:sz w:val="24"/>
                <w:szCs w:val="24"/>
                <w:highlight w:val="none"/>
                <w:lang w:val="en-US" w:eastAsia="zh-CN" w:bidi="ar-SA"/>
              </w:rPr>
              <w:t>（</w:t>
            </w:r>
            <w:r>
              <w:rPr>
                <w:rFonts w:hint="eastAsia" w:ascii="Times New Roman" w:hAnsi="Times New Roman" w:eastAsia="宋体" w:cs="Times New Roman"/>
                <w:b w:val="0"/>
                <w:bCs w:val="0"/>
                <w:color w:val="000000"/>
                <w:kern w:val="0"/>
                <w:sz w:val="24"/>
                <w:szCs w:val="24"/>
                <w:highlight w:val="none"/>
                <w:lang w:val="en-US" w:eastAsia="zh-CN" w:bidi="ar-SA"/>
              </w:rPr>
              <w:t>C</w:t>
            </w:r>
            <w:r>
              <w:rPr>
                <w:rFonts w:hint="default" w:ascii="Times New Roman" w:hAnsi="Times New Roman" w:eastAsia="宋体" w:cs="Times New Roman"/>
                <w:b w:val="0"/>
                <w:bCs w:val="0"/>
                <w:color w:val="000000"/>
                <w:kern w:val="0"/>
                <w:sz w:val="24"/>
                <w:szCs w:val="24"/>
                <w:highlight w:val="none"/>
                <w:vertAlign w:val="subscript"/>
                <w:lang w:val="en-US" w:eastAsia="zh-CN" w:bidi="ar-SA"/>
              </w:rPr>
              <w:t>12</w:t>
            </w:r>
            <w:r>
              <w:rPr>
                <w:rFonts w:hint="default" w:ascii="Times New Roman" w:hAnsi="Times New Roman" w:eastAsia="宋体" w:cs="Times New Roman"/>
                <w:b w:val="0"/>
                <w:bCs w:val="0"/>
                <w:color w:val="000000"/>
                <w:kern w:val="0"/>
                <w:sz w:val="24"/>
                <w:szCs w:val="24"/>
                <w:highlight w:val="none"/>
                <w:lang w:val="en-US" w:eastAsia="zh-CN" w:bidi="ar-SA"/>
              </w:rPr>
              <w:t>H</w:t>
            </w:r>
            <w:r>
              <w:rPr>
                <w:rFonts w:hint="default" w:ascii="Times New Roman" w:hAnsi="Times New Roman" w:eastAsia="宋体" w:cs="Times New Roman"/>
                <w:b w:val="0"/>
                <w:bCs w:val="0"/>
                <w:color w:val="000000"/>
                <w:kern w:val="0"/>
                <w:sz w:val="24"/>
                <w:szCs w:val="24"/>
                <w:highlight w:val="none"/>
                <w:vertAlign w:val="subscript"/>
                <w:lang w:val="en-US" w:eastAsia="zh-CN" w:bidi="ar-SA"/>
              </w:rPr>
              <w:t>12</w:t>
            </w:r>
            <w:r>
              <w:rPr>
                <w:rFonts w:hint="default" w:ascii="Times New Roman" w:hAnsi="Times New Roman" w:eastAsia="宋体" w:cs="Times New Roman"/>
                <w:b w:val="0"/>
                <w:bCs w:val="0"/>
                <w:color w:val="000000"/>
                <w:kern w:val="0"/>
                <w:sz w:val="24"/>
                <w:szCs w:val="24"/>
                <w:highlight w:val="none"/>
                <w:lang w:val="en-US" w:eastAsia="zh-CN" w:bidi="ar-SA"/>
              </w:rPr>
              <w:t>O</w:t>
            </w:r>
            <w:r>
              <w:rPr>
                <w:rFonts w:hint="default" w:ascii="Times New Roman" w:hAnsi="Times New Roman" w:eastAsia="宋体" w:cs="Times New Roman"/>
                <w:b w:val="0"/>
                <w:bCs w:val="0"/>
                <w:color w:val="000000"/>
                <w:kern w:val="0"/>
                <w:sz w:val="24"/>
                <w:szCs w:val="24"/>
                <w:highlight w:val="none"/>
                <w:vertAlign w:val="subscript"/>
                <w:lang w:val="en-US" w:eastAsia="zh-CN" w:bidi="ar-SA"/>
              </w:rPr>
              <w:t>4</w:t>
            </w:r>
            <w:r>
              <w:rPr>
                <w:rFonts w:hint="eastAsia" w:cs="Times New Roman"/>
                <w:b w:val="0"/>
                <w:bCs w:val="0"/>
                <w:color w:val="000000"/>
                <w:kern w:val="0"/>
                <w:sz w:val="24"/>
                <w:szCs w:val="24"/>
                <w:highlight w:val="none"/>
                <w:vertAlign w:val="subscript"/>
                <w:lang w:val="en-US" w:eastAsia="zh-CN" w:bidi="ar-SA"/>
              </w:rPr>
              <w:t>）</w:t>
            </w:r>
            <w:r>
              <w:rPr>
                <w:rFonts w:hint="default" w:ascii="Times New Roman" w:hAnsi="Times New Roman" w:eastAsia="宋体" w:cs="Times New Roman"/>
                <w:b w:val="0"/>
                <w:bCs w:val="0"/>
                <w:color w:val="000000"/>
                <w:kern w:val="0"/>
                <w:sz w:val="24"/>
                <w:szCs w:val="24"/>
                <w:highlight w:val="none"/>
                <w:lang w:val="en-US" w:eastAsia="zh-CN" w:bidi="ar-SA"/>
              </w:rPr>
              <w:t>n，相对分子质量为30000～40000，其外观为乳白色或淡黄色，表面有光泽，密度1.31~1.55g/cm</w:t>
            </w:r>
            <w:r>
              <w:rPr>
                <w:rFonts w:hint="default" w:ascii="Times New Roman" w:hAnsi="Times New Roman" w:eastAsia="宋体" w:cs="Times New Roman"/>
                <w:b w:val="0"/>
                <w:bCs w:val="0"/>
                <w:color w:val="000000"/>
                <w:kern w:val="0"/>
                <w:sz w:val="24"/>
                <w:szCs w:val="24"/>
                <w:highlight w:val="none"/>
                <w:vertAlign w:val="superscript"/>
                <w:lang w:val="en-US" w:eastAsia="zh-CN" w:bidi="ar-SA"/>
              </w:rPr>
              <w:t>3</w:t>
            </w:r>
            <w:r>
              <w:rPr>
                <w:rFonts w:hint="default" w:ascii="Times New Roman" w:hAnsi="Times New Roman" w:eastAsia="宋体" w:cs="Times New Roman"/>
                <w:b w:val="0"/>
                <w:bCs w:val="0"/>
                <w:color w:val="000000"/>
                <w:kern w:val="0"/>
                <w:sz w:val="24"/>
                <w:szCs w:val="24"/>
                <w:highlight w:val="none"/>
                <w:lang w:val="en-US" w:eastAsia="zh-CN" w:bidi="ar-SA"/>
              </w:rPr>
              <w:t>。在应用上，PBT已在电子电器、汽车、机械设备以及光缆光纤包覆等许多领域获得广泛应用。PBT本身是无毒的，生物相容性良好，并且对皮肤无明显刺激作用。贮存时，PBT颗粒应放在干燥、通风的环境中，避免阳光直射和高温</w:t>
            </w:r>
            <w:r>
              <w:rPr>
                <w:rFonts w:hint="eastAsia" w:ascii="Times New Roman" w:hAnsi="Times New Roman" w:eastAsia="宋体" w:cs="Times New Roman"/>
                <w:b w:val="0"/>
                <w:bCs w:val="0"/>
                <w:color w:val="000000"/>
                <w:kern w:val="0"/>
                <w:sz w:val="24"/>
                <w:szCs w:val="24"/>
                <w:highlight w:val="none"/>
                <w:lang w:val="en-US" w:eastAsia="zh-CN" w:bidi="ar-SA"/>
              </w:rPr>
              <w:t>。</w:t>
            </w:r>
          </w:p>
          <w:p w14:paraId="2BD5D0C7">
            <w:pPr>
              <w:keepNext w:val="0"/>
              <w:keepLines w:val="0"/>
              <w:pageBreakBefore w:val="0"/>
              <w:widowControl w:val="0"/>
              <w:tabs>
                <w:tab w:val="left" w:pos="484"/>
              </w:tabs>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000000"/>
                <w:kern w:val="0"/>
                <w:sz w:val="24"/>
                <w:szCs w:val="24"/>
                <w:highlight w:val="none"/>
                <w:lang w:val="en-US" w:eastAsia="zh-CN" w:bidi="ar-SA"/>
              </w:rPr>
            </w:pPr>
            <w:r>
              <w:rPr>
                <w:rFonts w:hint="eastAsia" w:ascii="Times New Roman" w:hAnsi="Times New Roman" w:eastAsia="宋体" w:cs="Times New Roman"/>
                <w:b/>
                <w:bCs/>
                <w:color w:val="000000"/>
                <w:kern w:val="0"/>
                <w:sz w:val="24"/>
                <w:szCs w:val="24"/>
                <w:highlight w:val="none"/>
                <w:lang w:val="en-US" w:eastAsia="zh-CN" w:bidi="ar-SA"/>
              </w:rPr>
              <w:t>⑧LCP树脂</w:t>
            </w:r>
            <w:r>
              <w:rPr>
                <w:rFonts w:hint="eastAsia" w:cs="Times New Roman"/>
                <w:b/>
                <w:bCs/>
                <w:color w:val="000000"/>
                <w:kern w:val="0"/>
                <w:sz w:val="24"/>
                <w:szCs w:val="24"/>
                <w:highlight w:val="none"/>
                <w:lang w:val="en-US" w:eastAsia="zh-CN" w:bidi="ar-SA"/>
              </w:rPr>
              <w:t>:</w:t>
            </w:r>
            <w:r>
              <w:rPr>
                <w:rFonts w:hint="default" w:ascii="Times New Roman" w:hAnsi="Times New Roman" w:eastAsia="宋体" w:cs="Times New Roman"/>
                <w:b w:val="0"/>
                <w:bCs w:val="0"/>
                <w:color w:val="000000"/>
                <w:kern w:val="0"/>
                <w:sz w:val="24"/>
                <w:szCs w:val="24"/>
                <w:highlight w:val="none"/>
                <w:lang w:val="en-US" w:eastAsia="zh-CN" w:bidi="ar-SA"/>
              </w:rPr>
              <w:t>LCP塑胶原料（Liquid Crystal Polymer，液晶聚合物）是一种熔融态下呈现液晶性的新型高分子材料，分为热致型（温度变化引发液晶态）和溶致型（溶剂作用形成液晶态）两类。该材料具有高强度、高刚性、耐高温（300-425℃）、低线膨胀系数、UL94V-0级阻燃性及优异尺寸稳定性，密度为1.35-1.45g/cm³，无需纤维增强即可实现高机械性能</w:t>
            </w:r>
            <w:r>
              <w:rPr>
                <w:rFonts w:hint="eastAsia" w:ascii="Times New Roman" w:hAnsi="Times New Roman" w:eastAsia="宋体" w:cs="Times New Roman"/>
                <w:b w:val="0"/>
                <w:bCs w:val="0"/>
                <w:color w:val="000000"/>
                <w:kern w:val="0"/>
                <w:sz w:val="24"/>
                <w:szCs w:val="24"/>
                <w:highlight w:val="none"/>
                <w:lang w:val="en-US" w:eastAsia="zh-CN" w:bidi="ar-SA"/>
              </w:rPr>
              <w:t>。其熔体粘度低、流动性佳，适用于注塑成型（温度范围300-425℃），可快速制造薄壁复杂零件，成型周期仅10-30秒。主要应用于电子电气（印刷电路板、连接器）、汽车（燃料部件、制动系统）、航空航天（发动机零件、外部面板）及医疗设备，替代金属和陶瓷用于耐高温、耐化学腐蚀场景。与聚砜、PBT等材料共混可增强性能，广泛用于微波炉容器、光纤接头等精密制品。</w:t>
            </w:r>
          </w:p>
          <w:p w14:paraId="0421497F">
            <w:pPr>
              <w:tabs>
                <w:tab w:val="left" w:pos="484"/>
              </w:tabs>
              <w:spacing w:line="360" w:lineRule="auto"/>
              <w:jc w:val="left"/>
              <w:rPr>
                <w:b/>
                <w:bCs/>
                <w:color w:val="auto"/>
                <w:sz w:val="24"/>
                <w:highlight w:val="none"/>
                <w:u w:val="none"/>
              </w:rPr>
            </w:pPr>
            <w:r>
              <w:rPr>
                <w:rFonts w:hint="eastAsia"/>
                <w:b/>
                <w:bCs/>
                <w:color w:val="auto"/>
                <w:sz w:val="24"/>
                <w:highlight w:val="none"/>
                <w:u w:val="none"/>
              </w:rPr>
              <w:t>4、</w:t>
            </w:r>
            <w:r>
              <w:rPr>
                <w:b/>
                <w:bCs/>
                <w:color w:val="auto"/>
                <w:sz w:val="24"/>
                <w:highlight w:val="none"/>
                <w:u w:val="none"/>
              </w:rPr>
              <w:t>主要生产设备</w:t>
            </w:r>
          </w:p>
          <w:p w14:paraId="19FDF9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highlight w:val="none"/>
                <w:u w:val="none"/>
              </w:rPr>
            </w:pPr>
            <w:r>
              <w:rPr>
                <w:color w:val="auto"/>
                <w:sz w:val="24"/>
                <w:highlight w:val="none"/>
                <w:u w:val="none"/>
              </w:rPr>
              <w:t>本项目主要生产设备详见下表</w:t>
            </w:r>
            <w:r>
              <w:rPr>
                <w:rFonts w:hint="eastAsia"/>
                <w:color w:val="auto"/>
                <w:sz w:val="24"/>
                <w:highlight w:val="none"/>
                <w:u w:val="none"/>
                <w:lang w:eastAsia="zh-CN"/>
              </w:rPr>
              <w:t>，</w:t>
            </w:r>
            <w:r>
              <w:rPr>
                <w:rFonts w:hint="default" w:ascii="Times New Roman" w:hAnsi="Times New Roman" w:cs="Times New Roman"/>
                <w:color w:val="auto"/>
                <w:sz w:val="24"/>
                <w:highlight w:val="none"/>
                <w:u w:val="none"/>
              </w:rPr>
              <w:t>项目使用的生产设备均不属于</w:t>
            </w:r>
            <w:r>
              <w:rPr>
                <w:rFonts w:hint="eastAsia" w:cs="Times New Roman"/>
                <w:color w:val="auto"/>
                <w:sz w:val="24"/>
                <w:highlight w:val="none"/>
                <w:u w:val="none"/>
                <w:lang w:eastAsia="zh-CN"/>
              </w:rPr>
              <w:t>《产业结构调整指导目录（2024年本）》</w:t>
            </w:r>
            <w:r>
              <w:rPr>
                <w:rFonts w:hint="default" w:ascii="Times New Roman" w:hAnsi="Times New Roman" w:cs="Times New Roman"/>
                <w:color w:val="auto"/>
                <w:sz w:val="24"/>
                <w:highlight w:val="none"/>
                <w:u w:val="none"/>
              </w:rPr>
              <w:t>中限制、淘汰类，符合国家产业政策要求</w:t>
            </w:r>
            <w:r>
              <w:rPr>
                <w:color w:val="auto"/>
                <w:sz w:val="24"/>
                <w:highlight w:val="none"/>
                <w:u w:val="none"/>
              </w:rPr>
              <w:t>。</w:t>
            </w:r>
          </w:p>
          <w:p w14:paraId="73303BD1">
            <w:pPr>
              <w:adjustRightInd w:val="0"/>
              <w:snapToGrid w:val="0"/>
              <w:ind w:firstLine="422" w:firstLineChars="200"/>
              <w:jc w:val="center"/>
              <w:rPr>
                <w:rFonts w:eastAsia="黑体"/>
                <w:b/>
                <w:bCs/>
                <w:color w:val="auto"/>
                <w:sz w:val="24"/>
                <w:highlight w:val="none"/>
                <w:u w:val="none"/>
              </w:rPr>
            </w:pPr>
            <w:r>
              <w:rPr>
                <w:rFonts w:hint="eastAsia" w:ascii="宋体" w:hAnsi="宋体" w:cs="宋体"/>
                <w:b/>
                <w:bCs/>
                <w:color w:val="auto"/>
                <w:highlight w:val="none"/>
                <w:u w:val="none"/>
              </w:rPr>
              <w:t>表2-</w:t>
            </w:r>
            <w:r>
              <w:rPr>
                <w:rFonts w:hint="eastAsia" w:ascii="宋体" w:hAnsi="宋体" w:cs="宋体"/>
                <w:b/>
                <w:bCs/>
                <w:color w:val="auto"/>
                <w:highlight w:val="none"/>
                <w:u w:val="none"/>
                <w:lang w:val="en-US" w:eastAsia="zh-CN"/>
              </w:rPr>
              <w:t>7</w:t>
            </w:r>
            <w:r>
              <w:rPr>
                <w:rFonts w:hint="eastAsia" w:ascii="宋体" w:hAnsi="宋体" w:cs="宋体"/>
                <w:b/>
                <w:bCs/>
                <w:color w:val="auto"/>
                <w:highlight w:val="none"/>
                <w:u w:val="none"/>
              </w:rPr>
              <w:t xml:space="preserve"> 项目主要设备一览表</w:t>
            </w:r>
          </w:p>
          <w:tbl>
            <w:tblPr>
              <w:tblStyle w:val="35"/>
              <w:tblW w:w="77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19"/>
              <w:gridCol w:w="1553"/>
              <w:gridCol w:w="1675"/>
              <w:gridCol w:w="1190"/>
              <w:gridCol w:w="1335"/>
              <w:gridCol w:w="1515"/>
            </w:tblGrid>
            <w:tr w14:paraId="4943B3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19" w:type="dxa"/>
                  <w:vAlign w:val="center"/>
                </w:tcPr>
                <w:p w14:paraId="48DC1916">
                  <w:pPr>
                    <w:jc w:val="center"/>
                    <w:rPr>
                      <w:rFonts w:ascii="Times New Roman" w:hAnsi="Times New Roman" w:eastAsia="宋体" w:cs="Times New Roman"/>
                      <w:b/>
                      <w:color w:val="auto"/>
                      <w:sz w:val="21"/>
                      <w:szCs w:val="21"/>
                      <w:highlight w:val="none"/>
                      <w:u w:val="none"/>
                    </w:rPr>
                  </w:pPr>
                  <w:r>
                    <w:rPr>
                      <w:rFonts w:ascii="Times New Roman" w:hAnsi="Times New Roman" w:eastAsia="宋体" w:cs="Times New Roman"/>
                      <w:b/>
                      <w:color w:val="auto"/>
                      <w:sz w:val="21"/>
                      <w:szCs w:val="21"/>
                      <w:highlight w:val="none"/>
                      <w:u w:val="none"/>
                    </w:rPr>
                    <w:t>序号</w:t>
                  </w:r>
                </w:p>
              </w:tc>
              <w:tc>
                <w:tcPr>
                  <w:tcW w:w="1553" w:type="dxa"/>
                  <w:vAlign w:val="center"/>
                </w:tcPr>
                <w:p w14:paraId="1EDC5FDF">
                  <w:pPr>
                    <w:jc w:val="center"/>
                    <w:rPr>
                      <w:rFonts w:ascii="Times New Roman" w:hAnsi="Times New Roman" w:eastAsia="宋体" w:cs="Times New Roman"/>
                      <w:b/>
                      <w:color w:val="auto"/>
                      <w:sz w:val="21"/>
                      <w:szCs w:val="21"/>
                      <w:highlight w:val="none"/>
                      <w:u w:val="none"/>
                    </w:rPr>
                  </w:pPr>
                  <w:r>
                    <w:rPr>
                      <w:rFonts w:ascii="Times New Roman" w:hAnsi="Times New Roman" w:eastAsia="宋体" w:cs="Times New Roman"/>
                      <w:b/>
                      <w:color w:val="auto"/>
                      <w:sz w:val="21"/>
                      <w:szCs w:val="21"/>
                      <w:highlight w:val="none"/>
                      <w:u w:val="none"/>
                    </w:rPr>
                    <w:t>设备名称</w:t>
                  </w:r>
                </w:p>
              </w:tc>
              <w:tc>
                <w:tcPr>
                  <w:tcW w:w="1675" w:type="dxa"/>
                  <w:vAlign w:val="center"/>
                </w:tcPr>
                <w:p w14:paraId="0FB07F59">
                  <w:pPr>
                    <w:jc w:val="center"/>
                    <w:rPr>
                      <w:rFonts w:ascii="Times New Roman" w:hAnsi="Times New Roman" w:eastAsia="宋体" w:cs="Times New Roman"/>
                      <w:b/>
                      <w:color w:val="auto"/>
                      <w:sz w:val="21"/>
                      <w:szCs w:val="21"/>
                      <w:highlight w:val="none"/>
                      <w:u w:val="none"/>
                    </w:rPr>
                  </w:pPr>
                  <w:r>
                    <w:rPr>
                      <w:rFonts w:ascii="Times New Roman" w:hAnsi="Times New Roman" w:eastAsia="宋体" w:cs="Times New Roman"/>
                      <w:b/>
                      <w:color w:val="auto"/>
                      <w:sz w:val="21"/>
                      <w:szCs w:val="21"/>
                      <w:highlight w:val="none"/>
                      <w:u w:val="none"/>
                    </w:rPr>
                    <w:t>设备型号</w:t>
                  </w:r>
                </w:p>
              </w:tc>
              <w:tc>
                <w:tcPr>
                  <w:tcW w:w="1190" w:type="dxa"/>
                  <w:vAlign w:val="center"/>
                </w:tcPr>
                <w:p w14:paraId="016CEC7F">
                  <w:pPr>
                    <w:jc w:val="center"/>
                    <w:rPr>
                      <w:rFonts w:hint="eastAsia" w:ascii="Times New Roman" w:hAnsi="Times New Roman" w:eastAsia="宋体" w:cs="Times New Roman"/>
                      <w:b/>
                      <w:color w:val="auto"/>
                      <w:sz w:val="21"/>
                      <w:szCs w:val="21"/>
                      <w:highlight w:val="none"/>
                      <w:u w:val="none"/>
                      <w:lang w:eastAsia="zh-CN"/>
                    </w:rPr>
                  </w:pPr>
                  <w:r>
                    <w:rPr>
                      <w:rFonts w:hint="eastAsia" w:cs="Times New Roman"/>
                      <w:b/>
                      <w:color w:val="auto"/>
                      <w:sz w:val="21"/>
                      <w:szCs w:val="21"/>
                      <w:highlight w:val="none"/>
                      <w:u w:val="none"/>
                      <w:lang w:val="en-US" w:eastAsia="zh-CN"/>
                    </w:rPr>
                    <w:t>原环评</w:t>
                  </w:r>
                  <w:r>
                    <w:rPr>
                      <w:rFonts w:ascii="Times New Roman" w:hAnsi="Times New Roman" w:eastAsia="宋体" w:cs="Times New Roman"/>
                      <w:b/>
                      <w:color w:val="auto"/>
                      <w:sz w:val="21"/>
                      <w:szCs w:val="21"/>
                      <w:highlight w:val="none"/>
                      <w:u w:val="none"/>
                    </w:rPr>
                    <w:t>数量</w:t>
                  </w:r>
                  <w:r>
                    <w:rPr>
                      <w:rFonts w:hint="eastAsia" w:cs="Times New Roman"/>
                      <w:b/>
                      <w:color w:val="auto"/>
                      <w:sz w:val="21"/>
                      <w:szCs w:val="21"/>
                      <w:highlight w:val="none"/>
                      <w:u w:val="none"/>
                      <w:lang w:eastAsia="zh-CN"/>
                    </w:rPr>
                    <w:t>（</w:t>
                  </w:r>
                  <w:r>
                    <w:rPr>
                      <w:rFonts w:hint="eastAsia" w:cs="Times New Roman"/>
                      <w:b/>
                      <w:color w:val="auto"/>
                      <w:sz w:val="21"/>
                      <w:szCs w:val="21"/>
                      <w:highlight w:val="none"/>
                      <w:u w:val="none"/>
                      <w:lang w:val="en-US" w:eastAsia="zh-CN"/>
                    </w:rPr>
                    <w:t>台/个</w:t>
                  </w:r>
                  <w:r>
                    <w:rPr>
                      <w:rFonts w:hint="eastAsia" w:cs="Times New Roman"/>
                      <w:b/>
                      <w:color w:val="auto"/>
                      <w:sz w:val="21"/>
                      <w:szCs w:val="21"/>
                      <w:highlight w:val="none"/>
                      <w:u w:val="none"/>
                      <w:lang w:eastAsia="zh-CN"/>
                    </w:rPr>
                    <w:t>）</w:t>
                  </w:r>
                </w:p>
              </w:tc>
              <w:tc>
                <w:tcPr>
                  <w:tcW w:w="1335" w:type="dxa"/>
                  <w:vAlign w:val="center"/>
                </w:tcPr>
                <w:p w14:paraId="35733006">
                  <w:pPr>
                    <w:jc w:val="center"/>
                    <w:rPr>
                      <w:rFonts w:hint="default" w:ascii="Times New Roman" w:hAnsi="Times New Roman" w:eastAsia="宋体" w:cs="Times New Roman"/>
                      <w:b/>
                      <w:color w:val="auto"/>
                      <w:sz w:val="21"/>
                      <w:szCs w:val="21"/>
                      <w:highlight w:val="none"/>
                      <w:u w:val="none"/>
                      <w:lang w:val="en-US" w:eastAsia="zh-CN"/>
                    </w:rPr>
                  </w:pPr>
                  <w:r>
                    <w:rPr>
                      <w:rFonts w:hint="eastAsia" w:cs="Times New Roman"/>
                      <w:b/>
                      <w:color w:val="auto"/>
                      <w:sz w:val="21"/>
                      <w:szCs w:val="21"/>
                      <w:highlight w:val="none"/>
                      <w:u w:val="none"/>
                      <w:lang w:val="en-US" w:eastAsia="zh-CN"/>
                    </w:rPr>
                    <w:t>本次变更后数量</w:t>
                  </w:r>
                  <w:r>
                    <w:rPr>
                      <w:rFonts w:hint="eastAsia" w:cs="Times New Roman"/>
                      <w:b/>
                      <w:color w:val="auto"/>
                      <w:sz w:val="21"/>
                      <w:szCs w:val="21"/>
                      <w:highlight w:val="none"/>
                      <w:u w:val="none"/>
                      <w:lang w:eastAsia="zh-CN"/>
                    </w:rPr>
                    <w:t>（</w:t>
                  </w:r>
                  <w:r>
                    <w:rPr>
                      <w:rFonts w:hint="eastAsia" w:cs="Times New Roman"/>
                      <w:b/>
                      <w:color w:val="auto"/>
                      <w:sz w:val="21"/>
                      <w:szCs w:val="21"/>
                      <w:highlight w:val="none"/>
                      <w:u w:val="none"/>
                      <w:lang w:val="en-US" w:eastAsia="zh-CN"/>
                    </w:rPr>
                    <w:t>台/个</w:t>
                  </w:r>
                  <w:r>
                    <w:rPr>
                      <w:rFonts w:hint="eastAsia" w:cs="Times New Roman"/>
                      <w:b/>
                      <w:color w:val="auto"/>
                      <w:sz w:val="21"/>
                      <w:szCs w:val="21"/>
                      <w:highlight w:val="none"/>
                      <w:u w:val="none"/>
                      <w:lang w:eastAsia="zh-CN"/>
                    </w:rPr>
                    <w:t>）</w:t>
                  </w:r>
                </w:p>
              </w:tc>
              <w:tc>
                <w:tcPr>
                  <w:tcW w:w="1515" w:type="dxa"/>
                  <w:vAlign w:val="center"/>
                </w:tcPr>
                <w:p w14:paraId="20C97059">
                  <w:pPr>
                    <w:jc w:val="center"/>
                    <w:rPr>
                      <w:rFonts w:ascii="Times New Roman" w:hAnsi="Times New Roman" w:eastAsia="宋体" w:cs="Times New Roman"/>
                      <w:b/>
                      <w:color w:val="auto"/>
                      <w:sz w:val="21"/>
                      <w:szCs w:val="21"/>
                      <w:highlight w:val="none"/>
                      <w:u w:val="none"/>
                    </w:rPr>
                  </w:pPr>
                  <w:r>
                    <w:rPr>
                      <w:rFonts w:ascii="Times New Roman" w:hAnsi="Times New Roman" w:eastAsia="宋体" w:cs="Times New Roman"/>
                      <w:b/>
                      <w:color w:val="auto"/>
                      <w:sz w:val="21"/>
                      <w:szCs w:val="21"/>
                      <w:highlight w:val="none"/>
                      <w:u w:val="none"/>
                    </w:rPr>
                    <w:t>备注</w:t>
                  </w:r>
                </w:p>
              </w:tc>
            </w:tr>
            <w:tr w14:paraId="35FE04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787" w:type="dxa"/>
                  <w:gridSpan w:val="6"/>
                  <w:vAlign w:val="center"/>
                </w:tcPr>
                <w:p w14:paraId="11013261">
                  <w:pPr>
                    <w:jc w:val="center"/>
                    <w:rPr>
                      <w:rFonts w:hint="default" w:ascii="Times New Roman" w:hAnsi="Times New Roman" w:eastAsia="宋体" w:cs="Times New Roman"/>
                      <w:b/>
                      <w:color w:val="auto"/>
                      <w:sz w:val="21"/>
                      <w:szCs w:val="21"/>
                      <w:highlight w:val="none"/>
                      <w:u w:val="none"/>
                      <w:lang w:val="en-US"/>
                    </w:rPr>
                  </w:pPr>
                  <w:r>
                    <w:rPr>
                      <w:rFonts w:hint="eastAsia" w:ascii="Times New Roman" w:hAnsi="Times New Roman" w:eastAsia="宋体" w:cs="Times New Roman"/>
                      <w:b/>
                      <w:bCs/>
                      <w:color w:val="auto"/>
                      <w:kern w:val="0"/>
                      <w:sz w:val="21"/>
                      <w:szCs w:val="21"/>
                      <w:highlight w:val="none"/>
                      <w:lang w:val="en-US" w:eastAsia="zh-CN" w:bidi="ar-SA"/>
                    </w:rPr>
                    <w:t>电子接插件、胶壳</w:t>
                  </w:r>
                </w:p>
              </w:tc>
            </w:tr>
            <w:tr w14:paraId="744A58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19" w:type="dxa"/>
                  <w:vAlign w:val="center"/>
                </w:tcPr>
                <w:p w14:paraId="4FC8ED99">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w:t>
                  </w:r>
                </w:p>
              </w:tc>
              <w:tc>
                <w:tcPr>
                  <w:tcW w:w="1553" w:type="dxa"/>
                  <w:shd w:val="clear" w:color="auto" w:fill="auto"/>
                  <w:vAlign w:val="center"/>
                </w:tcPr>
                <w:p w14:paraId="4A2F525D">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PBT注塑机</w:t>
                  </w:r>
                </w:p>
              </w:tc>
              <w:tc>
                <w:tcPr>
                  <w:tcW w:w="1675" w:type="dxa"/>
                  <w:shd w:val="clear" w:color="auto" w:fill="auto"/>
                  <w:vAlign w:val="center"/>
                </w:tcPr>
                <w:p w14:paraId="5F458EBA">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HA2100</w:t>
                  </w:r>
                </w:p>
              </w:tc>
              <w:tc>
                <w:tcPr>
                  <w:tcW w:w="1190" w:type="dxa"/>
                  <w:shd w:val="clear" w:color="auto" w:fill="auto"/>
                  <w:vAlign w:val="center"/>
                </w:tcPr>
                <w:p w14:paraId="4E41633C">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48FD5816">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3</w:t>
                  </w:r>
                </w:p>
              </w:tc>
              <w:tc>
                <w:tcPr>
                  <w:tcW w:w="1515" w:type="dxa"/>
                  <w:vMerge w:val="restart"/>
                  <w:shd w:val="clear" w:color="auto" w:fill="auto"/>
                  <w:vAlign w:val="center"/>
                </w:tcPr>
                <w:p w14:paraId="4900113B">
                  <w:pPr>
                    <w:pStyle w:val="20"/>
                    <w:spacing w:line="360" w:lineRule="auto"/>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PBT/LCP原料</w:t>
                  </w:r>
                  <w:r>
                    <w:rPr>
                      <w:rFonts w:hint="eastAsia" w:ascii="Times New Roman" w:hAnsi="Times New Roman" w:eastAsia="宋体" w:cs="Times New Roman"/>
                      <w:sz w:val="21"/>
                      <w:szCs w:val="21"/>
                    </w:rPr>
                    <w:t>注塑成型</w:t>
                  </w:r>
                </w:p>
              </w:tc>
            </w:tr>
            <w:tr w14:paraId="0588C3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19" w:type="dxa"/>
                  <w:vAlign w:val="center"/>
                </w:tcPr>
                <w:p w14:paraId="349B3CDA">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w:t>
                  </w:r>
                </w:p>
              </w:tc>
              <w:tc>
                <w:tcPr>
                  <w:tcW w:w="1553" w:type="dxa"/>
                  <w:shd w:val="clear" w:color="auto" w:fill="auto"/>
                  <w:vAlign w:val="center"/>
                </w:tcPr>
                <w:p w14:paraId="03AFF240">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PBT注塑机</w:t>
                  </w:r>
                </w:p>
              </w:tc>
              <w:tc>
                <w:tcPr>
                  <w:tcW w:w="1675" w:type="dxa"/>
                  <w:shd w:val="clear" w:color="auto" w:fill="auto"/>
                  <w:vAlign w:val="center"/>
                </w:tcPr>
                <w:p w14:paraId="5A5CE8AE">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CS-180-FH400C</w:t>
                  </w:r>
                </w:p>
              </w:tc>
              <w:tc>
                <w:tcPr>
                  <w:tcW w:w="1190" w:type="dxa"/>
                  <w:shd w:val="clear" w:color="auto" w:fill="auto"/>
                  <w:vAlign w:val="center"/>
                </w:tcPr>
                <w:p w14:paraId="1D6540F6">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71716263">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515" w:type="dxa"/>
                  <w:vMerge w:val="continue"/>
                  <w:shd w:val="clear" w:color="auto" w:fill="auto"/>
                  <w:vAlign w:val="center"/>
                </w:tcPr>
                <w:p w14:paraId="68C6EDCA">
                  <w:pPr>
                    <w:spacing w:line="360" w:lineRule="auto"/>
                    <w:jc w:val="center"/>
                    <w:rPr>
                      <w:rFonts w:hint="eastAsia" w:ascii="Times New Roman" w:hAnsi="Times New Roman" w:eastAsia="宋体" w:cs="Times New Roman"/>
                      <w:kern w:val="2"/>
                      <w:sz w:val="21"/>
                      <w:szCs w:val="21"/>
                      <w:lang w:val="en-US" w:eastAsia="zh-CN" w:bidi="ar-SA"/>
                    </w:rPr>
                  </w:pPr>
                </w:p>
              </w:tc>
            </w:tr>
            <w:tr w14:paraId="28B55F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19" w:type="dxa"/>
                  <w:vAlign w:val="center"/>
                </w:tcPr>
                <w:p w14:paraId="002A6C3C">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w:t>
                  </w:r>
                </w:p>
              </w:tc>
              <w:tc>
                <w:tcPr>
                  <w:tcW w:w="1553" w:type="dxa"/>
                  <w:shd w:val="clear" w:color="auto" w:fill="auto"/>
                  <w:vAlign w:val="center"/>
                </w:tcPr>
                <w:p w14:paraId="38E4A9FC">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PBT注塑机</w:t>
                  </w:r>
                </w:p>
              </w:tc>
              <w:tc>
                <w:tcPr>
                  <w:tcW w:w="1675" w:type="dxa"/>
                  <w:shd w:val="clear" w:color="auto" w:fill="auto"/>
                  <w:vAlign w:val="center"/>
                </w:tcPr>
                <w:p w14:paraId="2373AE54">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JM128-C/ES</w:t>
                  </w:r>
                </w:p>
              </w:tc>
              <w:tc>
                <w:tcPr>
                  <w:tcW w:w="1190" w:type="dxa"/>
                  <w:shd w:val="clear" w:color="auto" w:fill="auto"/>
                  <w:vAlign w:val="center"/>
                </w:tcPr>
                <w:p w14:paraId="0B0A256B">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294D7E5D">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4</w:t>
                  </w:r>
                </w:p>
              </w:tc>
              <w:tc>
                <w:tcPr>
                  <w:tcW w:w="1515" w:type="dxa"/>
                  <w:vMerge w:val="continue"/>
                  <w:shd w:val="clear" w:color="auto" w:fill="auto"/>
                  <w:vAlign w:val="center"/>
                </w:tcPr>
                <w:p w14:paraId="08E5FDEC">
                  <w:pPr>
                    <w:spacing w:line="360" w:lineRule="auto"/>
                    <w:jc w:val="center"/>
                    <w:rPr>
                      <w:rFonts w:hint="eastAsia" w:ascii="Times New Roman" w:hAnsi="Times New Roman" w:eastAsia="宋体" w:cs="Times New Roman"/>
                      <w:kern w:val="2"/>
                      <w:sz w:val="21"/>
                      <w:szCs w:val="21"/>
                      <w:lang w:val="en-US" w:eastAsia="zh-CN" w:bidi="ar-SA"/>
                    </w:rPr>
                  </w:pPr>
                </w:p>
              </w:tc>
            </w:tr>
            <w:tr w14:paraId="5B267B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5EE02DFA">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4</w:t>
                  </w:r>
                </w:p>
              </w:tc>
              <w:tc>
                <w:tcPr>
                  <w:tcW w:w="1553" w:type="dxa"/>
                  <w:shd w:val="clear" w:color="auto" w:fill="auto"/>
                  <w:vAlign w:val="center"/>
                </w:tcPr>
                <w:p w14:paraId="36C0A639">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PBT注塑机</w:t>
                  </w:r>
                </w:p>
              </w:tc>
              <w:tc>
                <w:tcPr>
                  <w:tcW w:w="1675" w:type="dxa"/>
                  <w:shd w:val="clear" w:color="auto" w:fill="auto"/>
                  <w:vAlign w:val="center"/>
                </w:tcPr>
                <w:p w14:paraId="1D91C24D">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UN200A6</w:t>
                  </w:r>
                </w:p>
              </w:tc>
              <w:tc>
                <w:tcPr>
                  <w:tcW w:w="1190" w:type="dxa"/>
                  <w:shd w:val="clear" w:color="auto" w:fill="auto"/>
                  <w:vAlign w:val="center"/>
                </w:tcPr>
                <w:p w14:paraId="7B24A048">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3FB8E34E">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515" w:type="dxa"/>
                  <w:vMerge w:val="continue"/>
                  <w:shd w:val="clear" w:color="auto" w:fill="auto"/>
                  <w:vAlign w:val="center"/>
                </w:tcPr>
                <w:p w14:paraId="2A04BFE1">
                  <w:pPr>
                    <w:spacing w:line="360" w:lineRule="auto"/>
                    <w:jc w:val="center"/>
                    <w:rPr>
                      <w:rFonts w:hint="eastAsia" w:ascii="Times New Roman" w:hAnsi="Times New Roman" w:eastAsia="宋体" w:cs="Times New Roman"/>
                      <w:kern w:val="2"/>
                      <w:sz w:val="21"/>
                      <w:szCs w:val="21"/>
                      <w:lang w:val="en-US" w:eastAsia="zh-CN" w:bidi="ar-SA"/>
                    </w:rPr>
                  </w:pPr>
                </w:p>
              </w:tc>
            </w:tr>
            <w:tr w14:paraId="1949FD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51386590">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5</w:t>
                  </w:r>
                </w:p>
              </w:tc>
              <w:tc>
                <w:tcPr>
                  <w:tcW w:w="1553" w:type="dxa"/>
                  <w:shd w:val="clear" w:color="auto" w:fill="auto"/>
                  <w:vAlign w:val="center"/>
                </w:tcPr>
                <w:p w14:paraId="6206BAD5">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注塑机</w:t>
                  </w:r>
                </w:p>
              </w:tc>
              <w:tc>
                <w:tcPr>
                  <w:tcW w:w="1675" w:type="dxa"/>
                  <w:shd w:val="clear" w:color="auto" w:fill="auto"/>
                  <w:vAlign w:val="center"/>
                </w:tcPr>
                <w:p w14:paraId="06DA8A42">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w:t>
                  </w:r>
                </w:p>
              </w:tc>
              <w:tc>
                <w:tcPr>
                  <w:tcW w:w="1190" w:type="dxa"/>
                  <w:shd w:val="clear" w:color="auto" w:fill="auto"/>
                  <w:vAlign w:val="center"/>
                </w:tcPr>
                <w:p w14:paraId="236FB960">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2E2A2155">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10</w:t>
                  </w:r>
                </w:p>
              </w:tc>
              <w:tc>
                <w:tcPr>
                  <w:tcW w:w="1515" w:type="dxa"/>
                  <w:vMerge w:val="continue"/>
                  <w:shd w:val="clear" w:color="auto" w:fill="auto"/>
                  <w:vAlign w:val="center"/>
                </w:tcPr>
                <w:p w14:paraId="12668DA3">
                  <w:pPr>
                    <w:spacing w:line="360" w:lineRule="auto"/>
                    <w:jc w:val="center"/>
                    <w:rPr>
                      <w:rFonts w:hint="eastAsia" w:ascii="Times New Roman" w:hAnsi="Times New Roman" w:eastAsia="宋体" w:cs="Times New Roman"/>
                      <w:kern w:val="2"/>
                      <w:sz w:val="21"/>
                      <w:szCs w:val="21"/>
                      <w:lang w:val="en-US" w:eastAsia="zh-CN" w:bidi="ar-SA"/>
                    </w:rPr>
                  </w:pPr>
                </w:p>
              </w:tc>
            </w:tr>
            <w:tr w14:paraId="2AA00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2CF4B6AD">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6</w:t>
                  </w:r>
                </w:p>
              </w:tc>
              <w:tc>
                <w:tcPr>
                  <w:tcW w:w="1553" w:type="dxa"/>
                  <w:shd w:val="clear" w:color="auto" w:fill="auto"/>
                  <w:vAlign w:val="center"/>
                </w:tcPr>
                <w:p w14:paraId="1E6B78D4">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w:t>
                  </w:r>
                  <w:r>
                    <w:rPr>
                      <w:rFonts w:hint="eastAsia" w:cs="Times New Roman"/>
                      <w:sz w:val="21"/>
                      <w:szCs w:val="21"/>
                      <w:lang w:val="en-US" w:eastAsia="zh-CN"/>
                    </w:rPr>
                    <w:t>组装</w:t>
                  </w:r>
                  <w:r>
                    <w:rPr>
                      <w:rFonts w:hint="eastAsia" w:ascii="Times New Roman" w:hAnsi="Times New Roman" w:eastAsia="宋体" w:cs="Times New Roman"/>
                      <w:sz w:val="21"/>
                      <w:szCs w:val="21"/>
                    </w:rPr>
                    <w:t>机</w:t>
                  </w:r>
                </w:p>
              </w:tc>
              <w:tc>
                <w:tcPr>
                  <w:tcW w:w="1675" w:type="dxa"/>
                  <w:shd w:val="clear" w:color="auto" w:fill="auto"/>
                  <w:vAlign w:val="center"/>
                </w:tcPr>
                <w:p w14:paraId="2592CE44">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DJ20170317-057</w:t>
                  </w:r>
                </w:p>
              </w:tc>
              <w:tc>
                <w:tcPr>
                  <w:tcW w:w="1190" w:type="dxa"/>
                  <w:shd w:val="clear" w:color="auto" w:fill="auto"/>
                  <w:vAlign w:val="center"/>
                </w:tcPr>
                <w:p w14:paraId="036FE2D4">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4221FBAC">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515" w:type="dxa"/>
                  <w:shd w:val="clear" w:color="auto" w:fill="auto"/>
                  <w:vAlign w:val="center"/>
                </w:tcPr>
                <w:p w14:paraId="7E16448F">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零部件</w:t>
                  </w:r>
                  <w:r>
                    <w:rPr>
                      <w:rFonts w:hint="eastAsia" w:ascii="Times New Roman" w:hAnsi="Times New Roman" w:eastAsia="宋体" w:cs="Times New Roman"/>
                      <w:sz w:val="21"/>
                      <w:szCs w:val="21"/>
                    </w:rPr>
                    <w:t>装配</w:t>
                  </w:r>
                </w:p>
              </w:tc>
            </w:tr>
            <w:tr w14:paraId="60270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691B4188">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7</w:t>
                  </w:r>
                </w:p>
              </w:tc>
              <w:tc>
                <w:tcPr>
                  <w:tcW w:w="1553" w:type="dxa"/>
                  <w:shd w:val="clear" w:color="auto" w:fill="auto"/>
                  <w:vAlign w:val="center"/>
                </w:tcPr>
                <w:p w14:paraId="475DE3E4">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w:t>
                  </w:r>
                  <w:r>
                    <w:rPr>
                      <w:rFonts w:hint="eastAsia" w:cs="Times New Roman"/>
                      <w:sz w:val="21"/>
                      <w:szCs w:val="21"/>
                      <w:lang w:val="en-US" w:eastAsia="zh-CN"/>
                    </w:rPr>
                    <w:t>组装</w:t>
                  </w:r>
                  <w:r>
                    <w:rPr>
                      <w:rFonts w:hint="eastAsia" w:ascii="Times New Roman" w:hAnsi="Times New Roman" w:eastAsia="宋体" w:cs="Times New Roman"/>
                      <w:sz w:val="21"/>
                      <w:szCs w:val="21"/>
                    </w:rPr>
                    <w:t>机</w:t>
                  </w:r>
                </w:p>
              </w:tc>
              <w:tc>
                <w:tcPr>
                  <w:tcW w:w="1675" w:type="dxa"/>
                  <w:shd w:val="clear" w:color="auto" w:fill="auto"/>
                  <w:vAlign w:val="center"/>
                </w:tcPr>
                <w:p w14:paraId="518B3A6B">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DJ20171215-128</w:t>
                  </w:r>
                </w:p>
              </w:tc>
              <w:tc>
                <w:tcPr>
                  <w:tcW w:w="1190" w:type="dxa"/>
                  <w:shd w:val="clear" w:color="auto" w:fill="auto"/>
                  <w:vAlign w:val="center"/>
                </w:tcPr>
                <w:p w14:paraId="605BF614">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38D310C3">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w:t>
                  </w:r>
                </w:p>
              </w:tc>
              <w:tc>
                <w:tcPr>
                  <w:tcW w:w="1515" w:type="dxa"/>
                  <w:shd w:val="clear" w:color="auto" w:fill="auto"/>
                  <w:vAlign w:val="center"/>
                </w:tcPr>
                <w:p w14:paraId="08E19006">
                  <w:pPr>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零部件</w:t>
                  </w:r>
                  <w:r>
                    <w:rPr>
                      <w:rFonts w:hint="eastAsia" w:ascii="Times New Roman" w:hAnsi="Times New Roman" w:eastAsia="宋体" w:cs="Times New Roman"/>
                      <w:sz w:val="21"/>
                      <w:szCs w:val="21"/>
                    </w:rPr>
                    <w:t>装配</w:t>
                  </w:r>
                </w:p>
              </w:tc>
            </w:tr>
            <w:tr w14:paraId="256A2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50776FAA">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8</w:t>
                  </w:r>
                </w:p>
              </w:tc>
              <w:tc>
                <w:tcPr>
                  <w:tcW w:w="1553" w:type="dxa"/>
                  <w:shd w:val="clear" w:color="auto" w:fill="auto"/>
                  <w:vAlign w:val="center"/>
                </w:tcPr>
                <w:p w14:paraId="4BCCF984">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w:t>
                  </w:r>
                  <w:r>
                    <w:rPr>
                      <w:rFonts w:hint="eastAsia" w:cs="Times New Roman"/>
                      <w:sz w:val="21"/>
                      <w:szCs w:val="21"/>
                      <w:lang w:val="en-US" w:eastAsia="zh-CN"/>
                    </w:rPr>
                    <w:t>组装</w:t>
                  </w:r>
                  <w:r>
                    <w:rPr>
                      <w:rFonts w:hint="eastAsia" w:ascii="Times New Roman" w:hAnsi="Times New Roman" w:eastAsia="宋体" w:cs="Times New Roman"/>
                      <w:sz w:val="21"/>
                      <w:szCs w:val="21"/>
                    </w:rPr>
                    <w:t>机</w:t>
                  </w:r>
                </w:p>
              </w:tc>
              <w:tc>
                <w:tcPr>
                  <w:tcW w:w="1675" w:type="dxa"/>
                  <w:shd w:val="clear" w:color="auto" w:fill="auto"/>
                  <w:vAlign w:val="center"/>
                </w:tcPr>
                <w:p w14:paraId="3AFBAD56">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DJ20160719001</w:t>
                  </w:r>
                </w:p>
              </w:tc>
              <w:tc>
                <w:tcPr>
                  <w:tcW w:w="1190" w:type="dxa"/>
                  <w:shd w:val="clear" w:color="auto" w:fill="auto"/>
                  <w:vAlign w:val="center"/>
                </w:tcPr>
                <w:p w14:paraId="443793D6">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68673616">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515" w:type="dxa"/>
                  <w:shd w:val="clear" w:color="auto" w:fill="auto"/>
                  <w:vAlign w:val="center"/>
                </w:tcPr>
                <w:p w14:paraId="30C73787">
                  <w:pPr>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零部件</w:t>
                  </w:r>
                  <w:r>
                    <w:rPr>
                      <w:rFonts w:hint="eastAsia" w:ascii="Times New Roman" w:hAnsi="Times New Roman" w:eastAsia="宋体" w:cs="Times New Roman"/>
                      <w:sz w:val="21"/>
                      <w:szCs w:val="21"/>
                    </w:rPr>
                    <w:t>装配</w:t>
                  </w:r>
                </w:p>
              </w:tc>
            </w:tr>
            <w:tr w14:paraId="56F18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6F926B02">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9</w:t>
                  </w:r>
                </w:p>
              </w:tc>
              <w:tc>
                <w:tcPr>
                  <w:tcW w:w="1553" w:type="dxa"/>
                  <w:shd w:val="clear" w:color="auto" w:fill="auto"/>
                  <w:vAlign w:val="center"/>
                </w:tcPr>
                <w:p w14:paraId="5F4F1A82">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w:t>
                  </w:r>
                  <w:r>
                    <w:rPr>
                      <w:rFonts w:hint="eastAsia" w:cs="Times New Roman"/>
                      <w:sz w:val="21"/>
                      <w:szCs w:val="21"/>
                      <w:lang w:val="en-US" w:eastAsia="zh-CN"/>
                    </w:rPr>
                    <w:t>组装</w:t>
                  </w:r>
                  <w:r>
                    <w:rPr>
                      <w:rFonts w:hint="eastAsia" w:ascii="Times New Roman" w:hAnsi="Times New Roman" w:eastAsia="宋体" w:cs="Times New Roman"/>
                      <w:sz w:val="21"/>
                      <w:szCs w:val="21"/>
                    </w:rPr>
                    <w:t>机</w:t>
                  </w:r>
                </w:p>
              </w:tc>
              <w:tc>
                <w:tcPr>
                  <w:tcW w:w="1675" w:type="dxa"/>
                  <w:shd w:val="clear" w:color="auto" w:fill="auto"/>
                  <w:vAlign w:val="center"/>
                </w:tcPr>
                <w:p w14:paraId="3329E44A">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DJ20170911-108</w:t>
                  </w:r>
                </w:p>
              </w:tc>
              <w:tc>
                <w:tcPr>
                  <w:tcW w:w="1190" w:type="dxa"/>
                  <w:shd w:val="clear" w:color="auto" w:fill="auto"/>
                  <w:vAlign w:val="center"/>
                </w:tcPr>
                <w:p w14:paraId="419CCFD9">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6058FFEB">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515" w:type="dxa"/>
                  <w:shd w:val="clear" w:color="auto" w:fill="auto"/>
                  <w:vAlign w:val="center"/>
                </w:tcPr>
                <w:p w14:paraId="45E5374E">
                  <w:pPr>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零部件</w:t>
                  </w:r>
                  <w:r>
                    <w:rPr>
                      <w:rFonts w:hint="eastAsia" w:ascii="Times New Roman" w:hAnsi="Times New Roman" w:eastAsia="宋体" w:cs="Times New Roman"/>
                      <w:sz w:val="21"/>
                      <w:szCs w:val="21"/>
                    </w:rPr>
                    <w:t>装配</w:t>
                  </w:r>
                </w:p>
              </w:tc>
            </w:tr>
            <w:tr w14:paraId="5B779D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0231AFE6">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10</w:t>
                  </w:r>
                </w:p>
              </w:tc>
              <w:tc>
                <w:tcPr>
                  <w:tcW w:w="1553" w:type="dxa"/>
                  <w:shd w:val="clear" w:color="auto" w:fill="auto"/>
                  <w:vAlign w:val="center"/>
                </w:tcPr>
                <w:p w14:paraId="14251EC5">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w:t>
                  </w:r>
                  <w:r>
                    <w:rPr>
                      <w:rFonts w:hint="eastAsia" w:cs="Times New Roman"/>
                      <w:sz w:val="21"/>
                      <w:szCs w:val="21"/>
                      <w:lang w:val="en-US" w:eastAsia="zh-CN"/>
                    </w:rPr>
                    <w:t>组装</w:t>
                  </w:r>
                  <w:r>
                    <w:rPr>
                      <w:rFonts w:hint="eastAsia" w:ascii="Times New Roman" w:hAnsi="Times New Roman" w:eastAsia="宋体" w:cs="Times New Roman"/>
                      <w:sz w:val="21"/>
                      <w:szCs w:val="21"/>
                    </w:rPr>
                    <w:t>机</w:t>
                  </w:r>
                </w:p>
              </w:tc>
              <w:tc>
                <w:tcPr>
                  <w:tcW w:w="1675" w:type="dxa"/>
                  <w:shd w:val="clear" w:color="auto" w:fill="auto"/>
                  <w:vAlign w:val="center"/>
                </w:tcPr>
                <w:p w14:paraId="7193B3AB">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DJ20160818001</w:t>
                  </w:r>
                </w:p>
              </w:tc>
              <w:tc>
                <w:tcPr>
                  <w:tcW w:w="1190" w:type="dxa"/>
                  <w:shd w:val="clear" w:color="auto" w:fill="auto"/>
                  <w:vAlign w:val="center"/>
                </w:tcPr>
                <w:p w14:paraId="4779F7CE">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65553F59">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515" w:type="dxa"/>
                  <w:shd w:val="clear" w:color="auto" w:fill="auto"/>
                  <w:vAlign w:val="center"/>
                </w:tcPr>
                <w:p w14:paraId="4DDDFF8F">
                  <w:pPr>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零部件</w:t>
                  </w:r>
                  <w:r>
                    <w:rPr>
                      <w:rFonts w:hint="eastAsia" w:ascii="Times New Roman" w:hAnsi="Times New Roman" w:eastAsia="宋体" w:cs="Times New Roman"/>
                      <w:sz w:val="21"/>
                      <w:szCs w:val="21"/>
                    </w:rPr>
                    <w:t>装配</w:t>
                  </w:r>
                </w:p>
              </w:tc>
            </w:tr>
            <w:tr w14:paraId="00B18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1CBE3D94">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11</w:t>
                  </w:r>
                </w:p>
              </w:tc>
              <w:tc>
                <w:tcPr>
                  <w:tcW w:w="1553" w:type="dxa"/>
                  <w:shd w:val="clear" w:color="auto" w:fill="auto"/>
                  <w:vAlign w:val="center"/>
                </w:tcPr>
                <w:p w14:paraId="10B0DC51">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w:t>
                  </w:r>
                  <w:r>
                    <w:rPr>
                      <w:rFonts w:hint="eastAsia" w:cs="Times New Roman"/>
                      <w:sz w:val="21"/>
                      <w:szCs w:val="21"/>
                      <w:lang w:val="en-US" w:eastAsia="zh-CN"/>
                    </w:rPr>
                    <w:t>组装</w:t>
                  </w:r>
                  <w:r>
                    <w:rPr>
                      <w:rFonts w:hint="eastAsia" w:ascii="Times New Roman" w:hAnsi="Times New Roman" w:eastAsia="宋体" w:cs="Times New Roman"/>
                      <w:sz w:val="21"/>
                      <w:szCs w:val="21"/>
                    </w:rPr>
                    <w:t>机</w:t>
                  </w:r>
                </w:p>
              </w:tc>
              <w:tc>
                <w:tcPr>
                  <w:tcW w:w="1675" w:type="dxa"/>
                  <w:shd w:val="clear" w:color="auto" w:fill="auto"/>
                  <w:vAlign w:val="center"/>
                </w:tcPr>
                <w:p w14:paraId="1FFAC301">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DJ20180404-143</w:t>
                  </w:r>
                </w:p>
              </w:tc>
              <w:tc>
                <w:tcPr>
                  <w:tcW w:w="1190" w:type="dxa"/>
                  <w:shd w:val="clear" w:color="auto" w:fill="auto"/>
                  <w:vAlign w:val="center"/>
                </w:tcPr>
                <w:p w14:paraId="075C9AE9">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51A8BB32">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w:t>
                  </w:r>
                </w:p>
              </w:tc>
              <w:tc>
                <w:tcPr>
                  <w:tcW w:w="1515" w:type="dxa"/>
                  <w:shd w:val="clear" w:color="auto" w:fill="auto"/>
                  <w:vAlign w:val="center"/>
                </w:tcPr>
                <w:p w14:paraId="30CCC434">
                  <w:pPr>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零部件</w:t>
                  </w:r>
                  <w:r>
                    <w:rPr>
                      <w:rFonts w:hint="eastAsia" w:ascii="Times New Roman" w:hAnsi="Times New Roman" w:eastAsia="宋体" w:cs="Times New Roman"/>
                      <w:sz w:val="21"/>
                      <w:szCs w:val="21"/>
                    </w:rPr>
                    <w:t>装配</w:t>
                  </w:r>
                </w:p>
              </w:tc>
            </w:tr>
            <w:tr w14:paraId="7EE3C9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44ABFA4F">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12</w:t>
                  </w:r>
                </w:p>
              </w:tc>
              <w:tc>
                <w:tcPr>
                  <w:tcW w:w="1553" w:type="dxa"/>
                  <w:shd w:val="clear" w:color="auto" w:fill="auto"/>
                  <w:vAlign w:val="center"/>
                </w:tcPr>
                <w:p w14:paraId="2004A52D">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w:t>
                  </w:r>
                  <w:r>
                    <w:rPr>
                      <w:rFonts w:hint="eastAsia" w:cs="Times New Roman"/>
                      <w:sz w:val="21"/>
                      <w:szCs w:val="21"/>
                      <w:lang w:val="en-US" w:eastAsia="zh-CN"/>
                    </w:rPr>
                    <w:t>组装</w:t>
                  </w:r>
                  <w:r>
                    <w:rPr>
                      <w:rFonts w:hint="eastAsia" w:ascii="Times New Roman" w:hAnsi="Times New Roman" w:eastAsia="宋体" w:cs="Times New Roman"/>
                      <w:sz w:val="21"/>
                      <w:szCs w:val="21"/>
                    </w:rPr>
                    <w:t>机</w:t>
                  </w:r>
                </w:p>
              </w:tc>
              <w:tc>
                <w:tcPr>
                  <w:tcW w:w="1675" w:type="dxa"/>
                  <w:shd w:val="clear" w:color="auto" w:fill="auto"/>
                  <w:vAlign w:val="center"/>
                </w:tcPr>
                <w:p w14:paraId="0270F694">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DJ20170303-056</w:t>
                  </w:r>
                </w:p>
              </w:tc>
              <w:tc>
                <w:tcPr>
                  <w:tcW w:w="1190" w:type="dxa"/>
                  <w:shd w:val="clear" w:color="auto" w:fill="auto"/>
                  <w:vAlign w:val="center"/>
                </w:tcPr>
                <w:p w14:paraId="341E413F">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790ECB5E">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515" w:type="dxa"/>
                  <w:shd w:val="clear" w:color="auto" w:fill="auto"/>
                  <w:vAlign w:val="center"/>
                </w:tcPr>
                <w:p w14:paraId="312F3162">
                  <w:pPr>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零部件</w:t>
                  </w:r>
                  <w:r>
                    <w:rPr>
                      <w:rFonts w:hint="eastAsia" w:ascii="Times New Roman" w:hAnsi="Times New Roman" w:eastAsia="宋体" w:cs="Times New Roman"/>
                      <w:sz w:val="21"/>
                      <w:szCs w:val="21"/>
                    </w:rPr>
                    <w:t>装配</w:t>
                  </w:r>
                </w:p>
              </w:tc>
            </w:tr>
            <w:tr w14:paraId="2F898B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29B0BE71">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13</w:t>
                  </w:r>
                </w:p>
              </w:tc>
              <w:tc>
                <w:tcPr>
                  <w:tcW w:w="1553" w:type="dxa"/>
                  <w:shd w:val="clear" w:color="auto" w:fill="auto"/>
                  <w:vAlign w:val="center"/>
                </w:tcPr>
                <w:p w14:paraId="5BF4FCBD">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w:t>
                  </w:r>
                  <w:r>
                    <w:rPr>
                      <w:rFonts w:hint="eastAsia" w:cs="Times New Roman"/>
                      <w:sz w:val="21"/>
                      <w:szCs w:val="21"/>
                      <w:lang w:val="en-US" w:eastAsia="zh-CN"/>
                    </w:rPr>
                    <w:t>组装</w:t>
                  </w:r>
                  <w:r>
                    <w:rPr>
                      <w:rFonts w:hint="eastAsia" w:ascii="Times New Roman" w:hAnsi="Times New Roman" w:eastAsia="宋体" w:cs="Times New Roman"/>
                      <w:sz w:val="21"/>
                      <w:szCs w:val="21"/>
                    </w:rPr>
                    <w:t>机</w:t>
                  </w:r>
                </w:p>
              </w:tc>
              <w:tc>
                <w:tcPr>
                  <w:tcW w:w="1675" w:type="dxa"/>
                  <w:shd w:val="clear" w:color="auto" w:fill="auto"/>
                  <w:vAlign w:val="center"/>
                </w:tcPr>
                <w:p w14:paraId="29B3B285">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DJ20160116001</w:t>
                  </w:r>
                </w:p>
              </w:tc>
              <w:tc>
                <w:tcPr>
                  <w:tcW w:w="1190" w:type="dxa"/>
                  <w:shd w:val="clear" w:color="auto" w:fill="auto"/>
                  <w:vAlign w:val="center"/>
                </w:tcPr>
                <w:p w14:paraId="17ABFE1F">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2002882C">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515" w:type="dxa"/>
                  <w:shd w:val="clear" w:color="auto" w:fill="auto"/>
                  <w:vAlign w:val="center"/>
                </w:tcPr>
                <w:p w14:paraId="35E7E0DE">
                  <w:pPr>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零部件</w:t>
                  </w:r>
                  <w:r>
                    <w:rPr>
                      <w:rFonts w:hint="eastAsia" w:ascii="Times New Roman" w:hAnsi="Times New Roman" w:eastAsia="宋体" w:cs="Times New Roman"/>
                      <w:sz w:val="21"/>
                      <w:szCs w:val="21"/>
                    </w:rPr>
                    <w:t>装配</w:t>
                  </w:r>
                </w:p>
              </w:tc>
            </w:tr>
            <w:tr w14:paraId="57A31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43805B13">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14</w:t>
                  </w:r>
                </w:p>
              </w:tc>
              <w:tc>
                <w:tcPr>
                  <w:tcW w:w="1553" w:type="dxa"/>
                  <w:shd w:val="clear" w:color="auto" w:fill="auto"/>
                  <w:vAlign w:val="center"/>
                </w:tcPr>
                <w:p w14:paraId="70097EB1">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w:t>
                  </w:r>
                  <w:r>
                    <w:rPr>
                      <w:rFonts w:hint="eastAsia" w:cs="Times New Roman"/>
                      <w:sz w:val="21"/>
                      <w:szCs w:val="21"/>
                      <w:lang w:val="en-US" w:eastAsia="zh-CN"/>
                    </w:rPr>
                    <w:t>组装</w:t>
                  </w:r>
                  <w:r>
                    <w:rPr>
                      <w:rFonts w:hint="eastAsia" w:ascii="Times New Roman" w:hAnsi="Times New Roman" w:eastAsia="宋体" w:cs="Times New Roman"/>
                      <w:sz w:val="21"/>
                      <w:szCs w:val="21"/>
                    </w:rPr>
                    <w:t>机</w:t>
                  </w:r>
                </w:p>
              </w:tc>
              <w:tc>
                <w:tcPr>
                  <w:tcW w:w="1675" w:type="dxa"/>
                  <w:shd w:val="clear" w:color="auto" w:fill="auto"/>
                  <w:vAlign w:val="center"/>
                </w:tcPr>
                <w:p w14:paraId="745C90D3">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DJ20161202026</w:t>
                  </w:r>
                </w:p>
              </w:tc>
              <w:tc>
                <w:tcPr>
                  <w:tcW w:w="1190" w:type="dxa"/>
                  <w:shd w:val="clear" w:color="auto" w:fill="auto"/>
                  <w:vAlign w:val="center"/>
                </w:tcPr>
                <w:p w14:paraId="1F6D6D6D">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4531A00D">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w:t>
                  </w:r>
                </w:p>
              </w:tc>
              <w:tc>
                <w:tcPr>
                  <w:tcW w:w="1515" w:type="dxa"/>
                  <w:shd w:val="clear" w:color="auto" w:fill="auto"/>
                  <w:vAlign w:val="center"/>
                </w:tcPr>
                <w:p w14:paraId="0ADD44D9">
                  <w:pPr>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零部件</w:t>
                  </w:r>
                  <w:r>
                    <w:rPr>
                      <w:rFonts w:hint="eastAsia" w:ascii="Times New Roman" w:hAnsi="Times New Roman" w:eastAsia="宋体" w:cs="Times New Roman"/>
                      <w:sz w:val="21"/>
                      <w:szCs w:val="21"/>
                    </w:rPr>
                    <w:t>装配</w:t>
                  </w:r>
                </w:p>
              </w:tc>
            </w:tr>
            <w:tr w14:paraId="282DBE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3A97156F">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15</w:t>
                  </w:r>
                </w:p>
              </w:tc>
              <w:tc>
                <w:tcPr>
                  <w:tcW w:w="1553" w:type="dxa"/>
                  <w:shd w:val="clear" w:color="auto" w:fill="auto"/>
                  <w:vAlign w:val="center"/>
                </w:tcPr>
                <w:p w14:paraId="3402987E">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w:t>
                  </w:r>
                  <w:r>
                    <w:rPr>
                      <w:rFonts w:hint="eastAsia" w:cs="Times New Roman"/>
                      <w:sz w:val="21"/>
                      <w:szCs w:val="21"/>
                      <w:lang w:val="en-US" w:eastAsia="zh-CN"/>
                    </w:rPr>
                    <w:t>组装</w:t>
                  </w:r>
                  <w:r>
                    <w:rPr>
                      <w:rFonts w:hint="eastAsia" w:ascii="Times New Roman" w:hAnsi="Times New Roman" w:eastAsia="宋体" w:cs="Times New Roman"/>
                      <w:sz w:val="21"/>
                      <w:szCs w:val="21"/>
                    </w:rPr>
                    <w:t>机</w:t>
                  </w:r>
                </w:p>
              </w:tc>
              <w:tc>
                <w:tcPr>
                  <w:tcW w:w="1675" w:type="dxa"/>
                  <w:shd w:val="clear" w:color="auto" w:fill="auto"/>
                  <w:vAlign w:val="center"/>
                </w:tcPr>
                <w:p w14:paraId="1DD9BA99">
                  <w:pPr>
                    <w:pStyle w:val="20"/>
                    <w:spacing w:line="360" w:lineRule="auto"/>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w:t>
                  </w:r>
                </w:p>
              </w:tc>
              <w:tc>
                <w:tcPr>
                  <w:tcW w:w="1190" w:type="dxa"/>
                  <w:shd w:val="clear" w:color="auto" w:fill="auto"/>
                  <w:vAlign w:val="center"/>
                </w:tcPr>
                <w:p w14:paraId="0717F955">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6CBECA1E">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12</w:t>
                  </w:r>
                </w:p>
              </w:tc>
              <w:tc>
                <w:tcPr>
                  <w:tcW w:w="1515" w:type="dxa"/>
                  <w:shd w:val="clear" w:color="auto" w:fill="auto"/>
                  <w:vAlign w:val="center"/>
                </w:tcPr>
                <w:p w14:paraId="2B2BA460">
                  <w:pPr>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零部件</w:t>
                  </w:r>
                  <w:r>
                    <w:rPr>
                      <w:rFonts w:hint="eastAsia" w:ascii="Times New Roman" w:hAnsi="Times New Roman" w:eastAsia="宋体" w:cs="Times New Roman"/>
                      <w:sz w:val="21"/>
                      <w:szCs w:val="21"/>
                    </w:rPr>
                    <w:t>装配</w:t>
                  </w:r>
                </w:p>
              </w:tc>
            </w:tr>
            <w:tr w14:paraId="0AE0B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19" w:type="dxa"/>
                  <w:vAlign w:val="center"/>
                </w:tcPr>
                <w:p w14:paraId="34BCFBAA">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16</w:t>
                  </w:r>
                </w:p>
              </w:tc>
              <w:tc>
                <w:tcPr>
                  <w:tcW w:w="1553" w:type="dxa"/>
                  <w:shd w:val="clear" w:color="auto" w:fill="auto"/>
                  <w:vAlign w:val="center"/>
                </w:tcPr>
                <w:p w14:paraId="0B471885">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sz w:val="21"/>
                      <w:szCs w:val="21"/>
                    </w:rPr>
                    <w:t>搅拌机</w:t>
                  </w:r>
                </w:p>
              </w:tc>
              <w:tc>
                <w:tcPr>
                  <w:tcW w:w="1675" w:type="dxa"/>
                  <w:shd w:val="clear" w:color="auto" w:fill="auto"/>
                  <w:vAlign w:val="center"/>
                </w:tcPr>
                <w:p w14:paraId="53953E57">
                  <w:pPr>
                    <w:pStyle w:val="20"/>
                    <w:spacing w:line="360" w:lineRule="auto"/>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YX-XCF-100L</w:t>
                  </w:r>
                </w:p>
              </w:tc>
              <w:tc>
                <w:tcPr>
                  <w:tcW w:w="1190" w:type="dxa"/>
                  <w:shd w:val="clear" w:color="auto" w:fill="auto"/>
                  <w:vAlign w:val="center"/>
                </w:tcPr>
                <w:p w14:paraId="7E1FA286">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23C22503">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w:t>
                  </w:r>
                  <w:r>
                    <w:rPr>
                      <w:rFonts w:hint="eastAsia" w:ascii="Times New Roman" w:hAnsi="Times New Roman" w:eastAsia="宋体" w:cs="Times New Roman"/>
                      <w:sz w:val="21"/>
                      <w:szCs w:val="21"/>
                    </w:rPr>
                    <w:t>5</w:t>
                  </w:r>
                </w:p>
              </w:tc>
              <w:tc>
                <w:tcPr>
                  <w:tcW w:w="1515" w:type="dxa"/>
                  <w:shd w:val="clear" w:color="auto" w:fill="auto"/>
                  <w:vAlign w:val="center"/>
                </w:tcPr>
                <w:p w14:paraId="463CE84A">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树脂原料</w:t>
                  </w:r>
                  <w:r>
                    <w:rPr>
                      <w:rFonts w:hint="eastAsia" w:ascii="Times New Roman" w:hAnsi="Times New Roman" w:eastAsia="宋体" w:cs="Times New Roman"/>
                      <w:sz w:val="21"/>
                      <w:szCs w:val="21"/>
                    </w:rPr>
                    <w:t>搅料</w:t>
                  </w:r>
                </w:p>
              </w:tc>
            </w:tr>
            <w:tr w14:paraId="6AF5E9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13545E1A">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17</w:t>
                  </w:r>
                </w:p>
              </w:tc>
              <w:tc>
                <w:tcPr>
                  <w:tcW w:w="1553" w:type="dxa"/>
                  <w:shd w:val="clear" w:color="auto" w:fill="auto"/>
                  <w:vAlign w:val="center"/>
                </w:tcPr>
                <w:p w14:paraId="696334AA">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cs="Times New Roman"/>
                      <w:sz w:val="21"/>
                      <w:szCs w:val="21"/>
                      <w:lang w:val="en-US" w:eastAsia="zh-CN"/>
                    </w:rPr>
                    <w:t>切</w:t>
                  </w:r>
                  <w:r>
                    <w:rPr>
                      <w:rFonts w:ascii="Times New Roman" w:hAnsi="Times New Roman" w:eastAsia="宋体" w:cs="Times New Roman"/>
                      <w:sz w:val="21"/>
                      <w:szCs w:val="21"/>
                    </w:rPr>
                    <w:t>碎机</w:t>
                  </w:r>
                </w:p>
              </w:tc>
              <w:tc>
                <w:tcPr>
                  <w:tcW w:w="1675" w:type="dxa"/>
                  <w:shd w:val="clear" w:color="auto" w:fill="auto"/>
                  <w:vAlign w:val="center"/>
                </w:tcPr>
                <w:p w14:paraId="46442A99">
                  <w:pPr>
                    <w:pStyle w:val="20"/>
                    <w:spacing w:line="360" w:lineRule="auto"/>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QC-JQ0017</w:t>
                  </w:r>
                </w:p>
              </w:tc>
              <w:tc>
                <w:tcPr>
                  <w:tcW w:w="1190" w:type="dxa"/>
                  <w:shd w:val="clear" w:color="auto" w:fill="auto"/>
                  <w:vAlign w:val="center"/>
                </w:tcPr>
                <w:p w14:paraId="29592F2F">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w:t>
                  </w:r>
                </w:p>
              </w:tc>
              <w:tc>
                <w:tcPr>
                  <w:tcW w:w="1335" w:type="dxa"/>
                  <w:shd w:val="clear" w:color="auto" w:fill="auto"/>
                  <w:vAlign w:val="center"/>
                </w:tcPr>
                <w:p w14:paraId="497A0DB7">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12</w:t>
                  </w:r>
                </w:p>
              </w:tc>
              <w:tc>
                <w:tcPr>
                  <w:tcW w:w="1515" w:type="dxa"/>
                  <w:shd w:val="clear" w:color="auto" w:fill="auto"/>
                  <w:vAlign w:val="center"/>
                </w:tcPr>
                <w:p w14:paraId="25F17555">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边角料</w:t>
                  </w:r>
                  <w:r>
                    <w:rPr>
                      <w:rFonts w:hint="eastAsia" w:ascii="Times New Roman" w:hAnsi="Times New Roman" w:cs="Times New Roman"/>
                      <w:sz w:val="21"/>
                      <w:szCs w:val="21"/>
                      <w:lang w:val="en-US" w:eastAsia="zh-CN"/>
                    </w:rPr>
                    <w:t>切碎</w:t>
                  </w:r>
                </w:p>
              </w:tc>
            </w:tr>
            <w:tr w14:paraId="71476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235C0E6C">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18</w:t>
                  </w:r>
                </w:p>
              </w:tc>
              <w:tc>
                <w:tcPr>
                  <w:tcW w:w="1553" w:type="dxa"/>
                  <w:shd w:val="clear" w:color="auto" w:fill="auto"/>
                  <w:vAlign w:val="center"/>
                </w:tcPr>
                <w:p w14:paraId="744B81BA">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空压机</w:t>
                  </w:r>
                </w:p>
              </w:tc>
              <w:tc>
                <w:tcPr>
                  <w:tcW w:w="1675" w:type="dxa"/>
                  <w:shd w:val="clear" w:color="auto" w:fill="auto"/>
                  <w:vAlign w:val="center"/>
                </w:tcPr>
                <w:p w14:paraId="34AA5409">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APK-KLP-50A</w:t>
                  </w:r>
                </w:p>
              </w:tc>
              <w:tc>
                <w:tcPr>
                  <w:tcW w:w="1190" w:type="dxa"/>
                  <w:shd w:val="clear" w:color="auto" w:fill="auto"/>
                  <w:vAlign w:val="center"/>
                </w:tcPr>
                <w:p w14:paraId="6E94C130">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335" w:type="dxa"/>
                  <w:shd w:val="clear" w:color="auto" w:fill="auto"/>
                  <w:vAlign w:val="center"/>
                </w:tcPr>
                <w:p w14:paraId="4FBAD2EE">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sz w:val="21"/>
                      <w:szCs w:val="21"/>
                    </w:rPr>
                    <w:t>1</w:t>
                  </w:r>
                </w:p>
              </w:tc>
              <w:tc>
                <w:tcPr>
                  <w:tcW w:w="1515" w:type="dxa"/>
                  <w:shd w:val="clear" w:color="auto" w:fill="auto"/>
                  <w:vAlign w:val="center"/>
                </w:tcPr>
                <w:p w14:paraId="0651079C">
                  <w:pPr>
                    <w:pStyle w:val="20"/>
                    <w:spacing w:line="360" w:lineRule="auto"/>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r>
            <w:tr w14:paraId="3357D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49E9DB04">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19</w:t>
                  </w:r>
                </w:p>
              </w:tc>
              <w:tc>
                <w:tcPr>
                  <w:tcW w:w="1553" w:type="dxa"/>
                  <w:shd w:val="clear" w:color="auto" w:fill="auto"/>
                  <w:vAlign w:val="center"/>
                </w:tcPr>
                <w:p w14:paraId="44F7691D">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空压机</w:t>
                  </w:r>
                </w:p>
              </w:tc>
              <w:tc>
                <w:tcPr>
                  <w:tcW w:w="1675" w:type="dxa"/>
                  <w:shd w:val="clear" w:color="auto" w:fill="auto"/>
                  <w:vAlign w:val="center"/>
                </w:tcPr>
                <w:p w14:paraId="3B96F01C">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SBL22-8</w:t>
                  </w:r>
                </w:p>
              </w:tc>
              <w:tc>
                <w:tcPr>
                  <w:tcW w:w="1190" w:type="dxa"/>
                  <w:shd w:val="clear" w:color="auto" w:fill="auto"/>
                  <w:vAlign w:val="center"/>
                </w:tcPr>
                <w:p w14:paraId="33B9A47C">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335" w:type="dxa"/>
                  <w:shd w:val="clear" w:color="auto" w:fill="auto"/>
                  <w:vAlign w:val="center"/>
                </w:tcPr>
                <w:p w14:paraId="72032A6D">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515" w:type="dxa"/>
                  <w:shd w:val="clear" w:color="auto" w:fill="auto"/>
                  <w:vAlign w:val="center"/>
                </w:tcPr>
                <w:p w14:paraId="6B10B804">
                  <w:pPr>
                    <w:pStyle w:val="20"/>
                    <w:spacing w:line="360" w:lineRule="auto"/>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w:t>
                  </w:r>
                </w:p>
              </w:tc>
            </w:tr>
            <w:tr w14:paraId="1FA9A7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3BF51591">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20</w:t>
                  </w:r>
                </w:p>
              </w:tc>
              <w:tc>
                <w:tcPr>
                  <w:tcW w:w="1553" w:type="dxa"/>
                  <w:shd w:val="clear" w:color="auto" w:fill="auto"/>
                  <w:vAlign w:val="center"/>
                </w:tcPr>
                <w:p w14:paraId="63C61880">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自动测试机</w:t>
                  </w:r>
                </w:p>
              </w:tc>
              <w:tc>
                <w:tcPr>
                  <w:tcW w:w="1675" w:type="dxa"/>
                  <w:shd w:val="clear" w:color="auto" w:fill="auto"/>
                  <w:vAlign w:val="center"/>
                </w:tcPr>
                <w:p w14:paraId="10D97904">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左右模</w:t>
                  </w:r>
                </w:p>
              </w:tc>
              <w:tc>
                <w:tcPr>
                  <w:tcW w:w="1190" w:type="dxa"/>
                  <w:shd w:val="clear" w:color="auto" w:fill="auto"/>
                  <w:vAlign w:val="center"/>
                </w:tcPr>
                <w:p w14:paraId="0EDFFA57">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335" w:type="dxa"/>
                  <w:shd w:val="clear" w:color="auto" w:fill="auto"/>
                  <w:vAlign w:val="center"/>
                </w:tcPr>
                <w:p w14:paraId="7F229B14">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w:t>
                  </w:r>
                </w:p>
              </w:tc>
              <w:tc>
                <w:tcPr>
                  <w:tcW w:w="1515" w:type="dxa"/>
                  <w:shd w:val="clear" w:color="auto" w:fill="auto"/>
                  <w:vAlign w:val="center"/>
                </w:tcPr>
                <w:p w14:paraId="63704353">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产品</w:t>
                  </w:r>
                  <w:r>
                    <w:rPr>
                      <w:rFonts w:hint="eastAsia" w:ascii="Times New Roman" w:hAnsi="Times New Roman" w:eastAsia="宋体" w:cs="Times New Roman"/>
                      <w:sz w:val="21"/>
                      <w:szCs w:val="21"/>
                    </w:rPr>
                    <w:t>测试</w:t>
                  </w:r>
                </w:p>
              </w:tc>
            </w:tr>
            <w:tr w14:paraId="418562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508593F1">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21</w:t>
                  </w:r>
                </w:p>
              </w:tc>
              <w:tc>
                <w:tcPr>
                  <w:tcW w:w="1553" w:type="dxa"/>
                  <w:shd w:val="clear" w:color="auto" w:fill="auto"/>
                  <w:vAlign w:val="center"/>
                </w:tcPr>
                <w:p w14:paraId="45C92B3C">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自动测试机</w:t>
                  </w:r>
                </w:p>
              </w:tc>
              <w:tc>
                <w:tcPr>
                  <w:tcW w:w="1675" w:type="dxa"/>
                  <w:shd w:val="clear" w:color="auto" w:fill="auto"/>
                  <w:vAlign w:val="center"/>
                </w:tcPr>
                <w:p w14:paraId="27D4F69B">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ZTR坚泰克</w:t>
                  </w:r>
                </w:p>
              </w:tc>
              <w:tc>
                <w:tcPr>
                  <w:tcW w:w="1190" w:type="dxa"/>
                  <w:shd w:val="clear" w:color="auto" w:fill="auto"/>
                  <w:vAlign w:val="center"/>
                </w:tcPr>
                <w:p w14:paraId="2EBFD593">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335" w:type="dxa"/>
                  <w:shd w:val="clear" w:color="auto" w:fill="auto"/>
                  <w:vAlign w:val="center"/>
                </w:tcPr>
                <w:p w14:paraId="6964B456">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515" w:type="dxa"/>
                  <w:shd w:val="clear" w:color="auto" w:fill="auto"/>
                  <w:vAlign w:val="center"/>
                </w:tcPr>
                <w:p w14:paraId="0917307D">
                  <w:pPr>
                    <w:pStyle w:val="20"/>
                    <w:spacing w:line="360" w:lineRule="auto"/>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产品</w:t>
                  </w:r>
                  <w:r>
                    <w:rPr>
                      <w:rFonts w:hint="eastAsia" w:ascii="Times New Roman" w:hAnsi="Times New Roman" w:eastAsia="宋体" w:cs="Times New Roman"/>
                      <w:sz w:val="21"/>
                      <w:szCs w:val="21"/>
                    </w:rPr>
                    <w:t>测试</w:t>
                  </w:r>
                </w:p>
              </w:tc>
            </w:tr>
            <w:tr w14:paraId="6AED65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702E8045">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22</w:t>
                  </w:r>
                </w:p>
              </w:tc>
              <w:tc>
                <w:tcPr>
                  <w:tcW w:w="1553" w:type="dxa"/>
                  <w:shd w:val="clear" w:color="auto" w:fill="auto"/>
                  <w:vAlign w:val="center"/>
                </w:tcPr>
                <w:p w14:paraId="395648FB">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sz w:val="21"/>
                      <w:szCs w:val="21"/>
                    </w:rPr>
                    <w:t>DCR</w:t>
                  </w:r>
                  <w:r>
                    <w:rPr>
                      <w:rFonts w:hint="eastAsia" w:ascii="Times New Roman" w:hAnsi="Times New Roman" w:eastAsia="宋体" w:cs="Times New Roman"/>
                      <w:sz w:val="21"/>
                      <w:szCs w:val="21"/>
                    </w:rPr>
                    <w:t>测试机</w:t>
                  </w:r>
                </w:p>
              </w:tc>
              <w:tc>
                <w:tcPr>
                  <w:tcW w:w="1675" w:type="dxa"/>
                  <w:shd w:val="clear" w:color="auto" w:fill="auto"/>
                  <w:vAlign w:val="center"/>
                </w:tcPr>
                <w:p w14:paraId="215DB15C">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2789</w:t>
                  </w:r>
                </w:p>
              </w:tc>
              <w:tc>
                <w:tcPr>
                  <w:tcW w:w="1190" w:type="dxa"/>
                  <w:shd w:val="clear" w:color="auto" w:fill="auto"/>
                  <w:vAlign w:val="center"/>
                </w:tcPr>
                <w:p w14:paraId="6CC8BA06">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11</w:t>
                  </w:r>
                </w:p>
              </w:tc>
              <w:tc>
                <w:tcPr>
                  <w:tcW w:w="1335" w:type="dxa"/>
                  <w:shd w:val="clear" w:color="auto" w:fill="auto"/>
                  <w:vAlign w:val="center"/>
                </w:tcPr>
                <w:p w14:paraId="4BEA149C">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11</w:t>
                  </w:r>
                </w:p>
              </w:tc>
              <w:tc>
                <w:tcPr>
                  <w:tcW w:w="1515" w:type="dxa"/>
                  <w:shd w:val="clear" w:color="auto" w:fill="auto"/>
                  <w:vAlign w:val="center"/>
                </w:tcPr>
                <w:p w14:paraId="29374681">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产品</w:t>
                  </w:r>
                  <w:r>
                    <w:rPr>
                      <w:rFonts w:ascii="Times New Roman" w:hAnsi="Times New Roman" w:eastAsia="宋体" w:cs="Times New Roman"/>
                      <w:sz w:val="21"/>
                      <w:szCs w:val="21"/>
                    </w:rPr>
                    <w:t>测试</w:t>
                  </w:r>
                </w:p>
              </w:tc>
            </w:tr>
            <w:tr w14:paraId="7FB13D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677A68E1">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23</w:t>
                  </w:r>
                </w:p>
              </w:tc>
              <w:tc>
                <w:tcPr>
                  <w:tcW w:w="1553" w:type="dxa"/>
                  <w:shd w:val="clear" w:color="auto" w:fill="auto"/>
                  <w:vAlign w:val="center"/>
                </w:tcPr>
                <w:p w14:paraId="0E90D4F8">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sz w:val="21"/>
                      <w:szCs w:val="21"/>
                    </w:rPr>
                    <w:t>DCR</w:t>
                  </w:r>
                  <w:r>
                    <w:rPr>
                      <w:rFonts w:hint="eastAsia" w:ascii="Times New Roman" w:hAnsi="Times New Roman" w:eastAsia="宋体" w:cs="Times New Roman"/>
                      <w:sz w:val="21"/>
                      <w:szCs w:val="21"/>
                    </w:rPr>
                    <w:t>测试机</w:t>
                  </w:r>
                </w:p>
              </w:tc>
              <w:tc>
                <w:tcPr>
                  <w:tcW w:w="1675" w:type="dxa"/>
                  <w:shd w:val="clear" w:color="auto" w:fill="auto"/>
                  <w:vAlign w:val="center"/>
                </w:tcPr>
                <w:p w14:paraId="7ED51A45">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2788</w:t>
                  </w:r>
                </w:p>
              </w:tc>
              <w:tc>
                <w:tcPr>
                  <w:tcW w:w="1190" w:type="dxa"/>
                  <w:shd w:val="clear" w:color="auto" w:fill="auto"/>
                  <w:vAlign w:val="center"/>
                </w:tcPr>
                <w:p w14:paraId="1BE71399">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335" w:type="dxa"/>
                  <w:shd w:val="clear" w:color="auto" w:fill="auto"/>
                  <w:vAlign w:val="center"/>
                </w:tcPr>
                <w:p w14:paraId="706D93E3">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515" w:type="dxa"/>
                  <w:shd w:val="clear" w:color="auto" w:fill="auto"/>
                  <w:vAlign w:val="center"/>
                </w:tcPr>
                <w:p w14:paraId="7648DE5F">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产品</w:t>
                  </w:r>
                  <w:r>
                    <w:rPr>
                      <w:rFonts w:ascii="Times New Roman" w:hAnsi="Times New Roman" w:eastAsia="宋体" w:cs="Times New Roman"/>
                      <w:sz w:val="21"/>
                      <w:szCs w:val="21"/>
                    </w:rPr>
                    <w:t>测试</w:t>
                  </w:r>
                </w:p>
              </w:tc>
            </w:tr>
            <w:tr w14:paraId="0A2FD9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63F7AAF3">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24</w:t>
                  </w:r>
                </w:p>
              </w:tc>
              <w:tc>
                <w:tcPr>
                  <w:tcW w:w="1553" w:type="dxa"/>
                  <w:shd w:val="clear" w:color="auto" w:fill="auto"/>
                  <w:vAlign w:val="center"/>
                </w:tcPr>
                <w:p w14:paraId="0E9A2FC6">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耐压测试机</w:t>
                  </w:r>
                </w:p>
              </w:tc>
              <w:tc>
                <w:tcPr>
                  <w:tcW w:w="1675" w:type="dxa"/>
                  <w:shd w:val="clear" w:color="auto" w:fill="auto"/>
                  <w:vAlign w:val="center"/>
                </w:tcPr>
                <w:p w14:paraId="4DC9369D">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ZX9310</w:t>
                  </w:r>
                </w:p>
              </w:tc>
              <w:tc>
                <w:tcPr>
                  <w:tcW w:w="1190" w:type="dxa"/>
                  <w:shd w:val="clear" w:color="auto" w:fill="auto"/>
                  <w:vAlign w:val="center"/>
                </w:tcPr>
                <w:p w14:paraId="5507DDF5">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9</w:t>
                  </w:r>
                </w:p>
              </w:tc>
              <w:tc>
                <w:tcPr>
                  <w:tcW w:w="1335" w:type="dxa"/>
                  <w:shd w:val="clear" w:color="auto" w:fill="auto"/>
                  <w:vAlign w:val="center"/>
                </w:tcPr>
                <w:p w14:paraId="4ED9DAC8">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9</w:t>
                  </w:r>
                </w:p>
              </w:tc>
              <w:tc>
                <w:tcPr>
                  <w:tcW w:w="1515" w:type="dxa"/>
                  <w:shd w:val="clear" w:color="auto" w:fill="auto"/>
                  <w:vAlign w:val="center"/>
                </w:tcPr>
                <w:p w14:paraId="7B51E52C">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产品</w:t>
                  </w:r>
                  <w:r>
                    <w:rPr>
                      <w:rFonts w:ascii="Times New Roman" w:hAnsi="Times New Roman" w:eastAsia="宋体" w:cs="Times New Roman"/>
                      <w:sz w:val="21"/>
                      <w:szCs w:val="21"/>
                    </w:rPr>
                    <w:t>测试</w:t>
                  </w:r>
                </w:p>
              </w:tc>
            </w:tr>
            <w:tr w14:paraId="5D5341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4212C31C">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25</w:t>
                  </w:r>
                </w:p>
              </w:tc>
              <w:tc>
                <w:tcPr>
                  <w:tcW w:w="1553" w:type="dxa"/>
                  <w:shd w:val="clear" w:color="auto" w:fill="auto"/>
                  <w:vAlign w:val="center"/>
                </w:tcPr>
                <w:p w14:paraId="7E5B6841">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耐压测试机</w:t>
                  </w:r>
                </w:p>
              </w:tc>
              <w:tc>
                <w:tcPr>
                  <w:tcW w:w="1675" w:type="dxa"/>
                  <w:shd w:val="clear" w:color="auto" w:fill="auto"/>
                  <w:vAlign w:val="center"/>
                </w:tcPr>
                <w:p w14:paraId="18CBA036">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7H9210S</w:t>
                  </w:r>
                </w:p>
              </w:tc>
              <w:tc>
                <w:tcPr>
                  <w:tcW w:w="1190" w:type="dxa"/>
                  <w:shd w:val="clear" w:color="auto" w:fill="auto"/>
                  <w:vAlign w:val="center"/>
                </w:tcPr>
                <w:p w14:paraId="3CAB79C0">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335" w:type="dxa"/>
                  <w:shd w:val="clear" w:color="auto" w:fill="auto"/>
                  <w:vAlign w:val="center"/>
                </w:tcPr>
                <w:p w14:paraId="72B690EF">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w:t>
                  </w:r>
                </w:p>
              </w:tc>
              <w:tc>
                <w:tcPr>
                  <w:tcW w:w="1515" w:type="dxa"/>
                  <w:shd w:val="clear" w:color="auto" w:fill="auto"/>
                  <w:vAlign w:val="center"/>
                </w:tcPr>
                <w:p w14:paraId="7DC02696">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产品</w:t>
                  </w:r>
                  <w:r>
                    <w:rPr>
                      <w:rFonts w:ascii="Times New Roman" w:hAnsi="Times New Roman" w:eastAsia="宋体" w:cs="Times New Roman"/>
                      <w:sz w:val="21"/>
                      <w:szCs w:val="21"/>
                    </w:rPr>
                    <w:t>测试</w:t>
                  </w:r>
                </w:p>
              </w:tc>
            </w:tr>
            <w:tr w14:paraId="05AAF1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252EEC17">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26</w:t>
                  </w:r>
                </w:p>
              </w:tc>
              <w:tc>
                <w:tcPr>
                  <w:tcW w:w="1553" w:type="dxa"/>
                  <w:shd w:val="clear" w:color="auto" w:fill="auto"/>
                  <w:vAlign w:val="center"/>
                </w:tcPr>
                <w:p w14:paraId="468E8168">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耐压测试机</w:t>
                  </w:r>
                </w:p>
              </w:tc>
              <w:tc>
                <w:tcPr>
                  <w:tcW w:w="1675" w:type="dxa"/>
                  <w:shd w:val="clear" w:color="auto" w:fill="auto"/>
                  <w:vAlign w:val="center"/>
                </w:tcPr>
                <w:p w14:paraId="21BAB232">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LK2670AX</w:t>
                  </w:r>
                </w:p>
              </w:tc>
              <w:tc>
                <w:tcPr>
                  <w:tcW w:w="1190" w:type="dxa"/>
                  <w:shd w:val="clear" w:color="auto" w:fill="auto"/>
                  <w:vAlign w:val="center"/>
                </w:tcPr>
                <w:p w14:paraId="3FB5B157">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w:t>
                  </w:r>
                </w:p>
              </w:tc>
              <w:tc>
                <w:tcPr>
                  <w:tcW w:w="1335" w:type="dxa"/>
                  <w:shd w:val="clear" w:color="auto" w:fill="auto"/>
                  <w:vAlign w:val="center"/>
                </w:tcPr>
                <w:p w14:paraId="446EABF2">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515" w:type="dxa"/>
                  <w:shd w:val="clear" w:color="auto" w:fill="auto"/>
                  <w:vAlign w:val="center"/>
                </w:tcPr>
                <w:p w14:paraId="53C09E10">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产品</w:t>
                  </w:r>
                  <w:r>
                    <w:rPr>
                      <w:rFonts w:ascii="Times New Roman" w:hAnsi="Times New Roman" w:eastAsia="宋体" w:cs="Times New Roman"/>
                      <w:sz w:val="21"/>
                      <w:szCs w:val="21"/>
                    </w:rPr>
                    <w:t>测试</w:t>
                  </w:r>
                </w:p>
              </w:tc>
            </w:tr>
            <w:tr w14:paraId="4E788A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344B61C6">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27</w:t>
                  </w:r>
                </w:p>
              </w:tc>
              <w:tc>
                <w:tcPr>
                  <w:tcW w:w="1553" w:type="dxa"/>
                  <w:shd w:val="clear" w:color="auto" w:fill="auto"/>
                  <w:vAlign w:val="center"/>
                </w:tcPr>
                <w:p w14:paraId="508546FB">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全自动锡炉</w:t>
                  </w:r>
                </w:p>
              </w:tc>
              <w:tc>
                <w:tcPr>
                  <w:tcW w:w="1675" w:type="dxa"/>
                  <w:shd w:val="clear" w:color="auto" w:fill="auto"/>
                  <w:vAlign w:val="center"/>
                </w:tcPr>
                <w:p w14:paraId="5E67AFC3">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CNC-2015</w:t>
                  </w:r>
                </w:p>
              </w:tc>
              <w:tc>
                <w:tcPr>
                  <w:tcW w:w="1190" w:type="dxa"/>
                  <w:shd w:val="clear" w:color="auto" w:fill="auto"/>
                  <w:vAlign w:val="center"/>
                </w:tcPr>
                <w:p w14:paraId="2C8DF36A">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w:t>
                  </w:r>
                </w:p>
              </w:tc>
              <w:tc>
                <w:tcPr>
                  <w:tcW w:w="1335" w:type="dxa"/>
                  <w:shd w:val="clear" w:color="auto" w:fill="auto"/>
                  <w:vAlign w:val="center"/>
                </w:tcPr>
                <w:p w14:paraId="390B258A">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4</w:t>
                  </w:r>
                </w:p>
              </w:tc>
              <w:tc>
                <w:tcPr>
                  <w:tcW w:w="1515" w:type="dxa"/>
                  <w:shd w:val="clear" w:color="auto" w:fill="auto"/>
                  <w:vAlign w:val="center"/>
                </w:tcPr>
                <w:p w14:paraId="16C4C919">
                  <w:pPr>
                    <w:pStyle w:val="20"/>
                    <w:spacing w:line="360" w:lineRule="auto"/>
                    <w:jc w:val="center"/>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sz w:val="21"/>
                      <w:szCs w:val="21"/>
                    </w:rPr>
                    <w:t>浸锡</w:t>
                  </w:r>
                </w:p>
              </w:tc>
            </w:tr>
            <w:tr w14:paraId="076A1C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212B2B9C">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28</w:t>
                  </w:r>
                </w:p>
              </w:tc>
              <w:tc>
                <w:tcPr>
                  <w:tcW w:w="1553" w:type="dxa"/>
                  <w:shd w:val="clear" w:color="auto" w:fill="auto"/>
                  <w:vAlign w:val="center"/>
                </w:tcPr>
                <w:p w14:paraId="315C5AB7">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自动测试机</w:t>
                  </w:r>
                </w:p>
              </w:tc>
              <w:tc>
                <w:tcPr>
                  <w:tcW w:w="1675" w:type="dxa"/>
                  <w:shd w:val="clear" w:color="auto" w:fill="auto"/>
                  <w:vAlign w:val="center"/>
                </w:tcPr>
                <w:p w14:paraId="73D314A8">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YN-8012</w:t>
                  </w:r>
                </w:p>
              </w:tc>
              <w:tc>
                <w:tcPr>
                  <w:tcW w:w="1190" w:type="dxa"/>
                  <w:shd w:val="clear" w:color="auto" w:fill="auto"/>
                  <w:vAlign w:val="center"/>
                </w:tcPr>
                <w:p w14:paraId="24935AFC">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w:t>
                  </w:r>
                </w:p>
              </w:tc>
              <w:tc>
                <w:tcPr>
                  <w:tcW w:w="1335" w:type="dxa"/>
                  <w:shd w:val="clear" w:color="auto" w:fill="auto"/>
                  <w:vAlign w:val="center"/>
                </w:tcPr>
                <w:p w14:paraId="27646FBA">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3</w:t>
                  </w:r>
                </w:p>
              </w:tc>
              <w:tc>
                <w:tcPr>
                  <w:tcW w:w="1515" w:type="dxa"/>
                  <w:shd w:val="clear" w:color="auto" w:fill="auto"/>
                  <w:vAlign w:val="center"/>
                </w:tcPr>
                <w:p w14:paraId="73D9A235">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产品</w:t>
                  </w:r>
                  <w:r>
                    <w:rPr>
                      <w:rFonts w:hint="eastAsia" w:ascii="Times New Roman" w:hAnsi="Times New Roman" w:eastAsia="宋体" w:cs="Times New Roman"/>
                      <w:sz w:val="21"/>
                      <w:szCs w:val="21"/>
                    </w:rPr>
                    <w:t>测试</w:t>
                  </w:r>
                </w:p>
              </w:tc>
            </w:tr>
            <w:tr w14:paraId="74FBD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59F1B428">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29</w:t>
                  </w:r>
                </w:p>
              </w:tc>
              <w:tc>
                <w:tcPr>
                  <w:tcW w:w="1553" w:type="dxa"/>
                  <w:shd w:val="clear" w:color="auto" w:fill="auto"/>
                  <w:vAlign w:val="center"/>
                </w:tcPr>
                <w:p w14:paraId="2805B672">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高频测试机</w:t>
                  </w:r>
                </w:p>
              </w:tc>
              <w:tc>
                <w:tcPr>
                  <w:tcW w:w="1675" w:type="dxa"/>
                  <w:shd w:val="clear" w:color="auto" w:fill="auto"/>
                  <w:vAlign w:val="center"/>
                </w:tcPr>
                <w:p w14:paraId="4041A437">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E5071B</w:t>
                  </w:r>
                </w:p>
              </w:tc>
              <w:tc>
                <w:tcPr>
                  <w:tcW w:w="1190" w:type="dxa"/>
                  <w:shd w:val="clear" w:color="auto" w:fill="auto"/>
                  <w:vAlign w:val="center"/>
                </w:tcPr>
                <w:p w14:paraId="39145E1C">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w:t>
                  </w:r>
                </w:p>
              </w:tc>
              <w:tc>
                <w:tcPr>
                  <w:tcW w:w="1335" w:type="dxa"/>
                  <w:shd w:val="clear" w:color="auto" w:fill="auto"/>
                  <w:vAlign w:val="center"/>
                </w:tcPr>
                <w:p w14:paraId="1C570138">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2</w:t>
                  </w:r>
                </w:p>
              </w:tc>
              <w:tc>
                <w:tcPr>
                  <w:tcW w:w="1515" w:type="dxa"/>
                  <w:shd w:val="clear" w:color="auto" w:fill="auto"/>
                  <w:vAlign w:val="center"/>
                </w:tcPr>
                <w:p w14:paraId="4FD0B89F">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产品</w:t>
                  </w:r>
                  <w:r>
                    <w:rPr>
                      <w:rFonts w:hint="eastAsia" w:ascii="Times New Roman" w:hAnsi="Times New Roman" w:eastAsia="宋体" w:cs="Times New Roman"/>
                      <w:sz w:val="21"/>
                      <w:szCs w:val="21"/>
                    </w:rPr>
                    <w:t>测试</w:t>
                  </w:r>
                </w:p>
              </w:tc>
            </w:tr>
            <w:tr w14:paraId="2DBEA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5ABE7F08">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30</w:t>
                  </w:r>
                </w:p>
              </w:tc>
              <w:tc>
                <w:tcPr>
                  <w:tcW w:w="1553" w:type="dxa"/>
                  <w:shd w:val="clear" w:color="auto" w:fill="auto"/>
                  <w:vAlign w:val="center"/>
                </w:tcPr>
                <w:p w14:paraId="2FFE956D">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自动装管机</w:t>
                  </w:r>
                </w:p>
              </w:tc>
              <w:tc>
                <w:tcPr>
                  <w:tcW w:w="1675" w:type="dxa"/>
                  <w:shd w:val="clear" w:color="auto" w:fill="auto"/>
                  <w:vAlign w:val="center"/>
                </w:tcPr>
                <w:p w14:paraId="715D5C5E">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自制</w:t>
                  </w:r>
                </w:p>
              </w:tc>
              <w:tc>
                <w:tcPr>
                  <w:tcW w:w="1190" w:type="dxa"/>
                  <w:shd w:val="clear" w:color="auto" w:fill="auto"/>
                  <w:vAlign w:val="center"/>
                </w:tcPr>
                <w:p w14:paraId="389374EE">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w:t>
                  </w:r>
                </w:p>
              </w:tc>
              <w:tc>
                <w:tcPr>
                  <w:tcW w:w="1335" w:type="dxa"/>
                  <w:shd w:val="clear" w:color="auto" w:fill="auto"/>
                  <w:vAlign w:val="center"/>
                </w:tcPr>
                <w:p w14:paraId="2972EE37">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4</w:t>
                  </w:r>
                </w:p>
              </w:tc>
              <w:tc>
                <w:tcPr>
                  <w:tcW w:w="1515" w:type="dxa"/>
                  <w:shd w:val="clear" w:color="auto" w:fill="auto"/>
                  <w:vAlign w:val="center"/>
                </w:tcPr>
                <w:p w14:paraId="0F75504A">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零部件</w:t>
                  </w:r>
                  <w:r>
                    <w:rPr>
                      <w:rFonts w:hint="eastAsia" w:ascii="Times New Roman" w:hAnsi="Times New Roman" w:eastAsia="宋体" w:cs="Times New Roman"/>
                      <w:sz w:val="21"/>
                      <w:szCs w:val="21"/>
                    </w:rPr>
                    <w:t>装管</w:t>
                  </w:r>
                </w:p>
              </w:tc>
            </w:tr>
            <w:tr w14:paraId="5446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7B19889E">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31</w:t>
                  </w:r>
                </w:p>
              </w:tc>
              <w:tc>
                <w:tcPr>
                  <w:tcW w:w="1553" w:type="dxa"/>
                  <w:shd w:val="clear" w:color="auto" w:fill="auto"/>
                  <w:vAlign w:val="center"/>
                </w:tcPr>
                <w:p w14:paraId="5E1ED7F9">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小冲床</w:t>
                  </w:r>
                </w:p>
              </w:tc>
              <w:tc>
                <w:tcPr>
                  <w:tcW w:w="1675" w:type="dxa"/>
                  <w:shd w:val="clear" w:color="auto" w:fill="auto"/>
                  <w:vAlign w:val="center"/>
                </w:tcPr>
                <w:p w14:paraId="62CA25B1">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YU48-1T</w:t>
                  </w:r>
                </w:p>
              </w:tc>
              <w:tc>
                <w:tcPr>
                  <w:tcW w:w="1190" w:type="dxa"/>
                  <w:shd w:val="clear" w:color="auto" w:fill="auto"/>
                  <w:vAlign w:val="center"/>
                </w:tcPr>
                <w:p w14:paraId="56224005">
                  <w:pPr>
                    <w:pStyle w:val="20"/>
                    <w:spacing w:line="360" w:lineRule="auto"/>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4</w:t>
                  </w:r>
                </w:p>
              </w:tc>
              <w:tc>
                <w:tcPr>
                  <w:tcW w:w="1335" w:type="dxa"/>
                  <w:shd w:val="clear" w:color="auto" w:fill="auto"/>
                  <w:vAlign w:val="center"/>
                </w:tcPr>
                <w:p w14:paraId="119CEBAA">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9</w:t>
                  </w:r>
                </w:p>
              </w:tc>
              <w:tc>
                <w:tcPr>
                  <w:tcW w:w="1515" w:type="dxa"/>
                  <w:shd w:val="clear" w:color="auto" w:fill="auto"/>
                  <w:vAlign w:val="center"/>
                </w:tcPr>
                <w:p w14:paraId="03C35AF7">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切脚</w:t>
                  </w:r>
                </w:p>
              </w:tc>
            </w:tr>
            <w:tr w14:paraId="635EC8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1FDDD1C9">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32</w:t>
                  </w:r>
                </w:p>
              </w:tc>
              <w:tc>
                <w:tcPr>
                  <w:tcW w:w="1553" w:type="dxa"/>
                  <w:shd w:val="clear" w:color="auto" w:fill="auto"/>
                  <w:vAlign w:val="center"/>
                </w:tcPr>
                <w:p w14:paraId="48774FA7">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小冲床</w:t>
                  </w:r>
                </w:p>
              </w:tc>
              <w:tc>
                <w:tcPr>
                  <w:tcW w:w="1675" w:type="dxa"/>
                  <w:shd w:val="clear" w:color="auto" w:fill="auto"/>
                  <w:vAlign w:val="center"/>
                </w:tcPr>
                <w:p w14:paraId="5978516F">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YU8024</w:t>
                  </w:r>
                  <w:r>
                    <w:rPr>
                      <w:rFonts w:ascii="Times New Roman" w:hAnsi="Times New Roman" w:eastAsia="宋体" w:cs="Times New Roman"/>
                      <w:sz w:val="21"/>
                      <w:szCs w:val="21"/>
                    </w:rPr>
                    <w:t>-B-</w:t>
                  </w:r>
                  <w:r>
                    <w:rPr>
                      <w:rFonts w:hint="eastAsia" w:ascii="Times New Roman" w:hAnsi="Times New Roman" w:eastAsia="宋体" w:cs="Times New Roman"/>
                      <w:sz w:val="21"/>
                      <w:szCs w:val="21"/>
                    </w:rPr>
                    <w:t>1T</w:t>
                  </w:r>
                </w:p>
              </w:tc>
              <w:tc>
                <w:tcPr>
                  <w:tcW w:w="1190" w:type="dxa"/>
                  <w:shd w:val="clear" w:color="auto" w:fill="auto"/>
                  <w:vAlign w:val="center"/>
                </w:tcPr>
                <w:p w14:paraId="3375A79D">
                  <w:pPr>
                    <w:pStyle w:val="20"/>
                    <w:spacing w:line="360" w:lineRule="auto"/>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kern w:val="2"/>
                      <w:sz w:val="21"/>
                      <w:szCs w:val="21"/>
                      <w:lang w:val="en-US" w:eastAsia="zh-CN" w:bidi="ar-SA"/>
                    </w:rPr>
                    <w:t>3</w:t>
                  </w:r>
                </w:p>
              </w:tc>
              <w:tc>
                <w:tcPr>
                  <w:tcW w:w="1335" w:type="dxa"/>
                  <w:shd w:val="clear" w:color="auto" w:fill="auto"/>
                  <w:vAlign w:val="center"/>
                </w:tcPr>
                <w:p w14:paraId="523239A6">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3</w:t>
                  </w:r>
                </w:p>
              </w:tc>
              <w:tc>
                <w:tcPr>
                  <w:tcW w:w="1515" w:type="dxa"/>
                  <w:shd w:val="clear" w:color="auto" w:fill="auto"/>
                  <w:vAlign w:val="center"/>
                </w:tcPr>
                <w:p w14:paraId="7A52AF34">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切脚</w:t>
                  </w:r>
                </w:p>
              </w:tc>
            </w:tr>
            <w:tr w14:paraId="778AA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10A99922">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33</w:t>
                  </w:r>
                </w:p>
              </w:tc>
              <w:tc>
                <w:tcPr>
                  <w:tcW w:w="1553" w:type="dxa"/>
                  <w:shd w:val="clear" w:color="auto" w:fill="auto"/>
                  <w:vAlign w:val="center"/>
                </w:tcPr>
                <w:p w14:paraId="44F5BEB1">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自动切脚机</w:t>
                  </w:r>
                </w:p>
              </w:tc>
              <w:tc>
                <w:tcPr>
                  <w:tcW w:w="1675" w:type="dxa"/>
                  <w:shd w:val="clear" w:color="auto" w:fill="auto"/>
                  <w:vAlign w:val="center"/>
                </w:tcPr>
                <w:p w14:paraId="41DDA9AE">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左右模</w:t>
                  </w:r>
                </w:p>
              </w:tc>
              <w:tc>
                <w:tcPr>
                  <w:tcW w:w="1190" w:type="dxa"/>
                  <w:shd w:val="clear" w:color="auto" w:fill="auto"/>
                  <w:vAlign w:val="center"/>
                </w:tcPr>
                <w:p w14:paraId="3DD6FC60">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w:t>
                  </w:r>
                </w:p>
              </w:tc>
              <w:tc>
                <w:tcPr>
                  <w:tcW w:w="1335" w:type="dxa"/>
                  <w:shd w:val="clear" w:color="auto" w:fill="auto"/>
                  <w:vAlign w:val="center"/>
                </w:tcPr>
                <w:p w14:paraId="2724FA7E">
                  <w:pPr>
                    <w:pStyle w:val="2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0</w:t>
                  </w:r>
                </w:p>
              </w:tc>
              <w:tc>
                <w:tcPr>
                  <w:tcW w:w="1515" w:type="dxa"/>
                  <w:shd w:val="clear" w:color="auto" w:fill="auto"/>
                  <w:vAlign w:val="center"/>
                </w:tcPr>
                <w:p w14:paraId="4516121D">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切脚</w:t>
                  </w:r>
                </w:p>
              </w:tc>
            </w:tr>
            <w:tr w14:paraId="4AE91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52CA3898">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34</w:t>
                  </w:r>
                </w:p>
              </w:tc>
              <w:tc>
                <w:tcPr>
                  <w:tcW w:w="1553" w:type="dxa"/>
                  <w:shd w:val="clear" w:color="auto" w:fill="auto"/>
                  <w:vAlign w:val="center"/>
                </w:tcPr>
                <w:p w14:paraId="23B773CD">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电热恒温鼓风干燥箱</w:t>
                  </w:r>
                </w:p>
              </w:tc>
              <w:tc>
                <w:tcPr>
                  <w:tcW w:w="1675" w:type="dxa"/>
                  <w:shd w:val="clear" w:color="auto" w:fill="auto"/>
                  <w:vAlign w:val="center"/>
                </w:tcPr>
                <w:p w14:paraId="7723F77C">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w:t>
                  </w:r>
                </w:p>
              </w:tc>
              <w:tc>
                <w:tcPr>
                  <w:tcW w:w="1190" w:type="dxa"/>
                  <w:shd w:val="clear" w:color="auto" w:fill="auto"/>
                  <w:vAlign w:val="center"/>
                </w:tcPr>
                <w:p w14:paraId="6688080F">
                  <w:pPr>
                    <w:adjustRightInd w:val="0"/>
                    <w:spacing w:line="240" w:lineRule="atLeast"/>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6</w:t>
                  </w:r>
                </w:p>
              </w:tc>
              <w:tc>
                <w:tcPr>
                  <w:tcW w:w="1335" w:type="dxa"/>
                  <w:shd w:val="clear" w:color="auto" w:fill="auto"/>
                  <w:vAlign w:val="center"/>
                </w:tcPr>
                <w:p w14:paraId="725610F9">
                  <w:pPr>
                    <w:pStyle w:val="2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4</w:t>
                  </w:r>
                </w:p>
              </w:tc>
              <w:tc>
                <w:tcPr>
                  <w:tcW w:w="1515" w:type="dxa"/>
                  <w:shd w:val="clear" w:color="auto" w:fill="auto"/>
                  <w:vAlign w:val="center"/>
                </w:tcPr>
                <w:p w14:paraId="4E62EA5E">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点胶后</w:t>
                  </w:r>
                  <w:r>
                    <w:rPr>
                      <w:rFonts w:ascii="Times New Roman" w:hAnsi="Times New Roman" w:eastAsia="宋体" w:cs="Times New Roman"/>
                      <w:sz w:val="21"/>
                      <w:szCs w:val="21"/>
                    </w:rPr>
                    <w:t>烘烤</w:t>
                  </w:r>
                </w:p>
              </w:tc>
            </w:tr>
            <w:tr w14:paraId="0DB4C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0707E886">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35</w:t>
                  </w:r>
                </w:p>
              </w:tc>
              <w:tc>
                <w:tcPr>
                  <w:tcW w:w="1553" w:type="dxa"/>
                  <w:shd w:val="clear" w:color="auto" w:fill="auto"/>
                  <w:vAlign w:val="center"/>
                </w:tcPr>
                <w:p w14:paraId="2AF46601">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自动裁线机</w:t>
                  </w:r>
                </w:p>
              </w:tc>
              <w:tc>
                <w:tcPr>
                  <w:tcW w:w="1675" w:type="dxa"/>
                  <w:shd w:val="clear" w:color="auto" w:fill="auto"/>
                  <w:vAlign w:val="center"/>
                </w:tcPr>
                <w:p w14:paraId="0ABD9AA5">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w:t>
                  </w:r>
                </w:p>
              </w:tc>
              <w:tc>
                <w:tcPr>
                  <w:tcW w:w="1190" w:type="dxa"/>
                  <w:shd w:val="clear" w:color="auto" w:fill="auto"/>
                  <w:vAlign w:val="center"/>
                </w:tcPr>
                <w:p w14:paraId="2F075ACC">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sz w:val="21"/>
                      <w:szCs w:val="21"/>
                    </w:rPr>
                    <w:t>2</w:t>
                  </w:r>
                </w:p>
              </w:tc>
              <w:tc>
                <w:tcPr>
                  <w:tcW w:w="1335" w:type="dxa"/>
                  <w:shd w:val="clear" w:color="auto" w:fill="auto"/>
                  <w:vAlign w:val="center"/>
                </w:tcPr>
                <w:p w14:paraId="0A2B91B2">
                  <w:pPr>
                    <w:pStyle w:val="2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w:t>
                  </w:r>
                </w:p>
              </w:tc>
              <w:tc>
                <w:tcPr>
                  <w:tcW w:w="1515" w:type="dxa"/>
                  <w:shd w:val="clear" w:color="auto" w:fill="auto"/>
                  <w:vAlign w:val="center"/>
                </w:tcPr>
                <w:p w14:paraId="38AD32D2">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裁线</w:t>
                  </w:r>
                </w:p>
              </w:tc>
            </w:tr>
            <w:tr w14:paraId="5F3645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584E81B2">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36</w:t>
                  </w:r>
                </w:p>
              </w:tc>
              <w:tc>
                <w:tcPr>
                  <w:tcW w:w="1553" w:type="dxa"/>
                  <w:shd w:val="clear" w:color="auto" w:fill="auto"/>
                  <w:vAlign w:val="center"/>
                </w:tcPr>
                <w:p w14:paraId="3D14115E">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自动插针机</w:t>
                  </w:r>
                </w:p>
              </w:tc>
              <w:tc>
                <w:tcPr>
                  <w:tcW w:w="1675" w:type="dxa"/>
                  <w:shd w:val="clear" w:color="auto" w:fill="auto"/>
                  <w:vAlign w:val="center"/>
                </w:tcPr>
                <w:p w14:paraId="671D8296">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KFP-28A</w:t>
                  </w:r>
                </w:p>
              </w:tc>
              <w:tc>
                <w:tcPr>
                  <w:tcW w:w="1190" w:type="dxa"/>
                  <w:shd w:val="clear" w:color="auto" w:fill="auto"/>
                  <w:vAlign w:val="center"/>
                </w:tcPr>
                <w:p w14:paraId="0E767C2C">
                  <w:pPr>
                    <w:adjustRightInd w:val="0"/>
                    <w:spacing w:line="240" w:lineRule="atLeas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w:t>
                  </w:r>
                  <w:r>
                    <w:rPr>
                      <w:rFonts w:hint="eastAsia" w:cs="Times New Roman"/>
                      <w:sz w:val="21"/>
                      <w:szCs w:val="21"/>
                      <w:lang w:val="en-US" w:eastAsia="zh-CN"/>
                    </w:rPr>
                    <w:t>3</w:t>
                  </w:r>
                </w:p>
              </w:tc>
              <w:tc>
                <w:tcPr>
                  <w:tcW w:w="1335" w:type="dxa"/>
                  <w:shd w:val="clear" w:color="auto" w:fill="auto"/>
                  <w:vAlign w:val="center"/>
                </w:tcPr>
                <w:p w14:paraId="22CE0E6B">
                  <w:pPr>
                    <w:pStyle w:val="20"/>
                    <w:spacing w:line="360" w:lineRule="auto"/>
                    <w:jc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22</w:t>
                  </w:r>
                </w:p>
              </w:tc>
              <w:tc>
                <w:tcPr>
                  <w:tcW w:w="1515" w:type="dxa"/>
                  <w:shd w:val="clear" w:color="auto" w:fill="auto"/>
                  <w:vAlign w:val="center"/>
                </w:tcPr>
                <w:p w14:paraId="172B3F53">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插针</w:t>
                  </w:r>
                </w:p>
              </w:tc>
            </w:tr>
            <w:tr w14:paraId="37FEF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6211542B">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37</w:t>
                  </w:r>
                </w:p>
              </w:tc>
              <w:tc>
                <w:tcPr>
                  <w:tcW w:w="1553" w:type="dxa"/>
                  <w:shd w:val="clear" w:color="auto" w:fill="auto"/>
                  <w:vAlign w:val="center"/>
                </w:tcPr>
                <w:p w14:paraId="35F93B2F">
                  <w:pPr>
                    <w:pStyle w:val="20"/>
                    <w:spacing w:line="24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昆山华莞绅喷砂机</w:t>
                  </w:r>
                </w:p>
              </w:tc>
              <w:tc>
                <w:tcPr>
                  <w:tcW w:w="1675" w:type="dxa"/>
                  <w:shd w:val="clear" w:color="auto" w:fill="auto"/>
                  <w:vAlign w:val="center"/>
                </w:tcPr>
                <w:p w14:paraId="72EA12B7">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SH-1076-B2</w:t>
                  </w:r>
                </w:p>
              </w:tc>
              <w:tc>
                <w:tcPr>
                  <w:tcW w:w="1190" w:type="dxa"/>
                  <w:shd w:val="clear" w:color="auto" w:fill="auto"/>
                  <w:vAlign w:val="center"/>
                </w:tcPr>
                <w:p w14:paraId="783E330E">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335" w:type="dxa"/>
                  <w:shd w:val="clear" w:color="auto" w:fill="auto"/>
                  <w:vAlign w:val="center"/>
                </w:tcPr>
                <w:p w14:paraId="2951C925">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1515" w:type="dxa"/>
                  <w:shd w:val="clear" w:color="auto" w:fill="auto"/>
                  <w:vAlign w:val="center"/>
                </w:tcPr>
                <w:p w14:paraId="4043F8B8">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产品毛边</w:t>
                  </w:r>
                  <w:r>
                    <w:rPr>
                      <w:rFonts w:hint="eastAsia" w:cs="Times New Roman"/>
                      <w:sz w:val="21"/>
                      <w:szCs w:val="21"/>
                      <w:lang w:val="en-US" w:eastAsia="zh-CN"/>
                    </w:rPr>
                    <w:t>打磨</w:t>
                  </w:r>
                </w:p>
              </w:tc>
            </w:tr>
            <w:tr w14:paraId="65BA33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0D1B8A2E">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38</w:t>
                  </w:r>
                </w:p>
              </w:tc>
              <w:tc>
                <w:tcPr>
                  <w:tcW w:w="1553" w:type="dxa"/>
                  <w:shd w:val="clear" w:color="auto" w:fill="auto"/>
                  <w:vAlign w:val="center"/>
                </w:tcPr>
                <w:p w14:paraId="0D89C5C2">
                  <w:pPr>
                    <w:pStyle w:val="20"/>
                    <w:spacing w:line="24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昆山华莞绅喷砂机</w:t>
                  </w:r>
                </w:p>
              </w:tc>
              <w:tc>
                <w:tcPr>
                  <w:tcW w:w="1675" w:type="dxa"/>
                  <w:shd w:val="clear" w:color="auto" w:fill="auto"/>
                  <w:vAlign w:val="center"/>
                </w:tcPr>
                <w:p w14:paraId="6CA89610">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SH-1076-A2</w:t>
                  </w:r>
                </w:p>
              </w:tc>
              <w:tc>
                <w:tcPr>
                  <w:tcW w:w="1190" w:type="dxa"/>
                  <w:shd w:val="clear" w:color="auto" w:fill="auto"/>
                  <w:vAlign w:val="center"/>
                </w:tcPr>
                <w:p w14:paraId="54DF97F5">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335" w:type="dxa"/>
                  <w:shd w:val="clear" w:color="auto" w:fill="auto"/>
                  <w:vAlign w:val="center"/>
                </w:tcPr>
                <w:p w14:paraId="17ECE47C">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1515" w:type="dxa"/>
                  <w:shd w:val="clear" w:color="auto" w:fill="auto"/>
                  <w:vAlign w:val="center"/>
                </w:tcPr>
                <w:p w14:paraId="74D8E8D3">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产品毛边</w:t>
                  </w:r>
                  <w:r>
                    <w:rPr>
                      <w:rFonts w:hint="eastAsia" w:cs="Times New Roman"/>
                      <w:sz w:val="21"/>
                      <w:szCs w:val="21"/>
                      <w:lang w:val="en-US" w:eastAsia="zh-CN"/>
                    </w:rPr>
                    <w:t>打磨</w:t>
                  </w:r>
                </w:p>
              </w:tc>
            </w:tr>
            <w:tr w14:paraId="44D359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6F12F942">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39</w:t>
                  </w:r>
                </w:p>
              </w:tc>
              <w:tc>
                <w:tcPr>
                  <w:tcW w:w="1553" w:type="dxa"/>
                  <w:shd w:val="clear" w:color="auto" w:fill="auto"/>
                  <w:vAlign w:val="center"/>
                </w:tcPr>
                <w:p w14:paraId="5848096E">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冷却水塔</w:t>
                  </w:r>
                </w:p>
              </w:tc>
              <w:tc>
                <w:tcPr>
                  <w:tcW w:w="1675" w:type="dxa"/>
                  <w:shd w:val="clear" w:color="auto" w:fill="auto"/>
                  <w:vAlign w:val="center"/>
                </w:tcPr>
                <w:p w14:paraId="0619B4C1">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280L</w:t>
                  </w:r>
                </w:p>
              </w:tc>
              <w:tc>
                <w:tcPr>
                  <w:tcW w:w="1190" w:type="dxa"/>
                  <w:shd w:val="clear" w:color="auto" w:fill="auto"/>
                  <w:vAlign w:val="center"/>
                </w:tcPr>
                <w:p w14:paraId="1683598F">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w:t>
                  </w:r>
                </w:p>
              </w:tc>
              <w:tc>
                <w:tcPr>
                  <w:tcW w:w="1335" w:type="dxa"/>
                  <w:shd w:val="clear" w:color="auto" w:fill="auto"/>
                  <w:vAlign w:val="center"/>
                </w:tcPr>
                <w:p w14:paraId="516FD8A4">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1</w:t>
                  </w:r>
                </w:p>
              </w:tc>
              <w:tc>
                <w:tcPr>
                  <w:tcW w:w="1515" w:type="dxa"/>
                  <w:shd w:val="clear" w:color="auto" w:fill="auto"/>
                  <w:vAlign w:val="center"/>
                </w:tcPr>
                <w:p w14:paraId="016BA4C3">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用于注塑工序</w:t>
                  </w:r>
                </w:p>
              </w:tc>
            </w:tr>
            <w:tr w14:paraId="35849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36DC084D">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40</w:t>
                  </w:r>
                </w:p>
              </w:tc>
              <w:tc>
                <w:tcPr>
                  <w:tcW w:w="1553" w:type="dxa"/>
                  <w:shd w:val="clear" w:color="auto" w:fill="auto"/>
                  <w:vAlign w:val="center"/>
                </w:tcPr>
                <w:p w14:paraId="73C64D48">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富强鑫注塑机</w:t>
                  </w:r>
                </w:p>
              </w:tc>
              <w:tc>
                <w:tcPr>
                  <w:tcW w:w="1675" w:type="dxa"/>
                  <w:shd w:val="clear" w:color="auto" w:fill="auto"/>
                  <w:vAlign w:val="center"/>
                </w:tcPr>
                <w:p w14:paraId="34E24C50">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HD-100UV</w:t>
                  </w:r>
                </w:p>
              </w:tc>
              <w:tc>
                <w:tcPr>
                  <w:tcW w:w="1190" w:type="dxa"/>
                  <w:shd w:val="clear" w:color="auto" w:fill="auto"/>
                  <w:vAlign w:val="center"/>
                </w:tcPr>
                <w:p w14:paraId="1693E300">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w:t>
                  </w:r>
                </w:p>
              </w:tc>
              <w:tc>
                <w:tcPr>
                  <w:tcW w:w="1335" w:type="dxa"/>
                  <w:shd w:val="clear" w:color="auto" w:fill="auto"/>
                  <w:vAlign w:val="center"/>
                </w:tcPr>
                <w:p w14:paraId="5334B017">
                  <w:pPr>
                    <w:pStyle w:val="2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2</w:t>
                  </w:r>
                </w:p>
              </w:tc>
              <w:tc>
                <w:tcPr>
                  <w:tcW w:w="1515" w:type="dxa"/>
                  <w:shd w:val="clear" w:color="auto" w:fill="auto"/>
                  <w:vAlign w:val="center"/>
                </w:tcPr>
                <w:p w14:paraId="0DA36BAA">
                  <w:pPr>
                    <w:pStyle w:val="20"/>
                    <w:spacing w:line="24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酚醛树脂</w:t>
                  </w:r>
                  <w:r>
                    <w:rPr>
                      <w:rFonts w:hint="eastAsia" w:ascii="Times New Roman" w:hAnsi="Times New Roman" w:eastAsia="宋体" w:cs="Times New Roman"/>
                      <w:sz w:val="21"/>
                      <w:szCs w:val="21"/>
                    </w:rPr>
                    <w:t>注塑</w:t>
                  </w:r>
                  <w:r>
                    <w:rPr>
                      <w:rFonts w:hint="eastAsia" w:ascii="Times New Roman" w:hAnsi="Times New Roman" w:eastAsia="宋体" w:cs="Times New Roman"/>
                      <w:sz w:val="21"/>
                      <w:szCs w:val="21"/>
                      <w:lang w:val="en-US" w:eastAsia="zh-CN"/>
                    </w:rPr>
                    <w:t>成型</w:t>
                  </w:r>
                </w:p>
              </w:tc>
            </w:tr>
            <w:tr w14:paraId="354952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7A365C82">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41</w:t>
                  </w:r>
                </w:p>
              </w:tc>
              <w:tc>
                <w:tcPr>
                  <w:tcW w:w="1553" w:type="dxa"/>
                  <w:shd w:val="clear" w:color="auto" w:fill="auto"/>
                  <w:vAlign w:val="center"/>
                </w:tcPr>
                <w:p w14:paraId="6D48134B">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富强鑫注塑机</w:t>
                  </w:r>
                </w:p>
              </w:tc>
              <w:tc>
                <w:tcPr>
                  <w:tcW w:w="1675" w:type="dxa"/>
                  <w:shd w:val="clear" w:color="auto" w:fill="auto"/>
                  <w:vAlign w:val="center"/>
                </w:tcPr>
                <w:p w14:paraId="08EC4AEC">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HD-140UV</w:t>
                  </w:r>
                </w:p>
              </w:tc>
              <w:tc>
                <w:tcPr>
                  <w:tcW w:w="1190" w:type="dxa"/>
                  <w:shd w:val="clear" w:color="auto" w:fill="auto"/>
                  <w:vAlign w:val="center"/>
                </w:tcPr>
                <w:p w14:paraId="2A69A339">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335" w:type="dxa"/>
                  <w:shd w:val="clear" w:color="auto" w:fill="auto"/>
                  <w:vAlign w:val="center"/>
                </w:tcPr>
                <w:p w14:paraId="6AC0B9B3">
                  <w:pPr>
                    <w:pStyle w:val="2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1</w:t>
                  </w:r>
                </w:p>
              </w:tc>
              <w:tc>
                <w:tcPr>
                  <w:tcW w:w="1515" w:type="dxa"/>
                  <w:shd w:val="clear" w:color="auto" w:fill="auto"/>
                  <w:vAlign w:val="center"/>
                </w:tcPr>
                <w:p w14:paraId="1559DEFD">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酚醛树脂</w:t>
                  </w:r>
                  <w:r>
                    <w:rPr>
                      <w:rFonts w:hint="eastAsia" w:ascii="Times New Roman" w:hAnsi="Times New Roman" w:eastAsia="宋体" w:cs="Times New Roman"/>
                      <w:sz w:val="21"/>
                      <w:szCs w:val="21"/>
                    </w:rPr>
                    <w:t>注塑</w:t>
                  </w:r>
                  <w:r>
                    <w:rPr>
                      <w:rFonts w:hint="eastAsia" w:ascii="Times New Roman" w:hAnsi="Times New Roman" w:eastAsia="宋体" w:cs="Times New Roman"/>
                      <w:sz w:val="21"/>
                      <w:szCs w:val="21"/>
                      <w:lang w:val="en-US" w:eastAsia="zh-CN"/>
                    </w:rPr>
                    <w:t>成型</w:t>
                  </w:r>
                </w:p>
              </w:tc>
            </w:tr>
            <w:tr w14:paraId="61DD6B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68B42AAA">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42</w:t>
                  </w:r>
                </w:p>
              </w:tc>
              <w:tc>
                <w:tcPr>
                  <w:tcW w:w="1553" w:type="dxa"/>
                  <w:shd w:val="clear" w:color="auto" w:fill="auto"/>
                  <w:vAlign w:val="center"/>
                </w:tcPr>
                <w:p w14:paraId="30506B03">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海天注塑机</w:t>
                  </w:r>
                </w:p>
              </w:tc>
              <w:tc>
                <w:tcPr>
                  <w:tcW w:w="1675" w:type="dxa"/>
                  <w:shd w:val="clear" w:color="auto" w:fill="auto"/>
                  <w:vAlign w:val="center"/>
                </w:tcPr>
                <w:p w14:paraId="7CD2BA7E">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PL860/260T</w:t>
                  </w:r>
                </w:p>
              </w:tc>
              <w:tc>
                <w:tcPr>
                  <w:tcW w:w="1190" w:type="dxa"/>
                  <w:shd w:val="clear" w:color="auto" w:fill="auto"/>
                  <w:vAlign w:val="center"/>
                </w:tcPr>
                <w:p w14:paraId="4937E1F3">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1</w:t>
                  </w:r>
                </w:p>
              </w:tc>
              <w:tc>
                <w:tcPr>
                  <w:tcW w:w="1335" w:type="dxa"/>
                  <w:shd w:val="clear" w:color="auto" w:fill="auto"/>
                  <w:vAlign w:val="center"/>
                </w:tcPr>
                <w:p w14:paraId="5706F84A">
                  <w:pPr>
                    <w:pStyle w:val="2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1</w:t>
                  </w:r>
                </w:p>
              </w:tc>
              <w:tc>
                <w:tcPr>
                  <w:tcW w:w="1515" w:type="dxa"/>
                  <w:shd w:val="clear" w:color="auto" w:fill="auto"/>
                  <w:vAlign w:val="center"/>
                </w:tcPr>
                <w:p w14:paraId="6B5F4FBB">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酚醛树脂</w:t>
                  </w:r>
                  <w:r>
                    <w:rPr>
                      <w:rFonts w:hint="eastAsia" w:ascii="Times New Roman" w:hAnsi="Times New Roman" w:eastAsia="宋体" w:cs="Times New Roman"/>
                      <w:sz w:val="21"/>
                      <w:szCs w:val="21"/>
                    </w:rPr>
                    <w:t>注塑</w:t>
                  </w:r>
                  <w:r>
                    <w:rPr>
                      <w:rFonts w:hint="eastAsia" w:ascii="Times New Roman" w:hAnsi="Times New Roman" w:eastAsia="宋体" w:cs="Times New Roman"/>
                      <w:sz w:val="21"/>
                      <w:szCs w:val="21"/>
                      <w:lang w:val="en-US" w:eastAsia="zh-CN"/>
                    </w:rPr>
                    <w:t>成型</w:t>
                  </w:r>
                </w:p>
              </w:tc>
            </w:tr>
            <w:tr w14:paraId="198C4F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519" w:type="dxa"/>
                  <w:vAlign w:val="center"/>
                </w:tcPr>
                <w:p w14:paraId="4353C196">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43</w:t>
                  </w:r>
                </w:p>
              </w:tc>
              <w:tc>
                <w:tcPr>
                  <w:tcW w:w="1553" w:type="dxa"/>
                  <w:shd w:val="clear" w:color="auto" w:fill="auto"/>
                  <w:vAlign w:val="center"/>
                </w:tcPr>
                <w:p w14:paraId="20F3CC24">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海天注塑机</w:t>
                  </w:r>
                </w:p>
              </w:tc>
              <w:tc>
                <w:tcPr>
                  <w:tcW w:w="1675" w:type="dxa"/>
                  <w:shd w:val="clear" w:color="auto" w:fill="auto"/>
                  <w:vAlign w:val="center"/>
                </w:tcPr>
                <w:p w14:paraId="4A054CB0">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MA900</w:t>
                  </w:r>
                  <w:r>
                    <w:rPr>
                      <w:rFonts w:hint="eastAsia" w:ascii="Times New Roman" w:hAnsi="Times New Roman" w:cs="Times New Roman"/>
                      <w:sz w:val="21"/>
                      <w:szCs w:val="21"/>
                      <w:lang w:eastAsia="zh-CN"/>
                    </w:rPr>
                    <w:t>Ⅲ</w:t>
                  </w:r>
                  <w:r>
                    <w:rPr>
                      <w:rFonts w:hint="eastAsia" w:ascii="Times New Roman" w:hAnsi="Times New Roman" w:eastAsia="宋体" w:cs="Times New Roman"/>
                      <w:sz w:val="21"/>
                      <w:szCs w:val="21"/>
                    </w:rPr>
                    <w:t>/280T</w:t>
                  </w:r>
                </w:p>
              </w:tc>
              <w:tc>
                <w:tcPr>
                  <w:tcW w:w="1190" w:type="dxa"/>
                  <w:shd w:val="clear" w:color="auto" w:fill="auto"/>
                  <w:vAlign w:val="center"/>
                </w:tcPr>
                <w:p w14:paraId="2440C880">
                  <w:pPr>
                    <w:pStyle w:val="20"/>
                    <w:spacing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rPr>
                    <w:t>2</w:t>
                  </w:r>
                </w:p>
              </w:tc>
              <w:tc>
                <w:tcPr>
                  <w:tcW w:w="1335" w:type="dxa"/>
                  <w:shd w:val="clear" w:color="auto" w:fill="auto"/>
                  <w:vAlign w:val="center"/>
                </w:tcPr>
                <w:p w14:paraId="129E5A2D">
                  <w:pPr>
                    <w:pStyle w:val="20"/>
                    <w:spacing w:line="360"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2</w:t>
                  </w:r>
                </w:p>
              </w:tc>
              <w:tc>
                <w:tcPr>
                  <w:tcW w:w="1515" w:type="dxa"/>
                  <w:shd w:val="clear" w:color="auto" w:fill="auto"/>
                  <w:vAlign w:val="center"/>
                </w:tcPr>
                <w:p w14:paraId="63A179AE">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酚醛树脂</w:t>
                  </w:r>
                  <w:r>
                    <w:rPr>
                      <w:rFonts w:hint="eastAsia" w:ascii="Times New Roman" w:hAnsi="Times New Roman" w:eastAsia="宋体" w:cs="Times New Roman"/>
                      <w:sz w:val="21"/>
                      <w:szCs w:val="21"/>
                    </w:rPr>
                    <w:t>注塑</w:t>
                  </w:r>
                  <w:r>
                    <w:rPr>
                      <w:rFonts w:hint="eastAsia" w:ascii="Times New Roman" w:hAnsi="Times New Roman" w:eastAsia="宋体" w:cs="Times New Roman"/>
                      <w:sz w:val="21"/>
                      <w:szCs w:val="21"/>
                      <w:lang w:val="en-US" w:eastAsia="zh-CN"/>
                    </w:rPr>
                    <w:t>成型</w:t>
                  </w:r>
                </w:p>
              </w:tc>
            </w:tr>
            <w:tr w14:paraId="4850B6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787" w:type="dxa"/>
                  <w:gridSpan w:val="6"/>
                  <w:vAlign w:val="center"/>
                </w:tcPr>
                <w:p w14:paraId="45E3AB07">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b/>
                      <w:bCs/>
                      <w:kern w:val="2"/>
                      <w:sz w:val="21"/>
                      <w:szCs w:val="21"/>
                      <w:highlight w:val="none"/>
                      <w:lang w:val="en-US" w:eastAsia="zh-CN" w:bidi="ar-SA"/>
                    </w:rPr>
                    <w:t>光模块</w:t>
                  </w:r>
                </w:p>
              </w:tc>
            </w:tr>
            <w:tr w14:paraId="383D9E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2944D665">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w:t>
                  </w:r>
                </w:p>
              </w:tc>
              <w:tc>
                <w:tcPr>
                  <w:tcW w:w="1553" w:type="dxa"/>
                  <w:shd w:val="clear" w:color="auto" w:fill="auto"/>
                  <w:vAlign w:val="center"/>
                </w:tcPr>
                <w:p w14:paraId="40CAF886">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示波器</w:t>
                  </w:r>
                </w:p>
              </w:tc>
              <w:tc>
                <w:tcPr>
                  <w:tcW w:w="1675" w:type="dxa"/>
                  <w:shd w:val="clear" w:color="auto" w:fill="auto"/>
                  <w:vAlign w:val="center"/>
                </w:tcPr>
                <w:p w14:paraId="67C3CA7F">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86100D</w:t>
                  </w:r>
                </w:p>
              </w:tc>
              <w:tc>
                <w:tcPr>
                  <w:tcW w:w="1190" w:type="dxa"/>
                  <w:shd w:val="clear" w:color="auto" w:fill="auto"/>
                  <w:vAlign w:val="center"/>
                </w:tcPr>
                <w:p w14:paraId="2EB46DA7">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15</w:t>
                  </w:r>
                </w:p>
              </w:tc>
              <w:tc>
                <w:tcPr>
                  <w:tcW w:w="1335" w:type="dxa"/>
                  <w:shd w:val="clear" w:color="auto" w:fill="auto"/>
                  <w:vAlign w:val="center"/>
                </w:tcPr>
                <w:p w14:paraId="6BA561FD">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15</w:t>
                  </w:r>
                </w:p>
              </w:tc>
              <w:tc>
                <w:tcPr>
                  <w:tcW w:w="1515" w:type="dxa"/>
                  <w:vAlign w:val="center"/>
                </w:tcPr>
                <w:p w14:paraId="58754D5A">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测量</w:t>
                  </w:r>
                </w:p>
              </w:tc>
            </w:tr>
            <w:tr w14:paraId="38D169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6FF421C8">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2</w:t>
                  </w:r>
                </w:p>
              </w:tc>
              <w:tc>
                <w:tcPr>
                  <w:tcW w:w="1553" w:type="dxa"/>
                  <w:shd w:val="clear" w:color="auto" w:fill="auto"/>
                  <w:vAlign w:val="center"/>
                </w:tcPr>
                <w:p w14:paraId="540A7BE8">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光口模组</w:t>
                  </w:r>
                </w:p>
              </w:tc>
              <w:tc>
                <w:tcPr>
                  <w:tcW w:w="1675" w:type="dxa"/>
                  <w:shd w:val="clear" w:color="auto" w:fill="auto"/>
                  <w:vAlign w:val="center"/>
                </w:tcPr>
                <w:p w14:paraId="49FB77B4">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86105C</w:t>
                  </w:r>
                </w:p>
              </w:tc>
              <w:tc>
                <w:tcPr>
                  <w:tcW w:w="1190" w:type="dxa"/>
                  <w:shd w:val="clear" w:color="auto" w:fill="auto"/>
                  <w:vAlign w:val="center"/>
                </w:tcPr>
                <w:p w14:paraId="1B5FA4C9">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20</w:t>
                  </w:r>
                </w:p>
              </w:tc>
              <w:tc>
                <w:tcPr>
                  <w:tcW w:w="1335" w:type="dxa"/>
                  <w:shd w:val="clear" w:color="auto" w:fill="auto"/>
                  <w:vAlign w:val="center"/>
                </w:tcPr>
                <w:p w14:paraId="744C35F0">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20</w:t>
                  </w:r>
                </w:p>
              </w:tc>
              <w:tc>
                <w:tcPr>
                  <w:tcW w:w="1515" w:type="dxa"/>
                  <w:vAlign w:val="center"/>
                </w:tcPr>
                <w:p w14:paraId="41F8EFED">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模组</w:t>
                  </w:r>
                </w:p>
              </w:tc>
            </w:tr>
            <w:tr w14:paraId="33F615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17EC3FF0">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w:t>
                  </w:r>
                </w:p>
              </w:tc>
              <w:tc>
                <w:tcPr>
                  <w:tcW w:w="1553" w:type="dxa"/>
                  <w:shd w:val="clear" w:color="auto" w:fill="auto"/>
                  <w:vAlign w:val="center"/>
                </w:tcPr>
                <w:p w14:paraId="7496CACC">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误码仪</w:t>
                  </w:r>
                </w:p>
              </w:tc>
              <w:tc>
                <w:tcPr>
                  <w:tcW w:w="1675" w:type="dxa"/>
                  <w:shd w:val="clear" w:color="auto" w:fill="auto"/>
                  <w:vAlign w:val="center"/>
                </w:tcPr>
                <w:p w14:paraId="35CDECFA">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M2667</w:t>
                  </w:r>
                </w:p>
              </w:tc>
              <w:tc>
                <w:tcPr>
                  <w:tcW w:w="1190" w:type="dxa"/>
                  <w:shd w:val="clear" w:color="auto" w:fill="auto"/>
                  <w:vAlign w:val="center"/>
                </w:tcPr>
                <w:p w14:paraId="1FCE6352">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10</w:t>
                  </w:r>
                </w:p>
              </w:tc>
              <w:tc>
                <w:tcPr>
                  <w:tcW w:w="1335" w:type="dxa"/>
                  <w:shd w:val="clear" w:color="auto" w:fill="auto"/>
                  <w:vAlign w:val="center"/>
                </w:tcPr>
                <w:p w14:paraId="53EE9C8E">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10</w:t>
                  </w:r>
                </w:p>
              </w:tc>
              <w:tc>
                <w:tcPr>
                  <w:tcW w:w="1515" w:type="dxa"/>
                  <w:vAlign w:val="center"/>
                </w:tcPr>
                <w:p w14:paraId="73DEED4F">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测试</w:t>
                  </w:r>
                </w:p>
              </w:tc>
            </w:tr>
            <w:tr w14:paraId="34542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6B1E2C97">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4</w:t>
                  </w:r>
                </w:p>
              </w:tc>
              <w:tc>
                <w:tcPr>
                  <w:tcW w:w="1553" w:type="dxa"/>
                  <w:shd w:val="clear" w:color="auto" w:fill="auto"/>
                  <w:vAlign w:val="center"/>
                </w:tcPr>
                <w:p w14:paraId="11294F71">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误码仪</w:t>
                  </w:r>
                </w:p>
              </w:tc>
              <w:tc>
                <w:tcPr>
                  <w:tcW w:w="1675" w:type="dxa"/>
                  <w:shd w:val="clear" w:color="auto" w:fill="auto"/>
                  <w:vAlign w:val="center"/>
                </w:tcPr>
                <w:p w14:paraId="46FFF548">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E415B</w:t>
                  </w:r>
                </w:p>
              </w:tc>
              <w:tc>
                <w:tcPr>
                  <w:tcW w:w="1190" w:type="dxa"/>
                  <w:shd w:val="clear" w:color="auto" w:fill="auto"/>
                  <w:vAlign w:val="center"/>
                </w:tcPr>
                <w:p w14:paraId="1CEDFA3D">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5</w:t>
                  </w:r>
                </w:p>
              </w:tc>
              <w:tc>
                <w:tcPr>
                  <w:tcW w:w="1335" w:type="dxa"/>
                  <w:shd w:val="clear" w:color="auto" w:fill="auto"/>
                  <w:vAlign w:val="center"/>
                </w:tcPr>
                <w:p w14:paraId="7CDE5162">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5</w:t>
                  </w:r>
                </w:p>
              </w:tc>
              <w:tc>
                <w:tcPr>
                  <w:tcW w:w="1515" w:type="dxa"/>
                  <w:vAlign w:val="center"/>
                </w:tcPr>
                <w:p w14:paraId="0E1F5AF8">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测试</w:t>
                  </w:r>
                </w:p>
              </w:tc>
            </w:tr>
            <w:tr w14:paraId="280A51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3A39524C">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5</w:t>
                  </w:r>
                </w:p>
              </w:tc>
              <w:tc>
                <w:tcPr>
                  <w:tcW w:w="1553" w:type="dxa"/>
                  <w:shd w:val="clear" w:color="auto" w:fill="auto"/>
                  <w:vAlign w:val="center"/>
                </w:tcPr>
                <w:p w14:paraId="3207CA6B">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恒温加热台</w:t>
                  </w:r>
                </w:p>
              </w:tc>
              <w:tc>
                <w:tcPr>
                  <w:tcW w:w="1675" w:type="dxa"/>
                  <w:shd w:val="clear" w:color="auto" w:fill="auto"/>
                  <w:vAlign w:val="center"/>
                </w:tcPr>
                <w:p w14:paraId="3B1E4AE2">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HD-3620</w:t>
                  </w:r>
                </w:p>
              </w:tc>
              <w:tc>
                <w:tcPr>
                  <w:tcW w:w="1190" w:type="dxa"/>
                  <w:shd w:val="clear" w:color="auto" w:fill="auto"/>
                  <w:vAlign w:val="center"/>
                </w:tcPr>
                <w:p w14:paraId="1DC7D890">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10</w:t>
                  </w:r>
                </w:p>
              </w:tc>
              <w:tc>
                <w:tcPr>
                  <w:tcW w:w="1335" w:type="dxa"/>
                  <w:shd w:val="clear" w:color="auto" w:fill="auto"/>
                  <w:vAlign w:val="center"/>
                </w:tcPr>
                <w:p w14:paraId="24B2CC2C">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10</w:t>
                  </w:r>
                </w:p>
              </w:tc>
              <w:tc>
                <w:tcPr>
                  <w:tcW w:w="1515" w:type="dxa"/>
                  <w:vAlign w:val="center"/>
                </w:tcPr>
                <w:p w14:paraId="39E594F1">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加热</w:t>
                  </w:r>
                </w:p>
              </w:tc>
            </w:tr>
            <w:tr w14:paraId="52C5D0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78AE8DA1">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6</w:t>
                  </w:r>
                </w:p>
              </w:tc>
              <w:tc>
                <w:tcPr>
                  <w:tcW w:w="1553" w:type="dxa"/>
                  <w:shd w:val="clear" w:color="auto" w:fill="auto"/>
                  <w:vAlign w:val="center"/>
                </w:tcPr>
                <w:p w14:paraId="757C5F7A">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高温老化试验箱</w:t>
                  </w:r>
                </w:p>
              </w:tc>
              <w:tc>
                <w:tcPr>
                  <w:tcW w:w="1675" w:type="dxa"/>
                  <w:shd w:val="clear" w:color="auto" w:fill="auto"/>
                  <w:vAlign w:val="center"/>
                </w:tcPr>
                <w:p w14:paraId="1495B530">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DHP-1000-100T</w:t>
                  </w:r>
                </w:p>
              </w:tc>
              <w:tc>
                <w:tcPr>
                  <w:tcW w:w="1190" w:type="dxa"/>
                  <w:shd w:val="clear" w:color="auto" w:fill="auto"/>
                  <w:vAlign w:val="center"/>
                </w:tcPr>
                <w:p w14:paraId="4CC5F3DD">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w:t>
                  </w:r>
                </w:p>
              </w:tc>
              <w:tc>
                <w:tcPr>
                  <w:tcW w:w="1335" w:type="dxa"/>
                  <w:shd w:val="clear" w:color="auto" w:fill="auto"/>
                  <w:vAlign w:val="center"/>
                </w:tcPr>
                <w:p w14:paraId="7C201F63">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w:t>
                  </w:r>
                </w:p>
              </w:tc>
              <w:tc>
                <w:tcPr>
                  <w:tcW w:w="1515" w:type="dxa"/>
                  <w:vAlign w:val="center"/>
                </w:tcPr>
                <w:p w14:paraId="14A17F70">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测试</w:t>
                  </w:r>
                </w:p>
              </w:tc>
            </w:tr>
            <w:tr w14:paraId="0B934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1C4D9F1D">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7</w:t>
                  </w:r>
                </w:p>
              </w:tc>
              <w:tc>
                <w:tcPr>
                  <w:tcW w:w="1553" w:type="dxa"/>
                  <w:shd w:val="clear" w:color="auto" w:fill="auto"/>
                  <w:vAlign w:val="center"/>
                </w:tcPr>
                <w:p w14:paraId="1AF950B7">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可程式恒温试验箱</w:t>
                  </w:r>
                </w:p>
              </w:tc>
              <w:tc>
                <w:tcPr>
                  <w:tcW w:w="1675" w:type="dxa"/>
                  <w:shd w:val="clear" w:color="auto" w:fill="auto"/>
                  <w:vAlign w:val="center"/>
                </w:tcPr>
                <w:p w14:paraId="1D871D02">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LK-15DG</w:t>
                  </w:r>
                </w:p>
              </w:tc>
              <w:tc>
                <w:tcPr>
                  <w:tcW w:w="1190" w:type="dxa"/>
                  <w:shd w:val="clear" w:color="auto" w:fill="auto"/>
                  <w:vAlign w:val="center"/>
                </w:tcPr>
                <w:p w14:paraId="277F5C36">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w:t>
                  </w:r>
                </w:p>
              </w:tc>
              <w:tc>
                <w:tcPr>
                  <w:tcW w:w="1335" w:type="dxa"/>
                  <w:shd w:val="clear" w:color="auto" w:fill="auto"/>
                  <w:vAlign w:val="center"/>
                </w:tcPr>
                <w:p w14:paraId="17892EDA">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w:t>
                  </w:r>
                </w:p>
              </w:tc>
              <w:tc>
                <w:tcPr>
                  <w:tcW w:w="1515" w:type="dxa"/>
                  <w:vAlign w:val="center"/>
                </w:tcPr>
                <w:p w14:paraId="64C3781F">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测试</w:t>
                  </w:r>
                </w:p>
              </w:tc>
            </w:tr>
            <w:tr w14:paraId="35575E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25C2B533">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8</w:t>
                  </w:r>
                </w:p>
              </w:tc>
              <w:tc>
                <w:tcPr>
                  <w:tcW w:w="1553" w:type="dxa"/>
                  <w:shd w:val="clear" w:color="auto" w:fill="auto"/>
                  <w:vAlign w:val="center"/>
                </w:tcPr>
                <w:p w14:paraId="11528211">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功率计</w:t>
                  </w:r>
                </w:p>
              </w:tc>
              <w:tc>
                <w:tcPr>
                  <w:tcW w:w="1675" w:type="dxa"/>
                  <w:shd w:val="clear" w:color="auto" w:fill="auto"/>
                  <w:vAlign w:val="center"/>
                </w:tcPr>
                <w:p w14:paraId="6D086F65">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POSSPM-D</w:t>
                  </w:r>
                </w:p>
              </w:tc>
              <w:tc>
                <w:tcPr>
                  <w:tcW w:w="1190" w:type="dxa"/>
                  <w:shd w:val="clear" w:color="auto" w:fill="auto"/>
                  <w:vAlign w:val="center"/>
                </w:tcPr>
                <w:p w14:paraId="41D7439C">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15</w:t>
                  </w:r>
                </w:p>
              </w:tc>
              <w:tc>
                <w:tcPr>
                  <w:tcW w:w="1335" w:type="dxa"/>
                  <w:shd w:val="clear" w:color="auto" w:fill="auto"/>
                  <w:vAlign w:val="center"/>
                </w:tcPr>
                <w:p w14:paraId="576758C4">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15</w:t>
                  </w:r>
                </w:p>
              </w:tc>
              <w:tc>
                <w:tcPr>
                  <w:tcW w:w="1515" w:type="dxa"/>
                  <w:vAlign w:val="center"/>
                </w:tcPr>
                <w:p w14:paraId="23DBB295">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辅助设备</w:t>
                  </w:r>
                </w:p>
              </w:tc>
            </w:tr>
            <w:tr w14:paraId="0ADF4D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58C43DAE">
                  <w:pPr>
                    <w:jc w:val="center"/>
                    <w:rPr>
                      <w:rFonts w:hint="eastAsia"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9</w:t>
                  </w:r>
                </w:p>
              </w:tc>
              <w:tc>
                <w:tcPr>
                  <w:tcW w:w="1553" w:type="dxa"/>
                  <w:shd w:val="clear" w:color="auto" w:fill="auto"/>
                  <w:vAlign w:val="center"/>
                </w:tcPr>
                <w:p w14:paraId="28B78EFB">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衰减器</w:t>
                  </w:r>
                </w:p>
              </w:tc>
              <w:tc>
                <w:tcPr>
                  <w:tcW w:w="1675" w:type="dxa"/>
                  <w:shd w:val="clear" w:color="auto" w:fill="auto"/>
                  <w:vAlign w:val="center"/>
                </w:tcPr>
                <w:p w14:paraId="7B69BED3">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PSS-DOA</w:t>
                  </w:r>
                </w:p>
              </w:tc>
              <w:tc>
                <w:tcPr>
                  <w:tcW w:w="1190" w:type="dxa"/>
                  <w:shd w:val="clear" w:color="auto" w:fill="auto"/>
                  <w:vAlign w:val="center"/>
                </w:tcPr>
                <w:p w14:paraId="7F915576">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15</w:t>
                  </w:r>
                </w:p>
              </w:tc>
              <w:tc>
                <w:tcPr>
                  <w:tcW w:w="1335" w:type="dxa"/>
                  <w:shd w:val="clear" w:color="auto" w:fill="auto"/>
                  <w:vAlign w:val="center"/>
                </w:tcPr>
                <w:p w14:paraId="1FD96615">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15</w:t>
                  </w:r>
                </w:p>
              </w:tc>
              <w:tc>
                <w:tcPr>
                  <w:tcW w:w="1515" w:type="dxa"/>
                  <w:vAlign w:val="center"/>
                </w:tcPr>
                <w:p w14:paraId="521587B0">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测试</w:t>
                  </w:r>
                </w:p>
              </w:tc>
            </w:tr>
            <w:tr w14:paraId="2767F7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27E2025A">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10</w:t>
                  </w:r>
                </w:p>
              </w:tc>
              <w:tc>
                <w:tcPr>
                  <w:tcW w:w="1553" w:type="dxa"/>
                  <w:shd w:val="clear" w:color="auto" w:fill="auto"/>
                  <w:vAlign w:val="center"/>
                </w:tcPr>
                <w:p w14:paraId="014243F4">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程控电源</w:t>
                  </w:r>
                </w:p>
              </w:tc>
              <w:tc>
                <w:tcPr>
                  <w:tcW w:w="1675" w:type="dxa"/>
                  <w:shd w:val="clear" w:color="auto" w:fill="auto"/>
                  <w:vAlign w:val="center"/>
                </w:tcPr>
                <w:p w14:paraId="30F2A381">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IT6320</w:t>
                  </w:r>
                </w:p>
              </w:tc>
              <w:tc>
                <w:tcPr>
                  <w:tcW w:w="1190" w:type="dxa"/>
                  <w:shd w:val="clear" w:color="auto" w:fill="auto"/>
                  <w:vAlign w:val="center"/>
                </w:tcPr>
                <w:p w14:paraId="4038C99B">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20</w:t>
                  </w:r>
                </w:p>
              </w:tc>
              <w:tc>
                <w:tcPr>
                  <w:tcW w:w="1335" w:type="dxa"/>
                  <w:shd w:val="clear" w:color="auto" w:fill="auto"/>
                  <w:vAlign w:val="center"/>
                </w:tcPr>
                <w:p w14:paraId="614499CD">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20</w:t>
                  </w:r>
                </w:p>
              </w:tc>
              <w:tc>
                <w:tcPr>
                  <w:tcW w:w="1515" w:type="dxa"/>
                  <w:vAlign w:val="center"/>
                </w:tcPr>
                <w:p w14:paraId="7552EC3E">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辅助设备</w:t>
                  </w:r>
                </w:p>
              </w:tc>
            </w:tr>
            <w:tr w14:paraId="6A59D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7C407466">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11</w:t>
                  </w:r>
                </w:p>
              </w:tc>
              <w:tc>
                <w:tcPr>
                  <w:tcW w:w="1553" w:type="dxa"/>
                  <w:shd w:val="clear" w:color="auto" w:fill="auto"/>
                  <w:vAlign w:val="center"/>
                </w:tcPr>
                <w:p w14:paraId="6E3BD1AD">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自动焊接机</w:t>
                  </w:r>
                </w:p>
              </w:tc>
              <w:tc>
                <w:tcPr>
                  <w:tcW w:w="1675" w:type="dxa"/>
                  <w:shd w:val="clear" w:color="auto" w:fill="auto"/>
                  <w:vAlign w:val="center"/>
                </w:tcPr>
                <w:p w14:paraId="6844B8E1">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T0SA10SA</w:t>
                  </w:r>
                </w:p>
              </w:tc>
              <w:tc>
                <w:tcPr>
                  <w:tcW w:w="1190" w:type="dxa"/>
                  <w:shd w:val="clear" w:color="auto" w:fill="auto"/>
                  <w:vAlign w:val="center"/>
                </w:tcPr>
                <w:p w14:paraId="1D8DFD02">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w:t>
                  </w:r>
                </w:p>
              </w:tc>
              <w:tc>
                <w:tcPr>
                  <w:tcW w:w="1335" w:type="dxa"/>
                  <w:shd w:val="clear" w:color="auto" w:fill="auto"/>
                  <w:vAlign w:val="center"/>
                </w:tcPr>
                <w:p w14:paraId="6A7F171E">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1</w:t>
                  </w:r>
                </w:p>
              </w:tc>
              <w:tc>
                <w:tcPr>
                  <w:tcW w:w="1515" w:type="dxa"/>
                  <w:vAlign w:val="center"/>
                </w:tcPr>
                <w:p w14:paraId="56E21463">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焊接</w:t>
                  </w:r>
                </w:p>
              </w:tc>
            </w:tr>
            <w:tr w14:paraId="1611A6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519" w:type="dxa"/>
                  <w:vAlign w:val="center"/>
                </w:tcPr>
                <w:p w14:paraId="65C10602">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12</w:t>
                  </w:r>
                </w:p>
              </w:tc>
              <w:tc>
                <w:tcPr>
                  <w:tcW w:w="1553" w:type="dxa"/>
                  <w:shd w:val="clear" w:color="auto" w:fill="auto"/>
                  <w:vAlign w:val="center"/>
                </w:tcPr>
                <w:p w14:paraId="647B7535">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电烙铁</w:t>
                  </w:r>
                </w:p>
              </w:tc>
              <w:tc>
                <w:tcPr>
                  <w:tcW w:w="1675" w:type="dxa"/>
                  <w:shd w:val="clear" w:color="auto" w:fill="auto"/>
                  <w:vAlign w:val="center"/>
                </w:tcPr>
                <w:p w14:paraId="10DC94C0">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WSD 71</w:t>
                  </w:r>
                </w:p>
              </w:tc>
              <w:tc>
                <w:tcPr>
                  <w:tcW w:w="1190" w:type="dxa"/>
                  <w:shd w:val="clear" w:color="auto" w:fill="auto"/>
                  <w:vAlign w:val="center"/>
                </w:tcPr>
                <w:p w14:paraId="7799BFD5">
                  <w:pPr>
                    <w:adjustRightInd w:val="0"/>
                    <w:spacing w:line="240" w:lineRule="atLeast"/>
                    <w:jc w:val="center"/>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1335" w:type="dxa"/>
                  <w:shd w:val="clear" w:color="auto" w:fill="auto"/>
                  <w:vAlign w:val="center"/>
                </w:tcPr>
                <w:p w14:paraId="33500044">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30</w:t>
                  </w:r>
                </w:p>
              </w:tc>
              <w:tc>
                <w:tcPr>
                  <w:tcW w:w="1515" w:type="dxa"/>
                  <w:vAlign w:val="center"/>
                </w:tcPr>
                <w:p w14:paraId="1C393433">
                  <w:pPr>
                    <w:adjustRightInd w:val="0"/>
                    <w:spacing w:line="240" w:lineRule="atLeast"/>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焊接</w:t>
                  </w:r>
                </w:p>
              </w:tc>
            </w:tr>
          </w:tbl>
          <w:p w14:paraId="45954C45">
            <w:pPr>
              <w:tabs>
                <w:tab w:val="left" w:pos="484"/>
              </w:tabs>
              <w:spacing w:line="360" w:lineRule="auto"/>
              <w:jc w:val="left"/>
              <w:rPr>
                <w:b/>
                <w:bCs/>
                <w:color w:val="auto"/>
                <w:sz w:val="24"/>
                <w:highlight w:val="none"/>
                <w:u w:val="none"/>
              </w:rPr>
            </w:pPr>
            <w:r>
              <w:rPr>
                <w:rFonts w:hint="eastAsia"/>
                <w:b/>
                <w:bCs/>
                <w:color w:val="auto"/>
                <w:sz w:val="24"/>
                <w:highlight w:val="none"/>
                <w:u w:val="none"/>
              </w:rPr>
              <w:t>5、公用工程</w:t>
            </w:r>
          </w:p>
          <w:p w14:paraId="3F31DEDA">
            <w:pPr>
              <w:spacing w:line="360" w:lineRule="auto"/>
              <w:ind w:firstLine="482" w:firstLineChars="200"/>
              <w:rPr>
                <w:b/>
                <w:color w:val="auto"/>
                <w:sz w:val="24"/>
                <w:highlight w:val="none"/>
                <w:u w:val="none"/>
              </w:rPr>
            </w:pPr>
            <w:r>
              <w:rPr>
                <w:rFonts w:hint="eastAsia"/>
                <w:b/>
                <w:bCs/>
                <w:color w:val="auto"/>
                <w:sz w:val="24"/>
                <w:highlight w:val="none"/>
                <w:u w:val="none"/>
              </w:rPr>
              <w:t>（1）</w:t>
            </w:r>
            <w:r>
              <w:rPr>
                <w:b/>
                <w:bCs/>
                <w:color w:val="auto"/>
                <w:sz w:val="24"/>
                <w:highlight w:val="none"/>
                <w:u w:val="none"/>
              </w:rPr>
              <w:t>厂区</w:t>
            </w:r>
            <w:r>
              <w:rPr>
                <w:b/>
                <w:color w:val="auto"/>
                <w:sz w:val="24"/>
                <w:highlight w:val="none"/>
                <w:u w:val="none"/>
              </w:rPr>
              <w:t>供水</w:t>
            </w:r>
          </w:p>
          <w:p w14:paraId="2472DA62">
            <w:pPr>
              <w:spacing w:line="360" w:lineRule="auto"/>
              <w:ind w:firstLine="480" w:firstLineChars="200"/>
              <w:rPr>
                <w:color w:val="auto"/>
                <w:sz w:val="24"/>
                <w:highlight w:val="none"/>
                <w:u w:val="none"/>
              </w:rPr>
            </w:pPr>
            <w:r>
              <w:rPr>
                <w:color w:val="auto"/>
                <w:sz w:val="24"/>
                <w:szCs w:val="24"/>
                <w:highlight w:val="none"/>
                <w:u w:val="none"/>
              </w:rPr>
              <w:t>本项目用水主要</w:t>
            </w:r>
            <w:r>
              <w:rPr>
                <w:rFonts w:hint="eastAsia"/>
                <w:color w:val="auto"/>
                <w:sz w:val="24"/>
                <w:szCs w:val="24"/>
                <w:highlight w:val="none"/>
                <w:u w:val="none"/>
                <w:lang w:val="en-US" w:eastAsia="zh-CN"/>
              </w:rPr>
              <w:t>是</w:t>
            </w:r>
            <w:r>
              <w:rPr>
                <w:color w:val="auto"/>
                <w:sz w:val="24"/>
                <w:szCs w:val="24"/>
                <w:highlight w:val="none"/>
                <w:u w:val="none"/>
              </w:rPr>
              <w:t>生产用水、生活用水。由</w:t>
            </w:r>
            <w:r>
              <w:rPr>
                <w:rFonts w:hint="eastAsia"/>
                <w:color w:val="auto"/>
                <w:sz w:val="24"/>
                <w:szCs w:val="24"/>
                <w:highlight w:val="none"/>
                <w:u w:val="none"/>
              </w:rPr>
              <w:t>永州市</w:t>
            </w:r>
            <w:r>
              <w:rPr>
                <w:color w:val="auto"/>
                <w:sz w:val="24"/>
                <w:szCs w:val="24"/>
                <w:highlight w:val="none"/>
                <w:u w:val="none"/>
              </w:rPr>
              <w:t>市政供水，依托</w:t>
            </w:r>
            <w:r>
              <w:rPr>
                <w:rFonts w:hint="eastAsia"/>
                <w:color w:val="auto"/>
                <w:sz w:val="24"/>
                <w:szCs w:val="24"/>
                <w:highlight w:val="none"/>
                <w:u w:val="none"/>
                <w:shd w:val="clear" w:color="auto" w:fill="FFFFFF"/>
              </w:rPr>
              <w:t>永州经济技术开发区</w:t>
            </w:r>
            <w:r>
              <w:rPr>
                <w:color w:val="auto"/>
                <w:sz w:val="24"/>
                <w:szCs w:val="24"/>
                <w:highlight w:val="none"/>
                <w:u w:val="none"/>
              </w:rPr>
              <w:t>已建供水系统。</w:t>
            </w:r>
          </w:p>
          <w:p w14:paraId="74849593">
            <w:pPr>
              <w:spacing w:line="360" w:lineRule="auto"/>
              <w:ind w:firstLine="482" w:firstLineChars="200"/>
              <w:rPr>
                <w:b/>
                <w:bCs/>
                <w:color w:val="auto"/>
                <w:sz w:val="24"/>
                <w:highlight w:val="none"/>
                <w:u w:val="none"/>
              </w:rPr>
            </w:pPr>
            <w:r>
              <w:rPr>
                <w:rFonts w:hint="eastAsia"/>
                <w:b/>
                <w:bCs/>
                <w:color w:val="auto"/>
                <w:sz w:val="24"/>
                <w:highlight w:val="none"/>
                <w:u w:val="none"/>
              </w:rPr>
              <w:t>（2）</w:t>
            </w:r>
            <w:r>
              <w:rPr>
                <w:b/>
                <w:bCs/>
                <w:color w:val="auto"/>
                <w:sz w:val="24"/>
                <w:highlight w:val="none"/>
                <w:u w:val="none"/>
              </w:rPr>
              <w:t>厂区排水</w:t>
            </w:r>
          </w:p>
          <w:p w14:paraId="30162DBA">
            <w:pPr>
              <w:spacing w:line="360" w:lineRule="auto"/>
              <w:ind w:firstLine="480" w:firstLineChars="200"/>
              <w:rPr>
                <w:color w:val="auto"/>
                <w:sz w:val="24"/>
                <w:szCs w:val="24"/>
                <w:highlight w:val="none"/>
                <w:u w:val="none" w:color="auto"/>
              </w:rPr>
            </w:pPr>
            <w:r>
              <w:rPr>
                <w:rFonts w:hint="eastAsia"/>
                <w:color w:val="auto"/>
                <w:kern w:val="0"/>
                <w:sz w:val="24"/>
                <w:szCs w:val="24"/>
                <w:highlight w:val="none"/>
                <w:u w:val="none" w:color="auto"/>
                <w:lang w:val="en-US" w:eastAsia="zh-CN"/>
              </w:rPr>
              <w:t>雨水：</w:t>
            </w:r>
            <w:r>
              <w:rPr>
                <w:color w:val="auto"/>
                <w:kern w:val="0"/>
                <w:sz w:val="24"/>
                <w:szCs w:val="24"/>
                <w:highlight w:val="none"/>
                <w:u w:val="none" w:color="auto"/>
              </w:rPr>
              <w:t>项目厂区实施雨污分流，其中厂内雨水经收集后</w:t>
            </w:r>
            <w:r>
              <w:rPr>
                <w:rFonts w:hint="eastAsia"/>
                <w:color w:val="auto"/>
                <w:kern w:val="0"/>
                <w:sz w:val="24"/>
                <w:szCs w:val="24"/>
                <w:highlight w:val="none"/>
                <w:u w:val="none" w:color="auto"/>
                <w:lang w:val="en-US" w:eastAsia="zh-CN"/>
              </w:rPr>
              <w:t>依托园区雨水管网</w:t>
            </w:r>
            <w:r>
              <w:rPr>
                <w:color w:val="auto"/>
                <w:kern w:val="0"/>
                <w:sz w:val="24"/>
                <w:szCs w:val="24"/>
                <w:highlight w:val="none"/>
                <w:u w:val="none" w:color="auto"/>
              </w:rPr>
              <w:t>排入周边雨水系统。</w:t>
            </w:r>
          </w:p>
          <w:p w14:paraId="65EF3718">
            <w:pPr>
              <w:spacing w:line="360" w:lineRule="auto"/>
              <w:ind w:firstLine="480" w:firstLineChars="200"/>
              <w:rPr>
                <w:rFonts w:hint="eastAsia" w:ascii="Times New Roman" w:hAnsi="Times New Roman" w:eastAsia="宋体" w:cs="Times New Roman"/>
                <w:color w:val="auto"/>
                <w:sz w:val="24"/>
                <w:highlight w:val="none"/>
                <w:u w:val="none" w:color="auto"/>
                <w:lang w:val="en-US" w:eastAsia="zh-CN"/>
              </w:rPr>
            </w:pPr>
            <w:r>
              <w:rPr>
                <w:rFonts w:hint="eastAsia"/>
                <w:b w:val="0"/>
                <w:bCs w:val="0"/>
                <w:color w:val="auto"/>
                <w:sz w:val="24"/>
                <w:szCs w:val="24"/>
                <w:highlight w:val="none"/>
                <w:u w:val="none" w:color="auto"/>
                <w:lang w:val="en-US" w:eastAsia="zh-CN"/>
              </w:rPr>
              <w:t>生活污水：</w:t>
            </w:r>
            <w:r>
              <w:rPr>
                <w:rFonts w:hint="eastAsia"/>
                <w:b w:val="0"/>
                <w:bCs w:val="0"/>
                <w:color w:val="auto"/>
                <w:sz w:val="24"/>
                <w:szCs w:val="24"/>
                <w:highlight w:val="none"/>
                <w:u w:val="none" w:color="auto"/>
              </w:rPr>
              <w:t>近期：</w:t>
            </w:r>
            <w:r>
              <w:rPr>
                <w:rFonts w:hint="eastAsia" w:eastAsia="宋体"/>
                <w:color w:val="auto"/>
                <w:kern w:val="0"/>
                <w:sz w:val="24"/>
                <w:szCs w:val="24"/>
                <w:highlight w:val="none"/>
                <w:u w:val="none" w:color="auto"/>
              </w:rPr>
              <w:t>目前经开区工业污水处理厂正在建设，尚未运营</w:t>
            </w:r>
            <w:r>
              <w:rPr>
                <w:rFonts w:hint="eastAsia" w:eastAsia="宋体"/>
                <w:color w:val="auto"/>
                <w:kern w:val="0"/>
                <w:sz w:val="24"/>
                <w:szCs w:val="24"/>
                <w:highlight w:val="none"/>
                <w:u w:val="none" w:color="auto"/>
                <w:lang w:eastAsia="zh-CN"/>
              </w:rPr>
              <w:t>，</w:t>
            </w:r>
            <w:r>
              <w:rPr>
                <w:rFonts w:hint="eastAsia" w:eastAsia="宋体"/>
                <w:color w:val="auto"/>
                <w:kern w:val="0"/>
                <w:sz w:val="24"/>
                <w:szCs w:val="24"/>
                <w:highlight w:val="none"/>
                <w:u w:val="none" w:color="auto"/>
                <w:lang w:val="en-US" w:eastAsia="zh-CN"/>
              </w:rPr>
              <w:t>项目生</w:t>
            </w:r>
            <w:r>
              <w:rPr>
                <w:color w:val="auto"/>
                <w:sz w:val="24"/>
                <w:highlight w:val="none"/>
                <w:u w:val="none" w:color="auto"/>
              </w:rPr>
              <w:t>活</w:t>
            </w:r>
            <w:r>
              <w:rPr>
                <w:rFonts w:hint="eastAsia"/>
                <w:color w:val="auto"/>
                <w:sz w:val="24"/>
                <w:highlight w:val="none"/>
                <w:u w:val="none" w:color="auto"/>
                <w:lang w:val="en-US" w:eastAsia="zh-CN"/>
              </w:rPr>
              <w:t>污</w:t>
            </w:r>
            <w:r>
              <w:rPr>
                <w:color w:val="auto"/>
                <w:sz w:val="24"/>
                <w:highlight w:val="none"/>
                <w:u w:val="none" w:color="auto"/>
              </w:rPr>
              <w:t>水经厂区</w:t>
            </w:r>
            <w:r>
              <w:rPr>
                <w:rFonts w:hint="eastAsia"/>
                <w:color w:val="auto"/>
                <w:sz w:val="24"/>
                <w:highlight w:val="none"/>
                <w:u w:val="none" w:color="auto"/>
              </w:rPr>
              <w:t>化粪池</w:t>
            </w:r>
            <w:r>
              <w:rPr>
                <w:color w:val="auto"/>
                <w:sz w:val="24"/>
                <w:highlight w:val="none"/>
                <w:u w:val="none" w:color="auto"/>
              </w:rPr>
              <w:t>处理设施处理</w:t>
            </w:r>
            <w:r>
              <w:rPr>
                <w:rFonts w:hint="eastAsia" w:ascii="Times New Roman" w:hAnsi="Times New Roman" w:eastAsia="宋体" w:cs="Times New Roman"/>
                <w:color w:val="auto"/>
                <w:sz w:val="24"/>
                <w:highlight w:val="none"/>
                <w:u w:val="none" w:color="auto"/>
                <w:lang w:val="en-US" w:eastAsia="zh-CN"/>
              </w:rPr>
              <w:t>达到</w:t>
            </w:r>
            <w:r>
              <w:rPr>
                <w:rFonts w:hint="eastAsia"/>
                <w:color w:val="auto"/>
                <w:sz w:val="24"/>
                <w:highlight w:val="none"/>
                <w:u w:val="none" w:color="auto"/>
              </w:rPr>
              <w:t>《电子工业水污染物排放标准》（GB 39731-2020）表1水污染物排放限值</w:t>
            </w:r>
            <w:r>
              <w:rPr>
                <w:color w:val="auto"/>
                <w:sz w:val="24"/>
                <w:highlight w:val="none"/>
                <w:u w:val="none" w:color="auto"/>
              </w:rPr>
              <w:t>要求</w:t>
            </w:r>
            <w:r>
              <w:rPr>
                <w:rFonts w:hint="eastAsia" w:ascii="Times New Roman" w:hAnsi="Times New Roman" w:eastAsia="宋体" w:cs="Times New Roman"/>
                <w:color w:val="auto"/>
                <w:sz w:val="24"/>
                <w:highlight w:val="none"/>
                <w:u w:val="none" w:color="auto"/>
                <w:lang w:val="en-US" w:eastAsia="zh-CN"/>
              </w:rPr>
              <w:t>，</w:t>
            </w:r>
            <w:r>
              <w:rPr>
                <w:color w:val="auto"/>
                <w:sz w:val="24"/>
                <w:highlight w:val="none"/>
                <w:u w:val="none" w:color="auto"/>
              </w:rPr>
              <w:t>排市政污水管网，进入下河线污水处理厂</w:t>
            </w:r>
            <w:r>
              <w:rPr>
                <w:rFonts w:hint="eastAsia" w:ascii="Times New Roman" w:hAnsi="Times New Roman" w:cs="Times New Roman"/>
                <w:b w:val="0"/>
                <w:bCs w:val="0"/>
                <w:color w:val="auto"/>
                <w:sz w:val="24"/>
                <w:szCs w:val="24"/>
                <w:highlight w:val="none"/>
                <w:u w:val="none" w:color="auto"/>
              </w:rPr>
              <w:t>处理达到《城</w:t>
            </w:r>
            <w:r>
              <w:rPr>
                <w:rFonts w:hint="eastAsia"/>
                <w:color w:val="auto"/>
                <w:sz w:val="24"/>
                <w:highlight w:val="none"/>
                <w:u w:val="none" w:color="auto"/>
              </w:rPr>
              <w:t>镇污水处理厂污染物排放标准》（GB18918-2002）中一级A标准</w:t>
            </w:r>
            <w:r>
              <w:rPr>
                <w:rFonts w:hint="eastAsia"/>
                <w:color w:val="auto"/>
                <w:sz w:val="24"/>
                <w:highlight w:val="none"/>
                <w:u w:val="none" w:color="auto"/>
                <w:lang w:val="en-US" w:eastAsia="zh-CN"/>
              </w:rPr>
              <w:t>后排入湘江。</w:t>
            </w:r>
            <w:r>
              <w:rPr>
                <w:rFonts w:hint="eastAsia"/>
                <w:b w:val="0"/>
                <w:bCs w:val="0"/>
                <w:color w:val="auto"/>
                <w:sz w:val="24"/>
                <w:szCs w:val="24"/>
                <w:highlight w:val="none"/>
                <w:u w:val="none" w:color="auto"/>
              </w:rPr>
              <w:t>远期：</w:t>
            </w:r>
            <w:r>
              <w:rPr>
                <w:rFonts w:hint="eastAsia" w:eastAsia="宋体"/>
                <w:color w:val="auto"/>
                <w:kern w:val="0"/>
                <w:sz w:val="24"/>
                <w:szCs w:val="24"/>
                <w:highlight w:val="none"/>
                <w:u w:val="none" w:color="auto"/>
              </w:rPr>
              <w:t>经开区工业污水处理厂</w:t>
            </w:r>
            <w:r>
              <w:rPr>
                <w:rFonts w:hint="eastAsia" w:eastAsia="宋体"/>
                <w:color w:val="auto"/>
                <w:kern w:val="0"/>
                <w:sz w:val="24"/>
                <w:szCs w:val="24"/>
                <w:highlight w:val="none"/>
                <w:u w:val="none" w:color="auto"/>
                <w:lang w:val="en-US" w:eastAsia="zh-CN"/>
              </w:rPr>
              <w:t>投入运营后</w:t>
            </w:r>
            <w:r>
              <w:rPr>
                <w:rFonts w:hint="eastAsia"/>
                <w:b w:val="0"/>
                <w:bCs w:val="0"/>
                <w:color w:val="auto"/>
                <w:sz w:val="24"/>
                <w:szCs w:val="24"/>
                <w:highlight w:val="none"/>
                <w:u w:val="none" w:color="auto"/>
              </w:rPr>
              <w:t>，</w:t>
            </w:r>
            <w:r>
              <w:rPr>
                <w:rFonts w:hint="eastAsia" w:eastAsia="宋体"/>
                <w:color w:val="auto"/>
                <w:kern w:val="0"/>
                <w:sz w:val="24"/>
                <w:szCs w:val="24"/>
                <w:highlight w:val="none"/>
                <w:u w:val="none" w:color="auto"/>
                <w:lang w:val="en-US" w:eastAsia="zh-CN"/>
              </w:rPr>
              <w:t>项目生</w:t>
            </w:r>
            <w:r>
              <w:rPr>
                <w:color w:val="auto"/>
                <w:sz w:val="24"/>
                <w:highlight w:val="none"/>
                <w:u w:val="none" w:color="auto"/>
              </w:rPr>
              <w:t>活废水经厂区</w:t>
            </w:r>
            <w:r>
              <w:rPr>
                <w:rFonts w:hint="eastAsia"/>
                <w:color w:val="auto"/>
                <w:sz w:val="24"/>
                <w:highlight w:val="none"/>
                <w:u w:val="none" w:color="auto"/>
              </w:rPr>
              <w:t>化粪池</w:t>
            </w:r>
            <w:r>
              <w:rPr>
                <w:color w:val="auto"/>
                <w:sz w:val="24"/>
                <w:highlight w:val="none"/>
                <w:u w:val="none" w:color="auto"/>
              </w:rPr>
              <w:t>处理设施处理</w:t>
            </w:r>
            <w:r>
              <w:rPr>
                <w:rFonts w:hint="eastAsia" w:ascii="Times New Roman" w:hAnsi="Times New Roman" w:eastAsia="宋体" w:cs="Times New Roman"/>
                <w:color w:val="auto"/>
                <w:sz w:val="24"/>
                <w:highlight w:val="none"/>
                <w:u w:val="none" w:color="auto"/>
                <w:lang w:val="en-US" w:eastAsia="zh-CN"/>
              </w:rPr>
              <w:t>达到</w:t>
            </w:r>
            <w:r>
              <w:rPr>
                <w:rFonts w:hint="eastAsia"/>
                <w:color w:val="auto"/>
                <w:sz w:val="24"/>
                <w:highlight w:val="none"/>
                <w:u w:val="none" w:color="auto"/>
              </w:rPr>
              <w:t>《电子工业水污染物排放标准》（GB 39731-2020）表1水污染物排放限值</w:t>
            </w:r>
            <w:r>
              <w:rPr>
                <w:rFonts w:hint="eastAsia" w:ascii="Times New Roman" w:hAnsi="Times New Roman" w:eastAsia="宋体" w:cs="Times New Roman"/>
                <w:color w:val="auto"/>
                <w:sz w:val="24"/>
                <w:highlight w:val="none"/>
                <w:u w:val="none" w:color="auto"/>
                <w:lang w:val="en-US" w:eastAsia="zh-CN"/>
              </w:rPr>
              <w:t>要求，排市政污水管网，进入永州经开区工业污水处理厂处理达到《中药类制药工业水污染物排放标准》（GB 21906 2008）、《提取类制药工业水污染物排放标准》（GB 21905 2008）、《城镇污水处理厂污染物排放标准》（GB18918- 2002）一级A排放标准中的较严标准后排入湘江。</w:t>
            </w:r>
          </w:p>
          <w:p w14:paraId="196B48A4">
            <w:pPr>
              <w:spacing w:line="360" w:lineRule="auto"/>
              <w:ind w:firstLine="482" w:firstLineChars="200"/>
              <w:rPr>
                <w:bCs/>
                <w:color w:val="auto"/>
                <w:sz w:val="24"/>
                <w:highlight w:val="none"/>
                <w:u w:val="none"/>
              </w:rPr>
            </w:pPr>
            <w:r>
              <w:rPr>
                <w:rFonts w:hint="eastAsia"/>
                <w:b/>
                <w:color w:val="auto"/>
                <w:sz w:val="24"/>
                <w:highlight w:val="none"/>
                <w:u w:val="none"/>
              </w:rPr>
              <w:t>（3）</w:t>
            </w:r>
            <w:r>
              <w:rPr>
                <w:b/>
                <w:color w:val="auto"/>
                <w:sz w:val="24"/>
                <w:highlight w:val="none"/>
                <w:u w:val="none"/>
              </w:rPr>
              <w:t>供电</w:t>
            </w:r>
          </w:p>
          <w:p w14:paraId="2BF604C5">
            <w:pPr>
              <w:spacing w:line="360" w:lineRule="auto"/>
              <w:ind w:firstLine="480" w:firstLineChars="200"/>
              <w:rPr>
                <w:color w:val="auto"/>
                <w:highlight w:val="none"/>
                <w:u w:val="none"/>
              </w:rPr>
            </w:pPr>
            <w:r>
              <w:rPr>
                <w:color w:val="auto"/>
                <w:sz w:val="24"/>
                <w:highlight w:val="none"/>
                <w:u w:val="none"/>
              </w:rPr>
              <w:t>本项目由</w:t>
            </w:r>
            <w:r>
              <w:rPr>
                <w:rFonts w:hint="eastAsia"/>
                <w:color w:val="auto"/>
                <w:sz w:val="24"/>
                <w:szCs w:val="24"/>
                <w:highlight w:val="none"/>
                <w:u w:val="none"/>
                <w:shd w:val="clear" w:color="auto" w:fill="FFFFFF"/>
              </w:rPr>
              <w:t>永州经济技术开发区</w:t>
            </w:r>
            <w:r>
              <w:rPr>
                <w:rFonts w:hint="eastAsia"/>
                <w:color w:val="auto"/>
                <w:sz w:val="24"/>
                <w:szCs w:val="24"/>
                <w:highlight w:val="none"/>
                <w:u w:val="none"/>
                <w:shd w:val="clear" w:color="auto" w:fill="FFFFFF"/>
                <w:lang w:val="en-US" w:eastAsia="zh-CN"/>
              </w:rPr>
              <w:t>园区</w:t>
            </w:r>
            <w:r>
              <w:rPr>
                <w:color w:val="auto"/>
                <w:sz w:val="24"/>
                <w:highlight w:val="none"/>
                <w:u w:val="none"/>
              </w:rPr>
              <w:t>电网供电，动力、办公、照明配电电压为380/220V，三相五线制供电；</w:t>
            </w:r>
            <w:r>
              <w:rPr>
                <w:color w:val="auto"/>
                <w:sz w:val="24"/>
                <w:szCs w:val="28"/>
                <w:highlight w:val="none"/>
                <w:u w:val="none"/>
              </w:rPr>
              <w:t>配电方式按照用电性质及需要采用放射式，通过配电房将电送至用电区，经配电系统向用电设施提供动力和照</w:t>
            </w:r>
            <w:r>
              <w:rPr>
                <w:bCs/>
                <w:color w:val="auto"/>
                <w:sz w:val="24"/>
                <w:szCs w:val="28"/>
                <w:highlight w:val="none"/>
                <w:u w:val="none"/>
              </w:rPr>
              <w:t>明负荷供电。</w:t>
            </w:r>
          </w:p>
          <w:p w14:paraId="64596080">
            <w:pPr>
              <w:spacing w:line="360" w:lineRule="auto"/>
              <w:ind w:firstLine="482" w:firstLineChars="200"/>
              <w:rPr>
                <w:b/>
                <w:color w:val="auto"/>
                <w:sz w:val="24"/>
                <w:highlight w:val="none"/>
                <w:u w:val="none"/>
              </w:rPr>
            </w:pPr>
            <w:r>
              <w:rPr>
                <w:rFonts w:hint="eastAsia"/>
                <w:b/>
                <w:color w:val="auto"/>
                <w:sz w:val="24"/>
                <w:highlight w:val="none"/>
                <w:u w:val="none"/>
              </w:rPr>
              <w:t>（4）</w:t>
            </w:r>
            <w:r>
              <w:rPr>
                <w:b/>
                <w:color w:val="auto"/>
                <w:sz w:val="24"/>
                <w:highlight w:val="none"/>
                <w:u w:val="none"/>
              </w:rPr>
              <w:t>消防</w:t>
            </w:r>
          </w:p>
          <w:p w14:paraId="2A7009A0">
            <w:pPr>
              <w:spacing w:line="360" w:lineRule="auto"/>
              <w:ind w:firstLine="480" w:firstLineChars="200"/>
              <w:rPr>
                <w:rStyle w:val="39"/>
                <w:color w:val="auto"/>
                <w:highlight w:val="none"/>
                <w:u w:val="none"/>
              </w:rPr>
            </w:pPr>
            <w:r>
              <w:rPr>
                <w:color w:val="auto"/>
                <w:sz w:val="24"/>
                <w:highlight w:val="none"/>
                <w:u w:val="none"/>
              </w:rPr>
              <w:t>本项目</w:t>
            </w:r>
            <w:r>
              <w:rPr>
                <w:rFonts w:hint="eastAsia"/>
                <w:color w:val="auto"/>
                <w:sz w:val="24"/>
                <w:highlight w:val="none"/>
                <w:u w:val="none"/>
              </w:rPr>
              <w:t>消防设计按照《建筑设计防火规范（GBJ16-2006》进行设计，工程按一级耐火等级设计。</w:t>
            </w:r>
          </w:p>
          <w:p w14:paraId="4EFE9278">
            <w:pPr>
              <w:numPr>
                <w:ilvl w:val="0"/>
                <w:numId w:val="2"/>
              </w:numPr>
              <w:tabs>
                <w:tab w:val="left" w:pos="630"/>
              </w:tabs>
              <w:spacing w:line="360" w:lineRule="auto"/>
              <w:ind w:firstLine="482" w:firstLineChars="200"/>
              <w:jc w:val="left"/>
              <w:rPr>
                <w:b/>
                <w:bCs/>
                <w:color w:val="auto"/>
                <w:sz w:val="24"/>
                <w:highlight w:val="none"/>
                <w:u w:val="none"/>
              </w:rPr>
            </w:pPr>
            <w:r>
              <w:rPr>
                <w:rFonts w:hint="eastAsia"/>
                <w:b/>
                <w:bCs/>
                <w:color w:val="auto"/>
                <w:sz w:val="24"/>
                <w:highlight w:val="none"/>
                <w:u w:val="none"/>
              </w:rPr>
              <w:t>劳动动员及工作制度</w:t>
            </w:r>
          </w:p>
          <w:p w14:paraId="2712F5BC">
            <w:pPr>
              <w:tabs>
                <w:tab w:val="left" w:pos="484"/>
              </w:tabs>
              <w:spacing w:line="360" w:lineRule="auto"/>
              <w:ind w:firstLine="480" w:firstLineChars="200"/>
              <w:jc w:val="left"/>
              <w:rPr>
                <w:rFonts w:hint="default" w:eastAsia="宋体"/>
                <w:color w:val="auto"/>
                <w:sz w:val="24"/>
                <w:highlight w:val="none"/>
                <w:u w:val="none"/>
                <w:lang w:val="en-US" w:eastAsia="zh-CN"/>
              </w:rPr>
            </w:pPr>
            <w:r>
              <w:rPr>
                <w:color w:val="auto"/>
                <w:sz w:val="24"/>
                <w:highlight w:val="none"/>
                <w:u w:val="none"/>
              </w:rPr>
              <w:t>项目</w:t>
            </w:r>
            <w:r>
              <w:rPr>
                <w:rFonts w:hint="eastAsia"/>
                <w:color w:val="auto"/>
                <w:sz w:val="24"/>
                <w:highlight w:val="none"/>
                <w:u w:val="none"/>
                <w:lang w:val="en-US" w:eastAsia="zh-CN"/>
              </w:rPr>
              <w:t>原环评劳动定员总数为180人，现在实际</w:t>
            </w:r>
            <w:r>
              <w:rPr>
                <w:color w:val="auto"/>
                <w:sz w:val="24"/>
                <w:highlight w:val="none"/>
                <w:u w:val="none"/>
              </w:rPr>
              <w:t>劳动定员总数为</w:t>
            </w:r>
            <w:r>
              <w:rPr>
                <w:rFonts w:hint="eastAsia"/>
                <w:color w:val="auto"/>
                <w:sz w:val="24"/>
                <w:highlight w:val="none"/>
                <w:u w:val="none"/>
                <w:lang w:val="en-US" w:eastAsia="zh-CN"/>
              </w:rPr>
              <w:t>100</w:t>
            </w:r>
            <w:r>
              <w:rPr>
                <w:color w:val="auto"/>
                <w:sz w:val="24"/>
                <w:highlight w:val="none"/>
                <w:u w:val="none"/>
              </w:rPr>
              <w:t>人</w:t>
            </w:r>
            <w:r>
              <w:rPr>
                <w:rFonts w:hint="eastAsia"/>
                <w:color w:val="auto"/>
                <w:sz w:val="24"/>
                <w:highlight w:val="none"/>
                <w:u w:val="none"/>
              </w:rPr>
              <w:t>，</w:t>
            </w:r>
            <w:r>
              <w:rPr>
                <w:rFonts w:hint="eastAsia"/>
                <w:color w:val="auto"/>
                <w:sz w:val="24"/>
                <w:highlight w:val="none"/>
                <w:u w:val="none"/>
                <w:lang w:val="en-US" w:eastAsia="zh-CN"/>
              </w:rPr>
              <w:t>均不在厂区内食宿</w:t>
            </w:r>
            <w:r>
              <w:rPr>
                <w:color w:val="auto"/>
                <w:sz w:val="24"/>
                <w:highlight w:val="none"/>
                <w:u w:val="none"/>
              </w:rPr>
              <w:t>。</w:t>
            </w:r>
            <w:r>
              <w:rPr>
                <w:rFonts w:hint="eastAsia"/>
                <w:color w:val="auto"/>
                <w:sz w:val="24"/>
                <w:highlight w:val="none"/>
                <w:u w:val="none"/>
                <w:lang w:val="en-US" w:eastAsia="zh-CN"/>
              </w:rPr>
              <w:t>本次变更不新增劳动定员，根据企业提供的资料，现阶段劳动定员100人能满足变更后项目生产需求。</w:t>
            </w:r>
          </w:p>
          <w:p w14:paraId="67F1DCD6">
            <w:pPr>
              <w:tabs>
                <w:tab w:val="left" w:pos="484"/>
              </w:tabs>
              <w:spacing w:line="360" w:lineRule="auto"/>
              <w:ind w:firstLine="480" w:firstLineChars="200"/>
              <w:jc w:val="left"/>
              <w:rPr>
                <w:b w:val="0"/>
                <w:bCs w:val="0"/>
                <w:color w:val="auto"/>
                <w:sz w:val="32"/>
                <w:highlight w:val="none"/>
                <w:u w:val="none"/>
              </w:rPr>
            </w:pPr>
            <w:r>
              <w:rPr>
                <w:color w:val="auto"/>
                <w:sz w:val="24"/>
                <w:highlight w:val="none"/>
                <w:u w:val="none"/>
              </w:rPr>
              <w:t>生产制度：年工作</w:t>
            </w:r>
            <w:r>
              <w:rPr>
                <w:rFonts w:hint="eastAsia"/>
                <w:color w:val="auto"/>
                <w:sz w:val="24"/>
                <w:highlight w:val="none"/>
                <w:u w:val="none"/>
                <w:lang w:val="en-US" w:eastAsia="zh-CN"/>
              </w:rPr>
              <w:t>300</w:t>
            </w:r>
            <w:r>
              <w:rPr>
                <w:color w:val="auto"/>
                <w:sz w:val="24"/>
                <w:highlight w:val="none"/>
                <w:u w:val="none"/>
              </w:rPr>
              <w:t>天，</w:t>
            </w:r>
            <w:r>
              <w:rPr>
                <w:rFonts w:ascii="Times New Roman" w:hAnsi="Times New Roman" w:eastAsia="宋体" w:cs="Times New Roman"/>
                <w:color w:val="auto"/>
                <w:sz w:val="24"/>
                <w:highlight w:val="none"/>
                <w:u w:val="none"/>
                <w:lang w:val="en-US" w:eastAsia="zh-CN"/>
              </w:rPr>
              <w:t>实行</w:t>
            </w:r>
            <w:r>
              <w:rPr>
                <w:rFonts w:hint="eastAsia" w:ascii="Times New Roman" w:hAnsi="Times New Roman" w:eastAsia="宋体" w:cs="Times New Roman"/>
                <w:color w:val="auto"/>
                <w:sz w:val="24"/>
                <w:highlight w:val="none"/>
                <w:u w:val="none"/>
                <w:lang w:val="en-US" w:eastAsia="zh-CN"/>
              </w:rPr>
              <w:t>1</w:t>
            </w:r>
            <w:r>
              <w:rPr>
                <w:rFonts w:ascii="Times New Roman" w:hAnsi="Times New Roman" w:eastAsia="宋体" w:cs="Times New Roman"/>
                <w:color w:val="auto"/>
                <w:sz w:val="24"/>
                <w:highlight w:val="none"/>
                <w:u w:val="none"/>
                <w:lang w:val="en-US" w:eastAsia="zh-CN"/>
              </w:rPr>
              <w:t>班制，</w:t>
            </w:r>
            <w:r>
              <w:rPr>
                <w:rFonts w:hint="eastAsia" w:ascii="Times New Roman" w:hAnsi="Times New Roman" w:eastAsia="宋体" w:cs="Times New Roman"/>
                <w:color w:val="auto"/>
                <w:sz w:val="24"/>
                <w:highlight w:val="none"/>
                <w:u w:val="none"/>
              </w:rPr>
              <w:t>每</w:t>
            </w:r>
            <w:r>
              <w:rPr>
                <w:rFonts w:hint="eastAsia" w:ascii="Times New Roman" w:hAnsi="Times New Roman" w:eastAsia="宋体" w:cs="Times New Roman"/>
                <w:color w:val="auto"/>
                <w:sz w:val="24"/>
                <w:highlight w:val="none"/>
                <w:u w:val="none"/>
                <w:lang w:val="en-US" w:eastAsia="zh-CN"/>
              </w:rPr>
              <w:t>班</w:t>
            </w:r>
            <w:r>
              <w:rPr>
                <w:rFonts w:hint="eastAsia" w:ascii="Times New Roman" w:hAnsi="Times New Roman" w:eastAsia="宋体" w:cs="Times New Roman"/>
                <w:color w:val="auto"/>
                <w:sz w:val="24"/>
                <w:highlight w:val="none"/>
                <w:u w:val="none"/>
              </w:rPr>
              <w:t>工作</w:t>
            </w:r>
            <w:r>
              <w:rPr>
                <w:rFonts w:hint="eastAsia" w:cs="Times New Roman"/>
                <w:color w:val="auto"/>
                <w:sz w:val="24"/>
                <w:highlight w:val="none"/>
                <w:u w:val="none"/>
                <w:lang w:val="en-US" w:eastAsia="zh-CN"/>
              </w:rPr>
              <w:t>8</w:t>
            </w:r>
            <w:r>
              <w:rPr>
                <w:rFonts w:hint="eastAsia" w:ascii="Times New Roman" w:hAnsi="Times New Roman" w:eastAsia="宋体" w:cs="Times New Roman"/>
                <w:color w:val="auto"/>
                <w:sz w:val="24"/>
                <w:highlight w:val="none"/>
                <w:u w:val="none"/>
              </w:rPr>
              <w:t>小时</w:t>
            </w:r>
            <w:r>
              <w:rPr>
                <w:rFonts w:ascii="Times New Roman" w:hAnsi="Times New Roman" w:eastAsia="宋体" w:cs="Times New Roman"/>
                <w:color w:val="auto"/>
                <w:sz w:val="24"/>
                <w:highlight w:val="none"/>
                <w:u w:val="none"/>
              </w:rPr>
              <w:t>。</w:t>
            </w:r>
          </w:p>
        </w:tc>
      </w:tr>
      <w:tr w14:paraId="791A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3" w:hRule="atLeast"/>
          <w:jc w:val="center"/>
        </w:trPr>
        <w:tc>
          <w:tcPr>
            <w:tcW w:w="1235" w:type="dxa"/>
            <w:vAlign w:val="center"/>
          </w:tcPr>
          <w:p w14:paraId="4CA9FFF2">
            <w:pPr>
              <w:spacing w:line="360" w:lineRule="auto"/>
              <w:jc w:val="center"/>
              <w:rPr>
                <w:color w:val="auto"/>
                <w:kern w:val="0"/>
                <w:sz w:val="24"/>
                <w:szCs w:val="24"/>
                <w:highlight w:val="none"/>
                <w:u w:val="none"/>
              </w:rPr>
            </w:pPr>
            <w:r>
              <w:rPr>
                <w:rFonts w:hint="eastAsia"/>
                <w:color w:val="auto"/>
                <w:kern w:val="0"/>
                <w:sz w:val="24"/>
                <w:szCs w:val="24"/>
                <w:highlight w:val="none"/>
                <w:u w:val="none"/>
              </w:rPr>
              <w:t>工艺流程和产排污环节</w:t>
            </w:r>
          </w:p>
        </w:tc>
        <w:tc>
          <w:tcPr>
            <w:tcW w:w="7836" w:type="dxa"/>
            <w:vAlign w:val="center"/>
          </w:tcPr>
          <w:p w14:paraId="3271CB4B">
            <w:pPr>
              <w:adjustRightInd w:val="0"/>
              <w:snapToGrid w:val="0"/>
              <w:spacing w:line="360" w:lineRule="auto"/>
              <w:ind w:firstLine="482" w:firstLineChars="200"/>
              <w:rPr>
                <w:b/>
                <w:bCs/>
                <w:color w:val="auto"/>
                <w:sz w:val="24"/>
                <w:highlight w:val="none"/>
                <w:u w:val="none"/>
              </w:rPr>
            </w:pPr>
            <w:r>
              <w:rPr>
                <w:rFonts w:hint="eastAsia"/>
                <w:b/>
                <w:bCs/>
                <w:color w:val="auto"/>
                <w:sz w:val="24"/>
                <w:highlight w:val="none"/>
                <w:u w:val="none"/>
              </w:rPr>
              <w:t>一、施工期工艺流程简述:</w:t>
            </w:r>
          </w:p>
          <w:p w14:paraId="2CEA2BFD">
            <w:pPr>
              <w:spacing w:line="360" w:lineRule="auto"/>
              <w:ind w:firstLine="480" w:firstLineChars="200"/>
              <w:rPr>
                <w:rFonts w:ascii="Times New Roman" w:hAnsi="Times New Roman"/>
                <w:sz w:val="24"/>
                <w:highlight w:val="none"/>
              </w:rPr>
            </w:pPr>
            <w:r>
              <w:rPr>
                <w:rFonts w:hint="eastAsia" w:ascii="Times New Roman" w:hAnsi="宋体"/>
                <w:sz w:val="24"/>
                <w:highlight w:val="none"/>
                <w:lang w:val="en-US" w:eastAsia="zh-CN"/>
              </w:rPr>
              <w:t>拟建</w:t>
            </w:r>
            <w:r>
              <w:rPr>
                <w:rFonts w:hint="eastAsia" w:ascii="Times New Roman" w:hAnsi="宋体"/>
                <w:sz w:val="24"/>
                <w:highlight w:val="none"/>
              </w:rPr>
              <w:t>项目是利用已建成的厂房进行设备安装后生产，因此项目施工期的影响主要是设备安装过程中产生的噪声。</w:t>
            </w:r>
          </w:p>
          <w:p w14:paraId="1F3D143F">
            <w:pPr>
              <w:adjustRightInd w:val="0"/>
              <w:snapToGrid w:val="0"/>
              <w:spacing w:line="360" w:lineRule="auto"/>
              <w:rPr>
                <w:color w:val="auto"/>
                <w:sz w:val="24"/>
                <w:highlight w:val="none"/>
                <w:u w:val="none"/>
              </w:rPr>
            </w:pPr>
            <w:r>
              <w:rPr>
                <w:rFonts w:hint="eastAsia"/>
                <w:b/>
                <w:bCs/>
                <w:color w:val="000000" w:themeColor="text1"/>
                <w:sz w:val="24"/>
                <w:szCs w:val="24"/>
                <w:highlight w:val="none"/>
                <w:lang w:val="en-US" w:eastAsia="zh-CN"/>
                <w14:textFill>
                  <w14:solidFill>
                    <w14:schemeClr w14:val="tx1"/>
                  </w14:solidFill>
                </w14:textFill>
              </w:rPr>
              <mc:AlternateContent>
                <mc:Choice Requires="wpc">
                  <w:drawing>
                    <wp:anchor distT="0" distB="0" distL="114300" distR="114300" simplePos="0" relativeHeight="251659264" behindDoc="0" locked="0" layoutInCell="1" allowOverlap="1">
                      <wp:simplePos x="0" y="0"/>
                      <wp:positionH relativeFrom="column">
                        <wp:posOffset>550545</wp:posOffset>
                      </wp:positionH>
                      <wp:positionV relativeFrom="paragraph">
                        <wp:posOffset>4445</wp:posOffset>
                      </wp:positionV>
                      <wp:extent cx="4278630" cy="1722120"/>
                      <wp:effectExtent l="0" t="0" r="0" b="0"/>
                      <wp:wrapTopAndBottom/>
                      <wp:docPr id="13" name="画布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文本框 1"/>
                              <wps:cNvSpPr txBox="1"/>
                              <wps:spPr>
                                <a:xfrm>
                                  <a:off x="381000" y="595630"/>
                                  <a:ext cx="799465"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864A8B">
                                    <w:pPr>
                                      <w:jc w:val="center"/>
                                    </w:pPr>
                                    <w:r>
                                      <w:rPr>
                                        <w:rFonts w:hint="eastAsia"/>
                                      </w:rPr>
                                      <w:t>设备安装</w:t>
                                    </w:r>
                                  </w:p>
                                </w:txbxContent>
                              </wps:txbx>
                              <wps:bodyPr upright="1"/>
                            </wps:wsp>
                            <wps:wsp>
                              <wps:cNvPr id="7" name="直接连接符 5"/>
                              <wps:cNvCnPr/>
                              <wps:spPr>
                                <a:xfrm>
                                  <a:off x="1180465" y="793115"/>
                                  <a:ext cx="458470" cy="1270"/>
                                </a:xfrm>
                                <a:prstGeom prst="line">
                                  <a:avLst/>
                                </a:prstGeom>
                                <a:ln w="9525" cap="flat" cmpd="sng">
                                  <a:solidFill>
                                    <a:srgbClr val="000000"/>
                                  </a:solidFill>
                                  <a:prstDash val="solid"/>
                                  <a:headEnd type="none" w="med" len="med"/>
                                  <a:tailEnd type="triangle" w="med" len="med"/>
                                </a:ln>
                              </wps:spPr>
                              <wps:bodyPr upright="1"/>
                            </wps:wsp>
                            <wps:wsp>
                              <wps:cNvPr id="8" name="任意多边形 6"/>
                              <wps:cNvSpPr/>
                              <wps:spPr>
                                <a:xfrm flipH="1">
                                  <a:off x="690880" y="310515"/>
                                  <a:ext cx="114300" cy="284480"/>
                                </a:xfrm>
                                <a:custGeom>
                                  <a:avLst/>
                                  <a:gdLst/>
                                  <a:ahLst/>
                                  <a:cxnLst/>
                                  <a:pathLst>
                                    <a:path w="1" h="700">
                                      <a:moveTo>
                                        <a:pt x="0" y="700"/>
                                      </a:moveTo>
                                      <a:lnTo>
                                        <a:pt x="0" y="0"/>
                                      </a:lnTo>
                                    </a:path>
                                  </a:pathLst>
                                </a:custGeom>
                                <a:noFill/>
                                <a:ln w="9525" cap="flat" cmpd="sng">
                                  <a:solidFill>
                                    <a:srgbClr val="000000"/>
                                  </a:solidFill>
                                  <a:prstDash val="dash"/>
                                  <a:headEnd type="none" w="med" len="med"/>
                                  <a:tailEnd type="triangle" w="med" len="med"/>
                                </a:ln>
                              </wps:spPr>
                              <wps:bodyPr upright="1"/>
                            </wps:wsp>
                            <wps:wsp>
                              <wps:cNvPr id="9" name="文本框 7"/>
                              <wps:cNvSpPr txBox="1"/>
                              <wps:spPr>
                                <a:xfrm>
                                  <a:off x="381000" y="100330"/>
                                  <a:ext cx="798830" cy="296545"/>
                                </a:xfrm>
                                <a:prstGeom prst="rect">
                                  <a:avLst/>
                                </a:prstGeom>
                                <a:noFill/>
                                <a:ln>
                                  <a:noFill/>
                                </a:ln>
                              </wps:spPr>
                              <wps:txbx>
                                <w:txbxContent>
                                  <w:p w14:paraId="6CF84022">
                                    <w:pPr>
                                      <w:jc w:val="center"/>
                                    </w:pPr>
                                    <w:r>
                                      <w:rPr>
                                        <w:rFonts w:hint="eastAsia"/>
                                      </w:rPr>
                                      <w:t>噪声</w:t>
                                    </w:r>
                                  </w:p>
                                </w:txbxContent>
                              </wps:txbx>
                              <wps:bodyPr upright="1"/>
                            </wps:wsp>
                            <wps:wsp>
                              <wps:cNvPr id="10" name="文本框 8"/>
                              <wps:cNvSpPr txBox="1"/>
                              <wps:spPr>
                                <a:xfrm>
                                  <a:off x="1125220" y="1327150"/>
                                  <a:ext cx="2400300" cy="340360"/>
                                </a:xfrm>
                                <a:prstGeom prst="rect">
                                  <a:avLst/>
                                </a:prstGeom>
                                <a:noFill/>
                                <a:ln>
                                  <a:noFill/>
                                </a:ln>
                              </wps:spPr>
                              <wps:txbx>
                                <w:txbxContent>
                                  <w:p w14:paraId="5EDB6548">
                                    <w:pPr>
                                      <w:jc w:val="both"/>
                                      <w:rPr>
                                        <w:b/>
                                        <w:sz w:val="24"/>
                                        <w:szCs w:val="24"/>
                                      </w:rPr>
                                    </w:pPr>
                                    <w:r>
                                      <w:rPr>
                                        <w:rFonts w:hint="eastAsia" w:hAnsi="宋体"/>
                                        <w:b/>
                                        <w:sz w:val="24"/>
                                        <w:szCs w:val="24"/>
                                      </w:rPr>
                                      <w:t>图</w:t>
                                    </w:r>
                                    <w:r>
                                      <w:rPr>
                                        <w:rFonts w:hint="eastAsia" w:hAnsi="宋体"/>
                                        <w:b/>
                                        <w:sz w:val="24"/>
                                        <w:szCs w:val="24"/>
                                        <w:lang w:val="en-US" w:eastAsia="zh-CN"/>
                                      </w:rPr>
                                      <w:t>2</w:t>
                                    </w:r>
                                    <w:r>
                                      <w:rPr>
                                        <w:b/>
                                        <w:sz w:val="24"/>
                                        <w:szCs w:val="24"/>
                                      </w:rPr>
                                      <w:t>-</w:t>
                                    </w:r>
                                    <w:r>
                                      <w:rPr>
                                        <w:rFonts w:hint="eastAsia"/>
                                        <w:b/>
                                        <w:sz w:val="24"/>
                                        <w:szCs w:val="24"/>
                                        <w:lang w:val="en-US" w:eastAsia="zh-CN"/>
                                      </w:rPr>
                                      <w:t>2</w:t>
                                    </w:r>
                                    <w:r>
                                      <w:rPr>
                                        <w:b/>
                                        <w:sz w:val="24"/>
                                        <w:szCs w:val="24"/>
                                      </w:rPr>
                                      <w:t xml:space="preserve">  </w:t>
                                    </w:r>
                                    <w:r>
                                      <w:rPr>
                                        <w:rFonts w:hint="eastAsia"/>
                                        <w:b/>
                                        <w:sz w:val="24"/>
                                        <w:szCs w:val="24"/>
                                        <w:lang w:val="en-US" w:eastAsia="zh-CN"/>
                                      </w:rPr>
                                      <w:t>项目</w:t>
                                    </w:r>
                                    <w:r>
                                      <w:rPr>
                                        <w:rFonts w:hint="eastAsia" w:hAnsi="宋体"/>
                                        <w:b/>
                                        <w:sz w:val="24"/>
                                        <w:szCs w:val="24"/>
                                      </w:rPr>
                                      <w:t>施工期工艺流程图</w:t>
                                    </w:r>
                                  </w:p>
                                </w:txbxContent>
                              </wps:txbx>
                              <wps:bodyPr upright="1"/>
                            </wps:wsp>
                            <wps:wsp>
                              <wps:cNvPr id="11" name="文本框 10"/>
                              <wps:cNvSpPr txBox="1"/>
                              <wps:spPr>
                                <a:xfrm>
                                  <a:off x="1638935" y="595630"/>
                                  <a:ext cx="799465"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A4F0C4">
                                    <w:pPr>
                                      <w:jc w:val="center"/>
                                    </w:pPr>
                                    <w:r>
                                      <w:rPr>
                                        <w:rFonts w:hint="eastAsia"/>
                                      </w:rPr>
                                      <w:t>竣工验收</w:t>
                                    </w:r>
                                  </w:p>
                                </w:txbxContent>
                              </wps:txbx>
                              <wps:bodyPr upright="1"/>
                            </wps:wsp>
                            <wps:wsp>
                              <wps:cNvPr id="12" name="直接连接符 11"/>
                              <wps:cNvCnPr/>
                              <wps:spPr>
                                <a:xfrm>
                                  <a:off x="2416810" y="795655"/>
                                  <a:ext cx="458470" cy="1270"/>
                                </a:xfrm>
                                <a:prstGeom prst="line">
                                  <a:avLst/>
                                </a:prstGeom>
                                <a:ln w="9525" cap="flat" cmpd="sng">
                                  <a:solidFill>
                                    <a:srgbClr val="000000"/>
                                  </a:solidFill>
                                  <a:prstDash val="solid"/>
                                  <a:headEnd type="none" w="med" len="med"/>
                                  <a:tailEnd type="triangle" w="med" len="med"/>
                                </a:ln>
                              </wps:spPr>
                              <wps:bodyPr upright="1"/>
                            </wps:wsp>
                            <wps:wsp>
                              <wps:cNvPr id="14" name="文本框 12"/>
                              <wps:cNvSpPr txBox="1"/>
                              <wps:spPr>
                                <a:xfrm>
                                  <a:off x="2875280" y="598170"/>
                                  <a:ext cx="799465"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C85AE6">
                                    <w:pPr>
                                      <w:jc w:val="center"/>
                                    </w:pPr>
                                    <w:r>
                                      <w:rPr>
                                        <w:rFonts w:hint="eastAsia"/>
                                      </w:rPr>
                                      <w:t>投入使用</w:t>
                                    </w:r>
                                  </w:p>
                                </w:txbxContent>
                              </wps:txbx>
                              <wps:bodyPr upright="1"/>
                            </wps:wsp>
                          </wpc:wpc>
                        </a:graphicData>
                      </a:graphic>
                    </wp:anchor>
                  </w:drawing>
                </mc:Choice>
                <mc:Fallback>
                  <w:pict>
                    <v:group id="_x0000_s1026" o:spid="_x0000_s1026" o:spt="203" style="position:absolute;left:0pt;margin-left:43.35pt;margin-top:0.35pt;height:135.6pt;width:336.9pt;mso-wrap-distance-bottom:0pt;mso-wrap-distance-top:0pt;z-index:251659264;mso-width-relative:page;mso-height-relative:page;" coordsize="4278630,1722120" editas="canvas" o:gfxdata="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">
                      <o:lock v:ext="edit" aspectratio="f"/>
                      <v:shape id="_x0000_s1026" o:spid="_x0000_s1026" style="position:absolute;left:0;top:0;height:1722120;width:4278630;" filled="f" stroked="f" coordsize="21600,21600" o:gfxdata="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">
                        <v:fill on="f" focussize="0,0"/>
                        <v:stroke on="f"/>
                        <v:imagedata o:title=""/>
                        <o:lock v:ext="edit" aspectratio="t"/>
                      </v:shape>
                      <v:shape id="文本框 1" o:spid="_x0000_s1026" o:spt="202" type="#_x0000_t202" style="position:absolute;left:381000;top:595630;height:295910;width:799465;" fillcolor="#FFFFFF" filled="t" stroked="t" coordsize="21600,21600" o:gfxdata="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juJi9cAAAAHAQAADwAA&#10;AAAAAAABACAAAAAiAAAAZHJzL2Rvd25yZXYueG1sUEsBAhQAFAAAAAgAh07iQEHoqz8XAgAAPwQA&#10;AA4AAAAAAAAAAQAgAAAAJgEAAGRycy9lMm9Eb2MueG1sUEsFBgAAAAAGAAYAWQEAAK8FAAAAAA==&#10;">
                        <v:fill on="t" focussize="0,0"/>
                        <v:stroke color="#000000" joinstyle="miter"/>
                        <v:imagedata o:title=""/>
                        <o:lock v:ext="edit" aspectratio="f"/>
                        <v:textbox>
                          <w:txbxContent>
                            <w:p w14:paraId="21864A8B">
                              <w:pPr>
                                <w:jc w:val="center"/>
                              </w:pPr>
                              <w:r>
                                <w:rPr>
                                  <w:rFonts w:hint="eastAsia"/>
                                </w:rPr>
                                <w:t>设备安装</w:t>
                              </w:r>
                            </w:p>
                          </w:txbxContent>
                        </v:textbox>
                      </v:shape>
                      <v:line id="直接连接符 5" o:spid="_x0000_s1026" o:spt="20" style="position:absolute;left:1180465;top:793115;height:1270;width:458470;" filled="f" stroked="t" coordsize="21600,21600" o:gfxdata="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CM+wdgAAAAHAQAADwAAAAAAAAABACAAAAAi&#10;AAAAZHJzL2Rvd25yZXYueG1sUEsBAhQAFAAAAAgAh07iQO8XhGQKAgAA9QMAAA4AAAAAAAAAAQAg&#10;AAAAJwEAAGRycy9lMm9Eb2MueG1sUEsFBgAAAAAGAAYAWQEAAKMFAAAAAA==&#10;">
                        <v:fill on="f" focussize="0,0"/>
                        <v:stroke color="#000000" joinstyle="round" endarrow="block"/>
                        <v:imagedata o:title=""/>
                        <o:lock v:ext="edit" aspectratio="f"/>
                      </v:line>
                      <v:shape id="任意多边形 6" o:spid="_x0000_s1026" o:spt="100" style="position:absolute;left:690880;top:310515;flip:x;height:284480;width:114300;" filled="f" stroked="t" coordsize="1,700" o:gfxdata="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Vp3R01gAAAAcBAAAPAAAAAAAA&#10;AAEAIAAAACIAAABkcnMvZG93bnJldi54bWxQSwECFAAUAAAACACHTuJA6DuFPU0CAAChBAAADgAA&#10;AAAAAAABACAAAAAlAQAAZHJzL2Uyb0RvYy54bWxQSwUGAAAAAAYABgBZAQAA5AUAAAAA&#10;" path="m0,700l0,0e">
                        <v:fill on="f" focussize="0,0"/>
                        <v:stroke color="#000000" joinstyle="round" dashstyle="dash" endarrow="block"/>
                        <v:imagedata o:title=""/>
                        <o:lock v:ext="edit" aspectratio="f"/>
                      </v:shape>
                      <v:shape id="文本框 7" o:spid="_x0000_s1026" o:spt="202" type="#_x0000_t202" style="position:absolute;left:381000;top:100330;height:296545;width:798830;" filled="f" stroked="f" coordsize="21600,21600" o:gfxdata="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Asa&#10;sfvVAAAABwEAAA8AAAAAAAAAAQAgAAAAIgAAAGRycy9kb3ducmV2LnhtbFBLAQIUABQAAAAIAIdO&#10;4kC/cNubtAEAAFcDAAAOAAAAAAAAAAEAIAAAACQBAABkcnMvZTJvRG9jLnhtbFBLBQYAAAAABgAG&#10;AFkBAABKBQAAAAA=&#10;">
                        <v:fill on="f" focussize="0,0"/>
                        <v:stroke on="f"/>
                        <v:imagedata o:title=""/>
                        <o:lock v:ext="edit" aspectratio="f"/>
                        <v:textbox>
                          <w:txbxContent>
                            <w:p w14:paraId="6CF84022">
                              <w:pPr>
                                <w:jc w:val="center"/>
                              </w:pPr>
                              <w:r>
                                <w:rPr>
                                  <w:rFonts w:hint="eastAsia"/>
                                </w:rPr>
                                <w:t>噪声</w:t>
                              </w:r>
                            </w:p>
                          </w:txbxContent>
                        </v:textbox>
                      </v:shape>
                      <v:shape id="文本框 8" o:spid="_x0000_s1026" o:spt="202" type="#_x0000_t202" style="position:absolute;left:1125220;top:1327150;height:340360;width:2400300;" filled="f" stroked="f" coordsize="21600,21600" o:gfxdata="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L&#10;GrH71QAAAAcBAAAPAAAAAAAAAAEAIAAAACIAAABkcnMvZG93bnJldi54bWxQSwECFAAUAAAACACH&#10;TuJAAjNkI7UBAABbAwAADgAAAAAAAAABACAAAAAkAQAAZHJzL2Uyb0RvYy54bWxQSwUGAAAAAAYA&#10;BgBZAQAASwUAAAAA&#10;">
                        <v:fill on="f" focussize="0,0"/>
                        <v:stroke on="f"/>
                        <v:imagedata o:title=""/>
                        <o:lock v:ext="edit" aspectratio="f"/>
                        <v:textbox>
                          <w:txbxContent>
                            <w:p w14:paraId="5EDB6548">
                              <w:pPr>
                                <w:jc w:val="both"/>
                                <w:rPr>
                                  <w:b/>
                                  <w:sz w:val="24"/>
                                  <w:szCs w:val="24"/>
                                </w:rPr>
                              </w:pPr>
                              <w:r>
                                <w:rPr>
                                  <w:rFonts w:hint="eastAsia" w:hAnsi="宋体"/>
                                  <w:b/>
                                  <w:sz w:val="24"/>
                                  <w:szCs w:val="24"/>
                                </w:rPr>
                                <w:t>图</w:t>
                              </w:r>
                              <w:r>
                                <w:rPr>
                                  <w:rFonts w:hint="eastAsia" w:hAnsi="宋体"/>
                                  <w:b/>
                                  <w:sz w:val="24"/>
                                  <w:szCs w:val="24"/>
                                  <w:lang w:val="en-US" w:eastAsia="zh-CN"/>
                                </w:rPr>
                                <w:t>2</w:t>
                              </w:r>
                              <w:r>
                                <w:rPr>
                                  <w:b/>
                                  <w:sz w:val="24"/>
                                  <w:szCs w:val="24"/>
                                </w:rPr>
                                <w:t>-</w:t>
                              </w:r>
                              <w:r>
                                <w:rPr>
                                  <w:rFonts w:hint="eastAsia"/>
                                  <w:b/>
                                  <w:sz w:val="24"/>
                                  <w:szCs w:val="24"/>
                                  <w:lang w:val="en-US" w:eastAsia="zh-CN"/>
                                </w:rPr>
                                <w:t>2</w:t>
                              </w:r>
                              <w:r>
                                <w:rPr>
                                  <w:b/>
                                  <w:sz w:val="24"/>
                                  <w:szCs w:val="24"/>
                                </w:rPr>
                                <w:t xml:space="preserve">  </w:t>
                              </w:r>
                              <w:r>
                                <w:rPr>
                                  <w:rFonts w:hint="eastAsia"/>
                                  <w:b/>
                                  <w:sz w:val="24"/>
                                  <w:szCs w:val="24"/>
                                  <w:lang w:val="en-US" w:eastAsia="zh-CN"/>
                                </w:rPr>
                                <w:t>项目</w:t>
                              </w:r>
                              <w:r>
                                <w:rPr>
                                  <w:rFonts w:hint="eastAsia" w:hAnsi="宋体"/>
                                  <w:b/>
                                  <w:sz w:val="24"/>
                                  <w:szCs w:val="24"/>
                                </w:rPr>
                                <w:t>施工期工艺流程图</w:t>
                              </w:r>
                            </w:p>
                          </w:txbxContent>
                        </v:textbox>
                      </v:shape>
                      <v:shape id="文本框 10" o:spid="_x0000_s1026" o:spt="202" type="#_x0000_t202" style="position:absolute;left:1638935;top:595630;height:295910;width:799465;" fillcolor="#FFFFFF" filled="t" stroked="t" coordsize="21600,21600" o:gfxdata="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o7iYvXAAAABwEAAA8AAAAA&#10;AAAAAQAgAAAAIgAAAGRycy9kb3ducmV2LnhtbFBLAQIUABQAAAAIAIdO4kApottXFQIAAEIEAAAO&#10;AAAAAAAAAAEAIAAAACYBAABkcnMvZTJvRG9jLnhtbFBLBQYAAAAABgAGAFkBAACtBQAAAAA=&#10;">
                        <v:fill on="t" focussize="0,0"/>
                        <v:stroke color="#000000" joinstyle="miter"/>
                        <v:imagedata o:title=""/>
                        <o:lock v:ext="edit" aspectratio="f"/>
                        <v:textbox>
                          <w:txbxContent>
                            <w:p w14:paraId="19A4F0C4">
                              <w:pPr>
                                <w:jc w:val="center"/>
                              </w:pPr>
                              <w:r>
                                <w:rPr>
                                  <w:rFonts w:hint="eastAsia"/>
                                </w:rPr>
                                <w:t>竣工验收</w:t>
                              </w:r>
                            </w:p>
                          </w:txbxContent>
                        </v:textbox>
                      </v:shape>
                      <v:line id="直接连接符 11" o:spid="_x0000_s1026" o:spt="20" style="position:absolute;left:2416810;top:795655;height:1270;width:458470;" filled="f" stroked="t" coordsize="21600,21600" o:gfxdata="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AjPsHYAAAABwEAAA8AAAAAAAAAAQAgAAAA&#10;IgAAAGRycy9kb3ducmV2LnhtbFBLAQIUABQAAAAIAIdO4kBNIIixCwIAAPcDAAAOAAAAAAAAAAEA&#10;IAAAACcBAABkcnMvZTJvRG9jLnhtbFBLBQYAAAAABgAGAFkBAACkBQAAAAA=&#10;">
                        <v:fill on="f" focussize="0,0"/>
                        <v:stroke color="#000000" joinstyle="round" endarrow="block"/>
                        <v:imagedata o:title=""/>
                        <o:lock v:ext="edit" aspectratio="f"/>
                      </v:line>
                      <v:shape id="文本框 12" o:spid="_x0000_s1026" o:spt="202" type="#_x0000_t202" style="position:absolute;left:2875280;top:598170;height:295910;width:799465;" fillcolor="#FFFFFF" filled="t" stroked="t" coordsize="21600,21600" o:gfxdata="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OjuJi9cAAAAHAQAADwAA&#10;AAAAAAABACAAAAAiAAAAZHJzL2Rvd25yZXYueG1sUEsBAhQAFAAAAAgAh07iQHnG1q4XAgAAQgQA&#10;AA4AAAAAAAAAAQAgAAAAJgEAAGRycy9lMm9Eb2MueG1sUEsFBgAAAAAGAAYAWQEAAK8FAAAAAA==&#10;">
                        <v:fill on="t" focussize="0,0"/>
                        <v:stroke color="#000000" joinstyle="miter"/>
                        <v:imagedata o:title=""/>
                        <o:lock v:ext="edit" aspectratio="f"/>
                        <v:textbox>
                          <w:txbxContent>
                            <w:p w14:paraId="46C85AE6">
                              <w:pPr>
                                <w:jc w:val="center"/>
                              </w:pPr>
                              <w:r>
                                <w:rPr>
                                  <w:rFonts w:hint="eastAsia"/>
                                </w:rPr>
                                <w:t>投入使用</w:t>
                              </w:r>
                            </w:p>
                          </w:txbxContent>
                        </v:textbox>
                      </v:shape>
                      <w10:wrap type="topAndBottom"/>
                    </v:group>
                  </w:pict>
                </mc:Fallback>
              </mc:AlternateContent>
            </w:r>
          </w:p>
          <w:p w14:paraId="4A3B6B01">
            <w:pPr>
              <w:adjustRightInd w:val="0"/>
              <w:snapToGrid w:val="0"/>
              <w:spacing w:line="360" w:lineRule="auto"/>
              <w:ind w:firstLine="482" w:firstLineChars="200"/>
              <w:rPr>
                <w:color w:val="auto"/>
                <w:highlight w:val="none"/>
                <w:u w:val="none"/>
              </w:rPr>
            </w:pPr>
            <w:r>
              <w:rPr>
                <w:rFonts w:hint="eastAsia"/>
                <w:b/>
                <w:bCs/>
                <w:color w:val="auto"/>
                <w:sz w:val="24"/>
                <w:highlight w:val="none"/>
                <w:u w:val="none"/>
              </w:rPr>
              <w:t>二、营运期工艺流程简述:</w:t>
            </w:r>
          </w:p>
          <w:p w14:paraId="3FC56ED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b/>
                <w:bCs/>
                <w:color w:val="000000" w:themeColor="text1"/>
                <w:sz w:val="24"/>
                <w:szCs w:val="24"/>
                <w:highlight w:val="none"/>
                <w:lang w:val="en-US" w:eastAsia="zh-CN"/>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 xml:space="preserve">   </w:t>
            </w:r>
            <w:r>
              <w:rPr>
                <w:rFonts w:hint="eastAsia" w:ascii="Times New Roman" w:hAnsi="宋体" w:eastAsia="宋体" w:cs="Times New Roman"/>
                <w:sz w:val="24"/>
                <w:highlight w:val="none"/>
                <w:lang w:val="en-US" w:eastAsia="zh-CN"/>
              </w:rPr>
              <w:t>本次</w:t>
            </w:r>
            <w:r>
              <w:rPr>
                <w:rFonts w:hint="eastAsia" w:hAnsi="宋体" w:cs="Times New Roman"/>
                <w:sz w:val="24"/>
                <w:highlight w:val="none"/>
                <w:lang w:val="en-US" w:eastAsia="zh-CN"/>
              </w:rPr>
              <w:t>变更</w:t>
            </w:r>
            <w:r>
              <w:rPr>
                <w:rFonts w:hint="eastAsia" w:ascii="Times New Roman" w:hAnsi="宋体" w:eastAsia="宋体" w:cs="Times New Roman"/>
                <w:sz w:val="24"/>
                <w:highlight w:val="none"/>
                <w:lang w:val="en-US" w:eastAsia="zh-CN"/>
              </w:rPr>
              <w:t>较原有项目仅增加适配器元件生产工艺，胶壳、电子接插件、光模块生产工艺不变。</w:t>
            </w:r>
          </w:p>
          <w:p w14:paraId="3F31CDF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（1）胶壳生产工艺（原环评工艺）</w:t>
            </w:r>
          </w:p>
          <w:p w14:paraId="64604E44">
            <w:pPr>
              <w:pStyle w:val="60"/>
              <w:jc w:val="cente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drawing>
                <wp:inline distT="0" distB="0" distL="114300" distR="114300">
                  <wp:extent cx="4837430" cy="3234690"/>
                  <wp:effectExtent l="0" t="0" r="1270" b="3810"/>
                  <wp:docPr id="15" name="图片 15" descr="胶壳工艺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胶壳工艺流程"/>
                          <pic:cNvPicPr>
                            <a:picLocks noChangeAspect="1"/>
                          </pic:cNvPicPr>
                        </pic:nvPicPr>
                        <pic:blipFill>
                          <a:blip r:embed="rId11"/>
                          <a:stretch>
                            <a:fillRect/>
                          </a:stretch>
                        </pic:blipFill>
                        <pic:spPr>
                          <a:xfrm>
                            <a:off x="0" y="0"/>
                            <a:ext cx="4837430" cy="3234690"/>
                          </a:xfrm>
                          <a:prstGeom prst="rect">
                            <a:avLst/>
                          </a:prstGeom>
                        </pic:spPr>
                      </pic:pic>
                    </a:graphicData>
                  </a:graphic>
                </wp:inline>
              </w:drawing>
            </w:r>
          </w:p>
          <w:p w14:paraId="6FEE6A48">
            <w:pPr>
              <w:spacing w:line="360" w:lineRule="auto"/>
              <w:jc w:val="left"/>
              <w:rPr>
                <w:rFonts w:hint="eastAsia" w:ascii="Times New Roman" w:hAnsi="Times New Roman" w:eastAsia="宋体"/>
                <w:b/>
                <w:sz w:val="24"/>
                <w:highlight w:val="none"/>
                <w:lang w:val="en-US" w:eastAsia="zh-CN"/>
              </w:rPr>
            </w:pPr>
            <w:r>
              <w:rPr>
                <w:rFonts w:ascii="Times New Roman" w:hAnsi="Times New Roman"/>
                <w:b/>
                <w:sz w:val="24"/>
                <w:highlight w:val="none"/>
              </w:rPr>
              <w:t xml:space="preserve"> </w:t>
            </w:r>
            <w:r>
              <w:rPr>
                <w:rFonts w:hint="eastAsia"/>
                <w:b/>
                <w:bCs w:val="0"/>
                <w:sz w:val="24"/>
                <w:szCs w:val="24"/>
                <w:highlight w:val="none"/>
                <w:lang w:val="en-US" w:eastAsia="zh-CN" w:bidi="ar"/>
              </w:rPr>
              <w:t>胶壳工艺说明：</w:t>
            </w:r>
          </w:p>
          <w:p w14:paraId="308F43D7">
            <w:pPr>
              <w:spacing w:line="360" w:lineRule="auto"/>
              <w:ind w:firstLine="482" w:firstLineChars="200"/>
              <w:jc w:val="both"/>
              <w:rPr>
                <w:rFonts w:ascii="Times New Roman" w:hAnsi="Times New Roman"/>
                <w:color w:val="auto"/>
                <w:sz w:val="24"/>
                <w:highlight w:val="none"/>
              </w:rPr>
            </w:pPr>
            <w:r>
              <w:rPr>
                <w:rFonts w:ascii="Times New Roman" w:hAnsi="Times New Roman"/>
                <w:b/>
                <w:sz w:val="24"/>
                <w:highlight w:val="none"/>
              </w:rPr>
              <w:t>上料：</w:t>
            </w:r>
            <w:r>
              <w:rPr>
                <w:rFonts w:hint="eastAsia" w:ascii="Times New Roman" w:hAnsi="Times New Roman"/>
                <w:b w:val="0"/>
                <w:bCs/>
                <w:sz w:val="24"/>
                <w:highlight w:val="none"/>
                <w:lang w:val="en-US" w:eastAsia="zh-CN"/>
              </w:rPr>
              <w:t>拟建</w:t>
            </w:r>
            <w:r>
              <w:rPr>
                <w:rFonts w:ascii="Times New Roman" w:hAnsi="Times New Roman"/>
                <w:sz w:val="24"/>
                <w:highlight w:val="none"/>
              </w:rPr>
              <w:t>项目原料为外购的</w:t>
            </w:r>
            <w:r>
              <w:rPr>
                <w:rFonts w:hint="eastAsia" w:ascii="Times New Roman" w:hAnsi="Times New Roman"/>
                <w:sz w:val="24"/>
                <w:highlight w:val="none"/>
                <w:lang w:val="en-US" w:eastAsia="zh-CN"/>
              </w:rPr>
              <w:t>酚醛树脂颗粒</w:t>
            </w:r>
            <w:r>
              <w:rPr>
                <w:rFonts w:ascii="Times New Roman" w:hAnsi="Times New Roman"/>
                <w:sz w:val="24"/>
                <w:highlight w:val="none"/>
              </w:rPr>
              <w:t>，为</w:t>
            </w:r>
            <w:r>
              <w:rPr>
                <w:rFonts w:hint="eastAsia"/>
                <w:sz w:val="24"/>
                <w:highlight w:val="none"/>
                <w:lang w:val="en-US" w:eastAsia="zh-CN"/>
              </w:rPr>
              <w:t>固体状</w:t>
            </w:r>
            <w:r>
              <w:rPr>
                <w:rFonts w:ascii="Times New Roman" w:hAnsi="Times New Roman"/>
                <w:sz w:val="24"/>
                <w:highlight w:val="none"/>
              </w:rPr>
              <w:t>，人工将原料</w:t>
            </w:r>
            <w:r>
              <w:rPr>
                <w:rFonts w:hint="eastAsia"/>
                <w:sz w:val="24"/>
                <w:highlight w:val="none"/>
                <w:lang w:val="en-US" w:eastAsia="zh-CN"/>
              </w:rPr>
              <w:t>破袋投料</w:t>
            </w:r>
            <w:r>
              <w:rPr>
                <w:rFonts w:ascii="Times New Roman" w:hAnsi="Times New Roman"/>
                <w:sz w:val="24"/>
                <w:highlight w:val="none"/>
              </w:rPr>
              <w:t>加入到注塑机中。</w:t>
            </w:r>
          </w:p>
          <w:p w14:paraId="11CCC9FD">
            <w:pPr>
              <w:spacing w:line="360" w:lineRule="auto"/>
              <w:jc w:val="both"/>
              <w:rPr>
                <w:rFonts w:ascii="Times New Roman" w:hAnsi="Times New Roman"/>
                <w:color w:val="auto"/>
                <w:sz w:val="24"/>
                <w:highlight w:val="none"/>
              </w:rPr>
            </w:pPr>
            <w:r>
              <w:rPr>
                <w:rFonts w:ascii="Times New Roman" w:hAnsi="Times New Roman"/>
                <w:b/>
                <w:color w:val="auto"/>
                <w:sz w:val="24"/>
                <w:highlight w:val="none"/>
              </w:rPr>
              <w:t xml:space="preserve">    烘料：</w:t>
            </w:r>
            <w:r>
              <w:rPr>
                <w:rFonts w:ascii="Times New Roman" w:hAnsi="Times New Roman"/>
                <w:color w:val="auto"/>
                <w:sz w:val="24"/>
                <w:szCs w:val="24"/>
                <w:highlight w:val="none"/>
              </w:rPr>
              <w:t>注塑机自带干燥桶，原料进入注塑机后首先在干燥筒中进行干燥处理（使用电能，温度约80</w:t>
            </w:r>
            <w:r>
              <w:rPr>
                <w:rFonts w:ascii="Times New Roman" w:hAnsi="Times New Roman"/>
                <w:bCs/>
                <w:color w:val="auto"/>
                <w:sz w:val="24"/>
                <w:highlight w:val="none"/>
              </w:rPr>
              <w:t>℃</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rPr>
              <w:t>由于温度较低，不会使</w:t>
            </w:r>
            <w:r>
              <w:rPr>
                <w:rFonts w:hint="eastAsia" w:ascii="Times New Roman" w:hAnsi="Times New Roman"/>
                <w:sz w:val="24"/>
                <w:highlight w:val="none"/>
                <w:lang w:val="en-US" w:eastAsia="zh-CN"/>
              </w:rPr>
              <w:t>酚醛树脂颗粒</w:t>
            </w:r>
            <w:r>
              <w:rPr>
                <w:rFonts w:ascii="Times New Roman" w:hAnsi="Times New Roman"/>
                <w:color w:val="auto"/>
                <w:sz w:val="24"/>
                <w:szCs w:val="24"/>
                <w:highlight w:val="none"/>
              </w:rPr>
              <w:t>熔融，故无废气产生，但会产生微量水蒸气，在厂区直接排放。</w:t>
            </w:r>
          </w:p>
          <w:p w14:paraId="20203CFC">
            <w:pPr>
              <w:spacing w:line="360" w:lineRule="auto"/>
              <w:ind w:firstLine="480"/>
              <w:jc w:val="both"/>
              <w:rPr>
                <w:rFonts w:ascii="Times New Roman" w:hAnsi="Times New Roman"/>
                <w:bCs/>
                <w:color w:val="auto"/>
                <w:sz w:val="24"/>
                <w:highlight w:val="none"/>
              </w:rPr>
            </w:pPr>
            <w:r>
              <w:rPr>
                <w:rFonts w:ascii="Times New Roman" w:hAnsi="Times New Roman"/>
                <w:b/>
                <w:bCs/>
                <w:color w:val="auto"/>
                <w:sz w:val="24"/>
                <w:highlight w:val="none"/>
              </w:rPr>
              <w:t>注塑成型：</w:t>
            </w:r>
            <w:r>
              <w:rPr>
                <w:rFonts w:ascii="Times New Roman" w:hAnsi="Times New Roman"/>
                <w:bCs/>
                <w:color w:val="auto"/>
                <w:sz w:val="24"/>
                <w:highlight w:val="none"/>
              </w:rPr>
              <w:t>干燥后的</w:t>
            </w:r>
            <w:r>
              <w:rPr>
                <w:rFonts w:hint="eastAsia" w:ascii="Times New Roman" w:hAnsi="Times New Roman"/>
                <w:sz w:val="24"/>
                <w:highlight w:val="none"/>
                <w:lang w:val="en-US" w:eastAsia="zh-CN"/>
              </w:rPr>
              <w:t>酚醛树脂颗粒</w:t>
            </w:r>
            <w:r>
              <w:rPr>
                <w:rFonts w:ascii="Times New Roman" w:hAnsi="Times New Roman"/>
                <w:bCs/>
                <w:color w:val="auto"/>
                <w:sz w:val="24"/>
                <w:highlight w:val="none"/>
              </w:rPr>
              <w:t>进入注塑机中的熔融管内熔化，注塑</w:t>
            </w:r>
            <w:r>
              <w:rPr>
                <w:rFonts w:ascii="Times New Roman" w:hAnsi="Times New Roman"/>
                <w:bCs/>
                <w:color w:val="auto"/>
                <w:sz w:val="24"/>
                <w:szCs w:val="24"/>
                <w:highlight w:val="none"/>
              </w:rPr>
              <w:t>机使用电加热升温，温控装置控制加热温度</w:t>
            </w:r>
            <w:r>
              <w:rPr>
                <w:rFonts w:ascii="Times New Roman" w:hAnsi="Times New Roman"/>
                <w:bCs/>
                <w:color w:val="auto"/>
                <w:sz w:val="24"/>
                <w:highlight w:val="none"/>
              </w:rPr>
              <w:t>约170~220℃左右，熔融状态下的</w:t>
            </w:r>
            <w:r>
              <w:rPr>
                <w:rFonts w:hint="eastAsia" w:ascii="Times New Roman" w:hAnsi="Times New Roman"/>
                <w:sz w:val="24"/>
                <w:highlight w:val="none"/>
                <w:lang w:val="en-US" w:eastAsia="zh-CN"/>
              </w:rPr>
              <w:t>酚醛树脂颗粒</w:t>
            </w:r>
            <w:r>
              <w:rPr>
                <w:rFonts w:ascii="Times New Roman" w:hAnsi="Times New Roman"/>
                <w:bCs/>
                <w:color w:val="auto"/>
                <w:sz w:val="24"/>
                <w:highlight w:val="none"/>
              </w:rPr>
              <w:t>被注入到相应的</w:t>
            </w:r>
            <w:r>
              <w:rPr>
                <w:rFonts w:hint="eastAsia"/>
                <w:bCs/>
                <w:color w:val="auto"/>
                <w:sz w:val="24"/>
                <w:highlight w:val="none"/>
                <w:lang w:val="en-US" w:eastAsia="zh-CN"/>
              </w:rPr>
              <w:t>已经过人工涂抹脱模剂的</w:t>
            </w:r>
            <w:r>
              <w:rPr>
                <w:rFonts w:ascii="Times New Roman" w:hAnsi="Times New Roman"/>
                <w:bCs/>
                <w:color w:val="auto"/>
                <w:sz w:val="24"/>
                <w:highlight w:val="none"/>
              </w:rPr>
              <w:t>模具中</w:t>
            </w:r>
            <w:r>
              <w:rPr>
                <w:rFonts w:hint="eastAsia"/>
                <w:bCs/>
                <w:color w:val="auto"/>
                <w:sz w:val="24"/>
                <w:highlight w:val="none"/>
                <w:lang w:eastAsia="zh-CN"/>
              </w:rPr>
              <w:t>，</w:t>
            </w:r>
            <w:r>
              <w:rPr>
                <w:rFonts w:hint="eastAsia"/>
                <w:bCs/>
                <w:color w:val="auto"/>
                <w:sz w:val="24"/>
                <w:highlight w:val="none"/>
                <w:lang w:val="en-US" w:eastAsia="zh-CN"/>
              </w:rPr>
              <w:t>在</w:t>
            </w:r>
            <w:r>
              <w:rPr>
                <w:rFonts w:ascii="Times New Roman" w:hAnsi="Times New Roman"/>
                <w:bCs/>
                <w:color w:val="auto"/>
                <w:sz w:val="24"/>
                <w:highlight w:val="none"/>
              </w:rPr>
              <w:t>注塑机</w:t>
            </w:r>
            <w:r>
              <w:rPr>
                <w:rFonts w:hint="eastAsia"/>
                <w:bCs/>
                <w:color w:val="auto"/>
                <w:sz w:val="24"/>
                <w:highlight w:val="none"/>
                <w:lang w:val="en-US" w:eastAsia="zh-CN"/>
              </w:rPr>
              <w:t>内部对模具</w:t>
            </w:r>
            <w:r>
              <w:rPr>
                <w:rFonts w:ascii="Times New Roman" w:hAnsi="Times New Roman"/>
                <w:bCs/>
                <w:color w:val="auto"/>
                <w:sz w:val="24"/>
                <w:highlight w:val="none"/>
              </w:rPr>
              <w:t>进行冷却</w:t>
            </w:r>
            <w:r>
              <w:rPr>
                <w:rFonts w:hint="eastAsia"/>
                <w:bCs/>
                <w:color w:val="auto"/>
                <w:sz w:val="24"/>
                <w:highlight w:val="none"/>
                <w:lang w:eastAsia="zh-CN"/>
              </w:rPr>
              <w:t>。</w:t>
            </w:r>
            <w:r>
              <w:rPr>
                <w:rFonts w:hint="eastAsia"/>
                <w:bCs/>
                <w:color w:val="auto"/>
                <w:sz w:val="24"/>
                <w:highlight w:val="none"/>
                <w:lang w:val="en-US" w:eastAsia="zh-CN"/>
              </w:rPr>
              <w:t>项目设冷却塔，</w:t>
            </w:r>
            <w:r>
              <w:rPr>
                <w:rFonts w:ascii="Times New Roman" w:hAnsi="Times New Roman"/>
                <w:bCs/>
                <w:color w:val="auto"/>
                <w:sz w:val="24"/>
                <w:highlight w:val="none"/>
              </w:rPr>
              <w:t>冷却水不接触产品</w:t>
            </w:r>
            <w:r>
              <w:rPr>
                <w:rFonts w:ascii="Times New Roman" w:hAnsi="Times New Roman"/>
                <w:bCs/>
                <w:color w:val="auto"/>
                <w:sz w:val="24"/>
                <w:szCs w:val="24"/>
                <w:highlight w:val="none"/>
              </w:rPr>
              <w:t>，冷却水循环使用，不外排，定期补充新鲜水。</w:t>
            </w:r>
            <w:r>
              <w:rPr>
                <w:rFonts w:hint="eastAsia"/>
                <w:bCs/>
                <w:color w:val="auto"/>
                <w:sz w:val="24"/>
                <w:szCs w:val="24"/>
                <w:highlight w:val="none"/>
                <w:lang w:val="en-US" w:eastAsia="zh-CN"/>
              </w:rPr>
              <w:t>冷却成型后的塑胶件从模具中取出待用。</w:t>
            </w:r>
            <w:r>
              <w:rPr>
                <w:rFonts w:ascii="Times New Roman" w:hAnsi="Times New Roman"/>
                <w:bCs/>
                <w:color w:val="auto"/>
                <w:sz w:val="24"/>
                <w:highlight w:val="none"/>
              </w:rPr>
              <w:t xml:space="preserve">    </w:t>
            </w:r>
          </w:p>
          <w:p w14:paraId="4F3A498D">
            <w:pPr>
              <w:spacing w:line="360" w:lineRule="auto"/>
              <w:jc w:val="both"/>
              <w:rPr>
                <w:rFonts w:ascii="Times New Roman" w:hAnsi="Times New Roman"/>
                <w:b/>
                <w:bCs/>
                <w:sz w:val="24"/>
                <w:highlight w:val="none"/>
              </w:rPr>
            </w:pPr>
            <w:r>
              <w:rPr>
                <w:rFonts w:ascii="Times New Roman" w:hAnsi="Times New Roman"/>
                <w:b/>
                <w:bCs/>
                <w:sz w:val="24"/>
                <w:highlight w:val="none"/>
              </w:rPr>
              <w:t xml:space="preserve">    首件检验：</w:t>
            </w:r>
            <w:r>
              <w:rPr>
                <w:rFonts w:ascii="Times New Roman" w:hAnsi="Times New Roman"/>
                <w:bCs/>
                <w:sz w:val="24"/>
                <w:highlight w:val="none"/>
              </w:rPr>
              <w:t>在常规操作下，对</w:t>
            </w:r>
            <w:r>
              <w:rPr>
                <w:rFonts w:hint="eastAsia"/>
                <w:bCs/>
                <w:sz w:val="24"/>
                <w:highlight w:val="none"/>
                <w:lang w:val="en-US" w:eastAsia="zh-CN"/>
              </w:rPr>
              <w:t>每班次第一次</w:t>
            </w:r>
            <w:r>
              <w:rPr>
                <w:rFonts w:ascii="Times New Roman" w:hAnsi="Times New Roman"/>
                <w:bCs/>
                <w:sz w:val="24"/>
                <w:highlight w:val="none"/>
              </w:rPr>
              <w:t>成型完成的塑胶件</w:t>
            </w:r>
            <w:r>
              <w:rPr>
                <w:rFonts w:hint="eastAsia"/>
                <w:bCs/>
                <w:sz w:val="24"/>
                <w:highlight w:val="none"/>
                <w:lang w:val="en-US" w:eastAsia="zh-CN"/>
              </w:rPr>
              <w:t>样品</w:t>
            </w:r>
            <w:r>
              <w:rPr>
                <w:rFonts w:ascii="Times New Roman" w:hAnsi="Times New Roman"/>
                <w:bCs/>
                <w:sz w:val="24"/>
                <w:highlight w:val="none"/>
              </w:rPr>
              <w:t>进行外观检查，并对塑胶零件</w:t>
            </w:r>
            <w:r>
              <w:rPr>
                <w:rFonts w:hint="eastAsia"/>
                <w:bCs/>
                <w:sz w:val="24"/>
                <w:highlight w:val="none"/>
                <w:lang w:val="en-US" w:eastAsia="zh-CN"/>
              </w:rPr>
              <w:t>用游标卡尺</w:t>
            </w:r>
            <w:r>
              <w:rPr>
                <w:rFonts w:ascii="Times New Roman" w:hAnsi="Times New Roman"/>
                <w:bCs/>
                <w:sz w:val="24"/>
                <w:highlight w:val="none"/>
              </w:rPr>
              <w:t>进行测量，检核质量是否合格。</w:t>
            </w:r>
            <w:r>
              <w:rPr>
                <w:rFonts w:hint="eastAsia"/>
                <w:bCs/>
                <w:sz w:val="24"/>
                <w:highlight w:val="none"/>
                <w:lang w:val="en-US" w:eastAsia="zh-CN"/>
              </w:rPr>
              <w:t>每班次</w:t>
            </w:r>
            <w:r>
              <w:rPr>
                <w:rFonts w:ascii="Times New Roman" w:hAnsi="Times New Roman"/>
                <w:bCs/>
                <w:sz w:val="24"/>
                <w:highlight w:val="none"/>
              </w:rPr>
              <w:t>第一次成型完成的塑胶零件检查不合格，需</w:t>
            </w:r>
            <w:r>
              <w:rPr>
                <w:rFonts w:hint="eastAsia"/>
                <w:bCs/>
                <w:sz w:val="24"/>
                <w:highlight w:val="none"/>
                <w:lang w:eastAsia="zh-CN"/>
              </w:rPr>
              <w:t>调整</w:t>
            </w:r>
            <w:r>
              <w:rPr>
                <w:rFonts w:ascii="Times New Roman" w:hAnsi="Times New Roman"/>
                <w:bCs/>
                <w:sz w:val="24"/>
                <w:highlight w:val="none"/>
              </w:rPr>
              <w:t>设备重新生产，再次检验，直到产品合格可进入下</w:t>
            </w:r>
            <w:r>
              <w:rPr>
                <w:rFonts w:hint="eastAsia"/>
                <w:bCs/>
                <w:sz w:val="24"/>
                <w:highlight w:val="none"/>
                <w:lang w:eastAsia="zh-CN"/>
              </w:rPr>
              <w:t>一道</w:t>
            </w:r>
            <w:r>
              <w:rPr>
                <w:rFonts w:ascii="Times New Roman" w:hAnsi="Times New Roman"/>
                <w:bCs/>
                <w:sz w:val="24"/>
                <w:highlight w:val="none"/>
              </w:rPr>
              <w:t>工序。不合格品</w:t>
            </w:r>
            <w:r>
              <w:rPr>
                <w:rFonts w:hint="eastAsia"/>
                <w:bCs/>
                <w:sz w:val="24"/>
                <w:highlight w:val="none"/>
                <w:lang w:val="en-US" w:eastAsia="zh-CN"/>
              </w:rPr>
              <w:t>及边角料收集后粉碎成颗粒，然后回用于生产</w:t>
            </w:r>
            <w:r>
              <w:rPr>
                <w:rFonts w:ascii="Times New Roman" w:hAnsi="Times New Roman"/>
                <w:bCs/>
                <w:sz w:val="24"/>
                <w:highlight w:val="none"/>
              </w:rPr>
              <w:t>。</w:t>
            </w:r>
          </w:p>
          <w:p w14:paraId="7A9B3DB0">
            <w:pPr>
              <w:spacing w:line="360" w:lineRule="auto"/>
              <w:jc w:val="left"/>
              <w:rPr>
                <w:rFonts w:ascii="Times New Roman" w:hAnsi="Times New Roman"/>
                <w:b/>
                <w:bCs/>
                <w:sz w:val="24"/>
                <w:highlight w:val="none"/>
              </w:rPr>
            </w:pPr>
            <w:r>
              <w:rPr>
                <w:rFonts w:ascii="Times New Roman" w:hAnsi="Times New Roman"/>
                <w:b/>
                <w:bCs/>
                <w:sz w:val="24"/>
                <w:highlight w:val="none"/>
              </w:rPr>
              <w:t xml:space="preserve">    喷砂修边：</w:t>
            </w:r>
            <w:r>
              <w:rPr>
                <w:rFonts w:ascii="Times New Roman" w:hAnsi="Times New Roman"/>
                <w:bCs/>
                <w:sz w:val="24"/>
                <w:highlight w:val="none"/>
              </w:rPr>
              <w:t>项目使用喷砂机对塑胶件进行喷砂修边，</w:t>
            </w:r>
            <w:r>
              <w:rPr>
                <w:rFonts w:hint="eastAsia"/>
                <w:bCs/>
                <w:sz w:val="24"/>
                <w:highlight w:val="none"/>
                <w:lang w:val="en-US" w:eastAsia="zh-CN"/>
              </w:rPr>
              <w:t>产生</w:t>
            </w:r>
            <w:r>
              <w:rPr>
                <w:rFonts w:ascii="Times New Roman" w:hAnsi="Times New Roman"/>
                <w:bCs/>
                <w:sz w:val="24"/>
                <w:highlight w:val="none"/>
              </w:rPr>
              <w:t>边角料。喷砂机为封闭设施，自带旋风除尘系统，喷砂粉尘经除尘器收集至集尘箱内，集尘箱定期清扫，未收集部分无组织排放。喷砂机使用后经自带筛子将边角料和砂子分筛出来，喷砂循环使用，塑胶边角料</w:t>
            </w:r>
            <w:r>
              <w:rPr>
                <w:rFonts w:hint="eastAsia"/>
                <w:bCs/>
                <w:sz w:val="24"/>
                <w:highlight w:val="none"/>
                <w:lang w:val="en-US" w:eastAsia="zh-CN"/>
              </w:rPr>
              <w:t>回用于生产</w:t>
            </w:r>
            <w:r>
              <w:rPr>
                <w:rFonts w:ascii="Times New Roman" w:hAnsi="Times New Roman"/>
                <w:bCs/>
                <w:sz w:val="24"/>
                <w:highlight w:val="none"/>
              </w:rPr>
              <w:t>。</w:t>
            </w:r>
          </w:p>
          <w:p w14:paraId="0BC785D0">
            <w:pPr>
              <w:spacing w:line="360" w:lineRule="auto"/>
              <w:ind w:firstLine="465"/>
              <w:jc w:val="left"/>
              <w:rPr>
                <w:rFonts w:ascii="Times New Roman" w:hAnsi="Times New Roman"/>
                <w:sz w:val="24"/>
                <w:szCs w:val="24"/>
                <w:highlight w:val="none"/>
              </w:rPr>
            </w:pPr>
            <w:r>
              <w:rPr>
                <w:rFonts w:ascii="Times New Roman" w:hAnsi="Times New Roman"/>
                <w:b/>
                <w:bCs/>
                <w:sz w:val="24"/>
                <w:highlight w:val="none"/>
              </w:rPr>
              <w:t>插</w:t>
            </w:r>
            <w:r>
              <w:rPr>
                <w:rFonts w:ascii="Times New Roman" w:hAnsi="Times New Roman"/>
                <w:b/>
                <w:sz w:val="24"/>
                <w:highlight w:val="none"/>
              </w:rPr>
              <w:t>针：</w:t>
            </w:r>
            <w:r>
              <w:rPr>
                <w:rFonts w:ascii="Times New Roman" w:hAnsi="Times New Roman"/>
                <w:sz w:val="24"/>
                <w:highlight w:val="none"/>
              </w:rPr>
              <w:t>塑胶件经</w:t>
            </w:r>
            <w:r>
              <w:rPr>
                <w:rFonts w:ascii="Times New Roman" w:hAnsi="Times New Roman"/>
                <w:sz w:val="24"/>
                <w:szCs w:val="24"/>
                <w:highlight w:val="none"/>
              </w:rPr>
              <w:t>自动插针机将磷铜线或CP线插到塑胶件相应位置，即插PIN脚。</w:t>
            </w:r>
          </w:p>
          <w:p w14:paraId="21E4A81D">
            <w:pPr>
              <w:spacing w:line="360" w:lineRule="auto"/>
              <w:ind w:firstLine="465"/>
              <w:jc w:val="left"/>
              <w:rPr>
                <w:rFonts w:ascii="Times New Roman" w:hAnsi="Times New Roman"/>
                <w:sz w:val="24"/>
                <w:highlight w:val="none"/>
              </w:rPr>
            </w:pPr>
            <w:r>
              <w:rPr>
                <w:rFonts w:ascii="Times New Roman" w:hAnsi="Times New Roman"/>
                <w:b/>
                <w:sz w:val="24"/>
                <w:highlight w:val="none"/>
              </w:rPr>
              <w:t>切脚：</w:t>
            </w:r>
            <w:r>
              <w:rPr>
                <w:rFonts w:ascii="Times New Roman" w:hAnsi="Times New Roman"/>
                <w:sz w:val="24"/>
                <w:highlight w:val="none"/>
              </w:rPr>
              <w:t>插针完成的塑胶</w:t>
            </w:r>
            <w:r>
              <w:rPr>
                <w:rFonts w:ascii="Times New Roman" w:hAnsi="Times New Roman"/>
                <w:color w:val="auto"/>
                <w:sz w:val="24"/>
                <w:highlight w:val="none"/>
              </w:rPr>
              <w:t>件根据客户需求，调整插针（即插的</w:t>
            </w:r>
            <w:r>
              <w:rPr>
                <w:rFonts w:ascii="Times New Roman" w:hAnsi="Times New Roman"/>
                <w:color w:val="auto"/>
                <w:sz w:val="24"/>
                <w:szCs w:val="24"/>
                <w:highlight w:val="none"/>
              </w:rPr>
              <w:t>磷铜线或CP线</w:t>
            </w:r>
            <w:r>
              <w:rPr>
                <w:rFonts w:ascii="Times New Roman" w:hAnsi="Times New Roman"/>
                <w:color w:val="auto"/>
                <w:sz w:val="24"/>
                <w:highlight w:val="none"/>
              </w:rPr>
              <w:t>）的长度，多余部分的针将使用小冲床</w:t>
            </w:r>
            <w:r>
              <w:rPr>
                <w:rFonts w:hint="eastAsia" w:ascii="Times New Roman" w:hAnsi="Times New Roman"/>
                <w:color w:val="auto"/>
                <w:sz w:val="24"/>
                <w:highlight w:val="none"/>
                <w:lang w:val="en-US" w:eastAsia="zh-CN"/>
              </w:rPr>
              <w:t>或切脚机</w:t>
            </w:r>
            <w:r>
              <w:rPr>
                <w:rFonts w:ascii="Times New Roman" w:hAnsi="Times New Roman"/>
                <w:color w:val="auto"/>
                <w:sz w:val="24"/>
                <w:highlight w:val="none"/>
              </w:rPr>
              <w:t>进行切除</w:t>
            </w:r>
            <w:r>
              <w:rPr>
                <w:rFonts w:hint="eastAsia"/>
                <w:color w:val="auto"/>
                <w:sz w:val="24"/>
                <w:highlight w:val="none"/>
                <w:lang w:eastAsia="zh-CN"/>
              </w:rPr>
              <w:t>，</w:t>
            </w:r>
            <w:r>
              <w:rPr>
                <w:rFonts w:hint="eastAsia"/>
                <w:color w:val="auto"/>
                <w:sz w:val="24"/>
                <w:highlight w:val="none"/>
                <w:lang w:val="en-US" w:eastAsia="zh-CN"/>
              </w:rPr>
              <w:t>由于针脚为金属制品，切断多余针脚时产生的金属粉末在空气中会迅速沉降，因此仅产生边角料，不产生废气</w:t>
            </w:r>
            <w:r>
              <w:rPr>
                <w:rFonts w:ascii="Times New Roman" w:hAnsi="Times New Roman"/>
                <w:color w:val="auto"/>
                <w:sz w:val="24"/>
                <w:highlight w:val="none"/>
              </w:rPr>
              <w:t>。</w:t>
            </w:r>
          </w:p>
          <w:p w14:paraId="4AB27FA8">
            <w:pPr>
              <w:spacing w:line="360" w:lineRule="auto"/>
              <w:ind w:firstLine="465"/>
              <w:jc w:val="left"/>
              <w:rPr>
                <w:highlight w:val="none"/>
              </w:rPr>
            </w:pPr>
            <w:r>
              <w:rPr>
                <w:rFonts w:ascii="Times New Roman" w:hAnsi="Times New Roman"/>
                <w:b/>
                <w:sz w:val="24"/>
                <w:highlight w:val="none"/>
              </w:rPr>
              <w:t>装管：</w:t>
            </w:r>
            <w:r>
              <w:rPr>
                <w:rFonts w:ascii="Times New Roman" w:hAnsi="Times New Roman"/>
                <w:sz w:val="24"/>
                <w:highlight w:val="none"/>
              </w:rPr>
              <w:t>修边完成的塑胶件经</w:t>
            </w:r>
            <w:r>
              <w:rPr>
                <w:rFonts w:ascii="Times New Roman" w:hAnsi="Times New Roman"/>
                <w:sz w:val="24"/>
                <w:szCs w:val="24"/>
                <w:highlight w:val="none"/>
              </w:rPr>
              <w:t>自动装管机装到插件管上，便于后续工序的操作，一个插件管上约装40个塑胶件。</w:t>
            </w:r>
          </w:p>
          <w:p w14:paraId="2E61FC8E">
            <w:pPr>
              <w:spacing w:line="360" w:lineRule="auto"/>
              <w:ind w:firstLine="465"/>
              <w:jc w:val="left"/>
              <w:rPr>
                <w:rFonts w:ascii="Times New Roman" w:hAnsi="Times New Roman"/>
                <w:sz w:val="24"/>
                <w:highlight w:val="none"/>
              </w:rPr>
            </w:pPr>
            <w:r>
              <w:rPr>
                <w:rFonts w:ascii="Times New Roman" w:hAnsi="Times New Roman"/>
                <w:b/>
                <w:sz w:val="24"/>
                <w:highlight w:val="none"/>
              </w:rPr>
              <w:t>激光印字：</w:t>
            </w:r>
            <w:r>
              <w:rPr>
                <w:rFonts w:ascii="Times New Roman" w:hAnsi="Times New Roman"/>
                <w:sz w:val="24"/>
                <w:highlight w:val="none"/>
              </w:rPr>
              <w:t>自用部分胶壳使用激光印字机在自产的胶壳上印上相应的编号，外售部分不进行此工序。</w:t>
            </w:r>
          </w:p>
          <w:p w14:paraId="48899566">
            <w:pPr>
              <w:spacing w:line="360" w:lineRule="auto"/>
              <w:ind w:firstLine="465"/>
              <w:jc w:val="left"/>
              <w:rPr>
                <w:rFonts w:ascii="Times New Roman" w:hAnsi="Times New Roman"/>
                <w:bCs/>
                <w:sz w:val="24"/>
                <w:highlight w:val="none"/>
              </w:rPr>
            </w:pPr>
            <w:r>
              <w:rPr>
                <w:rFonts w:ascii="Times New Roman" w:hAnsi="Times New Roman"/>
                <w:b/>
                <w:sz w:val="24"/>
                <w:highlight w:val="none"/>
              </w:rPr>
              <w:t>外观检测：</w:t>
            </w:r>
            <w:r>
              <w:rPr>
                <w:rFonts w:ascii="Times New Roman" w:hAnsi="Times New Roman"/>
                <w:sz w:val="24"/>
                <w:highlight w:val="none"/>
              </w:rPr>
              <w:t>切脚完成后对胶壳外观进行人工检测，主要是目测插针的长度、是否弯曲、是否齐整等。合格品进入下一工序，不合格品</w:t>
            </w:r>
            <w:r>
              <w:rPr>
                <w:rFonts w:ascii="Times New Roman" w:hAnsi="Times New Roman"/>
                <w:bCs/>
                <w:sz w:val="24"/>
                <w:highlight w:val="none"/>
              </w:rPr>
              <w:t>暂存于一般固废点定期交物资回收单位处置。</w:t>
            </w:r>
          </w:p>
          <w:p w14:paraId="38A11FCE">
            <w:pPr>
              <w:spacing w:line="360" w:lineRule="auto"/>
              <w:ind w:firstLine="465"/>
              <w:jc w:val="left"/>
              <w:rPr>
                <w:rFonts w:ascii="Times New Roman" w:hAnsi="Times New Roman"/>
                <w:bCs/>
                <w:sz w:val="24"/>
                <w:highlight w:val="none"/>
              </w:rPr>
            </w:pPr>
            <w:r>
              <w:rPr>
                <w:rFonts w:ascii="Times New Roman" w:hAnsi="Times New Roman"/>
                <w:b/>
                <w:bCs/>
                <w:sz w:val="24"/>
                <w:highlight w:val="none"/>
              </w:rPr>
              <w:t>包装入库：</w:t>
            </w:r>
            <w:r>
              <w:rPr>
                <w:rFonts w:ascii="Times New Roman" w:hAnsi="Times New Roman"/>
                <w:bCs/>
                <w:sz w:val="24"/>
                <w:highlight w:val="none"/>
              </w:rPr>
              <w:t>合格品进行包装后，打包入库。</w:t>
            </w:r>
          </w:p>
          <w:p w14:paraId="414D28B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b/>
                <w:bCs/>
                <w:color w:val="000000" w:themeColor="text1"/>
                <w:sz w:val="24"/>
                <w:szCs w:val="24"/>
                <w:highlight w:val="none"/>
                <w:lang w:val="en-US" w:eastAsia="zh-CN"/>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（2）电子接插件生产工艺（原环评工艺）</w:t>
            </w:r>
          </w:p>
          <w:p w14:paraId="1DDB9D70">
            <w:pPr>
              <w:pStyle w:val="60"/>
              <w:rPr>
                <w:rFonts w:hint="eastAsia"/>
                <w:highlight w:val="none"/>
                <w:lang w:val="en-US" w:eastAsia="zh-CN"/>
              </w:rPr>
            </w:pPr>
            <w:r>
              <w:rPr>
                <w:sz w:val="24"/>
              </w:rPr>
              <mc:AlternateContent>
                <mc:Choice Requires="wps">
                  <w:drawing>
                    <wp:anchor distT="0" distB="0" distL="114300" distR="114300" simplePos="0" relativeHeight="251663360" behindDoc="0" locked="0" layoutInCell="1" allowOverlap="1">
                      <wp:simplePos x="0" y="0"/>
                      <wp:positionH relativeFrom="column">
                        <wp:posOffset>2894330</wp:posOffset>
                      </wp:positionH>
                      <wp:positionV relativeFrom="paragraph">
                        <wp:posOffset>1494155</wp:posOffset>
                      </wp:positionV>
                      <wp:extent cx="5080" cy="180975"/>
                      <wp:effectExtent l="46990" t="0" r="62230" b="9525"/>
                      <wp:wrapNone/>
                      <wp:docPr id="25" name="直接箭头连接符 25"/>
                      <wp:cNvGraphicFramePr/>
                      <a:graphic xmlns:a="http://schemas.openxmlformats.org/drawingml/2006/main">
                        <a:graphicData uri="http://schemas.microsoft.com/office/word/2010/wordprocessingShape">
                          <wps:wsp>
                            <wps:cNvCnPr/>
                            <wps:spPr>
                              <a:xfrm flipH="1" flipV="1">
                                <a:off x="0" y="0"/>
                                <a:ext cx="5080" cy="180975"/>
                              </a:xfrm>
                              <a:prstGeom prst="straightConnector1">
                                <a:avLst/>
                              </a:prstGeom>
                              <a:ln w="635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227.9pt;margin-top:117.65pt;height:14.25pt;width:0.4pt;z-index:251663360;mso-width-relative:page;mso-height-relative:page;" filled="f" stroked="t" coordsize="21600,21600" o:gfxdata="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waDg1tkAAAALAQAADwAAAAAA&#10;AAABACAAAAAiAAAAZHJzL2Rvd25yZXYueG1sUEsBAhQAFAAAAAgAh07iQKnmlsISAgAA9gMAAA4A&#10;AAAAAAAAAQAgAAAAKAEAAGRycy9lMm9Eb2MueG1sUEsFBgAAAAAGAAYAWQEAAKw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2646680</wp:posOffset>
                      </wp:positionH>
                      <wp:positionV relativeFrom="paragraph">
                        <wp:posOffset>1646555</wp:posOffset>
                      </wp:positionV>
                      <wp:extent cx="466725" cy="266700"/>
                      <wp:effectExtent l="0" t="0" r="9525" b="0"/>
                      <wp:wrapNone/>
                      <wp:docPr id="24" name="文本框 24"/>
                      <wp:cNvGraphicFramePr/>
                      <a:graphic xmlns:a="http://schemas.openxmlformats.org/drawingml/2006/main">
                        <a:graphicData uri="http://schemas.microsoft.com/office/word/2010/wordprocessingShape">
                          <wps:wsp>
                            <wps:cNvSpPr txBox="1"/>
                            <wps:spPr>
                              <a:xfrm>
                                <a:off x="0" y="0"/>
                                <a:ext cx="466725" cy="2667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A651E3">
                                  <w:pPr>
                                    <w:rPr>
                                      <w:rFonts w:hint="eastAsia" w:eastAsia="宋体"/>
                                      <w:lang w:val="en-US" w:eastAsia="zh-CN"/>
                                    </w:rPr>
                                  </w:pPr>
                                  <w:r>
                                    <w:rPr>
                                      <w:rFonts w:hint="eastAsia" w:eastAsia="宋体"/>
                                      <w:lang w:val="en-US" w:eastAsia="zh-CN"/>
                                    </w:rPr>
                                    <w:t>胶壳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4pt;margin-top:129.65pt;height:21pt;width:36.75pt;z-index:251662336;mso-width-relative:page;mso-height-relative:page;" fillcolor="#CCE8CF [3201]" filled="t" stroked="f" coordsize="21600,21600" o:gfxdata="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9p4XPaAAAA&#10;CwEAAA8AAAAAAAAAAQAgAAAAIgAAAGRycy9kb3ducmV2LnhtbFBLAQIUABQAAAAIAIdO4kBXcBfw&#10;VAIAAJAEAAAOAAAAAAAAAAEAIAAAACkBAABkcnMvZTJvRG9jLnhtbFBLBQYAAAAABgAGAFkBAADv&#10;BQAAAAA=&#10;">
                      <v:fill on="t" focussize="0,0"/>
                      <v:stroke on="f" weight="0.5pt"/>
                      <v:imagedata o:title=""/>
                      <o:lock v:ext="edit" aspectratio="f"/>
                      <v:textbox>
                        <w:txbxContent>
                          <w:p w14:paraId="43A651E3">
                            <w:pPr>
                              <w:rPr>
                                <w:rFonts w:hint="eastAsia" w:eastAsia="宋体"/>
                                <w:lang w:val="en-US" w:eastAsia="zh-CN"/>
                              </w:rPr>
                            </w:pPr>
                            <w:r>
                              <w:rPr>
                                <w:rFonts w:hint="eastAsia" w:eastAsia="宋体"/>
                                <w:lang w:val="en-US" w:eastAsia="zh-CN"/>
                              </w:rPr>
                              <w:t>胶壳</w:t>
                            </w:r>
                          </w:p>
                        </w:txbxContent>
                      </v:textbox>
                    </v:shape>
                  </w:pict>
                </mc:Fallback>
              </mc:AlternateContent>
            </w:r>
            <w:r>
              <w:rPr>
                <w:rFonts w:hint="eastAsia"/>
                <w:highlight w:val="none"/>
                <w:lang w:val="en-US" w:eastAsia="zh-CN"/>
              </w:rPr>
              <w:drawing>
                <wp:inline distT="0" distB="0" distL="114300" distR="114300">
                  <wp:extent cx="4934585" cy="5652135"/>
                  <wp:effectExtent l="0" t="0" r="0" b="0"/>
                  <wp:docPr id="183" name="图片 183" descr="电子接插件工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电子接插件工艺"/>
                          <pic:cNvPicPr>
                            <a:picLocks noChangeAspect="1"/>
                          </pic:cNvPicPr>
                        </pic:nvPicPr>
                        <pic:blipFill>
                          <a:blip r:embed="rId12"/>
                          <a:stretch>
                            <a:fillRect/>
                          </a:stretch>
                        </pic:blipFill>
                        <pic:spPr>
                          <a:xfrm>
                            <a:off x="0" y="0"/>
                            <a:ext cx="4934585" cy="5652135"/>
                          </a:xfrm>
                          <a:prstGeom prst="rect">
                            <a:avLst/>
                          </a:prstGeom>
                        </pic:spPr>
                      </pic:pic>
                    </a:graphicData>
                  </a:graphic>
                </wp:inline>
              </w:drawing>
            </w:r>
          </w:p>
          <w:p w14:paraId="07ADAE4C">
            <w:pPr>
              <w:pStyle w:val="89"/>
              <w:tabs>
                <w:tab w:val="left" w:pos="5573"/>
              </w:tabs>
              <w:spacing w:before="0" w:line="360" w:lineRule="auto"/>
              <w:ind w:left="0" w:leftChars="0" w:firstLine="482" w:firstLineChars="200"/>
              <w:rPr>
                <w:rFonts w:hint="eastAsia"/>
                <w:b/>
                <w:bCs w:val="0"/>
                <w:szCs w:val="24"/>
                <w:highlight w:val="none"/>
                <w:lang w:val="en-US" w:eastAsia="zh-CN" w:bidi="ar"/>
              </w:rPr>
            </w:pPr>
            <w:r>
              <w:rPr>
                <w:rFonts w:hint="eastAsia"/>
                <w:b/>
                <w:bCs w:val="0"/>
                <w:szCs w:val="24"/>
                <w:highlight w:val="none"/>
                <w:lang w:val="en-US" w:eastAsia="zh-CN" w:bidi="ar"/>
              </w:rPr>
              <w:t>电子接插件工艺说明：</w:t>
            </w:r>
          </w:p>
          <w:p w14:paraId="040FABF3">
            <w:pPr>
              <w:spacing w:line="360" w:lineRule="auto"/>
              <w:ind w:firstLine="482" w:firstLineChars="200"/>
              <w:rPr>
                <w:rFonts w:ascii="Times New Roman" w:hAnsi="Times New Roman"/>
                <w:sz w:val="24"/>
                <w:szCs w:val="24"/>
                <w:highlight w:val="none"/>
              </w:rPr>
            </w:pPr>
            <w:r>
              <w:rPr>
                <w:rFonts w:ascii="Times New Roman" w:hAnsi="Times New Roman"/>
                <w:b/>
                <w:sz w:val="24"/>
                <w:szCs w:val="24"/>
                <w:highlight w:val="none"/>
              </w:rPr>
              <w:t>裁线：</w:t>
            </w:r>
            <w:r>
              <w:rPr>
                <w:rFonts w:ascii="Times New Roman" w:hAnsi="Times New Roman"/>
                <w:sz w:val="24"/>
                <w:szCs w:val="24"/>
                <w:highlight w:val="none"/>
              </w:rPr>
              <w:t>调试好全自动</w:t>
            </w:r>
            <w:r>
              <w:rPr>
                <w:rFonts w:hint="eastAsia" w:ascii="Times New Roman" w:hAnsi="Times New Roman"/>
                <w:sz w:val="24"/>
                <w:szCs w:val="24"/>
                <w:highlight w:val="none"/>
                <w:lang w:val="en-US" w:eastAsia="zh-CN"/>
              </w:rPr>
              <w:t>裁线</w:t>
            </w:r>
            <w:r>
              <w:rPr>
                <w:rFonts w:ascii="Times New Roman" w:hAnsi="Times New Roman"/>
                <w:sz w:val="24"/>
                <w:szCs w:val="24"/>
                <w:highlight w:val="none"/>
              </w:rPr>
              <w:t>机，按顺序把漆包线放入自动</w:t>
            </w:r>
            <w:r>
              <w:rPr>
                <w:rFonts w:hint="eastAsia" w:ascii="Times New Roman" w:hAnsi="Times New Roman"/>
                <w:sz w:val="24"/>
                <w:szCs w:val="24"/>
                <w:highlight w:val="none"/>
                <w:lang w:val="en-US" w:eastAsia="zh-CN"/>
              </w:rPr>
              <w:t>裁线</w:t>
            </w:r>
            <w:r>
              <w:rPr>
                <w:rFonts w:ascii="Times New Roman" w:hAnsi="Times New Roman"/>
                <w:sz w:val="24"/>
                <w:szCs w:val="24"/>
                <w:highlight w:val="none"/>
              </w:rPr>
              <w:t>机的塑料圆筒里，按要求穿线（高低一致）。穿好漆包线后在</w:t>
            </w:r>
            <w:r>
              <w:rPr>
                <w:rFonts w:hint="eastAsia" w:ascii="Times New Roman" w:hAnsi="Times New Roman"/>
                <w:sz w:val="24"/>
                <w:szCs w:val="24"/>
                <w:highlight w:val="none"/>
                <w:lang w:val="en-US" w:eastAsia="zh-CN"/>
              </w:rPr>
              <w:t>绞线机</w:t>
            </w:r>
            <w:r>
              <w:rPr>
                <w:rFonts w:ascii="Times New Roman" w:hAnsi="Times New Roman"/>
                <w:sz w:val="24"/>
                <w:szCs w:val="24"/>
                <w:highlight w:val="none"/>
              </w:rPr>
              <w:t>显示屏幕上操作裁线，裁好的漆包线理整齐后用橡皮筋扎好备用。</w:t>
            </w:r>
          </w:p>
          <w:p w14:paraId="730C0FDA">
            <w:pPr>
              <w:spacing w:line="360" w:lineRule="auto"/>
              <w:jc w:val="left"/>
              <w:rPr>
                <w:rFonts w:ascii="Times New Roman" w:hAnsi="Times New Roman"/>
                <w:bCs/>
                <w:sz w:val="24"/>
                <w:highlight w:val="none"/>
              </w:rPr>
            </w:pPr>
            <w:r>
              <w:rPr>
                <w:rFonts w:ascii="Times New Roman" w:hAnsi="Times New Roman"/>
                <w:b/>
                <w:bCs/>
                <w:sz w:val="24"/>
                <w:highlight w:val="none"/>
              </w:rPr>
              <w:t xml:space="preserve">    绕线：</w:t>
            </w:r>
            <w:r>
              <w:rPr>
                <w:rFonts w:ascii="Times New Roman" w:hAnsi="Times New Roman"/>
                <w:bCs/>
                <w:sz w:val="24"/>
                <w:highlight w:val="none"/>
              </w:rPr>
              <w:t>使用自动绕线机</w:t>
            </w:r>
            <w:r>
              <w:rPr>
                <w:rFonts w:ascii="Times New Roman" w:hAnsi="Times New Roman"/>
                <w:bCs/>
                <w:sz w:val="24"/>
                <w:szCs w:val="24"/>
                <w:highlight w:val="none"/>
              </w:rPr>
              <w:t>将裁好的漆包线绕到磁环上，制成线包，</w:t>
            </w:r>
            <w:r>
              <w:rPr>
                <w:rFonts w:ascii="Times New Roman" w:hAnsi="Times New Roman"/>
                <w:sz w:val="24"/>
                <w:szCs w:val="24"/>
                <w:highlight w:val="none"/>
              </w:rPr>
              <w:t>按同一方向摆放在磁铁</w:t>
            </w:r>
            <w:r>
              <w:rPr>
                <w:rFonts w:hint="eastAsia" w:ascii="Times New Roman" w:hAnsi="Times New Roman"/>
                <w:sz w:val="24"/>
                <w:szCs w:val="24"/>
                <w:highlight w:val="none"/>
                <w:lang w:val="en-US" w:eastAsia="zh-CN"/>
              </w:rPr>
              <w:t>治</w:t>
            </w:r>
            <w:r>
              <w:rPr>
                <w:rFonts w:ascii="Times New Roman" w:hAnsi="Times New Roman"/>
                <w:sz w:val="24"/>
                <w:szCs w:val="24"/>
                <w:highlight w:val="none"/>
              </w:rPr>
              <w:t>具上</w:t>
            </w:r>
            <w:r>
              <w:rPr>
                <w:rFonts w:ascii="Times New Roman" w:hAnsi="Times New Roman"/>
                <w:bCs/>
                <w:sz w:val="24"/>
                <w:szCs w:val="24"/>
                <w:highlight w:val="none"/>
              </w:rPr>
              <w:t>。</w:t>
            </w:r>
          </w:p>
          <w:p w14:paraId="3F554F9D">
            <w:pPr>
              <w:spacing w:line="360" w:lineRule="auto"/>
              <w:jc w:val="left"/>
              <w:rPr>
                <w:rFonts w:ascii="Times New Roman" w:hAnsi="Times New Roman"/>
                <w:bCs/>
                <w:sz w:val="24"/>
                <w:szCs w:val="24"/>
                <w:highlight w:val="none"/>
              </w:rPr>
            </w:pPr>
            <w:r>
              <w:rPr>
                <w:rFonts w:ascii="Times New Roman" w:hAnsi="Times New Roman"/>
                <w:b/>
                <w:bCs/>
                <w:sz w:val="24"/>
                <w:highlight w:val="none"/>
              </w:rPr>
              <w:t xml:space="preserve">    排线：</w:t>
            </w:r>
            <w:r>
              <w:rPr>
                <w:rFonts w:ascii="Times New Roman" w:hAnsi="Times New Roman"/>
                <w:bCs/>
                <w:sz w:val="24"/>
                <w:highlight w:val="none"/>
              </w:rPr>
              <w:t>人工</w:t>
            </w:r>
            <w:r>
              <w:rPr>
                <w:rFonts w:ascii="Times New Roman" w:hAnsi="Times New Roman"/>
                <w:sz w:val="24"/>
                <w:szCs w:val="24"/>
                <w:highlight w:val="none"/>
              </w:rPr>
              <w:t>将线包上的线整理好，并按顺序摆入胶壳内，每个胶壳摆放线包2～5个，流入下一工序。</w:t>
            </w:r>
          </w:p>
          <w:p w14:paraId="3093E2D4">
            <w:pPr>
              <w:spacing w:line="360" w:lineRule="auto"/>
              <w:ind w:firstLine="465"/>
              <w:jc w:val="left"/>
              <w:rPr>
                <w:rFonts w:ascii="Times New Roman" w:hAnsi="Times New Roman"/>
                <w:bCs/>
                <w:color w:val="auto"/>
                <w:sz w:val="24"/>
                <w:highlight w:val="none"/>
              </w:rPr>
            </w:pPr>
            <w:r>
              <w:rPr>
                <w:rFonts w:ascii="Times New Roman" w:hAnsi="Times New Roman"/>
                <w:b/>
                <w:bCs/>
                <w:sz w:val="24"/>
                <w:highlight w:val="none"/>
              </w:rPr>
              <w:t>点凡立水、烘烤：</w:t>
            </w:r>
            <w:r>
              <w:rPr>
                <w:rFonts w:ascii="Times New Roman" w:hAnsi="Times New Roman"/>
                <w:bCs/>
                <w:sz w:val="24"/>
                <w:highlight w:val="none"/>
              </w:rPr>
              <w:t>排线完成后</w:t>
            </w:r>
            <w:r>
              <w:rPr>
                <w:rFonts w:hint="eastAsia" w:ascii="Times New Roman" w:hAnsi="Times New Roman"/>
                <w:bCs/>
                <w:sz w:val="24"/>
                <w:highlight w:val="none"/>
                <w:lang w:eastAsia="zh-CN"/>
              </w:rPr>
              <w:t>，</w:t>
            </w:r>
            <w:r>
              <w:rPr>
                <w:rFonts w:ascii="Times New Roman" w:hAnsi="Times New Roman"/>
                <w:bCs/>
                <w:sz w:val="24"/>
                <w:highlight w:val="none"/>
              </w:rPr>
              <w:t>人工将适量的凡立水点在线包上，凡立水以完全覆盖磁环为准。凡立水不可滴到胶壳的PIN脚和漆包线上。点好凡立水后放入托盘，将其放</w:t>
            </w:r>
            <w:r>
              <w:rPr>
                <w:rFonts w:ascii="Times New Roman" w:hAnsi="Times New Roman"/>
                <w:bCs/>
                <w:color w:val="auto"/>
                <w:sz w:val="24"/>
                <w:highlight w:val="none"/>
              </w:rPr>
              <w:t>入烤箱烘烤1个小时左右，烘烤温度100～110℃。把烘烤好后的半成品整齐地摆放在不锈钢托盘内，转运至下一环节。</w:t>
            </w:r>
          </w:p>
          <w:p w14:paraId="4CFA31F8">
            <w:pPr>
              <w:spacing w:line="360" w:lineRule="auto"/>
              <w:jc w:val="left"/>
              <w:rPr>
                <w:rFonts w:ascii="Times New Roman" w:hAnsi="Times New Roman"/>
                <w:bCs/>
                <w:sz w:val="24"/>
                <w:szCs w:val="24"/>
                <w:highlight w:val="none"/>
              </w:rPr>
            </w:pPr>
            <w:r>
              <w:rPr>
                <w:rFonts w:ascii="Times New Roman" w:hAnsi="Times New Roman"/>
                <w:b/>
                <w:bCs/>
                <w:color w:val="auto"/>
                <w:sz w:val="24"/>
                <w:highlight w:val="none"/>
              </w:rPr>
              <w:t xml:space="preserve">    连线：</w:t>
            </w:r>
            <w:r>
              <w:rPr>
                <w:rFonts w:ascii="Times New Roman" w:hAnsi="Times New Roman"/>
                <w:bCs/>
                <w:color w:val="auto"/>
                <w:sz w:val="24"/>
                <w:highlight w:val="none"/>
              </w:rPr>
              <w:t>又称绕脚，取出烘烤好的半成品，</w:t>
            </w:r>
            <w:r>
              <w:rPr>
                <w:rFonts w:ascii="Times New Roman" w:hAnsi="Times New Roman"/>
                <w:color w:val="auto"/>
                <w:sz w:val="24"/>
                <w:szCs w:val="24"/>
                <w:highlight w:val="none"/>
              </w:rPr>
              <w:t>人工照顺时针方向缠绕在胶壳的PIN脚上，缠绕2～3圈。做好的成品整</w:t>
            </w:r>
            <w:r>
              <w:rPr>
                <w:rFonts w:ascii="Times New Roman" w:hAnsi="Times New Roman"/>
                <w:sz w:val="24"/>
                <w:szCs w:val="24"/>
                <w:highlight w:val="none"/>
              </w:rPr>
              <w:t>齐</w:t>
            </w:r>
            <w:r>
              <w:rPr>
                <w:rFonts w:hint="eastAsia"/>
                <w:sz w:val="24"/>
                <w:szCs w:val="24"/>
                <w:highlight w:val="none"/>
                <w:lang w:eastAsia="zh-CN"/>
              </w:rPr>
              <w:t>地</w:t>
            </w:r>
            <w:r>
              <w:rPr>
                <w:rFonts w:ascii="Times New Roman" w:hAnsi="Times New Roman"/>
                <w:sz w:val="24"/>
                <w:szCs w:val="24"/>
                <w:highlight w:val="none"/>
              </w:rPr>
              <w:t>放入不锈钢托盘内，流入下一工序。</w:t>
            </w:r>
          </w:p>
          <w:p w14:paraId="2D3F9E89">
            <w:pPr>
              <w:spacing w:line="360" w:lineRule="auto"/>
              <w:ind w:firstLine="465"/>
              <w:jc w:val="left"/>
              <w:rPr>
                <w:rFonts w:ascii="Times New Roman" w:hAnsi="Times New Roman"/>
                <w:sz w:val="24"/>
                <w:highlight w:val="none"/>
              </w:rPr>
            </w:pPr>
            <w:r>
              <w:rPr>
                <w:rFonts w:ascii="Times New Roman" w:hAnsi="Times New Roman"/>
                <w:b/>
                <w:sz w:val="24"/>
                <w:highlight w:val="none"/>
              </w:rPr>
              <w:t>目检连线：</w:t>
            </w:r>
            <w:r>
              <w:rPr>
                <w:rFonts w:ascii="Times New Roman" w:hAnsi="Times New Roman"/>
                <w:sz w:val="24"/>
                <w:highlight w:val="none"/>
              </w:rPr>
              <w:t>该工序通过人工手动完成，打开放大镜电源，将绕好脚的材料放在放大镜正下方，检查连线圈数、引线交叉深度、PIN脚等部位是否合格，目检合格的产品整齐</w:t>
            </w:r>
            <w:r>
              <w:rPr>
                <w:rFonts w:hint="eastAsia"/>
                <w:sz w:val="24"/>
                <w:highlight w:val="none"/>
                <w:lang w:eastAsia="zh-CN"/>
              </w:rPr>
              <w:t>地</w:t>
            </w:r>
            <w:r>
              <w:rPr>
                <w:rFonts w:ascii="Times New Roman" w:hAnsi="Times New Roman"/>
                <w:sz w:val="24"/>
                <w:highlight w:val="none"/>
              </w:rPr>
              <w:t>放入不锈钢盘中，转入下一工序。</w:t>
            </w:r>
          </w:p>
          <w:p w14:paraId="50FCE39E">
            <w:pPr>
              <w:spacing w:line="360" w:lineRule="auto"/>
              <w:ind w:firstLine="465"/>
              <w:jc w:val="left"/>
              <w:rPr>
                <w:rFonts w:ascii="Times New Roman" w:hAnsi="Times New Roman"/>
                <w:color w:val="auto"/>
                <w:sz w:val="24"/>
                <w:highlight w:val="none"/>
              </w:rPr>
            </w:pPr>
            <w:r>
              <w:rPr>
                <w:rFonts w:ascii="Times New Roman" w:hAnsi="Times New Roman"/>
                <w:b/>
                <w:bCs/>
                <w:sz w:val="24"/>
                <w:highlight w:val="none"/>
              </w:rPr>
              <w:t>焊锡：</w:t>
            </w:r>
            <w:r>
              <w:rPr>
                <w:rFonts w:hint="eastAsia" w:ascii="Times New Roman" w:hAnsi="Times New Roman"/>
                <w:b w:val="0"/>
                <w:bCs w:val="0"/>
                <w:sz w:val="24"/>
                <w:highlight w:val="none"/>
                <w:lang w:val="en-US" w:eastAsia="zh-CN"/>
              </w:rPr>
              <w:t>拟建</w:t>
            </w:r>
            <w:r>
              <w:rPr>
                <w:rFonts w:ascii="Times New Roman" w:hAnsi="Times New Roman"/>
                <w:sz w:val="24"/>
                <w:highlight w:val="none"/>
              </w:rPr>
              <w:t>项目焊锡所用的锡炉为全自动锡炉，锡炉内盛装助焊剂和</w:t>
            </w:r>
            <w:r>
              <w:rPr>
                <w:rFonts w:hint="eastAsia"/>
                <w:sz w:val="24"/>
                <w:highlight w:val="none"/>
                <w:lang w:eastAsia="zh-CN"/>
              </w:rPr>
              <w:t>锡丝</w:t>
            </w:r>
            <w:r>
              <w:rPr>
                <w:rFonts w:ascii="Times New Roman" w:hAnsi="Times New Roman"/>
                <w:sz w:val="24"/>
                <w:highlight w:val="none"/>
              </w:rPr>
              <w:t>。焊锡时，将目检合格的产品摆放在焊锡治具上，锡炉上的机械手臂自动将焊锡治具上产品的PIN针脚</w:t>
            </w:r>
            <w:r>
              <w:rPr>
                <w:rFonts w:ascii="Times New Roman" w:hAnsi="Times New Roman"/>
                <w:color w:val="auto"/>
                <w:sz w:val="24"/>
                <w:highlight w:val="none"/>
              </w:rPr>
              <w:t>一端浸入助焊剂，再将PIN针脚浸锡后将引线和PIN脚焊接在一起。人工将焊锡治具由焊锡炉上取出，并将产品取下，排放在托盘内。</w:t>
            </w:r>
          </w:p>
          <w:p w14:paraId="4DDFCB69">
            <w:pPr>
              <w:tabs>
                <w:tab w:val="right" w:pos="8675"/>
              </w:tabs>
              <w:spacing w:line="360" w:lineRule="auto"/>
              <w:ind w:firstLine="482" w:firstLineChars="200"/>
              <w:rPr>
                <w:rFonts w:ascii="Times New Roman" w:hAnsi="Times New Roman"/>
                <w:sz w:val="24"/>
                <w:szCs w:val="24"/>
                <w:highlight w:val="none"/>
              </w:rPr>
            </w:pPr>
            <w:r>
              <w:rPr>
                <w:rFonts w:ascii="Times New Roman" w:hAnsi="Times New Roman"/>
                <w:b/>
                <w:bCs/>
                <w:color w:val="auto"/>
                <w:sz w:val="24"/>
                <w:highlight w:val="none"/>
              </w:rPr>
              <w:t>点黑胶、烘烤：</w:t>
            </w:r>
            <w:r>
              <w:rPr>
                <w:rFonts w:ascii="Times New Roman" w:hAnsi="Times New Roman"/>
                <w:color w:val="auto"/>
                <w:sz w:val="24"/>
                <w:szCs w:val="24"/>
                <w:highlight w:val="none"/>
              </w:rPr>
              <w:t>焊锡后的产品整齐</w:t>
            </w:r>
            <w:r>
              <w:rPr>
                <w:rFonts w:hint="eastAsia"/>
                <w:color w:val="auto"/>
                <w:sz w:val="24"/>
                <w:szCs w:val="24"/>
                <w:highlight w:val="none"/>
                <w:lang w:eastAsia="zh-CN"/>
              </w:rPr>
              <w:t>地</w:t>
            </w:r>
            <w:r>
              <w:rPr>
                <w:rFonts w:ascii="Times New Roman" w:hAnsi="Times New Roman"/>
                <w:color w:val="auto"/>
                <w:sz w:val="24"/>
                <w:szCs w:val="24"/>
                <w:highlight w:val="none"/>
              </w:rPr>
              <w:t>摆放在不锈钢盘内（PIN脚向上），人工进行点胶作业，点胶作业时</w:t>
            </w:r>
            <w:r>
              <w:rPr>
                <w:rFonts w:ascii="Times New Roman" w:hAnsi="Times New Roman"/>
                <w:sz w:val="24"/>
                <w:szCs w:val="24"/>
                <w:highlight w:val="none"/>
              </w:rPr>
              <w:t>，黑胶不能点到PIN脚上、不能高于指定平面。点好黑胶后的产品静置1-2小时后，放入烤箱进行烘烤，烘烤温度50±5℃。烘干后的产品及时取出后转入下一环节进行测试。黑胶组分均不挥发，烘烤温度较低，此过程不产生有机废气。项目点胶和烘箱工位为</w:t>
            </w:r>
            <w:r>
              <w:rPr>
                <w:rFonts w:hint="eastAsia" w:ascii="Times New Roman" w:hAnsi="Times New Roman"/>
                <w:sz w:val="24"/>
                <w:szCs w:val="24"/>
                <w:highlight w:val="none"/>
                <w:lang w:val="en-US" w:eastAsia="zh-CN"/>
              </w:rPr>
              <w:t>点</w:t>
            </w:r>
            <w:r>
              <w:rPr>
                <w:rFonts w:ascii="Times New Roman" w:hAnsi="Times New Roman"/>
                <w:sz w:val="24"/>
                <w:szCs w:val="24"/>
                <w:highlight w:val="none"/>
              </w:rPr>
              <w:t>凡立水和</w:t>
            </w:r>
            <w:r>
              <w:rPr>
                <w:rFonts w:hint="eastAsia" w:ascii="Times New Roman" w:hAnsi="Times New Roman"/>
                <w:sz w:val="24"/>
                <w:szCs w:val="24"/>
                <w:highlight w:val="none"/>
                <w:lang w:val="en-US" w:eastAsia="zh-CN"/>
              </w:rPr>
              <w:t>点</w:t>
            </w:r>
            <w:r>
              <w:rPr>
                <w:rFonts w:ascii="Times New Roman" w:hAnsi="Times New Roman"/>
                <w:sz w:val="24"/>
                <w:szCs w:val="24"/>
                <w:highlight w:val="none"/>
              </w:rPr>
              <w:t>黑胶</w:t>
            </w:r>
            <w:r>
              <w:rPr>
                <w:rFonts w:hint="eastAsia" w:ascii="Times New Roman" w:hAnsi="Times New Roman"/>
                <w:sz w:val="24"/>
                <w:szCs w:val="24"/>
                <w:highlight w:val="none"/>
                <w:lang w:val="en-US" w:eastAsia="zh-CN"/>
              </w:rPr>
              <w:t>工序</w:t>
            </w:r>
            <w:r>
              <w:rPr>
                <w:rFonts w:ascii="Times New Roman" w:hAnsi="Times New Roman"/>
                <w:sz w:val="24"/>
                <w:szCs w:val="24"/>
                <w:highlight w:val="none"/>
              </w:rPr>
              <w:t>共用。</w:t>
            </w:r>
          </w:p>
          <w:p w14:paraId="052F4347">
            <w:pPr>
              <w:spacing w:line="360" w:lineRule="auto"/>
              <w:ind w:firstLine="465"/>
              <w:jc w:val="left"/>
              <w:rPr>
                <w:rFonts w:ascii="Times New Roman" w:hAnsi="Times New Roman"/>
                <w:bCs/>
                <w:sz w:val="24"/>
                <w:highlight w:val="none"/>
              </w:rPr>
            </w:pPr>
            <w:r>
              <w:rPr>
                <w:rFonts w:ascii="Times New Roman" w:hAnsi="Times New Roman"/>
                <w:b/>
                <w:bCs/>
                <w:sz w:val="24"/>
                <w:highlight w:val="none"/>
              </w:rPr>
              <w:t>测试：</w:t>
            </w:r>
            <w:r>
              <w:rPr>
                <w:rFonts w:ascii="Times New Roman" w:hAnsi="Times New Roman"/>
                <w:bCs/>
                <w:sz w:val="24"/>
                <w:highlight w:val="none"/>
              </w:rPr>
              <w:t>测试</w:t>
            </w:r>
            <w:r>
              <w:rPr>
                <w:rFonts w:ascii="Times New Roman" w:hAnsi="Times New Roman"/>
                <w:bCs/>
                <w:sz w:val="24"/>
                <w:szCs w:val="24"/>
                <w:highlight w:val="none"/>
              </w:rPr>
              <w:t>主要为测耐压</w:t>
            </w:r>
            <w:r>
              <w:rPr>
                <w:rFonts w:hint="eastAsia"/>
                <w:bCs/>
                <w:sz w:val="24"/>
                <w:szCs w:val="24"/>
                <w:highlight w:val="none"/>
                <w:lang w:eastAsia="zh-CN"/>
              </w:rPr>
              <w:t>、</w:t>
            </w:r>
            <w:r>
              <w:rPr>
                <w:rFonts w:ascii="Times New Roman" w:hAnsi="Times New Roman"/>
                <w:bCs/>
                <w:sz w:val="24"/>
                <w:szCs w:val="24"/>
                <w:highlight w:val="none"/>
              </w:rPr>
              <w:t>测DCR。测耐压时</w:t>
            </w:r>
            <w:r>
              <w:rPr>
                <w:rFonts w:ascii="Times New Roman" w:hAnsi="Times New Roman"/>
                <w:sz w:val="24"/>
                <w:szCs w:val="24"/>
                <w:highlight w:val="none"/>
              </w:rPr>
              <w:t>调试好耐压测试机和待测试产品，将产品排放在测试治具上，开始测试机开关开始测试。仪器显示PASS，则为合格品，显示FAIL，则为不合格品。测试合格的产品放入不锈钢托盘内；测DCR时将产品放在测试架的底座上，用双手同时按下测试架左右两边的绿色按钮开关开始通断测试，仪器显示PASS，则为合格品，显示FAIL，则为不合格品。不合格品进入返修工序。</w:t>
            </w:r>
          </w:p>
          <w:p w14:paraId="68DB7E5D">
            <w:pPr>
              <w:spacing w:line="360" w:lineRule="auto"/>
              <w:ind w:firstLine="465"/>
              <w:jc w:val="left"/>
              <w:rPr>
                <w:rFonts w:hint="default" w:ascii="Times New Roman" w:hAnsi="Times New Roman" w:eastAsia="宋体"/>
                <w:bCs/>
                <w:sz w:val="24"/>
                <w:highlight w:val="none"/>
                <w:lang w:val="en-US" w:eastAsia="zh-CN"/>
              </w:rPr>
            </w:pPr>
            <w:r>
              <w:rPr>
                <w:rFonts w:ascii="Times New Roman" w:hAnsi="Times New Roman"/>
                <w:b/>
                <w:bCs/>
                <w:sz w:val="24"/>
                <w:highlight w:val="none"/>
              </w:rPr>
              <w:t>返修：</w:t>
            </w:r>
            <w:r>
              <w:rPr>
                <w:rFonts w:ascii="Times New Roman" w:hAnsi="Times New Roman"/>
                <w:bCs/>
                <w:sz w:val="24"/>
                <w:highlight w:val="none"/>
              </w:rPr>
              <w:t>不合格品者使用</w:t>
            </w:r>
            <w:r>
              <w:rPr>
                <w:rFonts w:hint="eastAsia" w:ascii="Times New Roman" w:hAnsi="Times New Roman"/>
                <w:bCs/>
                <w:sz w:val="24"/>
                <w:highlight w:val="none"/>
                <w:lang w:val="en-US" w:eastAsia="zh-CN"/>
              </w:rPr>
              <w:t>电</w:t>
            </w:r>
            <w:r>
              <w:rPr>
                <w:rFonts w:ascii="Times New Roman" w:hAnsi="Times New Roman"/>
                <w:bCs/>
                <w:sz w:val="24"/>
                <w:highlight w:val="none"/>
              </w:rPr>
              <w:t>烙铁，取出线包，留下好的线包和胶壳，回用于生产。</w:t>
            </w:r>
            <w:r>
              <w:rPr>
                <w:rFonts w:hint="eastAsia"/>
                <w:bCs/>
                <w:sz w:val="24"/>
                <w:highlight w:val="none"/>
                <w:lang w:val="en-US" w:eastAsia="zh-CN"/>
              </w:rPr>
              <w:t>无法回用部分暂存后交物资回收单位回收。</w:t>
            </w:r>
          </w:p>
          <w:p w14:paraId="23DD18A3">
            <w:pPr>
              <w:adjustRightInd w:val="0"/>
              <w:snapToGrid w:val="0"/>
              <w:spacing w:line="360" w:lineRule="auto"/>
              <w:ind w:firstLine="482" w:firstLineChars="200"/>
              <w:rPr>
                <w:rFonts w:hAnsi="宋体"/>
                <w:color w:val="auto"/>
                <w:sz w:val="24"/>
                <w:highlight w:val="none"/>
                <w:u w:val="none"/>
              </w:rPr>
            </w:pPr>
            <w:r>
              <w:rPr>
                <w:rFonts w:ascii="Times New Roman" w:hAnsi="Times New Roman"/>
                <w:b/>
                <w:bCs/>
                <w:sz w:val="24"/>
                <w:highlight w:val="none"/>
              </w:rPr>
              <w:t>包装入库</w:t>
            </w:r>
            <w:r>
              <w:rPr>
                <w:rFonts w:ascii="Times New Roman" w:hAnsi="Times New Roman"/>
                <w:bCs/>
                <w:sz w:val="24"/>
                <w:highlight w:val="none"/>
              </w:rPr>
              <w:t>：合格品包装入库</w:t>
            </w:r>
            <w:r>
              <w:rPr>
                <w:rFonts w:hint="eastAsia" w:hAnsi="宋体"/>
                <w:color w:val="auto"/>
                <w:sz w:val="24"/>
                <w:highlight w:val="none"/>
                <w:u w:val="none"/>
              </w:rPr>
              <w:t>。</w:t>
            </w:r>
          </w:p>
          <w:p w14:paraId="51EDF943">
            <w:pPr>
              <w:adjustRightInd w:val="0"/>
              <w:snapToGrid w:val="0"/>
              <w:spacing w:line="360" w:lineRule="auto"/>
              <w:ind w:firstLine="482" w:firstLineChars="200"/>
              <w:rPr>
                <w:rFonts w:hint="default"/>
                <w:b/>
                <w:bCs/>
                <w:color w:val="000000" w:themeColor="text1"/>
                <w:sz w:val="24"/>
                <w:szCs w:val="24"/>
                <w:highlight w:val="none"/>
                <w:lang w:val="en-US" w:eastAsia="zh-CN"/>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（3）光模块生产工艺（原环评工艺）</w:t>
            </w:r>
          </w:p>
          <w:p w14:paraId="5AA05164">
            <w:pPr>
              <w:adjustRightInd w:val="0"/>
              <w:snapToGrid w:val="0"/>
              <w:spacing w:line="360" w:lineRule="auto"/>
              <w:rPr>
                <w:b/>
                <w:bCs/>
                <w:color w:val="auto"/>
                <w:sz w:val="24"/>
                <w:highlight w:val="none"/>
                <w:u w:val="none"/>
              </w:rPr>
            </w:pPr>
            <w:r>
              <w:rPr>
                <w:b/>
                <w:bCs/>
                <w:color w:val="auto"/>
                <w:sz w:val="24"/>
                <w:highlight w:val="none"/>
                <w:u w:val="none"/>
              </w:rPr>
              <w:object>
                <v:shape id="_x0000_i1025" o:spt="75" type="#_x0000_t75" style="height:175.9pt;width:380.95pt;" o:ole="t" filled="f" o:preferrelative="t" stroked="f" coordsize="21600,21600">
                  <v:path/>
                  <v:fill on="f" focussize="0,0"/>
                  <v:stroke on="f"/>
                  <v:imagedata r:id="rId14" o:title=""/>
                  <o:lock v:ext="edit" aspectratio="f"/>
                  <w10:wrap type="none"/>
                  <w10:anchorlock/>
                </v:shape>
                <o:OLEObject Type="Embed" ProgID="Visio.Drawing.11" ShapeID="_x0000_i1025" DrawAspect="Content" ObjectID="_1468075725" r:id="rId13">
                  <o:LockedField>false</o:LockedField>
                </o:OLEObject>
              </w:object>
            </w:r>
          </w:p>
          <w:p w14:paraId="0CD50F0F">
            <w:pPr>
              <w:bidi w:val="0"/>
              <w:jc w:val="center"/>
              <w:rPr>
                <w:rFonts w:hint="default"/>
                <w:b/>
                <w:bCs/>
                <w:lang w:val="en-US" w:eastAsia="zh-CN"/>
              </w:rPr>
            </w:pPr>
            <w:r>
              <w:rPr>
                <w:rFonts w:hint="eastAsia"/>
                <w:b/>
                <w:bCs/>
                <w:lang w:val="en-US" w:eastAsia="zh-CN"/>
              </w:rPr>
              <w:t>图2-5 光模块生产工艺流程图</w:t>
            </w:r>
          </w:p>
          <w:p w14:paraId="615177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0"/>
                <w:highlight w:val="none"/>
                <w:u w:val="none"/>
                <w:lang w:val="en-US" w:eastAsia="zh-CN" w:bidi="ar-SA"/>
              </w:rPr>
            </w:pPr>
            <w:r>
              <w:rPr>
                <w:rFonts w:hint="eastAsia" w:ascii="Times New Roman" w:hAnsi="Times New Roman" w:eastAsia="宋体" w:cs="Times New Roman"/>
                <w:color w:val="auto"/>
                <w:kern w:val="0"/>
                <w:sz w:val="24"/>
                <w:szCs w:val="20"/>
                <w:highlight w:val="none"/>
                <w:u w:val="none"/>
                <w:lang w:val="en-US" w:eastAsia="zh-CN" w:bidi="ar-SA"/>
              </w:rPr>
              <w:t>TOSA/ROSA/BOSA/PCBA/FPC/COB</w:t>
            </w:r>
            <w:r>
              <w:rPr>
                <w:rFonts w:hint="eastAsia" w:cs="Times New Roman"/>
                <w:color w:val="auto"/>
                <w:kern w:val="0"/>
                <w:sz w:val="24"/>
                <w:szCs w:val="20"/>
                <w:highlight w:val="none"/>
                <w:u w:val="none"/>
                <w:lang w:val="en-US" w:eastAsia="zh-CN" w:bidi="ar-SA"/>
              </w:rPr>
              <w:t>类型的</w:t>
            </w:r>
            <w:r>
              <w:rPr>
                <w:rFonts w:hint="eastAsia" w:ascii="Times New Roman" w:hAnsi="Times New Roman" w:eastAsia="宋体" w:cs="Times New Roman"/>
                <w:color w:val="auto"/>
                <w:kern w:val="0"/>
                <w:sz w:val="24"/>
                <w:szCs w:val="20"/>
                <w:highlight w:val="none"/>
                <w:u w:val="none"/>
                <w:lang w:val="en-US" w:eastAsia="zh-CN" w:bidi="ar-SA"/>
              </w:rPr>
              <w:t>光模块</w:t>
            </w:r>
            <w:r>
              <w:rPr>
                <w:rFonts w:hint="eastAsia" w:cs="Times New Roman"/>
                <w:color w:val="auto"/>
                <w:kern w:val="0"/>
                <w:sz w:val="24"/>
                <w:szCs w:val="20"/>
                <w:highlight w:val="none"/>
                <w:u w:val="none"/>
                <w:lang w:val="en-US" w:eastAsia="zh-CN" w:bidi="ar-SA"/>
              </w:rPr>
              <w:t>进行焊接，焊接完成后进入焊接检验工序，经检验合格方可进入组装工序，将光模块器件与金属外壳、螺钉、吸塑盒组装在一起，后进入初步调试阶段，经调试合格后的光模块依次通过老化试验、高温试验、低温抽测、端面检验与外观检验，全部检验合格后即为成品光模块。</w:t>
            </w:r>
          </w:p>
          <w:p w14:paraId="684CF75C">
            <w:pPr>
              <w:adjustRightInd w:val="0"/>
              <w:snapToGrid w:val="0"/>
              <w:spacing w:line="360" w:lineRule="auto"/>
              <w:rPr>
                <w:rFonts w:hint="default"/>
                <w:b/>
                <w:bCs/>
                <w:color w:val="000000" w:themeColor="text1"/>
                <w:sz w:val="24"/>
                <w:szCs w:val="24"/>
                <w:highlight w:val="none"/>
                <w:lang w:val="en-US" w:eastAsia="zh-CN"/>
                <w14:textFill>
                  <w14:solidFill>
                    <w14:schemeClr w14:val="tx1"/>
                  </w14:solidFill>
                </w14:textFill>
              </w:rPr>
            </w:pPr>
            <w:r>
              <w:rPr>
                <w:rFonts w:hint="eastAsia"/>
                <w:b/>
                <w:bCs/>
                <w:color w:val="000000" w:themeColor="text1"/>
                <w:sz w:val="24"/>
                <w:szCs w:val="24"/>
                <w:highlight w:val="none"/>
                <w:lang w:val="en-US" w:eastAsia="zh-CN"/>
                <w14:textFill>
                  <w14:solidFill>
                    <w14:schemeClr w14:val="tx1"/>
                  </w14:solidFill>
                </w14:textFill>
              </w:rPr>
              <w:t>（4）适配器元件生产工艺（本次变更增加工艺）</w:t>
            </w:r>
          </w:p>
          <w:p w14:paraId="0686B3D3">
            <w:pPr>
              <w:bidi w:val="0"/>
              <w:jc w:val="center"/>
              <w:rPr>
                <w:rFonts w:hint="default" w:ascii="Times New Roman" w:hAnsi="Times New Roman" w:cs="Times New Roman"/>
                <w:b/>
                <w:bCs/>
                <w:lang w:val="en-US" w:eastAsia="zh-CN"/>
              </w:rPr>
            </w:pPr>
            <w:r>
              <w:drawing>
                <wp:inline distT="0" distB="0" distL="114300" distR="114300">
                  <wp:extent cx="4834255" cy="2183765"/>
                  <wp:effectExtent l="0" t="0" r="4445" b="6985"/>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15"/>
                          <a:stretch>
                            <a:fillRect/>
                          </a:stretch>
                        </pic:blipFill>
                        <pic:spPr>
                          <a:xfrm>
                            <a:off x="0" y="0"/>
                            <a:ext cx="4834255" cy="2183765"/>
                          </a:xfrm>
                          <a:prstGeom prst="rect">
                            <a:avLst/>
                          </a:prstGeom>
                          <a:noFill/>
                          <a:ln>
                            <a:noFill/>
                          </a:ln>
                        </pic:spPr>
                      </pic:pic>
                    </a:graphicData>
                  </a:graphic>
                </wp:inline>
              </w:drawing>
            </w:r>
          </w:p>
          <w:p w14:paraId="7E949231">
            <w:pPr>
              <w:bidi w:val="0"/>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图</w:t>
            </w:r>
            <w:r>
              <w:rPr>
                <w:rFonts w:hint="eastAsia" w:ascii="Times New Roman" w:hAnsi="Times New Roman" w:cs="Times New Roman"/>
                <w:b/>
                <w:bCs/>
                <w:lang w:val="en-US" w:eastAsia="zh-CN"/>
              </w:rPr>
              <w:t>2</w:t>
            </w:r>
            <w:r>
              <w:rPr>
                <w:rFonts w:hint="default" w:ascii="Times New Roman" w:hAnsi="Times New Roman" w:cs="Times New Roman"/>
                <w:b/>
                <w:bCs/>
                <w:lang w:val="en-US" w:eastAsia="zh-CN"/>
              </w:rPr>
              <w:t>-</w:t>
            </w:r>
            <w:r>
              <w:rPr>
                <w:rFonts w:hint="eastAsia" w:ascii="Times New Roman" w:hAnsi="Times New Roman" w:cs="Times New Roman"/>
                <w:b/>
                <w:bCs/>
                <w:lang w:val="en-US" w:eastAsia="zh-CN"/>
              </w:rPr>
              <w:t>6</w:t>
            </w:r>
            <w:r>
              <w:rPr>
                <w:rFonts w:hint="default" w:ascii="Times New Roman" w:hAnsi="Times New Roman" w:cs="Times New Roman"/>
                <w:b/>
                <w:bCs/>
                <w:lang w:val="en-US" w:eastAsia="zh-CN"/>
              </w:rPr>
              <w:t xml:space="preserve">  适配器元件生产工艺流程图</w:t>
            </w:r>
          </w:p>
          <w:p w14:paraId="5D274BA2">
            <w:pPr>
              <w:pStyle w:val="89"/>
              <w:tabs>
                <w:tab w:val="left" w:pos="5573"/>
              </w:tabs>
              <w:spacing w:before="0" w:line="360" w:lineRule="auto"/>
              <w:ind w:left="0" w:leftChars="0" w:firstLine="0" w:firstLineChars="0"/>
              <w:rPr>
                <w:rFonts w:hint="eastAsia"/>
                <w:b/>
                <w:bCs w:val="0"/>
                <w:szCs w:val="24"/>
                <w:highlight w:val="none"/>
                <w:lang w:val="en-US" w:eastAsia="zh-CN" w:bidi="ar"/>
              </w:rPr>
            </w:pPr>
            <w:r>
              <w:rPr>
                <w:rFonts w:hint="eastAsia"/>
                <w:b/>
                <w:bCs/>
                <w:color w:val="000000" w:themeColor="text1"/>
                <w:sz w:val="24"/>
                <w:szCs w:val="24"/>
                <w:highlight w:val="none"/>
                <w:lang w:val="en-US" w:eastAsia="zh-CN"/>
                <w14:textFill>
                  <w14:solidFill>
                    <w14:schemeClr w14:val="tx1"/>
                  </w14:solidFill>
                </w14:textFill>
              </w:rPr>
              <w:t>适配器元件</w:t>
            </w:r>
            <w:r>
              <w:rPr>
                <w:rFonts w:hint="eastAsia"/>
                <w:b/>
                <w:bCs w:val="0"/>
                <w:szCs w:val="24"/>
                <w:highlight w:val="none"/>
                <w:lang w:val="en-US" w:eastAsia="zh-CN" w:bidi="ar"/>
              </w:rPr>
              <w:t>工艺说明：</w:t>
            </w:r>
          </w:p>
          <w:p w14:paraId="21A6B434">
            <w:pPr>
              <w:keepNext w:val="0"/>
              <w:keepLines w:val="0"/>
              <w:pageBreakBefore w:val="0"/>
              <w:widowControl/>
              <w:kinsoku/>
              <w:wordWrap/>
              <w:overflowPunct/>
              <w:topLinePunct w:val="0"/>
              <w:autoSpaceDE w:val="0"/>
              <w:autoSpaceDN w:val="0"/>
              <w:bidi w:val="0"/>
              <w:adjustRightInd w:val="0"/>
              <w:snapToGrid w:val="0"/>
              <w:spacing w:line="360" w:lineRule="auto"/>
              <w:ind w:firstLine="482" w:firstLineChars="200"/>
              <w:jc w:val="both"/>
              <w:textAlignment w:val="baseline"/>
              <w:rPr>
                <w:rFonts w:ascii="Times New Roman" w:hAnsi="Times New Roman"/>
                <w:color w:val="auto"/>
                <w:sz w:val="24"/>
                <w:highlight w:val="none"/>
              </w:rPr>
            </w:pPr>
            <w:r>
              <w:rPr>
                <w:rFonts w:ascii="Times New Roman" w:hAnsi="Times New Roman"/>
                <w:b/>
                <w:sz w:val="24"/>
                <w:highlight w:val="none"/>
              </w:rPr>
              <w:t>上料：</w:t>
            </w:r>
            <w:r>
              <w:rPr>
                <w:rFonts w:hint="eastAsia" w:ascii="Times New Roman" w:hAnsi="Times New Roman"/>
                <w:b w:val="0"/>
                <w:bCs/>
                <w:sz w:val="24"/>
                <w:highlight w:val="none"/>
                <w:lang w:val="en-US" w:eastAsia="zh-CN"/>
              </w:rPr>
              <w:t>拟建</w:t>
            </w:r>
            <w:r>
              <w:rPr>
                <w:rFonts w:ascii="Times New Roman" w:hAnsi="Times New Roman"/>
                <w:sz w:val="24"/>
                <w:highlight w:val="none"/>
              </w:rPr>
              <w:t>项目原料为外购的</w:t>
            </w:r>
            <w:r>
              <w:rPr>
                <w:rFonts w:hint="eastAsia" w:ascii="Times New Roman" w:hAnsi="Times New Roman"/>
                <w:sz w:val="24"/>
                <w:highlight w:val="none"/>
                <w:lang w:val="en-US" w:eastAsia="zh-CN"/>
              </w:rPr>
              <w:t>PBT/LCP树脂颗粒</w:t>
            </w:r>
            <w:r>
              <w:rPr>
                <w:rFonts w:ascii="Times New Roman" w:hAnsi="Times New Roman"/>
                <w:sz w:val="24"/>
                <w:highlight w:val="none"/>
              </w:rPr>
              <w:t>，为</w:t>
            </w:r>
            <w:r>
              <w:rPr>
                <w:rFonts w:hint="eastAsia"/>
                <w:sz w:val="24"/>
                <w:highlight w:val="none"/>
                <w:lang w:val="en-US" w:eastAsia="zh-CN"/>
              </w:rPr>
              <w:t>固体状</w:t>
            </w:r>
            <w:r>
              <w:rPr>
                <w:rFonts w:ascii="Times New Roman" w:hAnsi="Times New Roman"/>
                <w:sz w:val="24"/>
                <w:highlight w:val="none"/>
              </w:rPr>
              <w:t>，人工将原料</w:t>
            </w:r>
            <w:r>
              <w:rPr>
                <w:rFonts w:hint="eastAsia"/>
                <w:sz w:val="24"/>
                <w:highlight w:val="none"/>
                <w:lang w:val="en-US" w:eastAsia="zh-CN"/>
              </w:rPr>
              <w:t>破袋投料</w:t>
            </w:r>
            <w:r>
              <w:rPr>
                <w:rFonts w:ascii="Times New Roman" w:hAnsi="Times New Roman"/>
                <w:sz w:val="24"/>
                <w:highlight w:val="none"/>
              </w:rPr>
              <w:t>加入到注塑机中。</w:t>
            </w:r>
          </w:p>
          <w:p w14:paraId="4CF9B48F">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ascii="Times New Roman" w:hAnsi="Times New Roman"/>
                <w:color w:val="auto"/>
                <w:sz w:val="24"/>
                <w:highlight w:val="none"/>
              </w:rPr>
            </w:pPr>
            <w:r>
              <w:rPr>
                <w:rFonts w:ascii="Times New Roman" w:hAnsi="Times New Roman"/>
                <w:b/>
                <w:color w:val="auto"/>
                <w:sz w:val="24"/>
                <w:highlight w:val="none"/>
              </w:rPr>
              <w:t xml:space="preserve">    烘料：</w:t>
            </w:r>
            <w:r>
              <w:rPr>
                <w:rFonts w:ascii="Times New Roman" w:hAnsi="Times New Roman"/>
                <w:color w:val="auto"/>
                <w:sz w:val="24"/>
                <w:szCs w:val="24"/>
                <w:highlight w:val="none"/>
              </w:rPr>
              <w:t>注塑机自带干燥桶，原料进入注塑机后首先在干燥筒中进行干燥处理（使用电能，温度约80</w:t>
            </w:r>
            <w:r>
              <w:rPr>
                <w:rFonts w:ascii="Times New Roman" w:hAnsi="Times New Roman"/>
                <w:bCs/>
                <w:color w:val="auto"/>
                <w:sz w:val="24"/>
                <w:highlight w:val="none"/>
              </w:rPr>
              <w:t>℃</w:t>
            </w:r>
            <w:r>
              <w:rPr>
                <w:rFonts w:ascii="Times New Roman" w:hAnsi="Times New Roman"/>
                <w:color w:val="auto"/>
                <w:sz w:val="24"/>
                <w:szCs w:val="24"/>
                <w:highlight w:val="none"/>
              </w:rPr>
              <w:t>）</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rPr>
              <w:t>由于温度较低，不会使</w:t>
            </w:r>
            <w:r>
              <w:rPr>
                <w:rFonts w:hint="eastAsia" w:ascii="Times New Roman" w:hAnsi="Times New Roman"/>
                <w:sz w:val="24"/>
                <w:highlight w:val="none"/>
                <w:lang w:val="en-US" w:eastAsia="zh-CN"/>
              </w:rPr>
              <w:t>树脂颗粒</w:t>
            </w:r>
            <w:r>
              <w:rPr>
                <w:rFonts w:ascii="Times New Roman" w:hAnsi="Times New Roman"/>
                <w:color w:val="auto"/>
                <w:sz w:val="24"/>
                <w:szCs w:val="24"/>
                <w:highlight w:val="none"/>
              </w:rPr>
              <w:t>熔融，故无废气产生，但会产生微量水蒸气，在厂区直接排放。</w:t>
            </w:r>
          </w:p>
          <w:p w14:paraId="66ABE600">
            <w:pPr>
              <w:keepNext w:val="0"/>
              <w:keepLines w:val="0"/>
              <w:pageBreakBefore w:val="0"/>
              <w:widowControl/>
              <w:kinsoku/>
              <w:wordWrap/>
              <w:overflowPunct/>
              <w:topLinePunct w:val="0"/>
              <w:autoSpaceDE w:val="0"/>
              <w:autoSpaceDN w:val="0"/>
              <w:bidi w:val="0"/>
              <w:adjustRightInd w:val="0"/>
              <w:snapToGrid w:val="0"/>
              <w:spacing w:line="360" w:lineRule="auto"/>
              <w:ind w:firstLine="480"/>
              <w:jc w:val="both"/>
              <w:textAlignment w:val="baseline"/>
              <w:rPr>
                <w:rFonts w:ascii="Times New Roman" w:hAnsi="Times New Roman"/>
                <w:bCs/>
                <w:color w:val="auto"/>
                <w:sz w:val="24"/>
                <w:highlight w:val="none"/>
              </w:rPr>
            </w:pPr>
            <w:r>
              <w:rPr>
                <w:rFonts w:ascii="Times New Roman" w:hAnsi="Times New Roman"/>
                <w:b/>
                <w:bCs/>
                <w:color w:val="auto"/>
                <w:sz w:val="24"/>
                <w:highlight w:val="none"/>
              </w:rPr>
              <w:t>注塑成型：</w:t>
            </w:r>
            <w:r>
              <w:rPr>
                <w:rFonts w:ascii="Times New Roman" w:hAnsi="Times New Roman"/>
                <w:bCs/>
                <w:color w:val="auto"/>
                <w:sz w:val="24"/>
                <w:highlight w:val="none"/>
              </w:rPr>
              <w:t>干燥后的</w:t>
            </w:r>
            <w:r>
              <w:rPr>
                <w:rFonts w:hint="eastAsia" w:ascii="Times New Roman" w:hAnsi="Times New Roman"/>
                <w:sz w:val="24"/>
                <w:highlight w:val="none"/>
                <w:lang w:val="en-US" w:eastAsia="zh-CN"/>
              </w:rPr>
              <w:t>树脂颗粒</w:t>
            </w:r>
            <w:r>
              <w:rPr>
                <w:rFonts w:ascii="Times New Roman" w:hAnsi="Times New Roman"/>
                <w:bCs/>
                <w:color w:val="auto"/>
                <w:sz w:val="24"/>
                <w:highlight w:val="none"/>
              </w:rPr>
              <w:t>进入注塑机中的熔融管内熔化，注塑</w:t>
            </w:r>
            <w:r>
              <w:rPr>
                <w:rFonts w:ascii="Times New Roman" w:hAnsi="Times New Roman"/>
                <w:bCs/>
                <w:color w:val="auto"/>
                <w:sz w:val="24"/>
                <w:szCs w:val="24"/>
                <w:highlight w:val="none"/>
              </w:rPr>
              <w:t>机使用电加热升温，温控装置控制加热温度</w:t>
            </w:r>
            <w:r>
              <w:rPr>
                <w:rFonts w:ascii="Times New Roman" w:hAnsi="Times New Roman"/>
                <w:bCs/>
                <w:color w:val="auto"/>
                <w:sz w:val="24"/>
                <w:highlight w:val="none"/>
              </w:rPr>
              <w:t>约170~220℃左右，熔融状态下的</w:t>
            </w:r>
            <w:r>
              <w:rPr>
                <w:rFonts w:hint="eastAsia" w:ascii="Times New Roman" w:hAnsi="Times New Roman"/>
                <w:sz w:val="24"/>
                <w:highlight w:val="none"/>
                <w:lang w:val="en-US" w:eastAsia="zh-CN"/>
              </w:rPr>
              <w:t>树脂颗粒</w:t>
            </w:r>
            <w:r>
              <w:rPr>
                <w:rFonts w:ascii="Times New Roman" w:hAnsi="Times New Roman"/>
                <w:bCs/>
                <w:color w:val="auto"/>
                <w:sz w:val="24"/>
                <w:highlight w:val="none"/>
              </w:rPr>
              <w:t>被注入到相应的</w:t>
            </w:r>
            <w:r>
              <w:rPr>
                <w:rFonts w:hint="eastAsia"/>
                <w:bCs/>
                <w:color w:val="auto"/>
                <w:sz w:val="24"/>
                <w:highlight w:val="none"/>
                <w:lang w:val="en-US" w:eastAsia="zh-CN"/>
              </w:rPr>
              <w:t>已经过人工涂抹脱模剂的</w:t>
            </w:r>
            <w:r>
              <w:rPr>
                <w:rFonts w:ascii="Times New Roman" w:hAnsi="Times New Roman"/>
                <w:bCs/>
                <w:color w:val="auto"/>
                <w:sz w:val="24"/>
                <w:highlight w:val="none"/>
              </w:rPr>
              <w:t>模具中</w:t>
            </w:r>
            <w:r>
              <w:rPr>
                <w:rFonts w:hint="eastAsia"/>
                <w:bCs/>
                <w:color w:val="auto"/>
                <w:sz w:val="24"/>
                <w:highlight w:val="none"/>
                <w:lang w:eastAsia="zh-CN"/>
              </w:rPr>
              <w:t>，</w:t>
            </w:r>
            <w:r>
              <w:rPr>
                <w:rFonts w:hint="eastAsia"/>
                <w:bCs/>
                <w:color w:val="auto"/>
                <w:sz w:val="24"/>
                <w:highlight w:val="none"/>
                <w:lang w:val="en-US" w:eastAsia="zh-CN"/>
              </w:rPr>
              <w:t>在</w:t>
            </w:r>
            <w:r>
              <w:rPr>
                <w:rFonts w:ascii="Times New Roman" w:hAnsi="Times New Roman"/>
                <w:bCs/>
                <w:color w:val="auto"/>
                <w:sz w:val="24"/>
                <w:highlight w:val="none"/>
              </w:rPr>
              <w:t>注塑机</w:t>
            </w:r>
            <w:r>
              <w:rPr>
                <w:rFonts w:hint="eastAsia"/>
                <w:bCs/>
                <w:color w:val="auto"/>
                <w:sz w:val="24"/>
                <w:highlight w:val="none"/>
                <w:lang w:val="en-US" w:eastAsia="zh-CN"/>
              </w:rPr>
              <w:t>内部对模具</w:t>
            </w:r>
            <w:r>
              <w:rPr>
                <w:rFonts w:ascii="Times New Roman" w:hAnsi="Times New Roman"/>
                <w:bCs/>
                <w:color w:val="auto"/>
                <w:sz w:val="24"/>
                <w:highlight w:val="none"/>
              </w:rPr>
              <w:t>进行冷却</w:t>
            </w:r>
            <w:r>
              <w:rPr>
                <w:rFonts w:hint="eastAsia"/>
                <w:bCs/>
                <w:color w:val="auto"/>
                <w:sz w:val="24"/>
                <w:highlight w:val="none"/>
                <w:lang w:eastAsia="zh-CN"/>
              </w:rPr>
              <w:t>。</w:t>
            </w:r>
            <w:r>
              <w:rPr>
                <w:rFonts w:hint="eastAsia"/>
                <w:bCs/>
                <w:color w:val="auto"/>
                <w:sz w:val="24"/>
                <w:highlight w:val="none"/>
                <w:lang w:val="en-US" w:eastAsia="zh-CN"/>
              </w:rPr>
              <w:t>项目设冷却塔，</w:t>
            </w:r>
            <w:r>
              <w:rPr>
                <w:rFonts w:ascii="Times New Roman" w:hAnsi="Times New Roman"/>
                <w:bCs/>
                <w:color w:val="auto"/>
                <w:sz w:val="24"/>
                <w:highlight w:val="none"/>
              </w:rPr>
              <w:t>冷却水不接触产品</w:t>
            </w:r>
            <w:r>
              <w:rPr>
                <w:rFonts w:ascii="Times New Roman" w:hAnsi="Times New Roman"/>
                <w:bCs/>
                <w:color w:val="auto"/>
                <w:sz w:val="24"/>
                <w:szCs w:val="24"/>
                <w:highlight w:val="none"/>
              </w:rPr>
              <w:t>，冷却水循环使用，不外排，定期补充新鲜水。</w:t>
            </w:r>
            <w:r>
              <w:rPr>
                <w:rFonts w:hint="eastAsia"/>
                <w:bCs/>
                <w:color w:val="auto"/>
                <w:sz w:val="24"/>
                <w:szCs w:val="24"/>
                <w:highlight w:val="none"/>
                <w:lang w:val="en-US" w:eastAsia="zh-CN"/>
              </w:rPr>
              <w:t>冷却成型后的塑胶件从模具中取出待用。</w:t>
            </w:r>
            <w:r>
              <w:rPr>
                <w:rFonts w:ascii="Times New Roman" w:hAnsi="Times New Roman"/>
                <w:bCs/>
                <w:color w:val="auto"/>
                <w:sz w:val="24"/>
                <w:highlight w:val="none"/>
              </w:rPr>
              <w:t xml:space="preserve">    </w:t>
            </w:r>
          </w:p>
          <w:p w14:paraId="7C3BAC3B">
            <w:pPr>
              <w:keepNext w:val="0"/>
              <w:keepLines w:val="0"/>
              <w:pageBreakBefore w:val="0"/>
              <w:widowControl/>
              <w:kinsoku/>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b/>
                <w:sz w:val="24"/>
                <w:szCs w:val="24"/>
                <w:highlight w:val="none"/>
                <w:lang w:val="en-US" w:eastAsia="zh-CN"/>
              </w:rPr>
            </w:pPr>
            <w:r>
              <w:rPr>
                <w:rFonts w:ascii="Times New Roman" w:hAnsi="Times New Roman"/>
                <w:b/>
                <w:bCs/>
                <w:sz w:val="24"/>
                <w:highlight w:val="none"/>
              </w:rPr>
              <w:t xml:space="preserve">    首件检验：</w:t>
            </w:r>
            <w:r>
              <w:rPr>
                <w:rFonts w:ascii="Times New Roman" w:hAnsi="Times New Roman"/>
                <w:bCs/>
                <w:sz w:val="24"/>
                <w:highlight w:val="none"/>
              </w:rPr>
              <w:t>在常规操作下，对</w:t>
            </w:r>
            <w:r>
              <w:rPr>
                <w:rFonts w:hint="eastAsia"/>
                <w:bCs/>
                <w:sz w:val="24"/>
                <w:highlight w:val="none"/>
                <w:lang w:val="en-US" w:eastAsia="zh-CN"/>
              </w:rPr>
              <w:t>每班次第一次</w:t>
            </w:r>
            <w:r>
              <w:rPr>
                <w:rFonts w:ascii="Times New Roman" w:hAnsi="Times New Roman"/>
                <w:bCs/>
                <w:sz w:val="24"/>
                <w:highlight w:val="none"/>
              </w:rPr>
              <w:t>成型完成的塑胶件</w:t>
            </w:r>
            <w:r>
              <w:rPr>
                <w:rFonts w:hint="eastAsia"/>
                <w:bCs/>
                <w:sz w:val="24"/>
                <w:highlight w:val="none"/>
                <w:lang w:val="en-US" w:eastAsia="zh-CN"/>
              </w:rPr>
              <w:t>样品</w:t>
            </w:r>
            <w:r>
              <w:rPr>
                <w:rFonts w:ascii="Times New Roman" w:hAnsi="Times New Roman"/>
                <w:bCs/>
                <w:sz w:val="24"/>
                <w:highlight w:val="none"/>
              </w:rPr>
              <w:t>进行外观检查，并对塑胶零件</w:t>
            </w:r>
            <w:r>
              <w:rPr>
                <w:rFonts w:hint="eastAsia"/>
                <w:bCs/>
                <w:sz w:val="24"/>
                <w:highlight w:val="none"/>
                <w:lang w:val="en-US" w:eastAsia="zh-CN"/>
              </w:rPr>
              <w:t>用游标卡尺</w:t>
            </w:r>
            <w:r>
              <w:rPr>
                <w:rFonts w:ascii="Times New Roman" w:hAnsi="Times New Roman"/>
                <w:bCs/>
                <w:sz w:val="24"/>
                <w:highlight w:val="none"/>
              </w:rPr>
              <w:t>进行测量，检核质量是否合格。</w:t>
            </w:r>
            <w:r>
              <w:rPr>
                <w:rFonts w:hint="eastAsia"/>
                <w:bCs/>
                <w:sz w:val="24"/>
                <w:highlight w:val="none"/>
                <w:lang w:val="en-US" w:eastAsia="zh-CN"/>
              </w:rPr>
              <w:t>每班次</w:t>
            </w:r>
            <w:r>
              <w:rPr>
                <w:rFonts w:ascii="Times New Roman" w:hAnsi="Times New Roman"/>
                <w:bCs/>
                <w:sz w:val="24"/>
                <w:highlight w:val="none"/>
              </w:rPr>
              <w:t>第一次成型完成的塑胶零件检查不合格，需</w:t>
            </w:r>
            <w:r>
              <w:rPr>
                <w:rFonts w:hint="eastAsia"/>
                <w:bCs/>
                <w:sz w:val="24"/>
                <w:highlight w:val="none"/>
                <w:lang w:eastAsia="zh-CN"/>
              </w:rPr>
              <w:t>调整</w:t>
            </w:r>
            <w:r>
              <w:rPr>
                <w:rFonts w:ascii="Times New Roman" w:hAnsi="Times New Roman"/>
                <w:bCs/>
                <w:sz w:val="24"/>
                <w:highlight w:val="none"/>
              </w:rPr>
              <w:t>设备重新生产，再次检验，直到产品合格可进入下一工序。不合格品</w:t>
            </w:r>
            <w:r>
              <w:rPr>
                <w:rFonts w:hint="eastAsia" w:ascii="Times New Roman" w:hAnsi="Times New Roman" w:eastAsia="宋体"/>
                <w:bCs/>
                <w:sz w:val="24"/>
                <w:highlight w:val="none"/>
                <w:lang w:val="en-US" w:eastAsia="zh-CN"/>
              </w:rPr>
              <w:t>及注塑产生的边角料收集后经粉碎处理后回用于生产</w:t>
            </w:r>
            <w:r>
              <w:rPr>
                <w:rFonts w:ascii="Times New Roman" w:hAnsi="Times New Roman"/>
                <w:bCs/>
                <w:sz w:val="24"/>
                <w:highlight w:val="none"/>
              </w:rPr>
              <w:t>。</w:t>
            </w:r>
          </w:p>
          <w:p w14:paraId="101D677C">
            <w:pPr>
              <w:keepNext w:val="0"/>
              <w:keepLines w:val="0"/>
              <w:pageBreakBefore w:val="0"/>
              <w:widowControl/>
              <w:kinsoku/>
              <w:wordWrap/>
              <w:overflowPunct/>
              <w:topLinePunct w:val="0"/>
              <w:autoSpaceDE w:val="0"/>
              <w:autoSpaceDN w:val="0"/>
              <w:bidi w:val="0"/>
              <w:adjustRightInd w:val="0"/>
              <w:snapToGrid w:val="0"/>
              <w:spacing w:line="360" w:lineRule="auto"/>
              <w:ind w:firstLine="465"/>
              <w:jc w:val="both"/>
              <w:textAlignment w:val="baseline"/>
              <w:rPr>
                <w:rFonts w:ascii="Times New Roman" w:hAnsi="Times New Roman"/>
                <w:color w:val="auto"/>
                <w:sz w:val="24"/>
                <w:highlight w:val="none"/>
              </w:rPr>
            </w:pPr>
            <w:r>
              <w:rPr>
                <w:rFonts w:hint="eastAsia" w:ascii="Times New Roman" w:hAnsi="Times New Roman" w:eastAsia="宋体"/>
                <w:b/>
                <w:bCs/>
                <w:sz w:val="24"/>
                <w:highlight w:val="none"/>
                <w:lang w:val="en-US" w:eastAsia="zh-CN"/>
              </w:rPr>
              <w:t>组装</w:t>
            </w:r>
            <w:r>
              <w:rPr>
                <w:rFonts w:ascii="Times New Roman" w:hAnsi="Times New Roman"/>
                <w:b/>
                <w:bCs/>
                <w:sz w:val="24"/>
                <w:highlight w:val="none"/>
              </w:rPr>
              <w:t>：</w:t>
            </w:r>
            <w:r>
              <w:rPr>
                <w:rFonts w:hint="eastAsia" w:ascii="Times New Roman" w:hAnsi="Times New Roman"/>
                <w:b w:val="0"/>
                <w:bCs w:val="0"/>
                <w:sz w:val="24"/>
                <w:highlight w:val="none"/>
                <w:lang w:val="en-US" w:eastAsia="zh-CN"/>
              </w:rPr>
              <w:t>将生产好的塑胶零件与外购的陶瓷管通过全自动超声波焊接机焊接组装，再装入金属弹片</w:t>
            </w:r>
            <w:r>
              <w:rPr>
                <w:rFonts w:ascii="Times New Roman" w:hAnsi="Times New Roman"/>
                <w:color w:val="auto"/>
                <w:sz w:val="24"/>
                <w:highlight w:val="none"/>
              </w:rPr>
              <w:t>。</w:t>
            </w:r>
          </w:p>
          <w:p w14:paraId="0114405B">
            <w:pPr>
              <w:keepNext w:val="0"/>
              <w:keepLines w:val="0"/>
              <w:pageBreakBefore w:val="0"/>
              <w:widowControl/>
              <w:kinsoku/>
              <w:wordWrap/>
              <w:overflowPunct/>
              <w:topLinePunct w:val="0"/>
              <w:autoSpaceDE w:val="0"/>
              <w:autoSpaceDN w:val="0"/>
              <w:bidi w:val="0"/>
              <w:adjustRightInd w:val="0"/>
              <w:snapToGrid w:val="0"/>
              <w:spacing w:line="360" w:lineRule="auto"/>
              <w:ind w:firstLine="465"/>
              <w:jc w:val="both"/>
              <w:textAlignment w:val="baseline"/>
              <w:rPr>
                <w:rFonts w:ascii="Times New Roman" w:hAnsi="Times New Roman"/>
                <w:bCs/>
                <w:sz w:val="24"/>
                <w:highlight w:val="none"/>
              </w:rPr>
            </w:pPr>
            <w:r>
              <w:rPr>
                <w:rFonts w:ascii="Times New Roman" w:hAnsi="Times New Roman"/>
                <w:b/>
                <w:sz w:val="24"/>
                <w:highlight w:val="none"/>
              </w:rPr>
              <w:t>外观检测：</w:t>
            </w:r>
            <w:r>
              <w:rPr>
                <w:rFonts w:hint="eastAsia" w:ascii="Times New Roman" w:hAnsi="Times New Roman" w:eastAsia="宋体"/>
                <w:sz w:val="24"/>
                <w:highlight w:val="none"/>
                <w:lang w:val="en-US" w:eastAsia="zh-CN"/>
              </w:rPr>
              <w:t>组装</w:t>
            </w:r>
            <w:r>
              <w:rPr>
                <w:rFonts w:ascii="Times New Roman" w:hAnsi="Times New Roman"/>
                <w:sz w:val="24"/>
                <w:highlight w:val="none"/>
              </w:rPr>
              <w:t>完成后对</w:t>
            </w:r>
            <w:r>
              <w:rPr>
                <w:rFonts w:hint="eastAsia" w:ascii="Times New Roman" w:hAnsi="Times New Roman" w:eastAsia="宋体"/>
                <w:sz w:val="24"/>
                <w:highlight w:val="none"/>
                <w:lang w:val="en-US" w:eastAsia="zh-CN"/>
              </w:rPr>
              <w:t>元件</w:t>
            </w:r>
            <w:r>
              <w:rPr>
                <w:rFonts w:ascii="Times New Roman" w:hAnsi="Times New Roman"/>
                <w:sz w:val="24"/>
                <w:highlight w:val="none"/>
              </w:rPr>
              <w:t>外观进行人工检测，主要是目测长度、是否弯曲、是否齐整等。合格品进入下一工序，不合格品</w:t>
            </w:r>
            <w:r>
              <w:rPr>
                <w:rFonts w:ascii="Times New Roman" w:hAnsi="Times New Roman"/>
                <w:bCs/>
                <w:sz w:val="24"/>
                <w:highlight w:val="none"/>
              </w:rPr>
              <w:t>暂存于一般固废点定期交物资回收单位处置</w:t>
            </w:r>
            <w:r>
              <w:rPr>
                <w:rFonts w:ascii="Times New Roman" w:hAnsi="Times New Roman"/>
                <w:sz w:val="24"/>
                <w:szCs w:val="24"/>
                <w:highlight w:val="none"/>
              </w:rPr>
              <w:t>。</w:t>
            </w:r>
          </w:p>
          <w:p w14:paraId="30D47D73">
            <w:pPr>
              <w:ind w:firstLine="482" w:firstLineChars="200"/>
              <w:rPr>
                <w:rFonts w:eastAsia="黑体"/>
                <w:b w:val="0"/>
                <w:bCs w:val="0"/>
                <w:color w:val="auto"/>
                <w:sz w:val="32"/>
                <w:highlight w:val="none"/>
                <w:u w:val="none"/>
              </w:rPr>
            </w:pPr>
            <w:r>
              <w:rPr>
                <w:rFonts w:ascii="Times New Roman" w:hAnsi="Times New Roman"/>
                <w:b/>
                <w:bCs/>
                <w:sz w:val="24"/>
                <w:highlight w:val="none"/>
              </w:rPr>
              <w:t>包装入库</w:t>
            </w:r>
            <w:r>
              <w:rPr>
                <w:rFonts w:ascii="Times New Roman" w:hAnsi="Times New Roman"/>
                <w:bCs/>
                <w:sz w:val="24"/>
                <w:highlight w:val="none"/>
              </w:rPr>
              <w:t>：合格品包装入库</w:t>
            </w:r>
            <w:r>
              <w:rPr>
                <w:rFonts w:hint="eastAsia" w:hAnsi="宋体"/>
                <w:color w:val="auto"/>
                <w:sz w:val="24"/>
                <w:highlight w:val="none"/>
                <w:u w:val="none"/>
              </w:rPr>
              <w:t>。</w:t>
            </w:r>
          </w:p>
        </w:tc>
      </w:tr>
      <w:tr w14:paraId="3C7F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5" w:hRule="atLeast"/>
          <w:jc w:val="center"/>
        </w:trPr>
        <w:tc>
          <w:tcPr>
            <w:tcW w:w="1235" w:type="dxa"/>
            <w:vAlign w:val="center"/>
          </w:tcPr>
          <w:p w14:paraId="0EA4B700">
            <w:pPr>
              <w:spacing w:line="360" w:lineRule="auto"/>
              <w:jc w:val="center"/>
              <w:rPr>
                <w:color w:val="auto"/>
                <w:kern w:val="0"/>
                <w:sz w:val="24"/>
                <w:szCs w:val="24"/>
                <w:highlight w:val="none"/>
                <w:u w:val="none"/>
              </w:rPr>
            </w:pPr>
            <w:r>
              <w:rPr>
                <w:rFonts w:hint="eastAsia"/>
                <w:color w:val="auto"/>
                <w:kern w:val="0"/>
                <w:sz w:val="24"/>
                <w:szCs w:val="24"/>
                <w:highlight w:val="none"/>
                <w:u w:val="none"/>
              </w:rPr>
              <w:t>与项目有关的原有环境污染问题</w:t>
            </w:r>
          </w:p>
        </w:tc>
        <w:tc>
          <w:tcPr>
            <w:tcW w:w="7836" w:type="dxa"/>
            <w:vAlign w:val="center"/>
          </w:tcPr>
          <w:p w14:paraId="6C57855E">
            <w:pPr>
              <w:pStyle w:val="34"/>
              <w:spacing w:after="0" w:afterAutospacing="0" w:line="360" w:lineRule="auto"/>
              <w:ind w:left="0" w:leftChars="0" w:firstLine="480"/>
              <w:rPr>
                <w:rFonts w:hint="eastAsia"/>
                <w:color w:val="auto"/>
                <w:sz w:val="24"/>
                <w:szCs w:val="24"/>
                <w:highlight w:val="none"/>
                <w:u w:val="none"/>
                <w:lang w:val="en-US" w:eastAsia="zh-CN"/>
              </w:rPr>
            </w:pPr>
            <w:r>
              <w:rPr>
                <w:rFonts w:hint="eastAsia"/>
                <w:color w:val="auto"/>
                <w:sz w:val="24"/>
                <w:szCs w:val="24"/>
                <w:highlight w:val="none"/>
                <w:u w:val="none"/>
                <w:shd w:val="clear" w:color="auto" w:fill="FFFFFF"/>
              </w:rPr>
              <w:t>湖南意朴电子有限公司</w:t>
            </w:r>
            <w:r>
              <w:rPr>
                <w:rFonts w:hint="eastAsia"/>
                <w:color w:val="auto"/>
                <w:sz w:val="24"/>
                <w:highlight w:val="none"/>
                <w:u w:val="none"/>
              </w:rPr>
              <w:t>在</w:t>
            </w:r>
            <w:r>
              <w:rPr>
                <w:rFonts w:hint="eastAsia"/>
                <w:color w:val="auto"/>
                <w:sz w:val="24"/>
                <w:szCs w:val="24"/>
                <w:highlight w:val="none"/>
                <w:u w:val="none"/>
                <w:shd w:val="clear" w:color="auto" w:fill="FFFFFF"/>
              </w:rPr>
              <w:t>永州经济技术开发区智能装备产业园标准厂11栋1-</w:t>
            </w:r>
            <w:r>
              <w:rPr>
                <w:rFonts w:hint="eastAsia"/>
                <w:color w:val="auto"/>
                <w:sz w:val="24"/>
                <w:szCs w:val="24"/>
                <w:highlight w:val="none"/>
                <w:u w:val="none"/>
                <w:shd w:val="clear" w:color="auto" w:fill="FFFFFF"/>
                <w:lang w:val="en-US" w:eastAsia="zh-CN"/>
              </w:rPr>
              <w:t>5</w:t>
            </w:r>
            <w:r>
              <w:rPr>
                <w:rFonts w:hint="eastAsia"/>
                <w:color w:val="auto"/>
                <w:sz w:val="24"/>
                <w:szCs w:val="24"/>
                <w:highlight w:val="none"/>
                <w:u w:val="none"/>
                <w:shd w:val="clear" w:color="auto" w:fill="FFFFFF"/>
              </w:rPr>
              <w:t>楼</w:t>
            </w:r>
            <w:r>
              <w:rPr>
                <w:rFonts w:hint="eastAsia"/>
                <w:color w:val="auto"/>
                <w:sz w:val="24"/>
                <w:highlight w:val="none"/>
                <w:u w:val="none"/>
              </w:rPr>
              <w:t>建设</w:t>
            </w:r>
            <w:r>
              <w:rPr>
                <w:rFonts w:hint="eastAsia"/>
                <w:color w:val="auto"/>
                <w:sz w:val="24"/>
                <w:szCs w:val="24"/>
                <w:highlight w:val="none"/>
                <w:u w:val="none"/>
                <w:shd w:val="clear" w:color="auto" w:fill="FFFFFF"/>
              </w:rPr>
              <w:t>湖南意朴电子有限公司先进电子器件生产制造项目</w:t>
            </w:r>
            <w:r>
              <w:rPr>
                <w:color w:val="auto"/>
                <w:sz w:val="24"/>
                <w:szCs w:val="24"/>
                <w:highlight w:val="none"/>
                <w:u w:val="none"/>
              </w:rPr>
              <w:t>。</w:t>
            </w:r>
            <w:r>
              <w:rPr>
                <w:rFonts w:hint="eastAsia"/>
                <w:color w:val="auto"/>
                <w:sz w:val="24"/>
                <w:szCs w:val="24"/>
                <w:highlight w:val="none"/>
                <w:u w:val="none"/>
                <w:lang w:val="en-US" w:eastAsia="zh-CN"/>
              </w:rPr>
              <w:t>于2024年12月20日通过环境影响评价审批，取得环评批复，文号：永经开环评〔2024〕17号</w:t>
            </w:r>
            <w:r>
              <w:rPr>
                <w:color w:val="auto"/>
                <w:sz w:val="24"/>
                <w:szCs w:val="24"/>
                <w:highlight w:val="none"/>
                <w:u w:val="none"/>
              </w:rPr>
              <w:t>。</w:t>
            </w:r>
            <w:r>
              <w:rPr>
                <w:rFonts w:hint="eastAsia"/>
                <w:color w:val="auto"/>
                <w:sz w:val="24"/>
                <w:szCs w:val="24"/>
                <w:highlight w:val="none"/>
                <w:u w:val="none"/>
                <w:lang w:val="en-US" w:eastAsia="zh-CN"/>
              </w:rPr>
              <w:t>项目还未取得排污许可证和未完成环保竣工自主验收手续。</w:t>
            </w:r>
          </w:p>
          <w:p w14:paraId="22D83919">
            <w:pPr>
              <w:spacing w:beforeAutospacing="0" w:line="360" w:lineRule="auto"/>
              <w:ind w:firstLine="480" w:firstLineChars="200"/>
              <w:rPr>
                <w:rFonts w:hint="default"/>
                <w:lang w:val="en-US" w:eastAsia="zh-CN"/>
              </w:rPr>
            </w:pPr>
            <w:r>
              <w:rPr>
                <w:rFonts w:hint="eastAsia"/>
                <w:color w:val="auto"/>
                <w:sz w:val="24"/>
                <w:szCs w:val="24"/>
                <w:highlight w:val="none"/>
                <w:u w:val="none"/>
                <w:lang w:val="en-US" w:eastAsia="zh-CN"/>
              </w:rPr>
              <w:t>根据原环评报告，原项目生产工艺包括：</w:t>
            </w:r>
            <w:r>
              <w:rPr>
                <w:rFonts w:hint="eastAsia"/>
                <w:b/>
                <w:bCs/>
                <w:color w:val="000000" w:themeColor="text1"/>
                <w:sz w:val="24"/>
                <w:szCs w:val="24"/>
                <w:highlight w:val="none"/>
                <w:lang w:val="en-US" w:eastAsia="zh-CN"/>
                <w14:textFill>
                  <w14:solidFill>
                    <w14:schemeClr w14:val="tx1"/>
                  </w14:solidFill>
                </w14:textFill>
              </w:rPr>
              <w:t>胶壳生产工艺、电子接插件生产工艺、光模块生产工艺。</w:t>
            </w:r>
          </w:p>
          <w:p w14:paraId="4D2A1150">
            <w:pPr>
              <w:pStyle w:val="10"/>
              <w:pageBreakBefore w:val="0"/>
              <w:widowControl w:val="0"/>
              <w:kinsoku/>
              <w:wordWrap/>
              <w:overflowPunct/>
              <w:topLinePunct w:val="0"/>
              <w:autoSpaceDE/>
              <w:autoSpaceDN/>
              <w:bidi w:val="0"/>
              <w:adjustRightInd/>
              <w:snapToGrid/>
              <w:spacing w:beforeLines="0" w:afterLines="0" w:line="360" w:lineRule="auto"/>
              <w:ind w:left="0" w:firstLine="480" w:firstLineChars="200"/>
              <w:textAlignment w:val="auto"/>
              <w:rPr>
                <w:rFonts w:hint="default"/>
                <w:b w:val="0"/>
                <w:bCs/>
                <w:u w:val="none" w:color="auto"/>
                <w:lang w:val="en-US" w:eastAsia="zh-CN"/>
              </w:rPr>
            </w:pPr>
            <w:r>
              <w:rPr>
                <w:rFonts w:hint="default"/>
                <w:b w:val="0"/>
                <w:bCs/>
                <w:u w:val="none" w:color="auto"/>
                <w:lang w:val="en-US" w:eastAsia="zh-CN"/>
              </w:rPr>
              <w:t>原有污染物</w:t>
            </w:r>
            <w:r>
              <w:rPr>
                <w:rFonts w:hint="eastAsia"/>
                <w:b w:val="0"/>
                <w:bCs/>
                <w:u w:val="none" w:color="auto"/>
                <w:lang w:val="en-US" w:eastAsia="zh-CN"/>
              </w:rPr>
              <w:t>排放</w:t>
            </w:r>
            <w:r>
              <w:rPr>
                <w:rFonts w:hint="default"/>
                <w:b w:val="0"/>
                <w:bCs/>
                <w:u w:val="none" w:color="auto"/>
                <w:lang w:val="en-US" w:eastAsia="zh-CN"/>
              </w:rPr>
              <w:t>及处理措施情况如下所述：</w:t>
            </w:r>
          </w:p>
          <w:p w14:paraId="7411B2E6">
            <w:pPr>
              <w:pageBreakBefore w:val="0"/>
              <w:widowControl w:val="0"/>
              <w:numPr>
                <w:ilvl w:val="0"/>
                <w:numId w:val="3"/>
              </w:numPr>
              <w:kinsoku/>
              <w:wordWrap/>
              <w:overflowPunct/>
              <w:topLinePunct w:val="0"/>
              <w:autoSpaceDE/>
              <w:autoSpaceDN/>
              <w:bidi w:val="0"/>
              <w:adjustRightInd/>
              <w:snapToGrid/>
              <w:spacing w:line="360" w:lineRule="auto"/>
              <w:ind w:left="0" w:leftChars="0" w:firstLine="345" w:firstLineChars="0"/>
              <w:textAlignment w:val="auto"/>
              <w:rPr>
                <w:rFonts w:hint="eastAsia" w:ascii="Times New Roman" w:hAnsi="Times New Roman" w:eastAsia="宋体" w:cs="Times New Roman"/>
                <w:kern w:val="2"/>
                <w:sz w:val="24"/>
                <w:szCs w:val="24"/>
                <w:u w:val="none" w:color="auto"/>
                <w:lang w:val="en-US" w:eastAsia="zh-CN" w:bidi="ar-SA"/>
              </w:rPr>
            </w:pPr>
            <w:r>
              <w:rPr>
                <w:rFonts w:hint="eastAsia" w:ascii="Times New Roman" w:hAnsi="Times New Roman" w:eastAsia="宋体" w:cs="Times New Roman"/>
                <w:kern w:val="2"/>
                <w:sz w:val="24"/>
                <w:szCs w:val="24"/>
                <w:u w:val="none" w:color="auto"/>
                <w:lang w:val="en-US" w:eastAsia="zh-CN" w:bidi="ar-SA"/>
              </w:rPr>
              <w:t>废气</w:t>
            </w:r>
          </w:p>
          <w:p w14:paraId="2DC674C7">
            <w:pPr>
              <w:spacing w:line="360" w:lineRule="auto"/>
              <w:ind w:firstLine="320" w:firstLineChars="100"/>
              <w:jc w:val="left"/>
              <w:rPr>
                <w:color w:val="auto"/>
                <w:sz w:val="24"/>
                <w:highlight w:val="none"/>
                <w:u w:val="none"/>
              </w:rPr>
            </w:pPr>
            <w:r>
              <w:rPr>
                <w:rFonts w:hint="eastAsia"/>
                <w:b w:val="0"/>
                <w:bCs w:val="0"/>
                <w:color w:val="auto"/>
                <w:sz w:val="32"/>
                <w:highlight w:val="none"/>
                <w:u w:val="none"/>
                <w:lang w:val="en-US" w:eastAsia="zh-CN"/>
              </w:rPr>
              <w:t xml:space="preserve"> </w:t>
            </w:r>
            <w:r>
              <w:rPr>
                <w:rFonts w:hint="eastAsia"/>
                <w:b/>
                <w:bCs/>
                <w:color w:val="auto"/>
                <w:sz w:val="24"/>
                <w:highlight w:val="none"/>
                <w:u w:val="none"/>
                <w:lang w:val="en-US" w:eastAsia="zh-CN"/>
              </w:rPr>
              <w:t>1</w:t>
            </w:r>
            <w:r>
              <w:rPr>
                <w:rFonts w:hint="eastAsia"/>
                <w:b/>
                <w:bCs/>
                <w:color w:val="auto"/>
                <w:sz w:val="24"/>
                <w:highlight w:val="none"/>
                <w:u w:val="none"/>
              </w:rPr>
              <w:t>）注塑废气</w:t>
            </w:r>
          </w:p>
          <w:p w14:paraId="545A4218">
            <w:pPr>
              <w:pStyle w:val="34"/>
              <w:spacing w:line="360" w:lineRule="auto"/>
              <w:ind w:left="0" w:leftChars="0" w:firstLine="480"/>
              <w:rPr>
                <w:rFonts w:hint="eastAsia"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项目酚醛树脂用量为45吨，则非甲烷总烃产生量为0.1215t/a，</w:t>
            </w:r>
            <w:r>
              <w:rPr>
                <w:rFonts w:hint="default" w:ascii="Times New Roman" w:hAnsi="Times New Roman" w:eastAsia="宋体" w:cs="Times New Roman"/>
                <w:color w:val="auto"/>
                <w:sz w:val="24"/>
                <w:highlight w:val="none"/>
                <w:lang w:val="zh-CN" w:eastAsia="zh-CN"/>
              </w:rPr>
              <w:t>在</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lang w:val="zh-CN" w:eastAsia="zh-CN"/>
              </w:rPr>
              <w:t>台注塑机上方分别设置集气罩（共</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lang w:val="zh-CN" w:eastAsia="zh-CN"/>
              </w:rPr>
              <w:t>个集气罩），集气罩收集效率应达到</w:t>
            </w:r>
            <w:r>
              <w:rPr>
                <w:rFonts w:hint="eastAsia" w:cs="Times New Roman"/>
                <w:color w:val="auto"/>
                <w:sz w:val="24"/>
                <w:highlight w:val="none"/>
                <w:lang w:val="en-US" w:eastAsia="zh-CN"/>
              </w:rPr>
              <w:t>90</w:t>
            </w:r>
            <w:r>
              <w:rPr>
                <w:rFonts w:hint="default" w:ascii="Times New Roman" w:hAnsi="Times New Roman" w:eastAsia="宋体" w:cs="Times New Roman"/>
                <w:color w:val="auto"/>
                <w:sz w:val="24"/>
                <w:highlight w:val="none"/>
                <w:lang w:val="zh-CN" w:eastAsia="zh-CN"/>
              </w:rPr>
              <w:t>%，终端设置1套活性炭吸附处理装置</w:t>
            </w:r>
            <w:r>
              <w:rPr>
                <w:rFonts w:hint="eastAsia" w:ascii="Times New Roman" w:hAnsi="Times New Roman" w:eastAsia="宋体" w:cs="Times New Roman"/>
                <w:color w:val="auto"/>
                <w:sz w:val="24"/>
                <w:highlight w:val="none"/>
                <w:lang w:val="zh-CN" w:eastAsia="zh-CN"/>
              </w:rPr>
              <w:t>，</w:t>
            </w:r>
            <w:r>
              <w:rPr>
                <w:rFonts w:hint="default" w:ascii="Times New Roman" w:hAnsi="Times New Roman" w:eastAsia="宋体" w:cs="Times New Roman"/>
                <w:color w:val="auto"/>
                <w:sz w:val="24"/>
                <w:highlight w:val="none"/>
                <w:lang w:val="zh-CN" w:eastAsia="zh-CN"/>
              </w:rPr>
              <w:t>经集气罩收集后引至活性炭吸附装置进行处理，处理后引至</w:t>
            </w:r>
            <w:r>
              <w:rPr>
                <w:rFonts w:hint="eastAsia" w:cs="Times New Roman"/>
                <w:color w:val="auto"/>
                <w:sz w:val="24"/>
                <w:highlight w:val="none"/>
                <w:lang w:val="en-US" w:eastAsia="zh-CN"/>
              </w:rPr>
              <w:t>25</w:t>
            </w:r>
            <w:r>
              <w:rPr>
                <w:rFonts w:hint="default" w:ascii="Times New Roman" w:hAnsi="Times New Roman" w:eastAsia="宋体" w:cs="Times New Roman"/>
                <w:color w:val="auto"/>
                <w:sz w:val="24"/>
                <w:highlight w:val="none"/>
                <w:lang w:val="zh-CN" w:eastAsia="zh-CN"/>
              </w:rPr>
              <w:t>m高排气筒</w:t>
            </w:r>
            <w:r>
              <w:rPr>
                <w:rFonts w:hint="eastAsia" w:ascii="Times New Roman" w:hAnsi="Times New Roman" w:eastAsia="宋体" w:cs="Times New Roman"/>
                <w:color w:val="auto"/>
                <w:sz w:val="24"/>
                <w:highlight w:val="none"/>
                <w:lang w:val="zh-CN" w:eastAsia="zh-CN"/>
              </w:rPr>
              <w:t>（</w:t>
            </w:r>
            <w:r>
              <w:rPr>
                <w:rFonts w:hint="eastAsia" w:ascii="Times New Roman" w:hAnsi="Times New Roman" w:eastAsia="宋体" w:cs="Times New Roman"/>
                <w:color w:val="auto"/>
                <w:sz w:val="24"/>
                <w:highlight w:val="none"/>
                <w:lang w:val="en-US" w:eastAsia="zh-CN"/>
              </w:rPr>
              <w:t>DA001）</w:t>
            </w:r>
            <w:r>
              <w:rPr>
                <w:rFonts w:hint="default" w:ascii="Times New Roman" w:hAnsi="Times New Roman" w:eastAsia="宋体" w:cs="Times New Roman"/>
                <w:color w:val="auto"/>
                <w:sz w:val="24"/>
                <w:highlight w:val="none"/>
                <w:lang w:val="zh-CN" w:eastAsia="zh-CN"/>
              </w:rPr>
              <w:t>排放</w:t>
            </w:r>
            <w:r>
              <w:rPr>
                <w:rFonts w:hint="eastAsia" w:ascii="Times New Roman" w:hAnsi="Times New Roman" w:eastAsia="宋体" w:cs="Times New Roman"/>
                <w:color w:val="auto"/>
                <w:sz w:val="24"/>
                <w:highlight w:val="none"/>
                <w:lang w:val="zh-CN" w:eastAsia="zh-CN"/>
              </w:rPr>
              <w:t>。</w:t>
            </w:r>
            <w:r>
              <w:rPr>
                <w:rFonts w:hint="eastAsia" w:ascii="Times New Roman" w:hAnsi="Times New Roman" w:eastAsia="宋体" w:cs="Times New Roman"/>
                <w:color w:val="auto"/>
                <w:sz w:val="24"/>
                <w:highlight w:val="none"/>
                <w:lang w:val="en-US" w:eastAsia="zh-CN"/>
              </w:rPr>
              <w:t>非甲烷总烃排放量是0.063</w:t>
            </w:r>
            <w:r>
              <w:rPr>
                <w:rFonts w:hint="default" w:ascii="Times New Roman" w:hAnsi="Times New Roman" w:eastAsia="宋体" w:cs="Times New Roman"/>
                <w:color w:val="auto"/>
                <w:sz w:val="24"/>
                <w:szCs w:val="24"/>
                <w:highlight w:val="none"/>
                <w:u w:val="none"/>
                <w:lang w:val="en-US" w:eastAsia="zh-CN"/>
              </w:rPr>
              <w:t>t/a</w:t>
            </w:r>
            <w:r>
              <w:rPr>
                <w:rFonts w:hint="eastAsia" w:ascii="Times New Roman" w:hAnsi="Times New Roman" w:eastAsia="宋体" w:cs="Times New Roman"/>
                <w:color w:val="auto"/>
                <w:sz w:val="24"/>
                <w:szCs w:val="24"/>
                <w:highlight w:val="none"/>
                <w:u w:val="none"/>
                <w:lang w:val="en-US" w:eastAsia="zh-CN"/>
              </w:rPr>
              <w:t>。</w:t>
            </w:r>
          </w:p>
          <w:p w14:paraId="2EA26EF0">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Times New Roman" w:hAnsi="Times New Roman" w:eastAsia="宋体" w:cs="Times New Roman"/>
                <w:b/>
                <w:bCs/>
                <w:color w:val="auto"/>
                <w:sz w:val="24"/>
                <w:highlight w:val="none"/>
                <w:lang w:val="en-US" w:eastAsia="zh-CN"/>
              </w:rPr>
            </w:pPr>
            <w:r>
              <w:rPr>
                <w:rFonts w:hint="eastAsia"/>
                <w:b/>
                <w:bCs/>
                <w:color w:val="auto"/>
                <w:sz w:val="24"/>
                <w:highlight w:val="none"/>
                <w:u w:val="none"/>
                <w:lang w:val="en-US" w:eastAsia="zh-CN"/>
              </w:rPr>
              <w:t>2）</w:t>
            </w:r>
            <w:r>
              <w:rPr>
                <w:rFonts w:hint="default" w:ascii="Times New Roman" w:hAnsi="Times New Roman" w:eastAsia="宋体" w:cs="Times New Roman"/>
                <w:b/>
                <w:bCs/>
                <w:color w:val="auto"/>
                <w:sz w:val="24"/>
                <w:highlight w:val="none"/>
                <w:lang w:val="zh-CN" w:eastAsia="zh-CN"/>
              </w:rPr>
              <w:t>喷砂粉尘</w:t>
            </w:r>
          </w:p>
          <w:p w14:paraId="22093451">
            <w:pPr>
              <w:spacing w:line="360" w:lineRule="auto"/>
              <w:ind w:firstLine="480" w:firstLineChars="200"/>
              <w:rPr>
                <w:rFonts w:hint="eastAsia" w:ascii="Times New Roman" w:hAnsi="Times New Roman" w:eastAsia="宋体" w:cs="Times New Roman"/>
                <w:color w:val="auto"/>
                <w:kern w:val="0"/>
                <w:sz w:val="24"/>
                <w:szCs w:val="20"/>
                <w:highlight w:val="none"/>
                <w:lang w:val="zh-CN" w:eastAsia="zh-CN" w:bidi="ar-SA"/>
              </w:rPr>
            </w:pPr>
            <w:r>
              <w:rPr>
                <w:rFonts w:hint="default" w:ascii="Times New Roman" w:hAnsi="Times New Roman" w:eastAsia="宋体" w:cs="Times New Roman"/>
                <w:color w:val="auto"/>
                <w:kern w:val="0"/>
                <w:sz w:val="24"/>
                <w:szCs w:val="20"/>
                <w:highlight w:val="none"/>
                <w:lang w:val="zh-CN" w:eastAsia="zh-CN" w:bidi="ar-SA"/>
              </w:rPr>
              <w:t>项目使用喷砂机对塑胶件进行</w:t>
            </w:r>
            <w:r>
              <w:rPr>
                <w:rFonts w:hint="eastAsia" w:ascii="Times New Roman" w:hAnsi="Times New Roman" w:eastAsia="宋体" w:cs="Times New Roman"/>
                <w:color w:val="auto"/>
                <w:kern w:val="0"/>
                <w:sz w:val="24"/>
                <w:szCs w:val="20"/>
                <w:highlight w:val="none"/>
                <w:lang w:val="en-US" w:eastAsia="zh-CN" w:bidi="ar-SA"/>
              </w:rPr>
              <w:t>打磨</w:t>
            </w:r>
            <w:r>
              <w:rPr>
                <w:rFonts w:hint="default" w:ascii="Times New Roman" w:hAnsi="Times New Roman" w:eastAsia="宋体" w:cs="Times New Roman"/>
                <w:color w:val="auto"/>
                <w:kern w:val="0"/>
                <w:sz w:val="24"/>
                <w:szCs w:val="20"/>
                <w:highlight w:val="none"/>
                <w:lang w:val="zh-CN" w:eastAsia="zh-CN" w:bidi="ar-SA"/>
              </w:rPr>
              <w:t>，去除</w:t>
            </w:r>
            <w:r>
              <w:rPr>
                <w:rFonts w:hint="eastAsia" w:ascii="Times New Roman" w:hAnsi="Times New Roman" w:eastAsia="宋体" w:cs="Times New Roman"/>
                <w:color w:val="auto"/>
                <w:kern w:val="0"/>
                <w:sz w:val="24"/>
                <w:szCs w:val="20"/>
                <w:highlight w:val="none"/>
                <w:lang w:val="en-US" w:eastAsia="zh-CN" w:bidi="ar-SA"/>
              </w:rPr>
              <w:t>毛刺，产出</w:t>
            </w:r>
            <w:r>
              <w:rPr>
                <w:rFonts w:hint="default" w:ascii="Times New Roman" w:hAnsi="Times New Roman" w:eastAsia="宋体" w:cs="Times New Roman"/>
                <w:color w:val="auto"/>
                <w:kern w:val="0"/>
                <w:sz w:val="24"/>
                <w:szCs w:val="20"/>
                <w:highlight w:val="none"/>
                <w:lang w:val="zh-CN" w:eastAsia="zh-CN" w:bidi="ar-SA"/>
              </w:rPr>
              <w:t>边角料。喷砂机为封闭设施，颗粒物产生量为0.</w:t>
            </w:r>
            <w:r>
              <w:rPr>
                <w:rFonts w:hint="eastAsia" w:ascii="Times New Roman" w:hAnsi="Times New Roman" w:eastAsia="宋体" w:cs="Times New Roman"/>
                <w:color w:val="auto"/>
                <w:kern w:val="0"/>
                <w:sz w:val="24"/>
                <w:szCs w:val="20"/>
                <w:highlight w:val="none"/>
                <w:lang w:val="en-US" w:eastAsia="zh-CN" w:bidi="ar-SA"/>
              </w:rPr>
              <w:t>45</w:t>
            </w:r>
            <w:r>
              <w:rPr>
                <w:rFonts w:hint="default" w:ascii="Times New Roman" w:hAnsi="Times New Roman" w:eastAsia="宋体" w:cs="Times New Roman"/>
                <w:color w:val="auto"/>
                <w:kern w:val="0"/>
                <w:sz w:val="24"/>
                <w:szCs w:val="20"/>
                <w:highlight w:val="none"/>
                <w:lang w:val="zh-CN" w:eastAsia="zh-CN" w:bidi="ar-SA"/>
              </w:rPr>
              <w:t>t/a，喷砂机自带旋风除尘系统，根据《工业污染源产排污系数手册》，旋风除尘处理效率78%（0.</w:t>
            </w:r>
            <w:r>
              <w:rPr>
                <w:rFonts w:hint="eastAsia" w:ascii="Times New Roman" w:hAnsi="Times New Roman" w:eastAsia="宋体" w:cs="Times New Roman"/>
                <w:color w:val="auto"/>
                <w:kern w:val="0"/>
                <w:sz w:val="24"/>
                <w:szCs w:val="20"/>
                <w:highlight w:val="none"/>
                <w:lang w:val="en-US" w:eastAsia="zh-CN" w:bidi="ar-SA"/>
              </w:rPr>
              <w:t>351</w:t>
            </w:r>
            <w:r>
              <w:rPr>
                <w:rFonts w:hint="default" w:ascii="Times New Roman" w:hAnsi="Times New Roman" w:eastAsia="宋体" w:cs="Times New Roman"/>
                <w:color w:val="auto"/>
                <w:kern w:val="0"/>
                <w:sz w:val="24"/>
                <w:szCs w:val="20"/>
                <w:highlight w:val="none"/>
                <w:lang w:val="zh-CN" w:eastAsia="zh-CN" w:bidi="ar-SA"/>
              </w:rPr>
              <w:t>t/a），喷砂粉尘经除尘器收集至集尘箱内，集尘箱定期清扫，边角料暂存于一般固废点定期交物资回收单位处置</w:t>
            </w:r>
            <w:r>
              <w:rPr>
                <w:rFonts w:hint="eastAsia" w:ascii="Times New Roman" w:hAnsi="Times New Roman" w:eastAsia="宋体" w:cs="Times New Roman"/>
                <w:color w:val="auto"/>
                <w:kern w:val="0"/>
                <w:sz w:val="24"/>
                <w:szCs w:val="20"/>
                <w:highlight w:val="none"/>
                <w:lang w:val="zh-CN" w:eastAsia="zh-CN" w:bidi="ar-SA"/>
              </w:rPr>
              <w:t>，</w:t>
            </w:r>
            <w:r>
              <w:rPr>
                <w:rFonts w:hint="default" w:ascii="Times New Roman" w:hAnsi="Times New Roman" w:eastAsia="宋体" w:cs="Times New Roman"/>
                <w:color w:val="auto"/>
                <w:kern w:val="0"/>
                <w:sz w:val="24"/>
                <w:szCs w:val="20"/>
                <w:highlight w:val="none"/>
                <w:lang w:val="zh-CN" w:eastAsia="zh-CN" w:bidi="ar-SA"/>
              </w:rPr>
              <w:t>22%未处理部分（0.0</w:t>
            </w:r>
            <w:r>
              <w:rPr>
                <w:rFonts w:hint="eastAsia" w:ascii="Times New Roman" w:hAnsi="Times New Roman" w:eastAsia="宋体" w:cs="Times New Roman"/>
                <w:color w:val="auto"/>
                <w:kern w:val="0"/>
                <w:sz w:val="24"/>
                <w:szCs w:val="20"/>
                <w:highlight w:val="none"/>
                <w:lang w:val="en-US" w:eastAsia="zh-CN" w:bidi="ar-SA"/>
              </w:rPr>
              <w:t>99</w:t>
            </w:r>
            <w:r>
              <w:rPr>
                <w:rFonts w:hint="default" w:ascii="Times New Roman" w:hAnsi="Times New Roman" w:eastAsia="宋体" w:cs="Times New Roman"/>
                <w:color w:val="auto"/>
                <w:kern w:val="0"/>
                <w:sz w:val="24"/>
                <w:szCs w:val="20"/>
                <w:highlight w:val="none"/>
                <w:lang w:val="zh-CN" w:eastAsia="zh-CN" w:bidi="ar-SA"/>
              </w:rPr>
              <w:t xml:space="preserve"> t/a）由喷砂机上方自带管道无组织排放</w:t>
            </w:r>
            <w:r>
              <w:rPr>
                <w:rFonts w:hint="eastAsia" w:ascii="Times New Roman" w:hAnsi="Times New Roman" w:eastAsia="宋体" w:cs="Times New Roman"/>
                <w:color w:val="auto"/>
                <w:kern w:val="0"/>
                <w:sz w:val="24"/>
                <w:szCs w:val="20"/>
                <w:highlight w:val="none"/>
                <w:lang w:val="zh-CN" w:eastAsia="zh-CN" w:bidi="ar-SA"/>
              </w:rPr>
              <w:t>。</w:t>
            </w:r>
          </w:p>
          <w:p w14:paraId="34D92D35">
            <w:pPr>
              <w:tabs>
                <w:tab w:val="right" w:pos="8675"/>
              </w:tabs>
              <w:spacing w:line="360" w:lineRule="auto"/>
              <w:ind w:firstLine="482" w:firstLineChars="200"/>
              <w:rPr>
                <w:rFonts w:hint="eastAsia" w:ascii="Times New Roman" w:hAnsi="Times New Roman" w:eastAsia="宋体"/>
                <w:b/>
                <w:bCs/>
                <w:sz w:val="24"/>
                <w:highlight w:val="none"/>
                <w:lang w:val="en-US" w:eastAsia="zh-CN"/>
              </w:rPr>
            </w:pPr>
            <w:r>
              <w:rPr>
                <w:rFonts w:hint="eastAsia"/>
                <w:b/>
                <w:bCs/>
                <w:color w:val="auto"/>
                <w:sz w:val="24"/>
                <w:highlight w:val="none"/>
                <w:u w:val="none"/>
                <w:lang w:val="en-US" w:eastAsia="zh-CN"/>
              </w:rPr>
              <w:t>3）</w:t>
            </w:r>
            <w:r>
              <w:rPr>
                <w:rFonts w:hint="eastAsia" w:ascii="Times New Roman" w:hAnsi="Times New Roman"/>
                <w:b/>
                <w:bCs/>
                <w:sz w:val="24"/>
                <w:highlight w:val="none"/>
                <w:lang w:val="en-US" w:eastAsia="zh-CN"/>
              </w:rPr>
              <w:t>点胶烘干、</w:t>
            </w:r>
            <w:r>
              <w:rPr>
                <w:rFonts w:ascii="Times New Roman" w:hAnsi="Times New Roman"/>
                <w:b/>
                <w:bCs/>
                <w:sz w:val="24"/>
                <w:highlight w:val="none"/>
                <w:lang w:val="zh-CN"/>
              </w:rPr>
              <w:t>焊锡</w:t>
            </w:r>
            <w:r>
              <w:rPr>
                <w:rFonts w:hint="eastAsia" w:ascii="Times New Roman" w:hAnsi="Times New Roman"/>
                <w:b/>
                <w:bCs/>
                <w:sz w:val="24"/>
                <w:highlight w:val="none"/>
                <w:lang w:val="zh-CN"/>
              </w:rPr>
              <w:t>、</w:t>
            </w:r>
            <w:r>
              <w:rPr>
                <w:rFonts w:hint="eastAsia" w:ascii="Times New Roman" w:hAnsi="Times New Roman"/>
                <w:b/>
                <w:bCs/>
                <w:sz w:val="24"/>
                <w:highlight w:val="none"/>
                <w:lang w:val="en-US" w:eastAsia="zh-CN"/>
              </w:rPr>
              <w:t>激光印字</w:t>
            </w:r>
            <w:r>
              <w:rPr>
                <w:rFonts w:ascii="Times New Roman" w:hAnsi="Times New Roman"/>
                <w:b/>
                <w:bCs/>
                <w:sz w:val="24"/>
                <w:highlight w:val="none"/>
                <w:lang w:val="zh-CN"/>
              </w:rPr>
              <w:t>废气</w:t>
            </w:r>
          </w:p>
          <w:p w14:paraId="6AE50304">
            <w:pPr>
              <w:pStyle w:val="17"/>
              <w:spacing w:line="360" w:lineRule="auto"/>
              <w:ind w:firstLine="480" w:firstLineChars="200"/>
              <w:rPr>
                <w:rFonts w:hint="eastAsia" w:ascii="Times New Roman" w:hAnsi="Times New Roman" w:eastAsia="宋体" w:cs="Times New Roman"/>
                <w:color w:val="auto"/>
                <w:kern w:val="0"/>
                <w:sz w:val="24"/>
                <w:szCs w:val="20"/>
                <w:highlight w:val="none"/>
                <w:lang w:val="en-US" w:eastAsia="zh-CN" w:bidi="ar-SA"/>
              </w:rPr>
            </w:pPr>
            <w:r>
              <w:rPr>
                <w:rFonts w:hint="default" w:ascii="Times New Roman" w:hAnsi="Times New Roman" w:cs="Times New Roman"/>
                <w:b w:val="0"/>
                <w:bCs w:val="0"/>
                <w:sz w:val="24"/>
                <w:szCs w:val="24"/>
                <w:highlight w:val="none"/>
                <w:shd w:val="clear" w:color="auto" w:fill="FFFFFF"/>
                <w:lang w:val="en-US" w:eastAsia="zh-CN"/>
              </w:rPr>
              <w:t>①</w:t>
            </w:r>
            <w:r>
              <w:rPr>
                <w:rFonts w:hint="eastAsia" w:ascii="Times New Roman" w:hAnsi="Times New Roman"/>
                <w:b w:val="0"/>
                <w:bCs w:val="0"/>
                <w:sz w:val="24"/>
                <w:szCs w:val="24"/>
                <w:highlight w:val="none"/>
                <w:shd w:val="clear" w:color="auto" w:fill="FFFFFF"/>
                <w:lang w:val="en-US" w:eastAsia="zh-CN"/>
              </w:rPr>
              <w:t>点胶烘干</w:t>
            </w:r>
            <w:r>
              <w:rPr>
                <w:rFonts w:hint="eastAsia" w:ascii="Times New Roman" w:hAnsi="Times New Roman"/>
                <w:b/>
                <w:bCs/>
                <w:sz w:val="24"/>
                <w:szCs w:val="24"/>
                <w:highlight w:val="none"/>
                <w:shd w:val="clear" w:color="auto" w:fill="FFFFFF"/>
                <w:lang w:val="en-US" w:eastAsia="zh-CN"/>
              </w:rPr>
              <w:t>：</w:t>
            </w:r>
            <w:r>
              <w:rPr>
                <w:rFonts w:hint="eastAsia" w:ascii="Times New Roman" w:hAnsi="Times New Roman" w:eastAsia="宋体" w:cs="Times New Roman"/>
                <w:color w:val="auto"/>
                <w:kern w:val="0"/>
                <w:sz w:val="24"/>
                <w:szCs w:val="20"/>
                <w:highlight w:val="none"/>
                <w:lang w:val="en-US" w:eastAsia="zh-CN" w:bidi="ar-SA"/>
              </w:rPr>
              <w:t>项目使用的黑胶主要成分为聚有机硅氧烷30%-40%，氧化铝20%-30%，二氧化硅20%-30%，炭黑＜0.5%，铂金催化剂＜0.5%，黑胶组分均不挥发。拟建项目点凡立水、烘烤工序会产生有机废气，以非甲烷总烃计。凡立水主要成分为石油提炼树脂42%，环保溶剂油32%，固化剂10%，添加剂14%，流平剂2%。流平剂主要是表面活性剂，有机溶剂等，凡立水中挥发部分为环保溶剂油和流平剂，占比34%，项目年使用凡立水0.68t/a，考虑挥发物质全部挥发，则非甲烷总烃产生量为0.231t/a。</w:t>
            </w:r>
          </w:p>
          <w:p w14:paraId="4760C392">
            <w:pPr>
              <w:pStyle w:val="17"/>
              <w:spacing w:line="360" w:lineRule="auto"/>
              <w:ind w:firstLine="480" w:firstLineChars="200"/>
              <w:rPr>
                <w:rFonts w:hint="default" w:ascii="Times New Roman" w:hAnsi="Times New Roman" w:eastAsia="宋体" w:cs="Times New Roman"/>
                <w:color w:val="auto"/>
                <w:kern w:val="0"/>
                <w:sz w:val="24"/>
                <w:szCs w:val="20"/>
                <w:highlight w:val="none"/>
                <w:lang w:val="zh-CN" w:eastAsia="zh-CN" w:bidi="ar-SA"/>
              </w:rPr>
            </w:pPr>
            <w:r>
              <w:rPr>
                <w:rFonts w:hint="default" w:ascii="Times New Roman" w:hAnsi="Times New Roman" w:eastAsia="宋体" w:cs="Times New Roman"/>
                <w:color w:val="auto"/>
                <w:kern w:val="0"/>
                <w:sz w:val="24"/>
                <w:szCs w:val="20"/>
                <w:highlight w:val="none"/>
                <w:lang w:val="en-US" w:eastAsia="zh-CN" w:bidi="ar-SA"/>
              </w:rPr>
              <w:t>②焊</w:t>
            </w:r>
            <w:r>
              <w:rPr>
                <w:rFonts w:hint="eastAsia" w:ascii="Times New Roman" w:hAnsi="Times New Roman" w:eastAsia="宋体" w:cs="Times New Roman"/>
                <w:color w:val="auto"/>
                <w:kern w:val="0"/>
                <w:sz w:val="24"/>
                <w:szCs w:val="20"/>
                <w:highlight w:val="none"/>
                <w:lang w:val="en-US" w:eastAsia="zh-CN" w:bidi="ar-SA"/>
              </w:rPr>
              <w:t>接</w:t>
            </w:r>
            <w:r>
              <w:rPr>
                <w:rFonts w:hint="default" w:ascii="Times New Roman" w:hAnsi="Times New Roman" w:eastAsia="宋体" w:cs="Times New Roman"/>
                <w:color w:val="auto"/>
                <w:kern w:val="0"/>
                <w:sz w:val="24"/>
                <w:szCs w:val="20"/>
                <w:highlight w:val="none"/>
                <w:lang w:val="en-US" w:eastAsia="zh-CN" w:bidi="ar-SA"/>
              </w:rPr>
              <w:t>：项目全自动锡炉共4台，电烙铁30台，自动焊接机1台，焊锡过程会产生焊接废气，包括焊接烟尘、非甲烷总烃</w:t>
            </w:r>
            <w:r>
              <w:rPr>
                <w:rFonts w:hint="eastAsia" w:ascii="Times New Roman" w:hAnsi="Times New Roman" w:eastAsia="宋体" w:cs="Times New Roman"/>
                <w:color w:val="auto"/>
                <w:kern w:val="0"/>
                <w:sz w:val="24"/>
                <w:szCs w:val="20"/>
                <w:highlight w:val="none"/>
                <w:lang w:val="en-US" w:eastAsia="zh-CN" w:bidi="ar-SA"/>
              </w:rPr>
              <w:t>。</w:t>
            </w:r>
            <w:r>
              <w:rPr>
                <w:rFonts w:ascii="Times New Roman" w:hAnsi="Times New Roman"/>
                <w:color w:val="auto"/>
                <w:sz w:val="24"/>
                <w:highlight w:val="none"/>
                <w:lang w:val="zh-CN"/>
              </w:rPr>
              <w:t>项目电子接插件生产年使用无铅</w:t>
            </w:r>
            <w:r>
              <w:rPr>
                <w:rFonts w:hint="eastAsia"/>
                <w:color w:val="auto"/>
                <w:sz w:val="24"/>
                <w:highlight w:val="none"/>
                <w:lang w:val="en-US" w:eastAsia="zh-CN"/>
              </w:rPr>
              <w:t>锡丝</w:t>
            </w:r>
            <w:r>
              <w:rPr>
                <w:rFonts w:ascii="Times New Roman" w:hAnsi="Times New Roman"/>
                <w:color w:val="auto"/>
                <w:sz w:val="24"/>
                <w:highlight w:val="none"/>
                <w:lang w:val="zh-CN"/>
              </w:rPr>
              <w:t>和助焊剂量约为0.</w:t>
            </w:r>
            <w:r>
              <w:rPr>
                <w:rFonts w:hint="eastAsia" w:ascii="Times New Roman" w:hAnsi="Times New Roman"/>
                <w:color w:val="auto"/>
                <w:sz w:val="24"/>
                <w:highlight w:val="none"/>
                <w:lang w:val="en-US" w:eastAsia="zh-CN"/>
              </w:rPr>
              <w:t>66</w:t>
            </w:r>
            <w:r>
              <w:rPr>
                <w:rFonts w:ascii="Times New Roman" w:hAnsi="Times New Roman"/>
                <w:color w:val="auto"/>
                <w:sz w:val="24"/>
                <w:highlight w:val="none"/>
                <w:lang w:val="zh-CN"/>
              </w:rPr>
              <w:t>t和</w:t>
            </w:r>
            <w:r>
              <w:rPr>
                <w:rFonts w:hint="eastAsia" w:ascii="Times New Roman" w:hAnsi="Times New Roman"/>
                <w:color w:val="auto"/>
                <w:sz w:val="24"/>
                <w:highlight w:val="none"/>
                <w:lang w:val="en-US" w:eastAsia="zh-CN"/>
              </w:rPr>
              <w:t>1.401</w:t>
            </w:r>
            <w:r>
              <w:rPr>
                <w:rFonts w:ascii="Times New Roman" w:hAnsi="Times New Roman"/>
                <w:color w:val="auto"/>
                <w:sz w:val="24"/>
                <w:highlight w:val="none"/>
                <w:lang w:val="zh-CN"/>
              </w:rPr>
              <w:t>t</w:t>
            </w:r>
            <w:r>
              <w:rPr>
                <w:rFonts w:ascii="Times New Roman" w:hAnsi="Times New Roman"/>
                <w:color w:val="auto"/>
                <w:spacing w:val="-4"/>
                <w:sz w:val="24"/>
                <w:szCs w:val="24"/>
                <w:highlight w:val="none"/>
              </w:rPr>
              <w:t>。常温下，参考《焊接工作的劳动保护》中“各焊接工艺及焊条烟尘产尘量”，烟尘产尘量取10g/kg，则焊接烟尘产生量为</w:t>
            </w:r>
            <w:r>
              <w:rPr>
                <w:rFonts w:ascii="Times New Roman" w:hAnsi="Times New Roman"/>
                <w:color w:val="auto"/>
                <w:sz w:val="24"/>
                <w:highlight w:val="none"/>
                <w:lang w:val="zh-CN"/>
              </w:rPr>
              <w:t xml:space="preserve"> 0.00</w:t>
            </w:r>
            <w:r>
              <w:rPr>
                <w:rFonts w:hint="eastAsia" w:ascii="Times New Roman" w:hAnsi="Times New Roman"/>
                <w:color w:val="auto"/>
                <w:sz w:val="24"/>
                <w:highlight w:val="none"/>
                <w:lang w:val="en-US" w:eastAsia="zh-CN"/>
              </w:rPr>
              <w:t>7</w:t>
            </w:r>
            <w:r>
              <w:rPr>
                <w:rFonts w:ascii="Times New Roman" w:hAnsi="Times New Roman"/>
                <w:color w:val="auto"/>
                <w:sz w:val="24"/>
                <w:highlight w:val="none"/>
                <w:lang w:val="zh-CN"/>
              </w:rPr>
              <w:t>t/a；考虑助焊剂中醇类溶剂等挥发性物质</w:t>
            </w:r>
            <w:r>
              <w:rPr>
                <w:rFonts w:ascii="Times New Roman" w:hAnsi="Times New Roman"/>
                <w:sz w:val="24"/>
                <w:highlight w:val="none"/>
                <w:lang w:val="zh-CN"/>
              </w:rPr>
              <w:t>完全挥发（本次评价助焊剂中挥发性有机物含量以88%计），污染物以非甲烷总烃计，则废气中非甲烷总烃产生量为</w:t>
            </w:r>
            <w:r>
              <w:rPr>
                <w:rFonts w:hint="eastAsia" w:ascii="Times New Roman" w:hAnsi="Times New Roman"/>
                <w:sz w:val="24"/>
                <w:highlight w:val="none"/>
                <w:lang w:val="en-US" w:eastAsia="zh-CN"/>
              </w:rPr>
              <w:t>1.232</w:t>
            </w:r>
            <w:r>
              <w:rPr>
                <w:rFonts w:ascii="Times New Roman" w:hAnsi="Times New Roman"/>
                <w:sz w:val="24"/>
                <w:highlight w:val="none"/>
                <w:lang w:val="zh-CN"/>
              </w:rPr>
              <w:t>t/a。</w:t>
            </w:r>
          </w:p>
          <w:p w14:paraId="5B9CD3A3">
            <w:pPr>
              <w:pStyle w:val="17"/>
              <w:spacing w:after="0" w:afterAutospacing="0" w:line="360" w:lineRule="auto"/>
              <w:ind w:firstLine="480" w:firstLineChars="200"/>
              <w:rPr>
                <w:rFonts w:hint="default" w:ascii="Times New Roman" w:hAnsi="Times New Roman" w:eastAsia="宋体" w:cs="Times New Roman"/>
                <w:color w:val="auto"/>
                <w:kern w:val="0"/>
                <w:sz w:val="24"/>
                <w:szCs w:val="20"/>
                <w:highlight w:val="none"/>
                <w:lang w:val="en-US" w:eastAsia="zh-CN" w:bidi="ar-SA"/>
              </w:rPr>
            </w:pPr>
            <w:r>
              <w:rPr>
                <w:rFonts w:hint="default" w:ascii="Times New Roman" w:hAnsi="Times New Roman" w:eastAsia="宋体" w:cs="Times New Roman"/>
                <w:color w:val="auto"/>
                <w:kern w:val="0"/>
                <w:sz w:val="24"/>
                <w:szCs w:val="20"/>
                <w:highlight w:val="none"/>
                <w:lang w:val="en-US" w:eastAsia="zh-CN" w:bidi="ar-SA"/>
              </w:rPr>
              <w:t>③激光印字：拟建项目激光印字工位共2个，激光印字过程会产生少量烟尘，胶壳产量约45t/a，其中自用的胶壳需要刻字，占总产量53%，刻字较小，根据业主生产经营经验，刻字工序前后对比工件重量的变化值估算为0.1%，考虑减少的物质全部为颗粒物，则颗粒物产生量按0.1%计，为0.024t/a，产生量较少。</w:t>
            </w:r>
          </w:p>
          <w:p w14:paraId="7B0BE5D3">
            <w:pPr>
              <w:pStyle w:val="17"/>
              <w:spacing w:beforeAutospacing="0" w:line="360" w:lineRule="auto"/>
              <w:ind w:firstLine="480" w:firstLineChars="200"/>
              <w:rPr>
                <w:rFonts w:hint="eastAsia" w:ascii="Times New Roman" w:hAnsi="Times New Roman" w:eastAsia="宋体" w:cs="Times New Roman"/>
                <w:color w:val="auto"/>
                <w:kern w:val="0"/>
                <w:sz w:val="24"/>
                <w:szCs w:val="20"/>
                <w:highlight w:val="none"/>
                <w:lang w:val="en-US" w:eastAsia="zh-CN" w:bidi="ar-SA"/>
              </w:rPr>
            </w:pPr>
            <w:r>
              <w:rPr>
                <w:rFonts w:hint="default" w:ascii="Times New Roman" w:hAnsi="Times New Roman" w:eastAsia="宋体" w:cs="Times New Roman"/>
                <w:color w:val="auto"/>
                <w:kern w:val="0"/>
                <w:sz w:val="24"/>
                <w:szCs w:val="20"/>
                <w:highlight w:val="none"/>
                <w:lang w:val="en-US" w:eastAsia="zh-CN" w:bidi="ar-SA"/>
              </w:rPr>
              <w:t>拟建项目点胶工序产生非甲烷总烃、焊锡过程产生非甲烷总烃、颗粒物（含锡及其化合物），激光印字工序产生颗粒物</w:t>
            </w:r>
            <w:r>
              <w:rPr>
                <w:rFonts w:hint="eastAsia" w:cs="Times New Roman"/>
                <w:color w:val="auto"/>
                <w:kern w:val="0"/>
                <w:sz w:val="24"/>
                <w:szCs w:val="20"/>
                <w:highlight w:val="none"/>
                <w:lang w:val="en-US" w:eastAsia="zh-CN" w:bidi="ar-SA"/>
              </w:rPr>
              <w:t>，具</w:t>
            </w:r>
            <w:r>
              <w:rPr>
                <w:rFonts w:hint="default" w:ascii="Times New Roman" w:hAnsi="Times New Roman" w:eastAsia="宋体" w:cs="Times New Roman"/>
                <w:color w:val="auto"/>
                <w:kern w:val="0"/>
                <w:sz w:val="24"/>
                <w:szCs w:val="20"/>
                <w:highlight w:val="none"/>
                <w:lang w:val="en-US" w:eastAsia="zh-CN" w:bidi="ar-SA"/>
              </w:rPr>
              <w:t>有共同污染因子，且均执行《大气污染物综合排放标准》（DB50/418-2016），综合考虑，项目2个点胶工位，30台电烙铁上方分别设置集气罩（共32个集气罩），4台全自动锡炉自带集气罩，1台自动焊接机上方排气口连接排气管道，4个烘烤工位烘箱上方排气口连接排气管道，经管道分开收集（收集效率90%），通过1套活性炭吸附处理装置处理后引至2</w:t>
            </w:r>
            <w:r>
              <w:rPr>
                <w:rFonts w:hint="eastAsia" w:ascii="Times New Roman" w:hAnsi="Times New Roman" w:eastAsia="宋体" w:cs="Times New Roman"/>
                <w:color w:val="auto"/>
                <w:kern w:val="0"/>
                <w:sz w:val="24"/>
                <w:szCs w:val="20"/>
                <w:highlight w:val="none"/>
                <w:lang w:val="en-US" w:eastAsia="zh-CN" w:bidi="ar-SA"/>
              </w:rPr>
              <w:t>5</w:t>
            </w:r>
            <w:r>
              <w:rPr>
                <w:rFonts w:hint="default" w:ascii="Times New Roman" w:hAnsi="Times New Roman" w:eastAsia="宋体" w:cs="Times New Roman"/>
                <w:color w:val="auto"/>
                <w:kern w:val="0"/>
                <w:sz w:val="24"/>
                <w:szCs w:val="20"/>
                <w:highlight w:val="none"/>
                <w:lang w:val="en-US" w:eastAsia="zh-CN" w:bidi="ar-SA"/>
              </w:rPr>
              <w:t>m高排气筒（DA002）有组织排放。拟建项目点胶、烘烤、焊锡、返修焊接工序非甲烷总烃</w:t>
            </w:r>
            <w:r>
              <w:rPr>
                <w:rFonts w:hint="eastAsia" w:ascii="Times New Roman" w:hAnsi="Times New Roman" w:eastAsia="宋体" w:cs="Times New Roman"/>
                <w:color w:val="auto"/>
                <w:kern w:val="0"/>
                <w:sz w:val="24"/>
                <w:szCs w:val="20"/>
                <w:highlight w:val="none"/>
                <w:lang w:val="en-US" w:eastAsia="zh-CN" w:bidi="ar-SA"/>
              </w:rPr>
              <w:t>排放</w:t>
            </w:r>
            <w:r>
              <w:rPr>
                <w:rFonts w:hint="default" w:ascii="Times New Roman" w:hAnsi="Times New Roman" w:eastAsia="宋体" w:cs="Times New Roman"/>
                <w:color w:val="auto"/>
                <w:kern w:val="0"/>
                <w:sz w:val="24"/>
                <w:szCs w:val="20"/>
                <w:highlight w:val="none"/>
                <w:lang w:val="en-US" w:eastAsia="zh-CN" w:bidi="ar-SA"/>
              </w:rPr>
              <w:t>总量为</w:t>
            </w:r>
            <w:r>
              <w:rPr>
                <w:rFonts w:hint="eastAsia" w:ascii="Times New Roman" w:hAnsi="Times New Roman" w:eastAsia="宋体" w:cs="Times New Roman"/>
                <w:color w:val="auto"/>
                <w:kern w:val="0"/>
                <w:sz w:val="24"/>
                <w:szCs w:val="20"/>
                <w:highlight w:val="none"/>
                <w:lang w:val="en-US" w:eastAsia="zh-CN" w:bidi="ar-SA"/>
              </w:rPr>
              <w:t>0.5305</w:t>
            </w:r>
            <w:r>
              <w:rPr>
                <w:rFonts w:hint="default" w:ascii="Times New Roman" w:hAnsi="Times New Roman" w:eastAsia="宋体" w:cs="Times New Roman"/>
                <w:color w:val="auto"/>
                <w:kern w:val="0"/>
                <w:sz w:val="24"/>
                <w:szCs w:val="20"/>
                <w:highlight w:val="none"/>
                <w:lang w:val="en-US" w:eastAsia="zh-CN" w:bidi="ar-SA"/>
              </w:rPr>
              <w:t>t/a，颗粒物约0.0</w:t>
            </w:r>
            <w:r>
              <w:rPr>
                <w:rFonts w:hint="eastAsia" w:ascii="Times New Roman" w:hAnsi="Times New Roman" w:eastAsia="宋体" w:cs="Times New Roman"/>
                <w:color w:val="auto"/>
                <w:kern w:val="0"/>
                <w:sz w:val="24"/>
                <w:szCs w:val="20"/>
                <w:highlight w:val="none"/>
                <w:lang w:val="en-US" w:eastAsia="zh-CN" w:bidi="ar-SA"/>
              </w:rPr>
              <w:t>051</w:t>
            </w:r>
            <w:r>
              <w:rPr>
                <w:rFonts w:hint="default" w:ascii="Times New Roman" w:hAnsi="Times New Roman" w:eastAsia="宋体" w:cs="Times New Roman"/>
                <w:color w:val="auto"/>
                <w:kern w:val="0"/>
                <w:sz w:val="24"/>
                <w:szCs w:val="20"/>
                <w:highlight w:val="none"/>
                <w:lang w:val="en-US" w:eastAsia="zh-CN" w:bidi="ar-SA"/>
              </w:rPr>
              <w:t>t/a</w:t>
            </w:r>
            <w:r>
              <w:rPr>
                <w:rFonts w:hint="eastAsia" w:ascii="Times New Roman" w:hAnsi="Times New Roman" w:eastAsia="宋体" w:cs="Times New Roman"/>
                <w:color w:val="auto"/>
                <w:kern w:val="0"/>
                <w:sz w:val="24"/>
                <w:szCs w:val="20"/>
                <w:highlight w:val="none"/>
                <w:lang w:val="en-US" w:eastAsia="zh-CN" w:bidi="ar-SA"/>
              </w:rPr>
              <w:t>。</w:t>
            </w:r>
          </w:p>
          <w:p w14:paraId="0BAF57C8">
            <w:pPr>
              <w:numPr>
                <w:ilvl w:val="0"/>
                <w:numId w:val="3"/>
              </w:numPr>
              <w:ind w:left="0" w:leftChars="0" w:firstLine="345" w:firstLineChars="0"/>
              <w:rPr>
                <w:rFonts w:hint="eastAsia" w:ascii="Times New Roman" w:hAnsi="Times New Roman" w:eastAsia="宋体" w:cs="Times New Roman"/>
                <w:color w:val="auto"/>
                <w:kern w:val="0"/>
                <w:sz w:val="24"/>
                <w:szCs w:val="20"/>
                <w:highlight w:val="none"/>
                <w:lang w:val="en-US" w:eastAsia="zh-CN" w:bidi="ar-SA"/>
              </w:rPr>
            </w:pPr>
            <w:r>
              <w:rPr>
                <w:rFonts w:hint="eastAsia" w:ascii="Times New Roman" w:hAnsi="Times New Roman" w:eastAsia="宋体" w:cs="Times New Roman"/>
                <w:color w:val="auto"/>
                <w:kern w:val="0"/>
                <w:sz w:val="24"/>
                <w:szCs w:val="20"/>
                <w:highlight w:val="none"/>
                <w:lang w:val="en-US" w:eastAsia="zh-CN" w:bidi="ar-SA"/>
              </w:rPr>
              <w:t>废水</w:t>
            </w:r>
          </w:p>
          <w:p w14:paraId="2AD7A4E4">
            <w:pPr>
              <w:tabs>
                <w:tab w:val="center" w:pos="4758"/>
              </w:tabs>
              <w:spacing w:line="360" w:lineRule="auto"/>
              <w:ind w:firstLine="480" w:firstLineChars="200"/>
              <w:rPr>
                <w:rFonts w:hAnsi="宋体"/>
                <w:color w:val="auto"/>
                <w:sz w:val="24"/>
                <w:highlight w:val="none"/>
                <w:u w:val="none"/>
              </w:rPr>
            </w:pPr>
            <w:r>
              <w:rPr>
                <w:rFonts w:hint="eastAsia" w:hAnsi="宋体"/>
                <w:color w:val="auto"/>
                <w:sz w:val="24"/>
                <w:highlight w:val="none"/>
                <w:u w:val="none"/>
              </w:rPr>
              <w:t>本项目车间地面采取扫帚干法清扫，不使用</w:t>
            </w:r>
            <w:r>
              <w:rPr>
                <w:rFonts w:hint="eastAsia" w:hAnsi="宋体"/>
                <w:color w:val="auto"/>
                <w:sz w:val="24"/>
                <w:highlight w:val="none"/>
                <w:u w:val="none"/>
                <w:lang w:eastAsia="zh-CN"/>
              </w:rPr>
              <w:t>拖把</w:t>
            </w:r>
            <w:r>
              <w:rPr>
                <w:rFonts w:hint="eastAsia" w:hAnsi="宋体"/>
                <w:color w:val="auto"/>
                <w:sz w:val="24"/>
                <w:highlight w:val="none"/>
                <w:u w:val="none"/>
              </w:rPr>
              <w:t>拖地。本项目废水主要为生活污水、注塑机冷却水。</w:t>
            </w:r>
          </w:p>
          <w:p w14:paraId="2F39B320">
            <w:pPr>
              <w:pStyle w:val="17"/>
              <w:spacing w:beforeAutospacing="0" w:line="360" w:lineRule="auto"/>
              <w:ind w:firstLine="480" w:firstLineChars="200"/>
              <w:rPr>
                <w:rFonts w:hint="default" w:ascii="Times New Roman" w:hAnsi="Times New Roman" w:eastAsia="宋体" w:cs="Times New Roman"/>
                <w:color w:val="auto"/>
                <w:kern w:val="0"/>
                <w:sz w:val="24"/>
                <w:szCs w:val="20"/>
                <w:highlight w:val="none"/>
                <w:lang w:val="en-US" w:eastAsia="zh-CN" w:bidi="ar-SA"/>
              </w:rPr>
            </w:pPr>
            <w:r>
              <w:rPr>
                <w:rFonts w:hint="eastAsia" w:hAnsi="宋体"/>
                <w:color w:val="auto"/>
                <w:sz w:val="24"/>
                <w:highlight w:val="none"/>
                <w:u w:val="none"/>
              </w:rPr>
              <w:t>1）</w:t>
            </w:r>
            <w:r>
              <w:rPr>
                <w:rFonts w:hint="default" w:ascii="Times New Roman" w:hAnsi="Times New Roman" w:eastAsia="宋体" w:cs="Times New Roman"/>
                <w:color w:val="auto"/>
                <w:kern w:val="0"/>
                <w:sz w:val="24"/>
                <w:szCs w:val="20"/>
                <w:highlight w:val="none"/>
                <w:lang w:val="en-US" w:eastAsia="zh-CN" w:bidi="ar-SA"/>
              </w:rPr>
              <w:t>生活用水</w:t>
            </w:r>
          </w:p>
          <w:p w14:paraId="1227E25A">
            <w:pPr>
              <w:pStyle w:val="17"/>
              <w:spacing w:beforeAutospacing="0" w:line="360" w:lineRule="auto"/>
              <w:ind w:firstLine="480" w:firstLineChars="200"/>
              <w:rPr>
                <w:rFonts w:hint="eastAsia" w:ascii="Times New Roman" w:hAnsi="Times New Roman" w:eastAsia="宋体" w:cs="Times New Roman"/>
                <w:color w:val="auto"/>
                <w:kern w:val="0"/>
                <w:sz w:val="24"/>
                <w:szCs w:val="20"/>
                <w:highlight w:val="none"/>
                <w:lang w:val="en-US" w:eastAsia="zh-CN" w:bidi="ar-SA"/>
              </w:rPr>
            </w:pPr>
            <w:r>
              <w:rPr>
                <w:rFonts w:hint="default" w:ascii="Times New Roman" w:hAnsi="Times New Roman" w:eastAsia="宋体" w:cs="Times New Roman"/>
                <w:color w:val="auto"/>
                <w:kern w:val="0"/>
                <w:sz w:val="24"/>
                <w:szCs w:val="20"/>
                <w:highlight w:val="none"/>
                <w:lang w:val="en-US" w:eastAsia="zh-CN" w:bidi="ar-SA"/>
              </w:rPr>
              <w:t>本项目</w:t>
            </w:r>
            <w:r>
              <w:rPr>
                <w:rFonts w:hint="eastAsia" w:ascii="Times New Roman" w:hAnsi="Times New Roman" w:eastAsia="宋体" w:cs="Times New Roman"/>
                <w:color w:val="auto"/>
                <w:kern w:val="0"/>
                <w:sz w:val="24"/>
                <w:szCs w:val="20"/>
                <w:highlight w:val="none"/>
                <w:lang w:val="en-US" w:eastAsia="zh-CN" w:bidi="ar-SA"/>
              </w:rPr>
              <w:t>厂区</w:t>
            </w:r>
            <w:r>
              <w:rPr>
                <w:rFonts w:hint="default" w:ascii="Times New Roman" w:hAnsi="Times New Roman" w:eastAsia="宋体" w:cs="Times New Roman"/>
                <w:color w:val="auto"/>
                <w:kern w:val="0"/>
                <w:sz w:val="24"/>
                <w:szCs w:val="20"/>
                <w:highlight w:val="none"/>
                <w:lang w:val="en-US" w:eastAsia="zh-CN" w:bidi="ar-SA"/>
              </w:rPr>
              <w:t>员工人数为</w:t>
            </w:r>
            <w:r>
              <w:rPr>
                <w:rFonts w:hint="eastAsia" w:ascii="Times New Roman" w:hAnsi="Times New Roman" w:eastAsia="宋体" w:cs="Times New Roman"/>
                <w:color w:val="auto"/>
                <w:kern w:val="0"/>
                <w:sz w:val="24"/>
                <w:szCs w:val="20"/>
                <w:highlight w:val="none"/>
                <w:lang w:val="en-US" w:eastAsia="zh-CN" w:bidi="ar-SA"/>
              </w:rPr>
              <w:t>180</w:t>
            </w:r>
            <w:r>
              <w:rPr>
                <w:rFonts w:hint="default" w:ascii="Times New Roman" w:hAnsi="Times New Roman" w:eastAsia="宋体" w:cs="Times New Roman"/>
                <w:color w:val="auto"/>
                <w:kern w:val="0"/>
                <w:sz w:val="24"/>
                <w:szCs w:val="20"/>
                <w:highlight w:val="none"/>
                <w:lang w:val="en-US" w:eastAsia="zh-CN" w:bidi="ar-SA"/>
              </w:rPr>
              <w:t>人，</w:t>
            </w:r>
            <w:r>
              <w:rPr>
                <w:rFonts w:hint="eastAsia" w:ascii="Times New Roman" w:hAnsi="Times New Roman" w:eastAsia="宋体" w:cs="Times New Roman"/>
                <w:color w:val="auto"/>
                <w:kern w:val="0"/>
                <w:sz w:val="24"/>
                <w:szCs w:val="20"/>
                <w:highlight w:val="none"/>
                <w:lang w:val="en-US" w:eastAsia="zh-CN" w:bidi="ar-SA"/>
              </w:rPr>
              <w:t>排水量为1982.88m</w:t>
            </w:r>
            <w:r>
              <w:rPr>
                <w:rFonts w:hint="eastAsia" w:ascii="Times New Roman" w:hAnsi="Times New Roman" w:eastAsia="宋体" w:cs="Times New Roman"/>
                <w:color w:val="auto"/>
                <w:kern w:val="0"/>
                <w:sz w:val="24"/>
                <w:szCs w:val="20"/>
                <w:highlight w:val="none"/>
                <w:vertAlign w:val="superscript"/>
                <w:lang w:val="en-US" w:eastAsia="zh-CN" w:bidi="ar-SA"/>
              </w:rPr>
              <w:t>3</w:t>
            </w:r>
            <w:r>
              <w:rPr>
                <w:rFonts w:hint="eastAsia" w:ascii="Times New Roman" w:hAnsi="Times New Roman" w:eastAsia="宋体" w:cs="Times New Roman"/>
                <w:color w:val="auto"/>
                <w:kern w:val="0"/>
                <w:sz w:val="24"/>
                <w:szCs w:val="20"/>
                <w:highlight w:val="none"/>
                <w:lang w:val="en-US" w:eastAsia="zh-CN" w:bidi="ar-SA"/>
              </w:rPr>
              <w:t>/a（6.89m</w:t>
            </w:r>
            <w:r>
              <w:rPr>
                <w:rFonts w:hint="eastAsia" w:ascii="Times New Roman" w:hAnsi="Times New Roman" w:eastAsia="宋体" w:cs="Times New Roman"/>
                <w:color w:val="auto"/>
                <w:kern w:val="0"/>
                <w:sz w:val="24"/>
                <w:szCs w:val="20"/>
                <w:highlight w:val="none"/>
                <w:vertAlign w:val="superscript"/>
                <w:lang w:val="en-US" w:eastAsia="zh-CN" w:bidi="ar-SA"/>
              </w:rPr>
              <w:t>3</w:t>
            </w:r>
            <w:r>
              <w:rPr>
                <w:rFonts w:hint="eastAsia" w:ascii="Times New Roman" w:hAnsi="Times New Roman" w:eastAsia="宋体" w:cs="Times New Roman"/>
                <w:color w:val="auto"/>
                <w:kern w:val="0"/>
                <w:sz w:val="24"/>
                <w:szCs w:val="20"/>
                <w:highlight w:val="none"/>
                <w:lang w:val="en-US" w:eastAsia="zh-CN" w:bidi="ar-SA"/>
              </w:rPr>
              <w:t>/d），主要污染物为CODcr350mg/L、总氮40mg/L、总磷3.0mg/L、SS250mg/L、氨氮25mg/L等。生活污水经隔油池+化粪池处理达标后排入下河线污水处理厂。</w:t>
            </w:r>
          </w:p>
          <w:p w14:paraId="1672E643">
            <w:pPr>
              <w:pStyle w:val="17"/>
              <w:spacing w:beforeAutospacing="0" w:line="360" w:lineRule="auto"/>
              <w:ind w:firstLine="480" w:firstLineChars="200"/>
              <w:rPr>
                <w:rFonts w:hint="default" w:ascii="Times New Roman" w:hAnsi="Times New Roman" w:eastAsia="宋体" w:cs="Times New Roman"/>
                <w:color w:val="auto"/>
                <w:kern w:val="0"/>
                <w:sz w:val="24"/>
                <w:szCs w:val="20"/>
                <w:highlight w:val="none"/>
                <w:lang w:val="en-US" w:eastAsia="zh-CN" w:bidi="ar-SA"/>
              </w:rPr>
            </w:pPr>
            <w:r>
              <w:rPr>
                <w:rFonts w:hint="eastAsia" w:ascii="Times New Roman" w:hAnsi="Times New Roman" w:eastAsia="宋体" w:cs="Times New Roman"/>
                <w:color w:val="auto"/>
                <w:kern w:val="0"/>
                <w:sz w:val="24"/>
                <w:szCs w:val="20"/>
                <w:highlight w:val="none"/>
                <w:lang w:val="en-US" w:eastAsia="zh-CN" w:bidi="ar-SA"/>
              </w:rPr>
              <w:t>2）注塑机冷却水</w:t>
            </w:r>
          </w:p>
          <w:p w14:paraId="642EEC54">
            <w:pPr>
              <w:tabs>
                <w:tab w:val="center" w:pos="4758"/>
              </w:tabs>
              <w:spacing w:line="360" w:lineRule="auto"/>
              <w:ind w:firstLine="480" w:firstLineChars="200"/>
              <w:rPr>
                <w:rFonts w:hint="eastAsia" w:ascii="Times New Roman" w:hAnsi="宋体" w:eastAsia="宋体" w:cs="Times New Roman"/>
                <w:color w:val="auto"/>
                <w:sz w:val="24"/>
                <w:highlight w:val="none"/>
                <w:u w:val="none"/>
                <w:lang w:val="en-US" w:eastAsia="zh-CN"/>
              </w:rPr>
            </w:pPr>
            <w:r>
              <w:rPr>
                <w:rFonts w:hint="eastAsia" w:ascii="Times New Roman" w:hAnsi="Times New Roman" w:eastAsia="宋体" w:cs="Times New Roman"/>
                <w:color w:val="auto"/>
                <w:kern w:val="0"/>
                <w:sz w:val="24"/>
                <w:szCs w:val="20"/>
                <w:highlight w:val="none"/>
                <w:lang w:val="en-US" w:eastAsia="zh-CN" w:bidi="ar-SA"/>
              </w:rPr>
              <w:t>本项目注塑工序进行冷却，每天的总循环水量约为0.63m3/d，循环过程中会有少量水因受热、蒸发等因素损失，需定期补充冷却水，根据企业负责人核实，冷却水塔每天的补水量约为0.13m</w:t>
            </w:r>
            <w:r>
              <w:rPr>
                <w:rFonts w:hint="eastAsia" w:ascii="Times New Roman" w:hAnsi="Times New Roman" w:eastAsia="宋体" w:cs="Times New Roman"/>
                <w:color w:val="auto"/>
                <w:kern w:val="0"/>
                <w:sz w:val="24"/>
                <w:szCs w:val="20"/>
                <w:highlight w:val="none"/>
                <w:vertAlign w:val="superscript"/>
                <w:lang w:val="en-US" w:eastAsia="zh-CN" w:bidi="ar-SA"/>
              </w:rPr>
              <w:t>3</w:t>
            </w:r>
            <w:r>
              <w:rPr>
                <w:rFonts w:hint="eastAsia" w:ascii="Times New Roman" w:hAnsi="Times New Roman" w:eastAsia="宋体" w:cs="Times New Roman"/>
                <w:color w:val="auto"/>
                <w:kern w:val="0"/>
                <w:sz w:val="24"/>
                <w:szCs w:val="20"/>
                <w:highlight w:val="none"/>
                <w:lang w:val="en-US" w:eastAsia="zh-CN" w:bidi="ar-SA"/>
              </w:rPr>
              <w:t>/d，全部来源于自来水。冷却水循环使</w:t>
            </w:r>
            <w:r>
              <w:rPr>
                <w:rFonts w:hint="eastAsia" w:ascii="Times New Roman" w:hAnsi="宋体" w:eastAsia="宋体" w:cs="Times New Roman"/>
                <w:color w:val="auto"/>
                <w:sz w:val="24"/>
                <w:highlight w:val="none"/>
                <w:u w:val="none"/>
                <w:lang w:val="en-US" w:eastAsia="zh-CN"/>
              </w:rPr>
              <w:t>用，不外排。</w:t>
            </w:r>
          </w:p>
          <w:p w14:paraId="31E56B91">
            <w:pPr>
              <w:tabs>
                <w:tab w:val="center" w:pos="4758"/>
              </w:tabs>
              <w:spacing w:line="360" w:lineRule="auto"/>
              <w:ind w:firstLine="480" w:firstLineChars="200"/>
              <w:rPr>
                <w:rFonts w:hint="eastAsia" w:ascii="Times New Roman" w:hAnsi="宋体" w:eastAsia="宋体" w:cs="Times New Roman"/>
                <w:color w:val="auto"/>
                <w:sz w:val="24"/>
                <w:highlight w:val="none"/>
                <w:u w:val="none"/>
                <w:lang w:val="en-US" w:eastAsia="zh-CN"/>
              </w:rPr>
            </w:pPr>
            <w:r>
              <w:rPr>
                <w:rFonts w:hint="eastAsia" w:ascii="Times New Roman" w:hAnsi="宋体" w:eastAsia="宋体" w:cs="Times New Roman"/>
                <w:color w:val="auto"/>
                <w:sz w:val="24"/>
                <w:highlight w:val="none"/>
                <w:u w:val="none"/>
                <w:lang w:val="en-US" w:eastAsia="zh-CN"/>
              </w:rPr>
              <w:t>（3）噪声</w:t>
            </w:r>
          </w:p>
          <w:p w14:paraId="328B023C">
            <w:pPr>
              <w:tabs>
                <w:tab w:val="center" w:pos="4758"/>
              </w:tabs>
              <w:spacing w:line="360" w:lineRule="auto"/>
              <w:ind w:firstLine="480" w:firstLineChars="200"/>
              <w:rPr>
                <w:rFonts w:hint="eastAsia" w:ascii="Times New Roman" w:hAnsi="宋体" w:eastAsia="宋体" w:cs="Times New Roman"/>
                <w:color w:val="auto"/>
                <w:sz w:val="24"/>
                <w:highlight w:val="none"/>
                <w:u w:val="none"/>
                <w:lang w:val="en-US" w:eastAsia="zh-CN"/>
              </w:rPr>
            </w:pPr>
            <w:r>
              <w:rPr>
                <w:rFonts w:hint="eastAsia" w:ascii="Times New Roman" w:hAnsi="宋体" w:eastAsia="宋体" w:cs="Times New Roman"/>
                <w:color w:val="auto"/>
                <w:sz w:val="24"/>
                <w:highlight w:val="none"/>
                <w:u w:val="none"/>
                <w:lang w:val="en-US" w:eastAsia="zh-CN"/>
              </w:rPr>
              <w:t>本项目主要产生的噪声为：空压机、耐压测试机、自动切脚机、自动裁线机、自动插针机、注塑机、喷砂机、自动焊接机、风机。厂界噪声控制在《工业企业厂界环境噪声排放标准》（GB12348-2008）的3类标准限值内。</w:t>
            </w:r>
          </w:p>
          <w:p w14:paraId="37B2389B">
            <w:pPr>
              <w:tabs>
                <w:tab w:val="center" w:pos="4758"/>
              </w:tabs>
              <w:spacing w:line="360" w:lineRule="auto"/>
              <w:ind w:firstLine="480" w:firstLineChars="200"/>
              <w:rPr>
                <w:rFonts w:hint="eastAsia" w:ascii="Times New Roman" w:hAnsi="宋体" w:eastAsia="宋体" w:cs="Times New Roman"/>
                <w:color w:val="auto"/>
                <w:sz w:val="24"/>
                <w:highlight w:val="none"/>
                <w:u w:val="none"/>
                <w:lang w:val="en-US" w:eastAsia="zh-CN"/>
              </w:rPr>
            </w:pPr>
            <w:r>
              <w:rPr>
                <w:rFonts w:hint="eastAsia" w:ascii="Times New Roman" w:hAnsi="宋体" w:eastAsia="宋体" w:cs="Times New Roman"/>
                <w:color w:val="auto"/>
                <w:sz w:val="24"/>
                <w:highlight w:val="none"/>
                <w:u w:val="none"/>
                <w:lang w:val="en-US" w:eastAsia="zh-CN"/>
              </w:rPr>
              <w:t>（4）固体废物</w:t>
            </w:r>
          </w:p>
          <w:p w14:paraId="5473E9B5">
            <w:pPr>
              <w:tabs>
                <w:tab w:val="center" w:pos="4758"/>
              </w:tabs>
              <w:spacing w:line="360" w:lineRule="auto"/>
              <w:ind w:firstLine="480" w:firstLineChars="200"/>
              <w:rPr>
                <w:rFonts w:hint="eastAsia" w:ascii="Times New Roman" w:hAnsi="宋体" w:eastAsia="宋体" w:cs="Times New Roman"/>
                <w:color w:val="auto"/>
                <w:sz w:val="24"/>
                <w:highlight w:val="none"/>
                <w:u w:val="none"/>
                <w:lang w:val="en-US" w:eastAsia="zh-CN"/>
              </w:rPr>
            </w:pPr>
            <w:r>
              <w:rPr>
                <w:rFonts w:hint="eastAsia" w:ascii="Times New Roman" w:hAnsi="宋体" w:eastAsia="宋体" w:cs="Times New Roman"/>
                <w:color w:val="auto"/>
                <w:sz w:val="24"/>
                <w:highlight w:val="none"/>
                <w:u w:val="none"/>
                <w:lang w:val="en-US" w:eastAsia="zh-CN"/>
              </w:rPr>
              <w:t>本项目固体废物主要有废边角料、废包装材料、注塑不可回用边角料、锡渣、</w:t>
            </w:r>
            <w:r>
              <w:rPr>
                <w:rFonts w:hint="default" w:ascii="Times New Roman" w:hAnsi="宋体" w:eastAsia="宋体" w:cs="Times New Roman"/>
                <w:color w:val="auto"/>
                <w:sz w:val="24"/>
                <w:highlight w:val="none"/>
                <w:u w:val="none"/>
                <w:lang w:val="en-US" w:eastAsia="zh-CN"/>
              </w:rPr>
              <w:t>废喷砂产尘</w:t>
            </w:r>
            <w:r>
              <w:rPr>
                <w:rFonts w:hint="eastAsia" w:ascii="Times New Roman" w:hAnsi="宋体" w:eastAsia="宋体" w:cs="Times New Roman"/>
                <w:color w:val="auto"/>
                <w:sz w:val="24"/>
                <w:highlight w:val="none"/>
                <w:u w:val="none"/>
                <w:lang w:val="en-US" w:eastAsia="zh-CN"/>
              </w:rPr>
              <w:t>、</w:t>
            </w:r>
            <w:r>
              <w:rPr>
                <w:rFonts w:hint="default" w:ascii="Times New Roman" w:hAnsi="宋体" w:eastAsia="宋体" w:cs="Times New Roman"/>
                <w:color w:val="auto"/>
                <w:sz w:val="24"/>
                <w:highlight w:val="none"/>
                <w:u w:val="none"/>
                <w:lang w:val="en-US" w:eastAsia="zh-CN"/>
              </w:rPr>
              <w:t>废化学品包装</w:t>
            </w:r>
            <w:r>
              <w:rPr>
                <w:rFonts w:hint="eastAsia" w:ascii="Times New Roman" w:hAnsi="宋体" w:eastAsia="宋体" w:cs="Times New Roman"/>
                <w:color w:val="auto"/>
                <w:sz w:val="24"/>
                <w:highlight w:val="none"/>
                <w:u w:val="none"/>
                <w:lang w:val="en-US" w:eastAsia="zh-CN"/>
              </w:rPr>
              <w:t>、</w:t>
            </w:r>
            <w:r>
              <w:rPr>
                <w:rFonts w:hint="default" w:ascii="Times New Roman" w:hAnsi="宋体" w:eastAsia="宋体" w:cs="Times New Roman"/>
                <w:color w:val="auto"/>
                <w:sz w:val="24"/>
                <w:highlight w:val="none"/>
                <w:u w:val="none"/>
                <w:lang w:val="en-US" w:eastAsia="zh-CN"/>
              </w:rPr>
              <w:t>废</w:t>
            </w:r>
            <w:r>
              <w:rPr>
                <w:rFonts w:hint="eastAsia" w:ascii="Times New Roman" w:hAnsi="宋体" w:eastAsia="宋体" w:cs="Times New Roman"/>
                <w:color w:val="auto"/>
                <w:sz w:val="24"/>
                <w:highlight w:val="none"/>
                <w:u w:val="none"/>
                <w:lang w:val="en-US" w:eastAsia="zh-CN"/>
              </w:rPr>
              <w:t>液压</w:t>
            </w:r>
            <w:r>
              <w:rPr>
                <w:rFonts w:hint="default" w:ascii="Times New Roman" w:hAnsi="宋体" w:eastAsia="宋体" w:cs="Times New Roman"/>
                <w:color w:val="auto"/>
                <w:sz w:val="24"/>
                <w:highlight w:val="none"/>
                <w:u w:val="none"/>
                <w:lang w:val="en-US" w:eastAsia="zh-CN"/>
              </w:rPr>
              <w:t>油</w:t>
            </w:r>
            <w:r>
              <w:rPr>
                <w:rFonts w:hint="eastAsia" w:ascii="Times New Roman" w:hAnsi="宋体" w:eastAsia="宋体" w:cs="Times New Roman"/>
                <w:color w:val="auto"/>
                <w:sz w:val="24"/>
                <w:highlight w:val="none"/>
                <w:u w:val="none"/>
                <w:lang w:val="en-US" w:eastAsia="zh-CN"/>
              </w:rPr>
              <w:t>、液压油废桶、</w:t>
            </w:r>
            <w:r>
              <w:rPr>
                <w:rFonts w:hint="default" w:ascii="Times New Roman" w:hAnsi="宋体" w:eastAsia="宋体" w:cs="Times New Roman"/>
                <w:color w:val="auto"/>
                <w:sz w:val="24"/>
                <w:highlight w:val="none"/>
                <w:u w:val="none"/>
                <w:lang w:val="en-US" w:eastAsia="zh-CN"/>
              </w:rPr>
              <w:t>废活性炭</w:t>
            </w:r>
            <w:r>
              <w:rPr>
                <w:rFonts w:hint="eastAsia" w:ascii="Times New Roman" w:hAnsi="宋体" w:eastAsia="宋体" w:cs="Times New Roman"/>
                <w:color w:val="auto"/>
                <w:sz w:val="24"/>
                <w:highlight w:val="none"/>
                <w:u w:val="none"/>
                <w:lang w:val="en-US" w:eastAsia="zh-CN"/>
              </w:rPr>
              <w:t>、废润滑油、</w:t>
            </w:r>
            <w:r>
              <w:rPr>
                <w:rFonts w:hint="default" w:ascii="Times New Roman" w:hAnsi="宋体" w:eastAsia="宋体" w:cs="Times New Roman"/>
                <w:color w:val="auto"/>
                <w:sz w:val="24"/>
                <w:highlight w:val="none"/>
                <w:u w:val="none"/>
                <w:lang w:val="en-US" w:eastAsia="zh-CN"/>
              </w:rPr>
              <w:t>机修废机油</w:t>
            </w:r>
            <w:r>
              <w:rPr>
                <w:rFonts w:hint="eastAsia" w:ascii="Times New Roman" w:hAnsi="宋体" w:eastAsia="宋体" w:cs="Times New Roman"/>
                <w:color w:val="auto"/>
                <w:sz w:val="24"/>
                <w:highlight w:val="none"/>
                <w:u w:val="none"/>
                <w:lang w:val="en-US" w:eastAsia="zh-CN"/>
              </w:rPr>
              <w:t>、</w:t>
            </w:r>
            <w:r>
              <w:rPr>
                <w:rFonts w:hint="default" w:ascii="Times New Roman" w:hAnsi="宋体" w:eastAsia="宋体" w:cs="Times New Roman"/>
                <w:color w:val="auto"/>
                <w:sz w:val="24"/>
                <w:highlight w:val="none"/>
                <w:u w:val="none"/>
                <w:lang w:val="en-US" w:eastAsia="zh-CN"/>
              </w:rPr>
              <w:t>含油废抹布</w:t>
            </w:r>
            <w:r>
              <w:rPr>
                <w:rFonts w:hint="eastAsia" w:ascii="Times New Roman" w:hAnsi="宋体" w:eastAsia="宋体" w:cs="Times New Roman"/>
                <w:color w:val="auto"/>
                <w:sz w:val="24"/>
                <w:highlight w:val="none"/>
                <w:u w:val="none"/>
                <w:lang w:val="en-US" w:eastAsia="zh-CN"/>
              </w:rPr>
              <w:t>及</w:t>
            </w:r>
            <w:r>
              <w:rPr>
                <w:rFonts w:hint="default" w:ascii="Times New Roman" w:hAnsi="宋体" w:eastAsia="宋体" w:cs="Times New Roman"/>
                <w:color w:val="auto"/>
                <w:sz w:val="24"/>
                <w:highlight w:val="none"/>
                <w:u w:val="none"/>
                <w:lang w:val="en-US" w:eastAsia="zh-CN"/>
              </w:rPr>
              <w:t>手套</w:t>
            </w:r>
            <w:r>
              <w:rPr>
                <w:rFonts w:hint="eastAsia" w:ascii="Times New Roman" w:hAnsi="宋体" w:eastAsia="宋体" w:cs="Times New Roman"/>
                <w:color w:val="auto"/>
                <w:sz w:val="24"/>
                <w:highlight w:val="none"/>
                <w:u w:val="none"/>
                <w:lang w:val="en-US" w:eastAsia="zh-CN"/>
              </w:rPr>
              <w:t>、生活垃圾。</w:t>
            </w:r>
          </w:p>
          <w:p w14:paraId="46679C41">
            <w:pPr>
              <w:spacing w:line="360" w:lineRule="auto"/>
              <w:ind w:firstLine="422" w:firstLineChars="200"/>
              <w:jc w:val="center"/>
              <w:rPr>
                <w:b/>
                <w:bCs/>
                <w:color w:val="auto"/>
                <w:highlight w:val="none"/>
                <w:u w:val="none"/>
              </w:rPr>
            </w:pPr>
            <w:r>
              <w:rPr>
                <w:rFonts w:hint="eastAsia"/>
                <w:b/>
                <w:bCs/>
                <w:color w:val="auto"/>
                <w:highlight w:val="none"/>
                <w:u w:val="none"/>
              </w:rPr>
              <w:t>表</w:t>
            </w:r>
            <w:r>
              <w:rPr>
                <w:rFonts w:hint="eastAsia"/>
                <w:b/>
                <w:bCs/>
                <w:color w:val="auto"/>
                <w:highlight w:val="none"/>
                <w:u w:val="none"/>
                <w:lang w:val="en-US" w:eastAsia="zh-CN"/>
              </w:rPr>
              <w:t>2-8</w:t>
            </w:r>
            <w:r>
              <w:rPr>
                <w:rFonts w:hint="eastAsia"/>
                <w:b/>
                <w:bCs/>
                <w:color w:val="auto"/>
                <w:highlight w:val="none"/>
                <w:u w:val="none"/>
              </w:rPr>
              <w:t xml:space="preserve">  固废产生及处置情况</w:t>
            </w:r>
          </w:p>
          <w:tbl>
            <w:tblPr>
              <w:tblStyle w:val="35"/>
              <w:tblW w:w="809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85"/>
              <w:gridCol w:w="1357"/>
              <w:gridCol w:w="1052"/>
              <w:gridCol w:w="1077"/>
              <w:gridCol w:w="1409"/>
              <w:gridCol w:w="1871"/>
              <w:gridCol w:w="846"/>
            </w:tblGrid>
            <w:tr w14:paraId="6745A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486" w:type="dxa"/>
                  <w:tcBorders>
                    <w:tl2br w:val="nil"/>
                    <w:tr2bl w:val="nil"/>
                  </w:tcBorders>
                  <w:vAlign w:val="center"/>
                </w:tcPr>
                <w:p w14:paraId="3AB07BC0">
                  <w:pPr>
                    <w:jc w:val="center"/>
                    <w:rPr>
                      <w:color w:val="auto"/>
                      <w:sz w:val="21"/>
                      <w:szCs w:val="21"/>
                      <w:highlight w:val="none"/>
                      <w:u w:val="none"/>
                    </w:rPr>
                  </w:pPr>
                  <w:r>
                    <w:rPr>
                      <w:rFonts w:hint="eastAsia"/>
                      <w:color w:val="auto"/>
                      <w:sz w:val="21"/>
                      <w:szCs w:val="21"/>
                      <w:highlight w:val="none"/>
                      <w:u w:val="none"/>
                    </w:rPr>
                    <w:t>序号</w:t>
                  </w:r>
                </w:p>
              </w:tc>
              <w:tc>
                <w:tcPr>
                  <w:tcW w:w="1368" w:type="dxa"/>
                  <w:tcBorders>
                    <w:tl2br w:val="nil"/>
                    <w:tr2bl w:val="nil"/>
                  </w:tcBorders>
                  <w:vAlign w:val="center"/>
                </w:tcPr>
                <w:p w14:paraId="058F2C56">
                  <w:pPr>
                    <w:jc w:val="center"/>
                    <w:rPr>
                      <w:color w:val="auto"/>
                      <w:sz w:val="21"/>
                      <w:szCs w:val="21"/>
                      <w:highlight w:val="none"/>
                      <w:u w:val="none"/>
                    </w:rPr>
                  </w:pPr>
                  <w:r>
                    <w:rPr>
                      <w:rFonts w:hint="eastAsia"/>
                      <w:color w:val="auto"/>
                      <w:sz w:val="21"/>
                      <w:szCs w:val="21"/>
                      <w:highlight w:val="none"/>
                      <w:u w:val="none"/>
                    </w:rPr>
                    <w:t>名称</w:t>
                  </w:r>
                </w:p>
              </w:tc>
              <w:tc>
                <w:tcPr>
                  <w:tcW w:w="1054" w:type="dxa"/>
                  <w:tcBorders>
                    <w:tl2br w:val="nil"/>
                    <w:tr2bl w:val="nil"/>
                  </w:tcBorders>
                  <w:vAlign w:val="center"/>
                </w:tcPr>
                <w:p w14:paraId="0FE7DBE1">
                  <w:pPr>
                    <w:jc w:val="center"/>
                    <w:rPr>
                      <w:color w:val="auto"/>
                      <w:sz w:val="21"/>
                      <w:szCs w:val="21"/>
                      <w:highlight w:val="none"/>
                      <w:u w:val="none"/>
                    </w:rPr>
                  </w:pPr>
                  <w:r>
                    <w:rPr>
                      <w:rFonts w:hint="eastAsia"/>
                      <w:color w:val="auto"/>
                      <w:sz w:val="21"/>
                      <w:szCs w:val="21"/>
                      <w:highlight w:val="none"/>
                      <w:u w:val="none"/>
                    </w:rPr>
                    <w:t>产生量（t/a）</w:t>
                  </w:r>
                </w:p>
              </w:tc>
              <w:tc>
                <w:tcPr>
                  <w:tcW w:w="1085" w:type="dxa"/>
                  <w:tcBorders>
                    <w:tl2br w:val="nil"/>
                    <w:tr2bl w:val="nil"/>
                  </w:tcBorders>
                  <w:vAlign w:val="center"/>
                </w:tcPr>
                <w:p w14:paraId="344DFFED">
                  <w:pPr>
                    <w:jc w:val="center"/>
                    <w:rPr>
                      <w:color w:val="auto"/>
                      <w:sz w:val="21"/>
                      <w:szCs w:val="21"/>
                      <w:highlight w:val="none"/>
                      <w:u w:val="none"/>
                    </w:rPr>
                  </w:pPr>
                  <w:r>
                    <w:rPr>
                      <w:rFonts w:hint="eastAsia"/>
                      <w:color w:val="auto"/>
                      <w:sz w:val="21"/>
                      <w:szCs w:val="21"/>
                      <w:highlight w:val="none"/>
                      <w:u w:val="none"/>
                    </w:rPr>
                    <w:t>分类编号</w:t>
                  </w:r>
                </w:p>
              </w:tc>
              <w:tc>
                <w:tcPr>
                  <w:tcW w:w="1410" w:type="dxa"/>
                  <w:tcBorders>
                    <w:tl2br w:val="nil"/>
                    <w:tr2bl w:val="nil"/>
                  </w:tcBorders>
                  <w:vAlign w:val="center"/>
                </w:tcPr>
                <w:p w14:paraId="55C709C8">
                  <w:pPr>
                    <w:jc w:val="center"/>
                    <w:rPr>
                      <w:color w:val="auto"/>
                      <w:sz w:val="21"/>
                      <w:szCs w:val="21"/>
                      <w:highlight w:val="none"/>
                      <w:u w:val="none"/>
                    </w:rPr>
                  </w:pPr>
                  <w:r>
                    <w:rPr>
                      <w:rFonts w:hint="eastAsia"/>
                      <w:color w:val="auto"/>
                      <w:sz w:val="21"/>
                      <w:szCs w:val="21"/>
                      <w:highlight w:val="none"/>
                      <w:u w:val="none"/>
                    </w:rPr>
                    <w:t>代码</w:t>
                  </w:r>
                </w:p>
              </w:tc>
              <w:tc>
                <w:tcPr>
                  <w:tcW w:w="1886" w:type="dxa"/>
                  <w:tcBorders>
                    <w:tl2br w:val="nil"/>
                    <w:tr2bl w:val="nil"/>
                  </w:tcBorders>
                  <w:vAlign w:val="center"/>
                </w:tcPr>
                <w:p w14:paraId="0E74AC46">
                  <w:pPr>
                    <w:jc w:val="center"/>
                    <w:rPr>
                      <w:color w:val="auto"/>
                      <w:sz w:val="21"/>
                      <w:szCs w:val="21"/>
                      <w:highlight w:val="none"/>
                      <w:u w:val="none"/>
                    </w:rPr>
                  </w:pPr>
                  <w:r>
                    <w:rPr>
                      <w:rFonts w:hint="eastAsia"/>
                      <w:color w:val="auto"/>
                      <w:sz w:val="21"/>
                      <w:szCs w:val="21"/>
                      <w:highlight w:val="none"/>
                      <w:u w:val="none"/>
                    </w:rPr>
                    <w:t>处理处置方式</w:t>
                  </w:r>
                </w:p>
              </w:tc>
              <w:tc>
                <w:tcPr>
                  <w:tcW w:w="808" w:type="dxa"/>
                  <w:tcBorders>
                    <w:tl2br w:val="nil"/>
                    <w:tr2bl w:val="nil"/>
                  </w:tcBorders>
                  <w:vAlign w:val="center"/>
                </w:tcPr>
                <w:p w14:paraId="14C67A1A">
                  <w:pPr>
                    <w:jc w:val="center"/>
                    <w:rPr>
                      <w:color w:val="auto"/>
                      <w:sz w:val="21"/>
                      <w:szCs w:val="21"/>
                      <w:highlight w:val="none"/>
                      <w:u w:val="none"/>
                    </w:rPr>
                  </w:pPr>
                  <w:r>
                    <w:rPr>
                      <w:rFonts w:hint="eastAsia"/>
                      <w:color w:val="auto"/>
                      <w:sz w:val="21"/>
                      <w:szCs w:val="21"/>
                      <w:highlight w:val="none"/>
                      <w:u w:val="none"/>
                    </w:rPr>
                    <w:t>排放量（t/a）</w:t>
                  </w:r>
                </w:p>
              </w:tc>
            </w:tr>
            <w:tr w14:paraId="02AF1A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486" w:type="dxa"/>
                  <w:tcBorders>
                    <w:tl2br w:val="nil"/>
                    <w:tr2bl w:val="nil"/>
                  </w:tcBorders>
                  <w:vAlign w:val="center"/>
                </w:tcPr>
                <w:p w14:paraId="1AFE6373">
                  <w:pPr>
                    <w:jc w:val="center"/>
                    <w:rPr>
                      <w:color w:val="auto"/>
                      <w:sz w:val="21"/>
                      <w:szCs w:val="21"/>
                      <w:highlight w:val="none"/>
                      <w:u w:val="none"/>
                    </w:rPr>
                  </w:pPr>
                  <w:r>
                    <w:rPr>
                      <w:rFonts w:hint="eastAsia"/>
                      <w:color w:val="auto"/>
                      <w:sz w:val="21"/>
                      <w:szCs w:val="21"/>
                      <w:highlight w:val="none"/>
                      <w:u w:val="none"/>
                    </w:rPr>
                    <w:t>1</w:t>
                  </w:r>
                </w:p>
              </w:tc>
              <w:tc>
                <w:tcPr>
                  <w:tcW w:w="1368" w:type="dxa"/>
                  <w:tcBorders>
                    <w:tl2br w:val="nil"/>
                    <w:tr2bl w:val="nil"/>
                  </w:tcBorders>
                  <w:vAlign w:val="center"/>
                </w:tcPr>
                <w:p w14:paraId="58786668">
                  <w:pPr>
                    <w:jc w:val="center"/>
                    <w:rPr>
                      <w:rFonts w:hint="eastAsia" w:eastAsia="宋体"/>
                      <w:color w:val="auto"/>
                      <w:sz w:val="21"/>
                      <w:szCs w:val="21"/>
                      <w:highlight w:val="none"/>
                      <w:u w:val="none"/>
                    </w:rPr>
                  </w:pPr>
                  <w:r>
                    <w:rPr>
                      <w:rFonts w:hint="eastAsia" w:eastAsia="宋体"/>
                      <w:color w:val="auto"/>
                      <w:sz w:val="21"/>
                      <w:szCs w:val="21"/>
                      <w:highlight w:val="none"/>
                      <w:u w:val="none"/>
                      <w:lang w:val="en-US" w:eastAsia="zh-CN"/>
                    </w:rPr>
                    <w:t>废边角料</w:t>
                  </w:r>
                </w:p>
              </w:tc>
              <w:tc>
                <w:tcPr>
                  <w:tcW w:w="1054" w:type="dxa"/>
                  <w:tcBorders>
                    <w:tl2br w:val="nil"/>
                    <w:tr2bl w:val="nil"/>
                  </w:tcBorders>
                  <w:vAlign w:val="center"/>
                </w:tcPr>
                <w:p w14:paraId="56633444">
                  <w:pPr>
                    <w:jc w:val="center"/>
                    <w:rPr>
                      <w:rFonts w:hint="eastAsia" w:eastAsia="宋体"/>
                      <w:color w:val="auto"/>
                      <w:sz w:val="21"/>
                      <w:szCs w:val="21"/>
                      <w:highlight w:val="none"/>
                      <w:u w:val="none"/>
                      <w:lang w:val="en-US" w:eastAsia="zh-CN"/>
                    </w:rPr>
                  </w:pPr>
                  <w:r>
                    <w:rPr>
                      <w:rFonts w:hint="eastAsia"/>
                      <w:color w:val="auto"/>
                      <w:sz w:val="21"/>
                      <w:szCs w:val="21"/>
                      <w:highlight w:val="none"/>
                      <w:u w:val="none"/>
                      <w:lang w:val="en-US" w:eastAsia="zh-CN"/>
                    </w:rPr>
                    <w:t>2</w:t>
                  </w:r>
                </w:p>
              </w:tc>
              <w:tc>
                <w:tcPr>
                  <w:tcW w:w="1085" w:type="dxa"/>
                  <w:tcBorders>
                    <w:tl2br w:val="nil"/>
                    <w:tr2bl w:val="nil"/>
                  </w:tcBorders>
                  <w:vAlign w:val="center"/>
                </w:tcPr>
                <w:p w14:paraId="5B780C88">
                  <w:pPr>
                    <w:jc w:val="center"/>
                    <w:rPr>
                      <w:color w:val="auto"/>
                      <w:sz w:val="21"/>
                      <w:szCs w:val="21"/>
                      <w:highlight w:val="none"/>
                      <w:u w:val="none"/>
                    </w:rPr>
                  </w:pPr>
                  <w:r>
                    <w:rPr>
                      <w:rFonts w:hint="eastAsia"/>
                      <w:color w:val="auto"/>
                      <w:sz w:val="21"/>
                      <w:szCs w:val="21"/>
                      <w:highlight w:val="none"/>
                      <w:u w:val="none"/>
                    </w:rPr>
                    <w:t>一般固体废物</w:t>
                  </w:r>
                </w:p>
              </w:tc>
              <w:tc>
                <w:tcPr>
                  <w:tcW w:w="1410" w:type="dxa"/>
                  <w:tcBorders>
                    <w:tl2br w:val="nil"/>
                    <w:tr2bl w:val="nil"/>
                  </w:tcBorders>
                  <w:vAlign w:val="center"/>
                </w:tcPr>
                <w:p w14:paraId="5DD78774">
                  <w:pPr>
                    <w:jc w:val="center"/>
                    <w:rPr>
                      <w:rFonts w:hAnsi="宋体"/>
                      <w:color w:val="auto"/>
                      <w:sz w:val="21"/>
                      <w:szCs w:val="21"/>
                      <w:highlight w:val="none"/>
                      <w:u w:val="none"/>
                    </w:rPr>
                  </w:pPr>
                  <w:r>
                    <w:rPr>
                      <w:rFonts w:hint="eastAsia" w:hAnsi="宋体"/>
                      <w:color w:val="auto"/>
                      <w:sz w:val="21"/>
                      <w:szCs w:val="21"/>
                      <w:highlight w:val="none"/>
                      <w:u w:val="none"/>
                    </w:rPr>
                    <w:t>900-099-S59</w:t>
                  </w:r>
                </w:p>
              </w:tc>
              <w:tc>
                <w:tcPr>
                  <w:tcW w:w="1886" w:type="dxa"/>
                  <w:tcBorders>
                    <w:tl2br w:val="nil"/>
                    <w:tr2bl w:val="nil"/>
                  </w:tcBorders>
                  <w:vAlign w:val="center"/>
                </w:tcPr>
                <w:p w14:paraId="66FF7013">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交物资回收单位处置</w:t>
                  </w:r>
                </w:p>
              </w:tc>
              <w:tc>
                <w:tcPr>
                  <w:tcW w:w="808" w:type="dxa"/>
                  <w:tcBorders>
                    <w:tl2br w:val="nil"/>
                    <w:tr2bl w:val="nil"/>
                  </w:tcBorders>
                  <w:vAlign w:val="center"/>
                </w:tcPr>
                <w:p w14:paraId="764A7771">
                  <w:pPr>
                    <w:jc w:val="center"/>
                    <w:rPr>
                      <w:color w:val="auto"/>
                      <w:sz w:val="21"/>
                      <w:szCs w:val="21"/>
                      <w:highlight w:val="none"/>
                      <w:u w:val="none"/>
                    </w:rPr>
                  </w:pPr>
                  <w:r>
                    <w:rPr>
                      <w:rFonts w:hint="eastAsia"/>
                      <w:color w:val="auto"/>
                      <w:sz w:val="21"/>
                      <w:szCs w:val="21"/>
                      <w:highlight w:val="none"/>
                      <w:u w:val="none"/>
                    </w:rPr>
                    <w:t>0</w:t>
                  </w:r>
                </w:p>
              </w:tc>
            </w:tr>
            <w:tr w14:paraId="69EC40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486" w:type="dxa"/>
                  <w:tcBorders>
                    <w:tl2br w:val="nil"/>
                    <w:tr2bl w:val="nil"/>
                  </w:tcBorders>
                  <w:vAlign w:val="center"/>
                </w:tcPr>
                <w:p w14:paraId="304CE90B">
                  <w:pPr>
                    <w:jc w:val="center"/>
                    <w:rPr>
                      <w:color w:val="auto"/>
                      <w:sz w:val="21"/>
                      <w:szCs w:val="21"/>
                      <w:highlight w:val="none"/>
                      <w:u w:val="none"/>
                    </w:rPr>
                  </w:pPr>
                  <w:r>
                    <w:rPr>
                      <w:rFonts w:hint="eastAsia"/>
                      <w:color w:val="auto"/>
                      <w:sz w:val="21"/>
                      <w:szCs w:val="21"/>
                      <w:highlight w:val="none"/>
                      <w:u w:val="none"/>
                    </w:rPr>
                    <w:t>2</w:t>
                  </w:r>
                </w:p>
              </w:tc>
              <w:tc>
                <w:tcPr>
                  <w:tcW w:w="1368" w:type="dxa"/>
                  <w:tcBorders>
                    <w:tl2br w:val="nil"/>
                    <w:tr2bl w:val="nil"/>
                  </w:tcBorders>
                  <w:vAlign w:val="center"/>
                </w:tcPr>
                <w:p w14:paraId="01CBAB5D">
                  <w:pPr>
                    <w:jc w:val="center"/>
                    <w:rPr>
                      <w:rFonts w:hint="eastAsia" w:eastAsia="宋体"/>
                      <w:color w:val="auto"/>
                      <w:sz w:val="21"/>
                      <w:szCs w:val="21"/>
                      <w:highlight w:val="none"/>
                      <w:u w:val="none"/>
                    </w:rPr>
                  </w:pPr>
                  <w:r>
                    <w:rPr>
                      <w:rFonts w:hint="eastAsia" w:eastAsia="宋体"/>
                      <w:color w:val="auto"/>
                      <w:sz w:val="21"/>
                      <w:szCs w:val="21"/>
                      <w:highlight w:val="none"/>
                      <w:u w:val="none"/>
                    </w:rPr>
                    <w:t>废包装材料</w:t>
                  </w:r>
                </w:p>
              </w:tc>
              <w:tc>
                <w:tcPr>
                  <w:tcW w:w="1054" w:type="dxa"/>
                  <w:tcBorders>
                    <w:tl2br w:val="nil"/>
                    <w:tr2bl w:val="nil"/>
                  </w:tcBorders>
                  <w:vAlign w:val="center"/>
                </w:tcPr>
                <w:p w14:paraId="76C4A099">
                  <w:pPr>
                    <w:jc w:val="center"/>
                    <w:rPr>
                      <w:rFonts w:hint="eastAsia" w:eastAsia="宋体"/>
                      <w:color w:val="auto"/>
                      <w:sz w:val="21"/>
                      <w:szCs w:val="21"/>
                      <w:highlight w:val="none"/>
                      <w:u w:val="none"/>
                      <w:lang w:val="en-US" w:eastAsia="zh-CN"/>
                    </w:rPr>
                  </w:pPr>
                  <w:r>
                    <w:rPr>
                      <w:rFonts w:hint="eastAsia"/>
                      <w:color w:val="auto"/>
                      <w:sz w:val="21"/>
                      <w:szCs w:val="21"/>
                      <w:highlight w:val="none"/>
                      <w:u w:val="none"/>
                      <w:lang w:val="en-US" w:eastAsia="zh-CN"/>
                    </w:rPr>
                    <w:t>1</w:t>
                  </w:r>
                </w:p>
              </w:tc>
              <w:tc>
                <w:tcPr>
                  <w:tcW w:w="1085" w:type="dxa"/>
                  <w:tcBorders>
                    <w:tl2br w:val="nil"/>
                    <w:tr2bl w:val="nil"/>
                  </w:tcBorders>
                  <w:vAlign w:val="center"/>
                </w:tcPr>
                <w:p w14:paraId="7F9D7DFD">
                  <w:pPr>
                    <w:jc w:val="center"/>
                    <w:rPr>
                      <w:color w:val="auto"/>
                      <w:sz w:val="21"/>
                      <w:szCs w:val="21"/>
                      <w:highlight w:val="none"/>
                      <w:u w:val="none"/>
                    </w:rPr>
                  </w:pPr>
                  <w:r>
                    <w:rPr>
                      <w:rFonts w:hint="eastAsia"/>
                      <w:color w:val="auto"/>
                      <w:sz w:val="21"/>
                      <w:szCs w:val="21"/>
                      <w:highlight w:val="none"/>
                      <w:u w:val="none"/>
                    </w:rPr>
                    <w:t>一般固体废物</w:t>
                  </w:r>
                </w:p>
              </w:tc>
              <w:tc>
                <w:tcPr>
                  <w:tcW w:w="1410" w:type="dxa"/>
                  <w:tcBorders>
                    <w:tl2br w:val="nil"/>
                    <w:tr2bl w:val="nil"/>
                  </w:tcBorders>
                  <w:vAlign w:val="center"/>
                </w:tcPr>
                <w:p w14:paraId="1563518C">
                  <w:pPr>
                    <w:jc w:val="center"/>
                    <w:rPr>
                      <w:rFonts w:hAnsi="宋体"/>
                      <w:color w:val="auto"/>
                      <w:sz w:val="21"/>
                      <w:szCs w:val="21"/>
                      <w:highlight w:val="none"/>
                      <w:u w:val="none"/>
                    </w:rPr>
                  </w:pPr>
                  <w:r>
                    <w:rPr>
                      <w:rFonts w:hint="eastAsia" w:hAnsi="宋体"/>
                      <w:color w:val="auto"/>
                      <w:sz w:val="21"/>
                      <w:szCs w:val="21"/>
                      <w:highlight w:val="none"/>
                      <w:u w:val="none"/>
                    </w:rPr>
                    <w:t>900-099-S59</w:t>
                  </w:r>
                </w:p>
              </w:tc>
              <w:tc>
                <w:tcPr>
                  <w:tcW w:w="1886" w:type="dxa"/>
                  <w:tcBorders>
                    <w:tl2br w:val="nil"/>
                    <w:tr2bl w:val="nil"/>
                  </w:tcBorders>
                  <w:vAlign w:val="center"/>
                </w:tcPr>
                <w:p w14:paraId="2889497F">
                  <w:pPr>
                    <w:jc w:val="center"/>
                    <w:rPr>
                      <w:rFonts w:hint="eastAsia" w:eastAsia="宋体"/>
                      <w:color w:val="auto"/>
                      <w:sz w:val="21"/>
                      <w:szCs w:val="21"/>
                      <w:highlight w:val="none"/>
                      <w:u w:val="none"/>
                    </w:rPr>
                  </w:pPr>
                  <w:r>
                    <w:rPr>
                      <w:rFonts w:hint="eastAsia" w:eastAsia="宋体"/>
                      <w:color w:val="auto"/>
                      <w:sz w:val="21"/>
                      <w:szCs w:val="21"/>
                      <w:highlight w:val="none"/>
                      <w:u w:val="none"/>
                    </w:rPr>
                    <w:t>分类回收后由废品收购单位收购利用</w:t>
                  </w:r>
                </w:p>
              </w:tc>
              <w:tc>
                <w:tcPr>
                  <w:tcW w:w="808" w:type="dxa"/>
                  <w:tcBorders>
                    <w:tl2br w:val="nil"/>
                    <w:tr2bl w:val="nil"/>
                  </w:tcBorders>
                  <w:vAlign w:val="center"/>
                </w:tcPr>
                <w:p w14:paraId="0C02B066">
                  <w:pPr>
                    <w:jc w:val="center"/>
                    <w:rPr>
                      <w:color w:val="auto"/>
                      <w:sz w:val="21"/>
                      <w:szCs w:val="21"/>
                      <w:highlight w:val="none"/>
                      <w:u w:val="none"/>
                    </w:rPr>
                  </w:pPr>
                  <w:r>
                    <w:rPr>
                      <w:rFonts w:hint="eastAsia"/>
                      <w:color w:val="auto"/>
                      <w:sz w:val="21"/>
                      <w:szCs w:val="21"/>
                      <w:highlight w:val="none"/>
                      <w:u w:val="none"/>
                    </w:rPr>
                    <w:t>0</w:t>
                  </w:r>
                </w:p>
              </w:tc>
            </w:tr>
            <w:tr w14:paraId="44410E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486" w:type="dxa"/>
                  <w:tcBorders>
                    <w:tl2br w:val="nil"/>
                    <w:tr2bl w:val="nil"/>
                  </w:tcBorders>
                  <w:vAlign w:val="center"/>
                </w:tcPr>
                <w:p w14:paraId="258420D3">
                  <w:pPr>
                    <w:jc w:val="center"/>
                    <w:rPr>
                      <w:color w:val="auto"/>
                      <w:sz w:val="21"/>
                      <w:szCs w:val="21"/>
                      <w:highlight w:val="none"/>
                      <w:u w:val="none"/>
                    </w:rPr>
                  </w:pPr>
                  <w:r>
                    <w:rPr>
                      <w:rFonts w:hint="eastAsia"/>
                      <w:color w:val="auto"/>
                      <w:sz w:val="21"/>
                      <w:szCs w:val="21"/>
                      <w:highlight w:val="none"/>
                      <w:u w:val="none"/>
                    </w:rPr>
                    <w:t>3</w:t>
                  </w:r>
                </w:p>
              </w:tc>
              <w:tc>
                <w:tcPr>
                  <w:tcW w:w="1368" w:type="dxa"/>
                  <w:tcBorders>
                    <w:tl2br w:val="nil"/>
                    <w:tr2bl w:val="nil"/>
                  </w:tcBorders>
                  <w:vAlign w:val="center"/>
                </w:tcPr>
                <w:p w14:paraId="0F2A9CC3">
                  <w:pPr>
                    <w:jc w:val="center"/>
                    <w:rPr>
                      <w:rFonts w:hint="eastAsia" w:eastAsia="宋体"/>
                      <w:color w:val="auto"/>
                      <w:sz w:val="21"/>
                      <w:szCs w:val="21"/>
                      <w:highlight w:val="none"/>
                      <w:u w:val="none"/>
                    </w:rPr>
                  </w:pPr>
                  <w:r>
                    <w:rPr>
                      <w:rFonts w:hint="eastAsia" w:eastAsia="宋体"/>
                      <w:color w:val="auto"/>
                      <w:sz w:val="21"/>
                      <w:szCs w:val="21"/>
                      <w:highlight w:val="none"/>
                      <w:u w:val="none"/>
                    </w:rPr>
                    <w:t>注塑不可回用边角料</w:t>
                  </w:r>
                </w:p>
              </w:tc>
              <w:tc>
                <w:tcPr>
                  <w:tcW w:w="1054" w:type="dxa"/>
                  <w:tcBorders>
                    <w:tl2br w:val="nil"/>
                    <w:tr2bl w:val="nil"/>
                  </w:tcBorders>
                  <w:vAlign w:val="center"/>
                </w:tcPr>
                <w:p w14:paraId="4837C38F">
                  <w:pPr>
                    <w:jc w:val="center"/>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0.2</w:t>
                  </w:r>
                </w:p>
              </w:tc>
              <w:tc>
                <w:tcPr>
                  <w:tcW w:w="1085" w:type="dxa"/>
                  <w:tcBorders>
                    <w:tl2br w:val="nil"/>
                    <w:tr2bl w:val="nil"/>
                  </w:tcBorders>
                  <w:vAlign w:val="center"/>
                </w:tcPr>
                <w:p w14:paraId="23A1D595">
                  <w:pPr>
                    <w:jc w:val="center"/>
                    <w:rPr>
                      <w:color w:val="auto"/>
                      <w:sz w:val="21"/>
                      <w:szCs w:val="21"/>
                      <w:highlight w:val="none"/>
                      <w:u w:val="none"/>
                    </w:rPr>
                  </w:pPr>
                  <w:r>
                    <w:rPr>
                      <w:rFonts w:hint="eastAsia"/>
                      <w:color w:val="auto"/>
                      <w:sz w:val="21"/>
                      <w:szCs w:val="21"/>
                      <w:highlight w:val="none"/>
                      <w:u w:val="none"/>
                    </w:rPr>
                    <w:t>一般固体废物</w:t>
                  </w:r>
                </w:p>
              </w:tc>
              <w:tc>
                <w:tcPr>
                  <w:tcW w:w="1410" w:type="dxa"/>
                  <w:tcBorders>
                    <w:tl2br w:val="nil"/>
                    <w:tr2bl w:val="nil"/>
                  </w:tcBorders>
                  <w:vAlign w:val="center"/>
                </w:tcPr>
                <w:p w14:paraId="7B03A202">
                  <w:pPr>
                    <w:jc w:val="center"/>
                    <w:rPr>
                      <w:rFonts w:hAnsi="宋体"/>
                      <w:color w:val="auto"/>
                      <w:sz w:val="21"/>
                      <w:szCs w:val="21"/>
                      <w:highlight w:val="none"/>
                      <w:u w:val="none"/>
                    </w:rPr>
                  </w:pPr>
                  <w:r>
                    <w:rPr>
                      <w:rFonts w:hint="eastAsia" w:hAnsi="宋体"/>
                      <w:color w:val="auto"/>
                      <w:sz w:val="21"/>
                      <w:szCs w:val="21"/>
                      <w:highlight w:val="none"/>
                      <w:u w:val="none"/>
                    </w:rPr>
                    <w:t>900-099-S59</w:t>
                  </w:r>
                </w:p>
              </w:tc>
              <w:tc>
                <w:tcPr>
                  <w:tcW w:w="1886" w:type="dxa"/>
                  <w:tcBorders>
                    <w:tl2br w:val="nil"/>
                    <w:tr2bl w:val="nil"/>
                  </w:tcBorders>
                  <w:vAlign w:val="center"/>
                </w:tcPr>
                <w:p w14:paraId="78923949">
                  <w:pPr>
                    <w:jc w:val="center"/>
                    <w:rPr>
                      <w:rFonts w:hint="eastAsia" w:eastAsia="宋体"/>
                      <w:color w:val="auto"/>
                      <w:sz w:val="21"/>
                      <w:szCs w:val="21"/>
                      <w:highlight w:val="none"/>
                      <w:u w:val="none"/>
                    </w:rPr>
                  </w:pPr>
                  <w:r>
                    <w:rPr>
                      <w:rFonts w:hint="eastAsia" w:eastAsia="宋体"/>
                      <w:color w:val="auto"/>
                      <w:sz w:val="21"/>
                      <w:szCs w:val="21"/>
                      <w:highlight w:val="none"/>
                      <w:u w:val="none"/>
                    </w:rPr>
                    <w:t>经集中收集，交供货商回收综合利用</w:t>
                  </w:r>
                </w:p>
              </w:tc>
              <w:tc>
                <w:tcPr>
                  <w:tcW w:w="808" w:type="dxa"/>
                  <w:tcBorders>
                    <w:tl2br w:val="nil"/>
                    <w:tr2bl w:val="nil"/>
                  </w:tcBorders>
                  <w:vAlign w:val="center"/>
                </w:tcPr>
                <w:p w14:paraId="5D69F16C">
                  <w:pPr>
                    <w:jc w:val="center"/>
                    <w:rPr>
                      <w:color w:val="auto"/>
                      <w:sz w:val="21"/>
                      <w:szCs w:val="21"/>
                      <w:highlight w:val="none"/>
                      <w:u w:val="none"/>
                    </w:rPr>
                  </w:pPr>
                  <w:r>
                    <w:rPr>
                      <w:rFonts w:hint="eastAsia"/>
                      <w:color w:val="auto"/>
                      <w:sz w:val="21"/>
                      <w:szCs w:val="21"/>
                      <w:highlight w:val="none"/>
                      <w:u w:val="none"/>
                    </w:rPr>
                    <w:t>0</w:t>
                  </w:r>
                </w:p>
              </w:tc>
            </w:tr>
            <w:tr w14:paraId="17BE8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486" w:type="dxa"/>
                  <w:tcBorders>
                    <w:tl2br w:val="nil"/>
                    <w:tr2bl w:val="nil"/>
                  </w:tcBorders>
                  <w:vAlign w:val="center"/>
                </w:tcPr>
                <w:p w14:paraId="0A8E460E">
                  <w:pPr>
                    <w:jc w:val="center"/>
                    <w:rPr>
                      <w:rFonts w:hint="eastAsia"/>
                      <w:color w:val="auto"/>
                      <w:sz w:val="21"/>
                      <w:szCs w:val="21"/>
                      <w:highlight w:val="none"/>
                      <w:u w:val="none"/>
                    </w:rPr>
                  </w:pPr>
                  <w:r>
                    <w:rPr>
                      <w:rFonts w:hint="eastAsia"/>
                      <w:color w:val="auto"/>
                      <w:sz w:val="21"/>
                      <w:szCs w:val="21"/>
                      <w:highlight w:val="none"/>
                      <w:u w:val="none"/>
                    </w:rPr>
                    <w:t>4</w:t>
                  </w:r>
                </w:p>
              </w:tc>
              <w:tc>
                <w:tcPr>
                  <w:tcW w:w="1368" w:type="dxa"/>
                  <w:tcBorders>
                    <w:tl2br w:val="nil"/>
                    <w:tr2bl w:val="nil"/>
                  </w:tcBorders>
                  <w:vAlign w:val="center"/>
                </w:tcPr>
                <w:p w14:paraId="77B67E6F">
                  <w:pPr>
                    <w:jc w:val="center"/>
                    <w:rPr>
                      <w:rFonts w:hint="eastAsia" w:eastAsia="宋体"/>
                      <w:color w:val="auto"/>
                      <w:sz w:val="21"/>
                      <w:szCs w:val="21"/>
                      <w:highlight w:val="none"/>
                      <w:u w:val="none"/>
                      <w:lang w:eastAsia="zh-CN"/>
                    </w:rPr>
                  </w:pPr>
                  <w:r>
                    <w:rPr>
                      <w:rFonts w:hint="eastAsia" w:eastAsia="宋体"/>
                      <w:color w:val="auto"/>
                      <w:sz w:val="21"/>
                      <w:szCs w:val="21"/>
                      <w:highlight w:val="none"/>
                      <w:u w:val="none"/>
                    </w:rPr>
                    <w:t>锡渣</w:t>
                  </w:r>
                </w:p>
              </w:tc>
              <w:tc>
                <w:tcPr>
                  <w:tcW w:w="1054" w:type="dxa"/>
                  <w:tcBorders>
                    <w:tl2br w:val="nil"/>
                    <w:tr2bl w:val="nil"/>
                  </w:tcBorders>
                  <w:vAlign w:val="center"/>
                </w:tcPr>
                <w:p w14:paraId="5E57AA0A">
                  <w:pPr>
                    <w:jc w:val="center"/>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0.05</w:t>
                  </w:r>
                </w:p>
              </w:tc>
              <w:tc>
                <w:tcPr>
                  <w:tcW w:w="1085" w:type="dxa"/>
                  <w:tcBorders>
                    <w:tl2br w:val="nil"/>
                    <w:tr2bl w:val="nil"/>
                  </w:tcBorders>
                  <w:vAlign w:val="center"/>
                </w:tcPr>
                <w:p w14:paraId="10217FA0">
                  <w:pPr>
                    <w:jc w:val="center"/>
                    <w:rPr>
                      <w:rFonts w:hint="eastAsia"/>
                      <w:color w:val="auto"/>
                      <w:sz w:val="21"/>
                      <w:szCs w:val="21"/>
                      <w:highlight w:val="none"/>
                      <w:u w:val="none"/>
                    </w:rPr>
                  </w:pPr>
                  <w:r>
                    <w:rPr>
                      <w:rFonts w:hint="eastAsia"/>
                      <w:color w:val="auto"/>
                      <w:sz w:val="21"/>
                      <w:szCs w:val="21"/>
                      <w:highlight w:val="none"/>
                      <w:u w:val="none"/>
                    </w:rPr>
                    <w:t>一般固体废物</w:t>
                  </w:r>
                </w:p>
              </w:tc>
              <w:tc>
                <w:tcPr>
                  <w:tcW w:w="1410" w:type="dxa"/>
                  <w:tcBorders>
                    <w:tl2br w:val="nil"/>
                    <w:tr2bl w:val="nil"/>
                  </w:tcBorders>
                  <w:vAlign w:val="center"/>
                </w:tcPr>
                <w:p w14:paraId="02437C10">
                  <w:pPr>
                    <w:jc w:val="center"/>
                    <w:rPr>
                      <w:rFonts w:hint="eastAsia" w:hAnsi="宋体"/>
                      <w:color w:val="auto"/>
                      <w:sz w:val="21"/>
                      <w:szCs w:val="21"/>
                      <w:highlight w:val="none"/>
                      <w:u w:val="none"/>
                    </w:rPr>
                  </w:pPr>
                  <w:r>
                    <w:rPr>
                      <w:rFonts w:hint="eastAsia" w:hAnsi="宋体"/>
                      <w:color w:val="auto"/>
                      <w:sz w:val="21"/>
                      <w:szCs w:val="21"/>
                      <w:highlight w:val="none"/>
                      <w:u w:val="none"/>
                    </w:rPr>
                    <w:t>900-099-S59</w:t>
                  </w:r>
                </w:p>
              </w:tc>
              <w:tc>
                <w:tcPr>
                  <w:tcW w:w="1886" w:type="dxa"/>
                  <w:tcBorders>
                    <w:tl2br w:val="nil"/>
                    <w:tr2bl w:val="nil"/>
                  </w:tcBorders>
                  <w:vAlign w:val="center"/>
                </w:tcPr>
                <w:p w14:paraId="6E38356A">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集中收集后由供货商回收</w:t>
                  </w:r>
                </w:p>
              </w:tc>
              <w:tc>
                <w:tcPr>
                  <w:tcW w:w="808" w:type="dxa"/>
                  <w:tcBorders>
                    <w:tl2br w:val="nil"/>
                    <w:tr2bl w:val="nil"/>
                  </w:tcBorders>
                  <w:vAlign w:val="center"/>
                </w:tcPr>
                <w:p w14:paraId="2EA5BDFD">
                  <w:pPr>
                    <w:jc w:val="center"/>
                    <w:rPr>
                      <w:rFonts w:hint="eastAsia" w:eastAsia="宋体"/>
                      <w:color w:val="auto"/>
                      <w:sz w:val="21"/>
                      <w:szCs w:val="21"/>
                      <w:highlight w:val="none"/>
                      <w:u w:val="none"/>
                      <w:lang w:val="en-US" w:eastAsia="zh-CN"/>
                    </w:rPr>
                  </w:pPr>
                  <w:r>
                    <w:rPr>
                      <w:rFonts w:hint="eastAsia"/>
                      <w:color w:val="auto"/>
                      <w:sz w:val="21"/>
                      <w:szCs w:val="21"/>
                      <w:highlight w:val="none"/>
                      <w:u w:val="none"/>
                      <w:lang w:val="en-US" w:eastAsia="zh-CN"/>
                    </w:rPr>
                    <w:t>0</w:t>
                  </w:r>
                </w:p>
              </w:tc>
            </w:tr>
            <w:tr w14:paraId="1EBD66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486" w:type="dxa"/>
                  <w:tcBorders>
                    <w:tl2br w:val="nil"/>
                    <w:tr2bl w:val="nil"/>
                  </w:tcBorders>
                  <w:vAlign w:val="center"/>
                </w:tcPr>
                <w:p w14:paraId="64BC24F9">
                  <w:pPr>
                    <w:jc w:val="center"/>
                    <w:rPr>
                      <w:color w:val="auto"/>
                      <w:sz w:val="21"/>
                      <w:szCs w:val="21"/>
                      <w:highlight w:val="none"/>
                      <w:u w:val="none"/>
                    </w:rPr>
                  </w:pPr>
                  <w:r>
                    <w:rPr>
                      <w:rFonts w:hint="eastAsia"/>
                      <w:color w:val="auto"/>
                      <w:sz w:val="21"/>
                      <w:szCs w:val="21"/>
                      <w:highlight w:val="none"/>
                      <w:u w:val="none"/>
                    </w:rPr>
                    <w:t>5</w:t>
                  </w:r>
                </w:p>
              </w:tc>
              <w:tc>
                <w:tcPr>
                  <w:tcW w:w="1368" w:type="dxa"/>
                  <w:tcBorders>
                    <w:tl2br w:val="nil"/>
                    <w:tr2bl w:val="nil"/>
                  </w:tcBorders>
                  <w:vAlign w:val="center"/>
                </w:tcPr>
                <w:p w14:paraId="3655D90A">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废喷砂产尘</w:t>
                  </w:r>
                </w:p>
              </w:tc>
              <w:tc>
                <w:tcPr>
                  <w:tcW w:w="1054" w:type="dxa"/>
                  <w:tcBorders>
                    <w:tl2br w:val="nil"/>
                    <w:tr2bl w:val="nil"/>
                  </w:tcBorders>
                  <w:vAlign w:val="center"/>
                </w:tcPr>
                <w:p w14:paraId="3D7E46E8">
                  <w:pPr>
                    <w:jc w:val="center"/>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0.351</w:t>
                  </w:r>
                </w:p>
              </w:tc>
              <w:tc>
                <w:tcPr>
                  <w:tcW w:w="1085" w:type="dxa"/>
                  <w:tcBorders>
                    <w:tl2br w:val="nil"/>
                    <w:tr2bl w:val="nil"/>
                  </w:tcBorders>
                  <w:vAlign w:val="center"/>
                </w:tcPr>
                <w:p w14:paraId="1A8666CF">
                  <w:pPr>
                    <w:jc w:val="center"/>
                    <w:rPr>
                      <w:color w:val="auto"/>
                      <w:sz w:val="21"/>
                      <w:szCs w:val="21"/>
                      <w:highlight w:val="none"/>
                      <w:u w:val="none"/>
                    </w:rPr>
                  </w:pPr>
                  <w:r>
                    <w:rPr>
                      <w:rFonts w:hint="eastAsia"/>
                      <w:color w:val="auto"/>
                      <w:sz w:val="21"/>
                      <w:szCs w:val="21"/>
                      <w:highlight w:val="none"/>
                      <w:u w:val="none"/>
                    </w:rPr>
                    <w:t>一般固体废物</w:t>
                  </w:r>
                </w:p>
              </w:tc>
              <w:tc>
                <w:tcPr>
                  <w:tcW w:w="1410" w:type="dxa"/>
                  <w:tcBorders>
                    <w:tl2br w:val="nil"/>
                    <w:tr2bl w:val="nil"/>
                  </w:tcBorders>
                  <w:vAlign w:val="center"/>
                </w:tcPr>
                <w:p w14:paraId="761126C2">
                  <w:pPr>
                    <w:jc w:val="center"/>
                    <w:rPr>
                      <w:rFonts w:hAnsi="宋体"/>
                      <w:color w:val="auto"/>
                      <w:sz w:val="21"/>
                      <w:szCs w:val="21"/>
                      <w:highlight w:val="none"/>
                      <w:u w:val="none"/>
                    </w:rPr>
                  </w:pPr>
                  <w:r>
                    <w:rPr>
                      <w:rFonts w:hint="eastAsia" w:hAnsi="宋体"/>
                      <w:color w:val="auto"/>
                      <w:sz w:val="21"/>
                      <w:szCs w:val="21"/>
                      <w:highlight w:val="none"/>
                      <w:u w:val="none"/>
                    </w:rPr>
                    <w:t>900-099-S17</w:t>
                  </w:r>
                </w:p>
              </w:tc>
              <w:tc>
                <w:tcPr>
                  <w:tcW w:w="1886" w:type="dxa"/>
                  <w:tcBorders>
                    <w:tl2br w:val="nil"/>
                    <w:tr2bl w:val="nil"/>
                  </w:tcBorders>
                  <w:vAlign w:val="center"/>
                </w:tcPr>
                <w:p w14:paraId="6DDC9E4C">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桶装收集后交物资回收单位处置</w:t>
                  </w:r>
                </w:p>
              </w:tc>
              <w:tc>
                <w:tcPr>
                  <w:tcW w:w="808" w:type="dxa"/>
                  <w:tcBorders>
                    <w:tl2br w:val="nil"/>
                    <w:tr2bl w:val="nil"/>
                  </w:tcBorders>
                  <w:vAlign w:val="center"/>
                </w:tcPr>
                <w:p w14:paraId="684803A5">
                  <w:pPr>
                    <w:jc w:val="center"/>
                    <w:rPr>
                      <w:color w:val="auto"/>
                      <w:sz w:val="21"/>
                      <w:szCs w:val="21"/>
                      <w:highlight w:val="none"/>
                      <w:u w:val="none"/>
                    </w:rPr>
                  </w:pPr>
                  <w:r>
                    <w:rPr>
                      <w:rFonts w:hint="eastAsia"/>
                      <w:color w:val="auto"/>
                      <w:sz w:val="21"/>
                      <w:szCs w:val="21"/>
                      <w:highlight w:val="none"/>
                      <w:u w:val="none"/>
                    </w:rPr>
                    <w:t>0</w:t>
                  </w:r>
                </w:p>
              </w:tc>
            </w:tr>
            <w:tr w14:paraId="7758AD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86" w:type="dxa"/>
                  <w:tcBorders>
                    <w:tl2br w:val="nil"/>
                    <w:tr2bl w:val="nil"/>
                  </w:tcBorders>
                  <w:vAlign w:val="center"/>
                </w:tcPr>
                <w:p w14:paraId="24375071">
                  <w:pPr>
                    <w:jc w:val="center"/>
                    <w:rPr>
                      <w:color w:val="auto"/>
                      <w:sz w:val="21"/>
                      <w:szCs w:val="21"/>
                      <w:highlight w:val="none"/>
                      <w:u w:val="none"/>
                    </w:rPr>
                  </w:pPr>
                  <w:r>
                    <w:rPr>
                      <w:rFonts w:hint="eastAsia"/>
                      <w:color w:val="auto"/>
                      <w:sz w:val="21"/>
                      <w:szCs w:val="21"/>
                      <w:highlight w:val="none"/>
                      <w:u w:val="none"/>
                    </w:rPr>
                    <w:t>7</w:t>
                  </w:r>
                </w:p>
              </w:tc>
              <w:tc>
                <w:tcPr>
                  <w:tcW w:w="1368" w:type="dxa"/>
                  <w:tcBorders>
                    <w:tl2br w:val="nil"/>
                    <w:tr2bl w:val="nil"/>
                  </w:tcBorders>
                  <w:vAlign w:val="center"/>
                </w:tcPr>
                <w:p w14:paraId="553D7221">
                  <w:pPr>
                    <w:jc w:val="center"/>
                    <w:rPr>
                      <w:rFonts w:hint="eastAsia" w:eastAsia="宋体"/>
                      <w:color w:val="auto"/>
                      <w:sz w:val="21"/>
                      <w:szCs w:val="21"/>
                      <w:highlight w:val="none"/>
                      <w:u w:val="none"/>
                    </w:rPr>
                  </w:pPr>
                  <w:r>
                    <w:rPr>
                      <w:rFonts w:hint="eastAsia" w:eastAsia="宋体"/>
                      <w:color w:val="auto"/>
                      <w:sz w:val="21"/>
                      <w:szCs w:val="21"/>
                      <w:highlight w:val="none"/>
                      <w:u w:val="none"/>
                    </w:rPr>
                    <w:t>生活垃圾</w:t>
                  </w:r>
                </w:p>
              </w:tc>
              <w:tc>
                <w:tcPr>
                  <w:tcW w:w="1054" w:type="dxa"/>
                  <w:tcBorders>
                    <w:tl2br w:val="nil"/>
                    <w:tr2bl w:val="nil"/>
                  </w:tcBorders>
                  <w:vAlign w:val="center"/>
                </w:tcPr>
                <w:p w14:paraId="5B773DA5">
                  <w:pPr>
                    <w:jc w:val="center"/>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25.92</w:t>
                  </w:r>
                </w:p>
              </w:tc>
              <w:tc>
                <w:tcPr>
                  <w:tcW w:w="1085" w:type="dxa"/>
                  <w:tcBorders>
                    <w:tl2br w:val="nil"/>
                    <w:tr2bl w:val="nil"/>
                  </w:tcBorders>
                  <w:vAlign w:val="center"/>
                </w:tcPr>
                <w:p w14:paraId="63829C86">
                  <w:pPr>
                    <w:jc w:val="center"/>
                    <w:rPr>
                      <w:color w:val="auto"/>
                      <w:sz w:val="21"/>
                      <w:szCs w:val="21"/>
                      <w:highlight w:val="none"/>
                      <w:u w:val="none"/>
                    </w:rPr>
                  </w:pPr>
                  <w:r>
                    <w:rPr>
                      <w:rFonts w:hint="eastAsia"/>
                      <w:color w:val="auto"/>
                      <w:sz w:val="21"/>
                      <w:szCs w:val="21"/>
                      <w:highlight w:val="none"/>
                      <w:u w:val="none"/>
                    </w:rPr>
                    <w:t>一般固体废物</w:t>
                  </w:r>
                </w:p>
              </w:tc>
              <w:tc>
                <w:tcPr>
                  <w:tcW w:w="1410" w:type="dxa"/>
                  <w:tcBorders>
                    <w:tl2br w:val="nil"/>
                    <w:tr2bl w:val="nil"/>
                  </w:tcBorders>
                  <w:vAlign w:val="center"/>
                </w:tcPr>
                <w:p w14:paraId="7890A463">
                  <w:pPr>
                    <w:jc w:val="center"/>
                    <w:rPr>
                      <w:rFonts w:hAnsi="宋体"/>
                      <w:color w:val="auto"/>
                      <w:sz w:val="21"/>
                      <w:szCs w:val="21"/>
                      <w:highlight w:val="none"/>
                      <w:u w:val="none"/>
                    </w:rPr>
                  </w:pPr>
                  <w:r>
                    <w:rPr>
                      <w:rFonts w:hint="eastAsia" w:hAnsi="宋体"/>
                      <w:color w:val="auto"/>
                      <w:sz w:val="21"/>
                      <w:szCs w:val="21"/>
                      <w:highlight w:val="none"/>
                      <w:u w:val="none"/>
                    </w:rPr>
                    <w:t>900-099-S64</w:t>
                  </w:r>
                </w:p>
              </w:tc>
              <w:tc>
                <w:tcPr>
                  <w:tcW w:w="1886" w:type="dxa"/>
                  <w:tcBorders>
                    <w:tl2br w:val="nil"/>
                    <w:tr2bl w:val="nil"/>
                  </w:tcBorders>
                  <w:vAlign w:val="center"/>
                </w:tcPr>
                <w:p w14:paraId="199D2FCD">
                  <w:pPr>
                    <w:jc w:val="center"/>
                    <w:rPr>
                      <w:color w:val="auto"/>
                      <w:sz w:val="21"/>
                      <w:szCs w:val="21"/>
                      <w:highlight w:val="none"/>
                      <w:u w:val="none"/>
                    </w:rPr>
                  </w:pPr>
                  <w:r>
                    <w:rPr>
                      <w:color w:val="auto"/>
                      <w:sz w:val="21"/>
                      <w:szCs w:val="21"/>
                      <w:highlight w:val="none"/>
                      <w:u w:val="none"/>
                    </w:rPr>
                    <w:t>委托当地环卫部门进行清运处理</w:t>
                  </w:r>
                </w:p>
              </w:tc>
              <w:tc>
                <w:tcPr>
                  <w:tcW w:w="808" w:type="dxa"/>
                  <w:tcBorders>
                    <w:tl2br w:val="nil"/>
                    <w:tr2bl w:val="nil"/>
                  </w:tcBorders>
                  <w:vAlign w:val="center"/>
                </w:tcPr>
                <w:p w14:paraId="7D74A8F4">
                  <w:pPr>
                    <w:jc w:val="center"/>
                    <w:rPr>
                      <w:color w:val="auto"/>
                      <w:sz w:val="21"/>
                      <w:szCs w:val="21"/>
                      <w:highlight w:val="none"/>
                      <w:u w:val="none"/>
                    </w:rPr>
                  </w:pPr>
                  <w:r>
                    <w:rPr>
                      <w:rFonts w:hint="eastAsia"/>
                      <w:color w:val="auto"/>
                      <w:sz w:val="21"/>
                      <w:szCs w:val="21"/>
                      <w:highlight w:val="none"/>
                      <w:u w:val="none"/>
                    </w:rPr>
                    <w:t>0</w:t>
                  </w:r>
                </w:p>
              </w:tc>
            </w:tr>
            <w:tr w14:paraId="051A0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486" w:type="dxa"/>
                  <w:tcBorders>
                    <w:tl2br w:val="nil"/>
                    <w:tr2bl w:val="nil"/>
                  </w:tcBorders>
                  <w:vAlign w:val="center"/>
                </w:tcPr>
                <w:p w14:paraId="63E21612">
                  <w:pPr>
                    <w:jc w:val="center"/>
                    <w:rPr>
                      <w:color w:val="auto"/>
                      <w:sz w:val="21"/>
                      <w:szCs w:val="21"/>
                      <w:highlight w:val="none"/>
                      <w:u w:val="none"/>
                    </w:rPr>
                  </w:pPr>
                  <w:r>
                    <w:rPr>
                      <w:rFonts w:hint="eastAsia"/>
                      <w:color w:val="auto"/>
                      <w:sz w:val="21"/>
                      <w:szCs w:val="21"/>
                      <w:highlight w:val="none"/>
                      <w:u w:val="none"/>
                    </w:rPr>
                    <w:t>8</w:t>
                  </w:r>
                </w:p>
              </w:tc>
              <w:tc>
                <w:tcPr>
                  <w:tcW w:w="1368" w:type="dxa"/>
                  <w:tcBorders>
                    <w:tl2br w:val="nil"/>
                    <w:tr2bl w:val="nil"/>
                  </w:tcBorders>
                  <w:vAlign w:val="center"/>
                </w:tcPr>
                <w:p w14:paraId="58115703">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废化学品包装</w:t>
                  </w:r>
                </w:p>
              </w:tc>
              <w:tc>
                <w:tcPr>
                  <w:tcW w:w="1054" w:type="dxa"/>
                  <w:tcBorders>
                    <w:tl2br w:val="nil"/>
                    <w:tr2bl w:val="nil"/>
                  </w:tcBorders>
                  <w:vAlign w:val="center"/>
                </w:tcPr>
                <w:p w14:paraId="4ED7A6DE">
                  <w:pPr>
                    <w:jc w:val="center"/>
                    <w:rPr>
                      <w:rFonts w:hint="default" w:ascii="Times New Roman" w:hAnsi="Times New Roman" w:eastAsia="宋体" w:cs="Times New Roman"/>
                      <w:sz w:val="21"/>
                      <w:szCs w:val="21"/>
                      <w:highlight w:val="none"/>
                      <w:lang w:val="en-US"/>
                    </w:rPr>
                  </w:pPr>
                  <w:r>
                    <w:rPr>
                      <w:rFonts w:ascii="Times New Roman" w:hAnsi="Times New Roman" w:eastAsia="宋体" w:cs="Times New Roman"/>
                      <w:sz w:val="21"/>
                      <w:szCs w:val="21"/>
                      <w:highlight w:val="none"/>
                    </w:rPr>
                    <w:t>0.</w:t>
                  </w:r>
                  <w:r>
                    <w:rPr>
                      <w:rFonts w:hint="eastAsia" w:ascii="Times New Roman" w:hAnsi="Times New Roman" w:eastAsia="宋体" w:cs="Times New Roman"/>
                      <w:sz w:val="21"/>
                      <w:szCs w:val="21"/>
                      <w:highlight w:val="none"/>
                      <w:lang w:val="en-US" w:eastAsia="zh-CN"/>
                    </w:rPr>
                    <w:t>284</w:t>
                  </w:r>
                </w:p>
              </w:tc>
              <w:tc>
                <w:tcPr>
                  <w:tcW w:w="1085" w:type="dxa"/>
                  <w:vMerge w:val="restart"/>
                  <w:tcBorders>
                    <w:tl2br w:val="nil"/>
                    <w:tr2bl w:val="nil"/>
                  </w:tcBorders>
                  <w:vAlign w:val="center"/>
                </w:tcPr>
                <w:p w14:paraId="1C66CAC6">
                  <w:pPr>
                    <w:jc w:val="center"/>
                    <w:rPr>
                      <w:color w:val="auto"/>
                      <w:sz w:val="21"/>
                      <w:szCs w:val="21"/>
                      <w:highlight w:val="none"/>
                      <w:u w:val="none"/>
                    </w:rPr>
                  </w:pPr>
                  <w:r>
                    <w:rPr>
                      <w:rFonts w:hint="eastAsia"/>
                      <w:color w:val="auto"/>
                      <w:sz w:val="21"/>
                      <w:szCs w:val="21"/>
                      <w:highlight w:val="none"/>
                      <w:u w:val="none"/>
                    </w:rPr>
                    <w:t>危险废物</w:t>
                  </w:r>
                </w:p>
              </w:tc>
              <w:tc>
                <w:tcPr>
                  <w:tcW w:w="1410" w:type="dxa"/>
                  <w:tcBorders>
                    <w:tl2br w:val="nil"/>
                    <w:tr2bl w:val="nil"/>
                  </w:tcBorders>
                  <w:vAlign w:val="center"/>
                </w:tcPr>
                <w:p w14:paraId="151B3468">
                  <w:pPr>
                    <w:jc w:val="center"/>
                    <w:rPr>
                      <w:rFonts w:hAnsi="宋体"/>
                      <w:color w:val="auto"/>
                      <w:sz w:val="21"/>
                      <w:szCs w:val="21"/>
                      <w:highlight w:val="none"/>
                      <w:u w:val="none"/>
                    </w:rPr>
                  </w:pPr>
                  <w:r>
                    <w:rPr>
                      <w:rFonts w:ascii="Times New Roman" w:hAnsi="Times New Roman" w:cs="Times New Roman"/>
                      <w:sz w:val="21"/>
                      <w:szCs w:val="21"/>
                      <w:highlight w:val="none"/>
                    </w:rPr>
                    <w:t>900-</w:t>
                  </w:r>
                  <w:r>
                    <w:rPr>
                      <w:rFonts w:hint="eastAsia" w:cs="Times New Roman"/>
                      <w:sz w:val="21"/>
                      <w:szCs w:val="21"/>
                      <w:highlight w:val="none"/>
                      <w:lang w:val="en-US" w:eastAsia="zh-CN"/>
                    </w:rPr>
                    <w:t>041</w:t>
                  </w:r>
                  <w:r>
                    <w:rPr>
                      <w:rFonts w:ascii="Times New Roman" w:hAnsi="Times New Roman" w:cs="Times New Roman"/>
                      <w:sz w:val="21"/>
                      <w:szCs w:val="21"/>
                      <w:highlight w:val="none"/>
                    </w:rPr>
                    <w:t>-</w:t>
                  </w:r>
                  <w:r>
                    <w:rPr>
                      <w:rFonts w:hint="eastAsia" w:cs="Times New Roman"/>
                      <w:sz w:val="21"/>
                      <w:szCs w:val="21"/>
                      <w:highlight w:val="none"/>
                      <w:lang w:val="en-US" w:eastAsia="zh-CN"/>
                    </w:rPr>
                    <w:t>49</w:t>
                  </w:r>
                </w:p>
              </w:tc>
              <w:tc>
                <w:tcPr>
                  <w:tcW w:w="1886" w:type="dxa"/>
                  <w:vMerge w:val="restart"/>
                  <w:tcBorders>
                    <w:tl2br w:val="nil"/>
                    <w:tr2bl w:val="nil"/>
                  </w:tcBorders>
                  <w:vAlign w:val="center"/>
                </w:tcPr>
                <w:p w14:paraId="59CBBFD8">
                  <w:pPr>
                    <w:jc w:val="center"/>
                    <w:rPr>
                      <w:color w:val="auto"/>
                      <w:sz w:val="21"/>
                      <w:szCs w:val="21"/>
                      <w:highlight w:val="none"/>
                      <w:u w:val="none"/>
                    </w:rPr>
                  </w:pPr>
                  <w:r>
                    <w:rPr>
                      <w:rFonts w:hint="eastAsia"/>
                      <w:color w:val="auto"/>
                      <w:sz w:val="21"/>
                      <w:szCs w:val="21"/>
                      <w:highlight w:val="none"/>
                      <w:u w:val="none"/>
                      <w:lang w:eastAsia="zh-CN"/>
                    </w:rPr>
                    <w:t>用密闭容器暂存在危废暂存间，</w:t>
                  </w:r>
                  <w:r>
                    <w:rPr>
                      <w:rFonts w:hint="eastAsia"/>
                      <w:color w:val="auto"/>
                      <w:sz w:val="21"/>
                      <w:szCs w:val="21"/>
                      <w:highlight w:val="none"/>
                      <w:u w:val="none"/>
                    </w:rPr>
                    <w:t>定期交有危险废物</w:t>
                  </w:r>
                  <w:r>
                    <w:rPr>
                      <w:rFonts w:hint="eastAsia" w:hAnsi="宋体"/>
                      <w:color w:val="auto"/>
                      <w:sz w:val="21"/>
                      <w:szCs w:val="21"/>
                      <w:highlight w:val="none"/>
                      <w:u w:val="none"/>
                    </w:rPr>
                    <w:t>处理资质的单位处理，不自行处理和外排</w:t>
                  </w:r>
                </w:p>
              </w:tc>
              <w:tc>
                <w:tcPr>
                  <w:tcW w:w="808" w:type="dxa"/>
                  <w:tcBorders>
                    <w:tl2br w:val="nil"/>
                    <w:tr2bl w:val="nil"/>
                  </w:tcBorders>
                  <w:vAlign w:val="center"/>
                </w:tcPr>
                <w:p w14:paraId="5C49BC71">
                  <w:pPr>
                    <w:jc w:val="center"/>
                    <w:rPr>
                      <w:color w:val="auto"/>
                      <w:sz w:val="21"/>
                      <w:szCs w:val="21"/>
                      <w:highlight w:val="none"/>
                      <w:u w:val="none"/>
                    </w:rPr>
                  </w:pPr>
                  <w:r>
                    <w:rPr>
                      <w:rFonts w:hint="eastAsia"/>
                      <w:color w:val="auto"/>
                      <w:sz w:val="21"/>
                      <w:szCs w:val="21"/>
                      <w:highlight w:val="none"/>
                      <w:u w:val="none"/>
                    </w:rPr>
                    <w:t>0</w:t>
                  </w:r>
                </w:p>
              </w:tc>
            </w:tr>
            <w:tr w14:paraId="29D8F9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486" w:type="dxa"/>
                  <w:tcBorders>
                    <w:tl2br w:val="nil"/>
                    <w:tr2bl w:val="nil"/>
                  </w:tcBorders>
                  <w:vAlign w:val="center"/>
                </w:tcPr>
                <w:p w14:paraId="6117BA0D">
                  <w:pPr>
                    <w:jc w:val="center"/>
                    <w:rPr>
                      <w:color w:val="auto"/>
                      <w:sz w:val="21"/>
                      <w:szCs w:val="21"/>
                      <w:highlight w:val="none"/>
                      <w:u w:val="none"/>
                    </w:rPr>
                  </w:pPr>
                  <w:r>
                    <w:rPr>
                      <w:rFonts w:hint="eastAsia"/>
                      <w:color w:val="auto"/>
                      <w:sz w:val="21"/>
                      <w:szCs w:val="21"/>
                      <w:highlight w:val="none"/>
                      <w:u w:val="none"/>
                    </w:rPr>
                    <w:t>9</w:t>
                  </w:r>
                </w:p>
              </w:tc>
              <w:tc>
                <w:tcPr>
                  <w:tcW w:w="1368" w:type="dxa"/>
                  <w:tcBorders>
                    <w:tl2br w:val="nil"/>
                    <w:tr2bl w:val="nil"/>
                  </w:tcBorders>
                  <w:vAlign w:val="center"/>
                </w:tcPr>
                <w:p w14:paraId="0070430C">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废</w:t>
                  </w:r>
                  <w:r>
                    <w:rPr>
                      <w:rFonts w:hint="eastAsia" w:eastAsia="宋体"/>
                      <w:color w:val="auto"/>
                      <w:sz w:val="21"/>
                      <w:szCs w:val="21"/>
                      <w:highlight w:val="none"/>
                      <w:u w:val="none"/>
                      <w:lang w:val="en-US" w:eastAsia="zh-CN"/>
                    </w:rPr>
                    <w:t>液压</w:t>
                  </w:r>
                  <w:r>
                    <w:rPr>
                      <w:rFonts w:hint="default" w:eastAsia="宋体"/>
                      <w:color w:val="auto"/>
                      <w:sz w:val="21"/>
                      <w:szCs w:val="21"/>
                      <w:highlight w:val="none"/>
                      <w:u w:val="none"/>
                      <w:lang w:val="en-US" w:eastAsia="zh-CN"/>
                    </w:rPr>
                    <w:t>油</w:t>
                  </w:r>
                </w:p>
              </w:tc>
              <w:tc>
                <w:tcPr>
                  <w:tcW w:w="1054" w:type="dxa"/>
                  <w:tcBorders>
                    <w:tl2br w:val="nil"/>
                    <w:tr2bl w:val="nil"/>
                  </w:tcBorders>
                  <w:vAlign w:val="center"/>
                </w:tcPr>
                <w:p w14:paraId="582B75D0">
                  <w:pPr>
                    <w:jc w:val="center"/>
                    <w:rPr>
                      <w:color w:val="auto"/>
                      <w:sz w:val="21"/>
                      <w:szCs w:val="21"/>
                      <w:highlight w:val="none"/>
                      <w:u w:val="none"/>
                    </w:rPr>
                  </w:pPr>
                  <w:r>
                    <w:rPr>
                      <w:rFonts w:ascii="Times New Roman" w:hAnsi="Times New Roman"/>
                      <w:sz w:val="21"/>
                      <w:szCs w:val="21"/>
                      <w:highlight w:val="none"/>
                    </w:rPr>
                    <w:t>0.01</w:t>
                  </w:r>
                </w:p>
              </w:tc>
              <w:tc>
                <w:tcPr>
                  <w:tcW w:w="1085" w:type="dxa"/>
                  <w:vMerge w:val="continue"/>
                  <w:tcBorders>
                    <w:tl2br w:val="nil"/>
                    <w:tr2bl w:val="nil"/>
                  </w:tcBorders>
                  <w:vAlign w:val="center"/>
                </w:tcPr>
                <w:p w14:paraId="48400657">
                  <w:pPr>
                    <w:jc w:val="center"/>
                    <w:rPr>
                      <w:color w:val="auto"/>
                      <w:sz w:val="21"/>
                      <w:szCs w:val="21"/>
                      <w:highlight w:val="none"/>
                      <w:u w:val="none"/>
                    </w:rPr>
                  </w:pPr>
                </w:p>
              </w:tc>
              <w:tc>
                <w:tcPr>
                  <w:tcW w:w="1410" w:type="dxa"/>
                  <w:tcBorders>
                    <w:tl2br w:val="nil"/>
                    <w:tr2bl w:val="nil"/>
                  </w:tcBorders>
                  <w:vAlign w:val="center"/>
                </w:tcPr>
                <w:p w14:paraId="6A716E6A">
                  <w:pPr>
                    <w:jc w:val="center"/>
                    <w:rPr>
                      <w:color w:val="auto"/>
                      <w:sz w:val="21"/>
                      <w:szCs w:val="21"/>
                      <w:highlight w:val="none"/>
                      <w:u w:val="none"/>
                    </w:rPr>
                  </w:pPr>
                  <w:r>
                    <w:rPr>
                      <w:rFonts w:ascii="Times New Roman" w:hAnsi="Times New Roman" w:cs="Times New Roman"/>
                      <w:sz w:val="21"/>
                      <w:szCs w:val="21"/>
                      <w:highlight w:val="none"/>
                    </w:rPr>
                    <w:t>900-</w:t>
                  </w:r>
                  <w:r>
                    <w:rPr>
                      <w:rFonts w:hint="eastAsia" w:cs="Times New Roman"/>
                      <w:sz w:val="21"/>
                      <w:szCs w:val="21"/>
                      <w:highlight w:val="none"/>
                      <w:lang w:val="en-US" w:eastAsia="zh-CN"/>
                    </w:rPr>
                    <w:t>249</w:t>
                  </w:r>
                  <w:r>
                    <w:rPr>
                      <w:rFonts w:ascii="Times New Roman" w:hAnsi="Times New Roman" w:cs="Times New Roman"/>
                      <w:sz w:val="21"/>
                      <w:szCs w:val="21"/>
                      <w:highlight w:val="none"/>
                    </w:rPr>
                    <w:t>-</w:t>
                  </w:r>
                  <w:r>
                    <w:rPr>
                      <w:rFonts w:hint="eastAsia" w:cs="Times New Roman"/>
                      <w:sz w:val="21"/>
                      <w:szCs w:val="21"/>
                      <w:highlight w:val="none"/>
                      <w:lang w:val="en-US" w:eastAsia="zh-CN"/>
                    </w:rPr>
                    <w:t>08</w:t>
                  </w:r>
                </w:p>
              </w:tc>
              <w:tc>
                <w:tcPr>
                  <w:tcW w:w="1886" w:type="dxa"/>
                  <w:vMerge w:val="continue"/>
                  <w:tcBorders>
                    <w:tl2br w:val="nil"/>
                    <w:tr2bl w:val="nil"/>
                  </w:tcBorders>
                  <w:vAlign w:val="center"/>
                </w:tcPr>
                <w:p w14:paraId="77C0EA6E">
                  <w:pPr>
                    <w:jc w:val="center"/>
                    <w:rPr>
                      <w:color w:val="auto"/>
                      <w:sz w:val="21"/>
                      <w:szCs w:val="21"/>
                      <w:highlight w:val="none"/>
                      <w:u w:val="none"/>
                    </w:rPr>
                  </w:pPr>
                </w:p>
              </w:tc>
              <w:tc>
                <w:tcPr>
                  <w:tcW w:w="808" w:type="dxa"/>
                  <w:tcBorders>
                    <w:tl2br w:val="nil"/>
                    <w:tr2bl w:val="nil"/>
                  </w:tcBorders>
                  <w:vAlign w:val="center"/>
                </w:tcPr>
                <w:p w14:paraId="46888543">
                  <w:pPr>
                    <w:jc w:val="center"/>
                    <w:rPr>
                      <w:color w:val="auto"/>
                      <w:sz w:val="21"/>
                      <w:szCs w:val="21"/>
                      <w:highlight w:val="none"/>
                      <w:u w:val="none"/>
                    </w:rPr>
                  </w:pPr>
                  <w:r>
                    <w:rPr>
                      <w:rFonts w:hint="eastAsia"/>
                      <w:color w:val="auto"/>
                      <w:sz w:val="21"/>
                      <w:szCs w:val="21"/>
                      <w:highlight w:val="none"/>
                      <w:u w:val="none"/>
                    </w:rPr>
                    <w:t>0</w:t>
                  </w:r>
                </w:p>
              </w:tc>
            </w:tr>
            <w:tr w14:paraId="42A042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486" w:type="dxa"/>
                  <w:tcBorders>
                    <w:tl2br w:val="nil"/>
                    <w:tr2bl w:val="nil"/>
                  </w:tcBorders>
                  <w:vAlign w:val="center"/>
                </w:tcPr>
                <w:p w14:paraId="20171BC1">
                  <w:pPr>
                    <w:jc w:val="center"/>
                    <w:rPr>
                      <w:color w:val="auto"/>
                      <w:sz w:val="21"/>
                      <w:szCs w:val="21"/>
                      <w:highlight w:val="none"/>
                      <w:u w:val="none"/>
                    </w:rPr>
                  </w:pPr>
                  <w:r>
                    <w:rPr>
                      <w:rFonts w:hint="eastAsia"/>
                      <w:color w:val="auto"/>
                      <w:sz w:val="21"/>
                      <w:szCs w:val="21"/>
                      <w:highlight w:val="none"/>
                      <w:u w:val="none"/>
                      <w:lang w:val="en-US" w:eastAsia="zh-CN"/>
                    </w:rPr>
                    <w:t>10</w:t>
                  </w:r>
                </w:p>
              </w:tc>
              <w:tc>
                <w:tcPr>
                  <w:tcW w:w="1368" w:type="dxa"/>
                  <w:tcBorders>
                    <w:tl2br w:val="nil"/>
                    <w:tr2bl w:val="nil"/>
                  </w:tcBorders>
                  <w:vAlign w:val="center"/>
                </w:tcPr>
                <w:p w14:paraId="476ADDB2">
                  <w:pPr>
                    <w:jc w:val="center"/>
                    <w:rPr>
                      <w:rFonts w:hint="eastAsia" w:eastAsia="宋体"/>
                      <w:color w:val="auto"/>
                      <w:sz w:val="21"/>
                      <w:szCs w:val="21"/>
                      <w:highlight w:val="none"/>
                      <w:u w:val="none"/>
                    </w:rPr>
                  </w:pPr>
                  <w:r>
                    <w:rPr>
                      <w:rFonts w:hint="eastAsia" w:eastAsia="宋体"/>
                      <w:color w:val="auto"/>
                      <w:sz w:val="21"/>
                      <w:szCs w:val="21"/>
                      <w:highlight w:val="none"/>
                      <w:u w:val="none"/>
                      <w:lang w:val="en-US" w:eastAsia="zh-CN"/>
                    </w:rPr>
                    <w:t>液压油废桶</w:t>
                  </w:r>
                </w:p>
              </w:tc>
              <w:tc>
                <w:tcPr>
                  <w:tcW w:w="1054" w:type="dxa"/>
                  <w:tcBorders>
                    <w:tl2br w:val="nil"/>
                    <w:tr2bl w:val="nil"/>
                  </w:tcBorders>
                  <w:vAlign w:val="center"/>
                </w:tcPr>
                <w:p w14:paraId="567E9DBF">
                  <w:pPr>
                    <w:jc w:val="center"/>
                    <w:rPr>
                      <w:color w:val="auto"/>
                      <w:sz w:val="21"/>
                      <w:szCs w:val="21"/>
                      <w:highlight w:val="none"/>
                      <w:u w:val="none"/>
                    </w:rPr>
                  </w:pPr>
                  <w:r>
                    <w:rPr>
                      <w:rFonts w:ascii="Times New Roman" w:hAnsi="Times New Roman" w:cs="Times New Roman"/>
                      <w:sz w:val="21"/>
                      <w:szCs w:val="21"/>
                      <w:highlight w:val="none"/>
                    </w:rPr>
                    <w:t>0.01</w:t>
                  </w:r>
                </w:p>
              </w:tc>
              <w:tc>
                <w:tcPr>
                  <w:tcW w:w="1085" w:type="dxa"/>
                  <w:vMerge w:val="continue"/>
                  <w:tcBorders>
                    <w:tl2br w:val="nil"/>
                    <w:tr2bl w:val="nil"/>
                  </w:tcBorders>
                  <w:vAlign w:val="center"/>
                </w:tcPr>
                <w:p w14:paraId="55ED816F">
                  <w:pPr>
                    <w:jc w:val="center"/>
                    <w:rPr>
                      <w:color w:val="auto"/>
                      <w:sz w:val="21"/>
                      <w:szCs w:val="21"/>
                      <w:highlight w:val="none"/>
                      <w:u w:val="none"/>
                    </w:rPr>
                  </w:pPr>
                </w:p>
              </w:tc>
              <w:tc>
                <w:tcPr>
                  <w:tcW w:w="1410" w:type="dxa"/>
                  <w:tcBorders>
                    <w:tl2br w:val="nil"/>
                    <w:tr2bl w:val="nil"/>
                  </w:tcBorders>
                  <w:vAlign w:val="center"/>
                </w:tcPr>
                <w:p w14:paraId="0A5962D0">
                  <w:pPr>
                    <w:jc w:val="center"/>
                    <w:rPr>
                      <w:color w:val="auto"/>
                      <w:sz w:val="21"/>
                      <w:szCs w:val="21"/>
                      <w:highlight w:val="none"/>
                      <w:u w:val="none"/>
                    </w:rPr>
                  </w:pPr>
                  <w:r>
                    <w:rPr>
                      <w:rFonts w:ascii="Times New Roman" w:hAnsi="Times New Roman" w:cs="Times New Roman"/>
                      <w:sz w:val="21"/>
                      <w:szCs w:val="21"/>
                      <w:highlight w:val="none"/>
                    </w:rPr>
                    <w:t>900-</w:t>
                  </w:r>
                  <w:r>
                    <w:rPr>
                      <w:rFonts w:hint="eastAsia" w:cs="Times New Roman"/>
                      <w:sz w:val="21"/>
                      <w:szCs w:val="21"/>
                      <w:highlight w:val="none"/>
                      <w:lang w:val="en-US" w:eastAsia="zh-CN"/>
                    </w:rPr>
                    <w:t>041</w:t>
                  </w:r>
                  <w:r>
                    <w:rPr>
                      <w:rFonts w:ascii="Times New Roman" w:hAnsi="Times New Roman" w:cs="Times New Roman"/>
                      <w:sz w:val="21"/>
                      <w:szCs w:val="21"/>
                      <w:highlight w:val="none"/>
                    </w:rPr>
                    <w:t>-</w:t>
                  </w:r>
                  <w:r>
                    <w:rPr>
                      <w:rFonts w:hint="eastAsia" w:cs="Times New Roman"/>
                      <w:sz w:val="21"/>
                      <w:szCs w:val="21"/>
                      <w:highlight w:val="none"/>
                      <w:lang w:val="en-US" w:eastAsia="zh-CN"/>
                    </w:rPr>
                    <w:t>49</w:t>
                  </w:r>
                </w:p>
              </w:tc>
              <w:tc>
                <w:tcPr>
                  <w:tcW w:w="1886" w:type="dxa"/>
                  <w:vMerge w:val="continue"/>
                  <w:tcBorders>
                    <w:tl2br w:val="nil"/>
                    <w:tr2bl w:val="nil"/>
                  </w:tcBorders>
                  <w:vAlign w:val="center"/>
                </w:tcPr>
                <w:p w14:paraId="0FA4D4A4">
                  <w:pPr>
                    <w:jc w:val="center"/>
                    <w:rPr>
                      <w:color w:val="auto"/>
                      <w:sz w:val="21"/>
                      <w:szCs w:val="21"/>
                      <w:highlight w:val="none"/>
                      <w:u w:val="none"/>
                    </w:rPr>
                  </w:pPr>
                </w:p>
              </w:tc>
              <w:tc>
                <w:tcPr>
                  <w:tcW w:w="808" w:type="dxa"/>
                  <w:tcBorders>
                    <w:tl2br w:val="nil"/>
                    <w:tr2bl w:val="nil"/>
                  </w:tcBorders>
                  <w:vAlign w:val="center"/>
                </w:tcPr>
                <w:p w14:paraId="1C5FC4C3">
                  <w:pPr>
                    <w:jc w:val="center"/>
                    <w:rPr>
                      <w:color w:val="auto"/>
                      <w:sz w:val="21"/>
                      <w:szCs w:val="21"/>
                      <w:highlight w:val="none"/>
                      <w:u w:val="none"/>
                    </w:rPr>
                  </w:pPr>
                  <w:r>
                    <w:rPr>
                      <w:rFonts w:hint="eastAsia"/>
                      <w:color w:val="auto"/>
                      <w:sz w:val="21"/>
                      <w:szCs w:val="21"/>
                      <w:highlight w:val="none"/>
                      <w:u w:val="none"/>
                    </w:rPr>
                    <w:t>0</w:t>
                  </w:r>
                </w:p>
              </w:tc>
            </w:tr>
            <w:tr w14:paraId="1FF2E0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486" w:type="dxa"/>
                  <w:tcBorders>
                    <w:tl2br w:val="nil"/>
                    <w:tr2bl w:val="nil"/>
                  </w:tcBorders>
                  <w:vAlign w:val="center"/>
                </w:tcPr>
                <w:p w14:paraId="24AE88F3">
                  <w:pPr>
                    <w:jc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11</w:t>
                  </w:r>
                </w:p>
              </w:tc>
              <w:tc>
                <w:tcPr>
                  <w:tcW w:w="1368" w:type="dxa"/>
                  <w:tcBorders>
                    <w:tl2br w:val="nil"/>
                    <w:tr2bl w:val="nil"/>
                  </w:tcBorders>
                  <w:vAlign w:val="center"/>
                </w:tcPr>
                <w:p w14:paraId="17A2769D">
                  <w:pPr>
                    <w:jc w:val="center"/>
                    <w:rPr>
                      <w:rFonts w:hint="eastAsia"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废活性炭</w:t>
                  </w:r>
                </w:p>
              </w:tc>
              <w:tc>
                <w:tcPr>
                  <w:tcW w:w="1054" w:type="dxa"/>
                  <w:tcBorders>
                    <w:tl2br w:val="nil"/>
                    <w:tr2bl w:val="nil"/>
                  </w:tcBorders>
                  <w:vAlign w:val="center"/>
                </w:tcPr>
                <w:p w14:paraId="397F8007">
                  <w:pPr>
                    <w:jc w:val="center"/>
                    <w:rPr>
                      <w:color w:val="auto"/>
                      <w:sz w:val="21"/>
                      <w:szCs w:val="21"/>
                      <w:highlight w:val="none"/>
                      <w:u w:val="none"/>
                    </w:rPr>
                  </w:pPr>
                  <w:r>
                    <w:rPr>
                      <w:rFonts w:hint="eastAsia" w:cs="Times New Roman"/>
                      <w:color w:val="auto"/>
                      <w:sz w:val="21"/>
                      <w:szCs w:val="21"/>
                      <w:highlight w:val="none"/>
                      <w:lang w:val="en-US" w:eastAsia="zh-CN"/>
                    </w:rPr>
                    <w:t>3.84</w:t>
                  </w:r>
                </w:p>
              </w:tc>
              <w:tc>
                <w:tcPr>
                  <w:tcW w:w="1085" w:type="dxa"/>
                  <w:vMerge w:val="continue"/>
                  <w:tcBorders>
                    <w:tl2br w:val="nil"/>
                    <w:tr2bl w:val="nil"/>
                  </w:tcBorders>
                  <w:vAlign w:val="center"/>
                </w:tcPr>
                <w:p w14:paraId="3F5EC802">
                  <w:pPr>
                    <w:jc w:val="center"/>
                    <w:rPr>
                      <w:color w:val="auto"/>
                      <w:sz w:val="21"/>
                      <w:szCs w:val="21"/>
                      <w:highlight w:val="none"/>
                      <w:u w:val="none"/>
                    </w:rPr>
                  </w:pPr>
                </w:p>
              </w:tc>
              <w:tc>
                <w:tcPr>
                  <w:tcW w:w="1410" w:type="dxa"/>
                  <w:tcBorders>
                    <w:tl2br w:val="nil"/>
                    <w:tr2bl w:val="nil"/>
                  </w:tcBorders>
                  <w:vAlign w:val="center"/>
                </w:tcPr>
                <w:p w14:paraId="571D28E5">
                  <w:pPr>
                    <w:jc w:val="center"/>
                    <w:rPr>
                      <w:color w:val="auto"/>
                      <w:sz w:val="21"/>
                      <w:szCs w:val="21"/>
                      <w:highlight w:val="none"/>
                      <w:u w:val="none"/>
                    </w:rPr>
                  </w:pPr>
                  <w:r>
                    <w:rPr>
                      <w:rFonts w:hint="eastAsia" w:ascii="Times New Roman" w:hAnsi="Times New Roman" w:cs="Times New Roman"/>
                      <w:color w:val="auto"/>
                      <w:sz w:val="21"/>
                      <w:szCs w:val="21"/>
                      <w:highlight w:val="none"/>
                      <w:lang w:val="en-US" w:eastAsia="zh-CN"/>
                    </w:rPr>
                    <w:t>900-039-49</w:t>
                  </w:r>
                </w:p>
              </w:tc>
              <w:tc>
                <w:tcPr>
                  <w:tcW w:w="1886" w:type="dxa"/>
                  <w:vMerge w:val="continue"/>
                  <w:tcBorders>
                    <w:tl2br w:val="nil"/>
                    <w:tr2bl w:val="nil"/>
                  </w:tcBorders>
                  <w:vAlign w:val="center"/>
                </w:tcPr>
                <w:p w14:paraId="5229842E">
                  <w:pPr>
                    <w:jc w:val="center"/>
                    <w:rPr>
                      <w:color w:val="auto"/>
                      <w:sz w:val="21"/>
                      <w:szCs w:val="21"/>
                      <w:highlight w:val="none"/>
                      <w:u w:val="none"/>
                    </w:rPr>
                  </w:pPr>
                </w:p>
              </w:tc>
              <w:tc>
                <w:tcPr>
                  <w:tcW w:w="808" w:type="dxa"/>
                  <w:tcBorders>
                    <w:tl2br w:val="nil"/>
                    <w:tr2bl w:val="nil"/>
                  </w:tcBorders>
                  <w:vAlign w:val="center"/>
                </w:tcPr>
                <w:p w14:paraId="7DF68CF9">
                  <w:pPr>
                    <w:jc w:val="center"/>
                    <w:rPr>
                      <w:rFonts w:hint="eastAsia"/>
                      <w:color w:val="auto"/>
                      <w:sz w:val="21"/>
                      <w:szCs w:val="21"/>
                      <w:highlight w:val="none"/>
                      <w:u w:val="none"/>
                    </w:rPr>
                  </w:pPr>
                  <w:r>
                    <w:rPr>
                      <w:rFonts w:hint="eastAsia"/>
                      <w:color w:val="auto"/>
                      <w:sz w:val="21"/>
                      <w:szCs w:val="21"/>
                      <w:highlight w:val="none"/>
                      <w:u w:val="none"/>
                    </w:rPr>
                    <w:t>0</w:t>
                  </w:r>
                </w:p>
              </w:tc>
            </w:tr>
            <w:tr w14:paraId="53ED2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486" w:type="dxa"/>
                  <w:tcBorders>
                    <w:tl2br w:val="nil"/>
                    <w:tr2bl w:val="nil"/>
                  </w:tcBorders>
                  <w:vAlign w:val="center"/>
                </w:tcPr>
                <w:p w14:paraId="40FA75DE">
                  <w:pPr>
                    <w:jc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12</w:t>
                  </w:r>
                </w:p>
              </w:tc>
              <w:tc>
                <w:tcPr>
                  <w:tcW w:w="1368" w:type="dxa"/>
                  <w:tcBorders>
                    <w:tl2br w:val="nil"/>
                    <w:tr2bl w:val="nil"/>
                  </w:tcBorders>
                  <w:vAlign w:val="center"/>
                </w:tcPr>
                <w:p w14:paraId="2427E853">
                  <w:pPr>
                    <w:jc w:val="center"/>
                    <w:rPr>
                      <w:rFonts w:hint="eastAsia"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废润滑油</w:t>
                  </w:r>
                </w:p>
              </w:tc>
              <w:tc>
                <w:tcPr>
                  <w:tcW w:w="1054" w:type="dxa"/>
                  <w:tcBorders>
                    <w:tl2br w:val="nil"/>
                    <w:tr2bl w:val="nil"/>
                  </w:tcBorders>
                  <w:vAlign w:val="center"/>
                </w:tcPr>
                <w:p w14:paraId="6D345577">
                  <w:pPr>
                    <w:jc w:val="center"/>
                    <w:rPr>
                      <w:color w:val="auto"/>
                      <w:sz w:val="21"/>
                      <w:szCs w:val="21"/>
                      <w:highlight w:val="none"/>
                      <w:u w:val="none"/>
                    </w:rPr>
                  </w:pPr>
                  <w:r>
                    <w:rPr>
                      <w:rFonts w:hint="eastAsia"/>
                      <w:color w:val="auto"/>
                      <w:sz w:val="21"/>
                      <w:szCs w:val="21"/>
                      <w:highlight w:val="none"/>
                      <w:u w:val="none" w:color="auto"/>
                      <w:lang w:val="en-US" w:eastAsia="zh-CN"/>
                    </w:rPr>
                    <w:t>0.01</w:t>
                  </w:r>
                </w:p>
              </w:tc>
              <w:tc>
                <w:tcPr>
                  <w:tcW w:w="1085" w:type="dxa"/>
                  <w:vMerge w:val="continue"/>
                  <w:tcBorders>
                    <w:tl2br w:val="nil"/>
                    <w:tr2bl w:val="nil"/>
                  </w:tcBorders>
                  <w:vAlign w:val="center"/>
                </w:tcPr>
                <w:p w14:paraId="08B678FD">
                  <w:pPr>
                    <w:jc w:val="center"/>
                    <w:rPr>
                      <w:color w:val="auto"/>
                      <w:sz w:val="21"/>
                      <w:szCs w:val="21"/>
                      <w:highlight w:val="none"/>
                      <w:u w:val="none"/>
                    </w:rPr>
                  </w:pPr>
                </w:p>
              </w:tc>
              <w:tc>
                <w:tcPr>
                  <w:tcW w:w="1410" w:type="dxa"/>
                  <w:tcBorders>
                    <w:tl2br w:val="nil"/>
                    <w:tr2bl w:val="nil"/>
                  </w:tcBorders>
                  <w:vAlign w:val="center"/>
                </w:tcPr>
                <w:p w14:paraId="1C9829DB">
                  <w:pPr>
                    <w:jc w:val="center"/>
                    <w:rPr>
                      <w:color w:val="auto"/>
                      <w:sz w:val="21"/>
                      <w:szCs w:val="21"/>
                      <w:highlight w:val="none"/>
                      <w:u w:val="none"/>
                    </w:rPr>
                  </w:pPr>
                  <w:r>
                    <w:rPr>
                      <w:color w:val="auto"/>
                      <w:sz w:val="21"/>
                      <w:szCs w:val="21"/>
                      <w:highlight w:val="none"/>
                      <w:u w:val="none" w:color="auto"/>
                    </w:rPr>
                    <w:t>900-217-08</w:t>
                  </w:r>
                </w:p>
              </w:tc>
              <w:tc>
                <w:tcPr>
                  <w:tcW w:w="1886" w:type="dxa"/>
                  <w:vMerge w:val="continue"/>
                  <w:tcBorders>
                    <w:tl2br w:val="nil"/>
                    <w:tr2bl w:val="nil"/>
                  </w:tcBorders>
                  <w:vAlign w:val="center"/>
                </w:tcPr>
                <w:p w14:paraId="06761159">
                  <w:pPr>
                    <w:jc w:val="center"/>
                    <w:rPr>
                      <w:color w:val="auto"/>
                      <w:sz w:val="21"/>
                      <w:szCs w:val="21"/>
                      <w:highlight w:val="none"/>
                      <w:u w:val="none"/>
                    </w:rPr>
                  </w:pPr>
                </w:p>
              </w:tc>
              <w:tc>
                <w:tcPr>
                  <w:tcW w:w="808" w:type="dxa"/>
                  <w:tcBorders>
                    <w:tl2br w:val="nil"/>
                    <w:tr2bl w:val="nil"/>
                  </w:tcBorders>
                  <w:vAlign w:val="center"/>
                </w:tcPr>
                <w:p w14:paraId="4469D35F">
                  <w:pPr>
                    <w:jc w:val="center"/>
                    <w:rPr>
                      <w:rFonts w:hint="eastAsia"/>
                      <w:color w:val="auto"/>
                      <w:sz w:val="21"/>
                      <w:szCs w:val="21"/>
                      <w:highlight w:val="none"/>
                      <w:u w:val="none"/>
                    </w:rPr>
                  </w:pPr>
                  <w:r>
                    <w:rPr>
                      <w:rFonts w:hint="eastAsia"/>
                      <w:color w:val="auto"/>
                      <w:sz w:val="21"/>
                      <w:szCs w:val="21"/>
                      <w:highlight w:val="none"/>
                      <w:u w:val="none"/>
                    </w:rPr>
                    <w:t>0</w:t>
                  </w:r>
                </w:p>
              </w:tc>
            </w:tr>
            <w:tr w14:paraId="36170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486" w:type="dxa"/>
                  <w:tcBorders>
                    <w:tl2br w:val="nil"/>
                    <w:tr2bl w:val="nil"/>
                  </w:tcBorders>
                  <w:vAlign w:val="center"/>
                </w:tcPr>
                <w:p w14:paraId="0F507EF8">
                  <w:pPr>
                    <w:jc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13</w:t>
                  </w:r>
                </w:p>
              </w:tc>
              <w:tc>
                <w:tcPr>
                  <w:tcW w:w="1368" w:type="dxa"/>
                  <w:tcBorders>
                    <w:tl2br w:val="nil"/>
                    <w:tr2bl w:val="nil"/>
                  </w:tcBorders>
                  <w:vAlign w:val="center"/>
                </w:tcPr>
                <w:p w14:paraId="69224056">
                  <w:pPr>
                    <w:jc w:val="center"/>
                    <w:rPr>
                      <w:rFonts w:hint="eastAsia"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机修废机油</w:t>
                  </w:r>
                </w:p>
              </w:tc>
              <w:tc>
                <w:tcPr>
                  <w:tcW w:w="1054" w:type="dxa"/>
                  <w:tcBorders>
                    <w:tl2br w:val="nil"/>
                    <w:tr2bl w:val="nil"/>
                  </w:tcBorders>
                  <w:vAlign w:val="center"/>
                </w:tcPr>
                <w:p w14:paraId="5652808E">
                  <w:pPr>
                    <w:jc w:val="center"/>
                    <w:rPr>
                      <w:color w:val="auto"/>
                      <w:sz w:val="21"/>
                      <w:szCs w:val="21"/>
                      <w:highlight w:val="none"/>
                      <w:u w:val="none"/>
                    </w:rPr>
                  </w:pPr>
                  <w:r>
                    <w:rPr>
                      <w:rFonts w:hint="eastAsia"/>
                      <w:color w:val="auto"/>
                      <w:sz w:val="21"/>
                      <w:szCs w:val="21"/>
                      <w:highlight w:val="none"/>
                      <w:u w:val="none" w:color="auto"/>
                      <w:lang w:val="en-US" w:eastAsia="zh-CN"/>
                    </w:rPr>
                    <w:t>0.01</w:t>
                  </w:r>
                </w:p>
              </w:tc>
              <w:tc>
                <w:tcPr>
                  <w:tcW w:w="1085" w:type="dxa"/>
                  <w:vMerge w:val="continue"/>
                  <w:tcBorders>
                    <w:tl2br w:val="nil"/>
                    <w:tr2bl w:val="nil"/>
                  </w:tcBorders>
                  <w:vAlign w:val="center"/>
                </w:tcPr>
                <w:p w14:paraId="6388DBD4">
                  <w:pPr>
                    <w:jc w:val="center"/>
                    <w:rPr>
                      <w:color w:val="auto"/>
                      <w:sz w:val="21"/>
                      <w:szCs w:val="21"/>
                      <w:highlight w:val="none"/>
                      <w:u w:val="none"/>
                    </w:rPr>
                  </w:pPr>
                </w:p>
              </w:tc>
              <w:tc>
                <w:tcPr>
                  <w:tcW w:w="1410" w:type="dxa"/>
                  <w:tcBorders>
                    <w:tl2br w:val="nil"/>
                    <w:tr2bl w:val="nil"/>
                  </w:tcBorders>
                  <w:vAlign w:val="center"/>
                </w:tcPr>
                <w:p w14:paraId="1FC70C5E">
                  <w:pPr>
                    <w:jc w:val="center"/>
                    <w:rPr>
                      <w:color w:val="auto"/>
                      <w:sz w:val="21"/>
                      <w:szCs w:val="21"/>
                      <w:highlight w:val="none"/>
                      <w:u w:val="none"/>
                    </w:rPr>
                  </w:pPr>
                  <w:r>
                    <w:rPr>
                      <w:color w:val="auto"/>
                      <w:sz w:val="21"/>
                      <w:szCs w:val="21"/>
                      <w:highlight w:val="none"/>
                      <w:u w:val="none" w:color="auto"/>
                    </w:rPr>
                    <w:t>900-214-08</w:t>
                  </w:r>
                </w:p>
              </w:tc>
              <w:tc>
                <w:tcPr>
                  <w:tcW w:w="1886" w:type="dxa"/>
                  <w:vMerge w:val="continue"/>
                  <w:tcBorders>
                    <w:tl2br w:val="nil"/>
                    <w:tr2bl w:val="nil"/>
                  </w:tcBorders>
                  <w:vAlign w:val="center"/>
                </w:tcPr>
                <w:p w14:paraId="34EF3DF4">
                  <w:pPr>
                    <w:jc w:val="center"/>
                    <w:rPr>
                      <w:color w:val="auto"/>
                      <w:sz w:val="21"/>
                      <w:szCs w:val="21"/>
                      <w:highlight w:val="none"/>
                      <w:u w:val="none"/>
                    </w:rPr>
                  </w:pPr>
                </w:p>
              </w:tc>
              <w:tc>
                <w:tcPr>
                  <w:tcW w:w="808" w:type="dxa"/>
                  <w:tcBorders>
                    <w:tl2br w:val="nil"/>
                    <w:tr2bl w:val="nil"/>
                  </w:tcBorders>
                  <w:vAlign w:val="center"/>
                </w:tcPr>
                <w:p w14:paraId="4115B7C3">
                  <w:pPr>
                    <w:jc w:val="center"/>
                    <w:rPr>
                      <w:rFonts w:hint="eastAsia"/>
                      <w:color w:val="auto"/>
                      <w:sz w:val="21"/>
                      <w:szCs w:val="21"/>
                      <w:highlight w:val="none"/>
                      <w:u w:val="none"/>
                    </w:rPr>
                  </w:pPr>
                  <w:r>
                    <w:rPr>
                      <w:rFonts w:hint="eastAsia"/>
                      <w:color w:val="auto"/>
                      <w:sz w:val="21"/>
                      <w:szCs w:val="21"/>
                      <w:highlight w:val="none"/>
                      <w:u w:val="none"/>
                    </w:rPr>
                    <w:t>0</w:t>
                  </w:r>
                </w:p>
              </w:tc>
            </w:tr>
            <w:tr w14:paraId="15E62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486" w:type="dxa"/>
                  <w:tcBorders>
                    <w:tl2br w:val="nil"/>
                    <w:tr2bl w:val="nil"/>
                  </w:tcBorders>
                  <w:vAlign w:val="center"/>
                </w:tcPr>
                <w:p w14:paraId="6416F151">
                  <w:pPr>
                    <w:jc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14</w:t>
                  </w:r>
                </w:p>
              </w:tc>
              <w:tc>
                <w:tcPr>
                  <w:tcW w:w="1368" w:type="dxa"/>
                  <w:tcBorders>
                    <w:tl2br w:val="nil"/>
                    <w:tr2bl w:val="nil"/>
                  </w:tcBorders>
                  <w:vAlign w:val="center"/>
                </w:tcPr>
                <w:p w14:paraId="1BD40263">
                  <w:pPr>
                    <w:jc w:val="center"/>
                    <w:rPr>
                      <w:rFonts w:hint="eastAsia"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含油废抹布</w:t>
                  </w:r>
                  <w:r>
                    <w:rPr>
                      <w:rFonts w:hint="eastAsia" w:eastAsia="宋体"/>
                      <w:color w:val="auto"/>
                      <w:sz w:val="21"/>
                      <w:szCs w:val="21"/>
                      <w:highlight w:val="none"/>
                      <w:u w:val="none"/>
                      <w:lang w:val="en-US" w:eastAsia="zh-CN"/>
                    </w:rPr>
                    <w:t>及</w:t>
                  </w:r>
                  <w:r>
                    <w:rPr>
                      <w:rFonts w:hint="default" w:eastAsia="宋体"/>
                      <w:color w:val="auto"/>
                      <w:sz w:val="21"/>
                      <w:szCs w:val="21"/>
                      <w:highlight w:val="none"/>
                      <w:u w:val="none"/>
                      <w:lang w:val="en-US" w:eastAsia="zh-CN"/>
                    </w:rPr>
                    <w:t>手套</w:t>
                  </w:r>
                </w:p>
              </w:tc>
              <w:tc>
                <w:tcPr>
                  <w:tcW w:w="1054" w:type="dxa"/>
                  <w:tcBorders>
                    <w:tl2br w:val="nil"/>
                    <w:tr2bl w:val="nil"/>
                  </w:tcBorders>
                  <w:vAlign w:val="center"/>
                </w:tcPr>
                <w:p w14:paraId="6676562F">
                  <w:pPr>
                    <w:jc w:val="center"/>
                    <w:rPr>
                      <w:color w:val="auto"/>
                      <w:sz w:val="21"/>
                      <w:szCs w:val="21"/>
                      <w:highlight w:val="none"/>
                      <w:u w:val="none"/>
                    </w:rPr>
                  </w:pPr>
                  <w:r>
                    <w:rPr>
                      <w:rFonts w:hint="default" w:ascii="Times New Roman" w:hAnsi="Times New Roman" w:eastAsia="宋体" w:cs="Times New Roman"/>
                      <w:color w:val="auto"/>
                      <w:sz w:val="21"/>
                      <w:szCs w:val="21"/>
                      <w:highlight w:val="none"/>
                      <w:u w:val="none" w:color="auto"/>
                      <w:lang w:eastAsia="zh-CN"/>
                    </w:rPr>
                    <w:t>0.00</w:t>
                  </w:r>
                  <w:r>
                    <w:rPr>
                      <w:rFonts w:hint="eastAsia" w:ascii="Times New Roman" w:eastAsia="宋体" w:cs="Times New Roman"/>
                      <w:color w:val="auto"/>
                      <w:sz w:val="21"/>
                      <w:szCs w:val="21"/>
                      <w:highlight w:val="none"/>
                      <w:u w:val="none" w:color="auto"/>
                      <w:lang w:val="en-US" w:eastAsia="zh-CN"/>
                    </w:rPr>
                    <w:t>1</w:t>
                  </w:r>
                </w:p>
              </w:tc>
              <w:tc>
                <w:tcPr>
                  <w:tcW w:w="1085" w:type="dxa"/>
                  <w:vMerge w:val="continue"/>
                  <w:tcBorders>
                    <w:tl2br w:val="nil"/>
                    <w:tr2bl w:val="nil"/>
                  </w:tcBorders>
                  <w:vAlign w:val="center"/>
                </w:tcPr>
                <w:p w14:paraId="2B2A7B95">
                  <w:pPr>
                    <w:jc w:val="center"/>
                    <w:rPr>
                      <w:color w:val="auto"/>
                      <w:sz w:val="21"/>
                      <w:szCs w:val="21"/>
                      <w:highlight w:val="none"/>
                      <w:u w:val="none"/>
                    </w:rPr>
                  </w:pPr>
                </w:p>
              </w:tc>
              <w:tc>
                <w:tcPr>
                  <w:tcW w:w="1410" w:type="dxa"/>
                  <w:tcBorders>
                    <w:tl2br w:val="nil"/>
                    <w:tr2bl w:val="nil"/>
                  </w:tcBorders>
                  <w:vAlign w:val="center"/>
                </w:tcPr>
                <w:p w14:paraId="1C35A31A">
                  <w:pPr>
                    <w:jc w:val="center"/>
                    <w:rPr>
                      <w:color w:val="auto"/>
                      <w:sz w:val="21"/>
                      <w:szCs w:val="21"/>
                      <w:highlight w:val="none"/>
                      <w:u w:val="none"/>
                    </w:rPr>
                  </w:pPr>
                  <w:r>
                    <w:rPr>
                      <w:rFonts w:hint="default" w:ascii="Times New Roman" w:hAnsi="Times New Roman" w:eastAsia="宋体" w:cs="Times New Roman"/>
                      <w:color w:val="auto"/>
                      <w:sz w:val="21"/>
                      <w:szCs w:val="21"/>
                      <w:highlight w:val="none"/>
                      <w:u w:val="none" w:color="auto"/>
                      <w:lang w:eastAsia="zh-CN"/>
                    </w:rPr>
                    <w:t>900-041-49</w:t>
                  </w:r>
                </w:p>
              </w:tc>
              <w:tc>
                <w:tcPr>
                  <w:tcW w:w="1886" w:type="dxa"/>
                  <w:vMerge w:val="continue"/>
                  <w:tcBorders>
                    <w:tl2br w:val="nil"/>
                    <w:tr2bl w:val="nil"/>
                  </w:tcBorders>
                  <w:vAlign w:val="center"/>
                </w:tcPr>
                <w:p w14:paraId="040FF509">
                  <w:pPr>
                    <w:jc w:val="center"/>
                    <w:rPr>
                      <w:color w:val="auto"/>
                      <w:sz w:val="21"/>
                      <w:szCs w:val="21"/>
                      <w:highlight w:val="none"/>
                      <w:u w:val="none"/>
                    </w:rPr>
                  </w:pPr>
                </w:p>
              </w:tc>
              <w:tc>
                <w:tcPr>
                  <w:tcW w:w="808" w:type="dxa"/>
                  <w:tcBorders>
                    <w:tl2br w:val="nil"/>
                    <w:tr2bl w:val="nil"/>
                  </w:tcBorders>
                  <w:vAlign w:val="center"/>
                </w:tcPr>
                <w:p w14:paraId="24EF0850">
                  <w:pPr>
                    <w:jc w:val="center"/>
                    <w:rPr>
                      <w:rFonts w:hint="eastAsia"/>
                      <w:color w:val="auto"/>
                      <w:sz w:val="21"/>
                      <w:szCs w:val="21"/>
                      <w:highlight w:val="none"/>
                      <w:u w:val="none"/>
                    </w:rPr>
                  </w:pPr>
                  <w:r>
                    <w:rPr>
                      <w:rFonts w:hint="eastAsia"/>
                      <w:color w:val="auto"/>
                      <w:sz w:val="21"/>
                      <w:szCs w:val="21"/>
                      <w:highlight w:val="none"/>
                      <w:u w:val="none"/>
                    </w:rPr>
                    <w:t>0</w:t>
                  </w:r>
                </w:p>
              </w:tc>
            </w:tr>
          </w:tbl>
          <w:p w14:paraId="2A6AA58D">
            <w:pPr>
              <w:pStyle w:val="10"/>
              <w:rPr>
                <w:rFonts w:hint="default"/>
                <w:lang w:val="en-US" w:eastAsia="zh-CN"/>
              </w:rPr>
            </w:pPr>
            <w:r>
              <w:rPr>
                <w:rFonts w:hint="eastAsia"/>
                <w:lang w:val="en-US" w:eastAsia="zh-CN"/>
              </w:rPr>
              <w:t xml:space="preserve">    </w:t>
            </w:r>
          </w:p>
          <w:p w14:paraId="118E8B84">
            <w:pPr>
              <w:rPr>
                <w:rFonts w:hint="eastAsia"/>
                <w:lang w:val="en-US" w:eastAsia="zh-CN"/>
              </w:rPr>
            </w:pPr>
          </w:p>
          <w:p w14:paraId="70D8D13E">
            <w:pPr>
              <w:pStyle w:val="17"/>
              <w:rPr>
                <w:rFonts w:hint="eastAsia"/>
                <w:lang w:val="en-US" w:eastAsia="zh-CN"/>
              </w:rPr>
            </w:pPr>
          </w:p>
          <w:p w14:paraId="70A92E65">
            <w:pPr>
              <w:rPr>
                <w:rFonts w:hint="eastAsia"/>
                <w:lang w:val="en-US" w:eastAsia="zh-CN"/>
              </w:rPr>
            </w:pPr>
          </w:p>
          <w:p w14:paraId="35B37B51">
            <w:pPr>
              <w:pStyle w:val="17"/>
              <w:rPr>
                <w:rFonts w:hint="eastAsia"/>
                <w:lang w:val="en-US" w:eastAsia="zh-CN"/>
              </w:rPr>
            </w:pPr>
          </w:p>
        </w:tc>
      </w:tr>
    </w:tbl>
    <w:p w14:paraId="15F0A03B">
      <w:pPr>
        <w:pStyle w:val="3"/>
        <w:spacing w:before="0" w:after="0" w:line="360" w:lineRule="auto"/>
        <w:jc w:val="center"/>
        <w:rPr>
          <w:rFonts w:eastAsia="黑体"/>
          <w:b w:val="0"/>
          <w:bCs w:val="0"/>
          <w:color w:val="auto"/>
          <w:sz w:val="32"/>
          <w:highlight w:val="none"/>
          <w:u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9565775">
      <w:pPr>
        <w:pStyle w:val="3"/>
        <w:spacing w:before="0" w:after="0" w:line="360" w:lineRule="auto"/>
        <w:jc w:val="center"/>
        <w:rPr>
          <w:color w:val="auto"/>
          <w:sz w:val="32"/>
          <w:highlight w:val="none"/>
          <w:u w:val="none"/>
        </w:rPr>
      </w:pPr>
      <w:bookmarkStart w:id="4" w:name="_Toc28716"/>
      <w:r>
        <w:rPr>
          <w:rFonts w:hint="eastAsia"/>
          <w:color w:val="auto"/>
          <w:sz w:val="32"/>
          <w:highlight w:val="none"/>
          <w:u w:val="none"/>
        </w:rPr>
        <w:t>三、区域环境质量现状、环境保护目标及评价标准</w:t>
      </w:r>
      <w:bookmarkEnd w:id="4"/>
    </w:p>
    <w:tbl>
      <w:tblPr>
        <w:tblStyle w:val="3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7884"/>
      </w:tblGrid>
      <w:tr w14:paraId="4A99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vAlign w:val="center"/>
          </w:tcPr>
          <w:p w14:paraId="2355ABBC">
            <w:pPr>
              <w:spacing w:line="360" w:lineRule="auto"/>
              <w:jc w:val="center"/>
              <w:rPr>
                <w:color w:val="auto"/>
                <w:kern w:val="0"/>
                <w:sz w:val="24"/>
                <w:szCs w:val="24"/>
                <w:highlight w:val="none"/>
                <w:u w:val="none"/>
              </w:rPr>
            </w:pPr>
            <w:r>
              <w:rPr>
                <w:rFonts w:hint="eastAsia"/>
                <w:color w:val="auto"/>
                <w:kern w:val="0"/>
                <w:sz w:val="24"/>
                <w:szCs w:val="24"/>
                <w:highlight w:val="none"/>
                <w:u w:val="none"/>
              </w:rPr>
              <w:t>区域</w:t>
            </w:r>
          </w:p>
          <w:p w14:paraId="34EC3BBE">
            <w:pPr>
              <w:spacing w:line="360" w:lineRule="auto"/>
              <w:jc w:val="center"/>
              <w:rPr>
                <w:color w:val="auto"/>
                <w:kern w:val="0"/>
                <w:sz w:val="24"/>
                <w:szCs w:val="24"/>
                <w:highlight w:val="none"/>
                <w:u w:val="none"/>
              </w:rPr>
            </w:pPr>
            <w:r>
              <w:rPr>
                <w:rFonts w:hint="eastAsia"/>
                <w:color w:val="auto"/>
                <w:kern w:val="0"/>
                <w:sz w:val="24"/>
                <w:szCs w:val="24"/>
                <w:highlight w:val="none"/>
                <w:u w:val="none"/>
              </w:rPr>
              <w:t>环境</w:t>
            </w:r>
          </w:p>
          <w:p w14:paraId="1A7464D8">
            <w:pPr>
              <w:spacing w:line="360" w:lineRule="auto"/>
              <w:jc w:val="center"/>
              <w:rPr>
                <w:color w:val="auto"/>
                <w:kern w:val="0"/>
                <w:sz w:val="24"/>
                <w:szCs w:val="24"/>
                <w:highlight w:val="none"/>
                <w:u w:val="none"/>
              </w:rPr>
            </w:pPr>
            <w:r>
              <w:rPr>
                <w:rFonts w:hint="eastAsia"/>
                <w:color w:val="auto"/>
                <w:kern w:val="0"/>
                <w:sz w:val="24"/>
                <w:szCs w:val="24"/>
                <w:highlight w:val="none"/>
                <w:u w:val="none"/>
              </w:rPr>
              <w:t>质量</w:t>
            </w:r>
          </w:p>
          <w:p w14:paraId="3AEB0760">
            <w:pPr>
              <w:spacing w:line="360" w:lineRule="auto"/>
              <w:jc w:val="center"/>
              <w:rPr>
                <w:color w:val="auto"/>
                <w:kern w:val="0"/>
                <w:sz w:val="24"/>
                <w:szCs w:val="24"/>
                <w:highlight w:val="none"/>
                <w:u w:val="none"/>
              </w:rPr>
            </w:pPr>
            <w:r>
              <w:rPr>
                <w:rFonts w:hint="eastAsia"/>
                <w:color w:val="auto"/>
                <w:kern w:val="0"/>
                <w:sz w:val="24"/>
                <w:szCs w:val="24"/>
                <w:highlight w:val="none"/>
                <w:u w:val="none"/>
              </w:rPr>
              <w:t>现状</w:t>
            </w:r>
          </w:p>
        </w:tc>
        <w:tc>
          <w:tcPr>
            <w:tcW w:w="7884" w:type="dxa"/>
          </w:tcPr>
          <w:p w14:paraId="584EA588">
            <w:pPr>
              <w:spacing w:line="360" w:lineRule="auto"/>
              <w:jc w:val="left"/>
              <w:rPr>
                <w:b/>
                <w:color w:val="auto"/>
                <w:kern w:val="0"/>
                <w:sz w:val="24"/>
                <w:highlight w:val="none"/>
                <w:u w:val="none"/>
              </w:rPr>
            </w:pPr>
            <w:r>
              <w:rPr>
                <w:rFonts w:hint="eastAsia"/>
                <w:b/>
                <w:color w:val="auto"/>
                <w:kern w:val="0"/>
                <w:sz w:val="24"/>
                <w:highlight w:val="none"/>
                <w:u w:val="none"/>
              </w:rPr>
              <w:t>一、区域环境质量现状</w:t>
            </w:r>
          </w:p>
          <w:p w14:paraId="5494D414">
            <w:pPr>
              <w:spacing w:line="360" w:lineRule="auto"/>
              <w:ind w:firstLine="482" w:firstLineChars="200"/>
              <w:jc w:val="left"/>
              <w:rPr>
                <w:b/>
                <w:color w:val="auto"/>
                <w:kern w:val="0"/>
                <w:sz w:val="24"/>
                <w:highlight w:val="none"/>
                <w:u w:val="none"/>
              </w:rPr>
            </w:pPr>
            <w:r>
              <w:rPr>
                <w:b/>
                <w:color w:val="auto"/>
                <w:kern w:val="0"/>
                <w:sz w:val="24"/>
                <w:highlight w:val="none"/>
                <w:u w:val="none"/>
              </w:rPr>
              <w:t>1、环境空气质量现状</w:t>
            </w:r>
          </w:p>
          <w:p w14:paraId="2167C2F9">
            <w:pPr>
              <w:widowControl/>
              <w:spacing w:line="360" w:lineRule="auto"/>
              <w:ind w:firstLine="480" w:firstLineChars="200"/>
              <w:jc w:val="left"/>
              <w:rPr>
                <w:color w:val="auto"/>
                <w:sz w:val="24"/>
                <w:highlight w:val="none"/>
                <w:u w:val="none"/>
              </w:rPr>
            </w:pPr>
            <w:r>
              <w:rPr>
                <w:rFonts w:hint="eastAsia"/>
                <w:color w:val="auto"/>
                <w:sz w:val="24"/>
                <w:highlight w:val="none"/>
                <w:u w:val="none"/>
              </w:rPr>
              <w:t>（1）项目所在区域环境空气达标判定</w:t>
            </w:r>
          </w:p>
          <w:p w14:paraId="72D525B5">
            <w:pPr>
              <w:spacing w:line="360" w:lineRule="auto"/>
              <w:ind w:firstLine="480" w:firstLineChars="200"/>
              <w:rPr>
                <w:rFonts w:hint="default" w:cs="Times New Roman"/>
                <w:color w:val="auto"/>
                <w:sz w:val="24"/>
                <w:szCs w:val="24"/>
                <w:highlight w:val="none"/>
                <w:u w:val="none" w:color="auto"/>
                <w:lang w:val="en-US" w:eastAsia="zh-CN"/>
              </w:rPr>
            </w:pPr>
            <w:r>
              <w:rPr>
                <w:rFonts w:hint="default" w:ascii="Times New Roman" w:hAnsi="Times New Roman" w:cs="Times New Roman"/>
                <w:color w:val="auto"/>
                <w:sz w:val="24"/>
                <w:szCs w:val="24"/>
                <w:highlight w:val="none"/>
                <w:u w:val="none" w:color="auto"/>
              </w:rPr>
              <w:t>根据《建设项目环境影响报告表编制技术指南</w:t>
            </w:r>
            <w:r>
              <w:rPr>
                <w:rFonts w:hint="eastAsia" w:cs="Times New Roman"/>
                <w:color w:val="auto"/>
                <w:sz w:val="24"/>
                <w:szCs w:val="24"/>
                <w:highlight w:val="none"/>
                <w:u w:val="none" w:color="auto"/>
                <w:lang w:eastAsia="zh-CN"/>
              </w:rPr>
              <w:t>（</w:t>
            </w:r>
            <w:r>
              <w:rPr>
                <w:rFonts w:hint="default" w:ascii="Times New Roman" w:hAnsi="Times New Roman" w:cs="Times New Roman"/>
                <w:color w:val="auto"/>
                <w:sz w:val="24"/>
                <w:szCs w:val="24"/>
                <w:highlight w:val="none"/>
                <w:u w:val="none" w:color="auto"/>
              </w:rPr>
              <w:t>污染影响类</w:t>
            </w:r>
            <w:r>
              <w:rPr>
                <w:rFonts w:hint="default" w:ascii="Times New Roman" w:hAnsi="Times New Roman" w:cs="Times New Roman"/>
                <w:color w:val="auto"/>
                <w:sz w:val="24"/>
                <w:szCs w:val="24"/>
                <w:highlight w:val="none"/>
                <w:u w:val="none" w:color="auto"/>
                <w:lang w:eastAsia="zh-CN"/>
              </w:rPr>
              <w:t>)(</w:t>
            </w:r>
            <w:r>
              <w:rPr>
                <w:rFonts w:hint="default" w:ascii="Times New Roman" w:hAnsi="Times New Roman" w:cs="Times New Roman"/>
                <w:color w:val="auto"/>
                <w:sz w:val="24"/>
                <w:szCs w:val="24"/>
                <w:highlight w:val="none"/>
                <w:u w:val="none" w:color="auto"/>
              </w:rPr>
              <w:t>试行</w:t>
            </w:r>
            <w:r>
              <w:rPr>
                <w:rFonts w:hint="eastAsia" w:cs="Times New Roman"/>
                <w:color w:val="auto"/>
                <w:sz w:val="24"/>
                <w:szCs w:val="24"/>
                <w:highlight w:val="none"/>
                <w:u w:val="none" w:color="auto"/>
                <w:lang w:eastAsia="zh-CN"/>
              </w:rPr>
              <w:t>）</w:t>
            </w:r>
            <w:r>
              <w:rPr>
                <w:rFonts w:hint="default" w:ascii="Times New Roman" w:hAnsi="Times New Roman" w:cs="Times New Roman"/>
                <w:color w:val="auto"/>
                <w:sz w:val="24"/>
                <w:szCs w:val="24"/>
                <w:highlight w:val="none"/>
                <w:u w:val="none" w:color="auto"/>
              </w:rPr>
              <w:t>》“常规污染物引用与建设项目距离近的有效数据，包括近</w:t>
            </w:r>
            <w:r>
              <w:rPr>
                <w:rFonts w:hint="eastAsia" w:ascii="Times New Roman" w:hAnsi="Times New Roman" w:cs="Times New Roman"/>
                <w:color w:val="auto"/>
                <w:sz w:val="24"/>
                <w:szCs w:val="24"/>
                <w:highlight w:val="none"/>
                <w:u w:val="none" w:color="auto"/>
                <w:lang w:val="en-US" w:eastAsia="zh-CN"/>
              </w:rPr>
              <w:t>3</w:t>
            </w:r>
            <w:r>
              <w:rPr>
                <w:rFonts w:hint="default" w:ascii="Times New Roman" w:hAnsi="Times New Roman" w:cs="Times New Roman"/>
                <w:color w:val="auto"/>
                <w:sz w:val="24"/>
                <w:szCs w:val="24"/>
                <w:highlight w:val="none"/>
                <w:u w:val="none" w:color="auto"/>
              </w:rPr>
              <w:t>年的规划环境影响评价的监测数据，国家、地方环境空气质量监测网数据或生态环境主管部门公开发布的质量数据等”的规定；引用的数据为近3年的数据，满足指南要求。本次评价</w:t>
            </w:r>
            <w:r>
              <w:rPr>
                <w:rFonts w:hint="eastAsia" w:cs="Times New Roman"/>
                <w:color w:val="auto"/>
                <w:sz w:val="24"/>
                <w:szCs w:val="24"/>
                <w:highlight w:val="none"/>
                <w:u w:val="none" w:color="auto"/>
                <w:lang w:val="en-US" w:eastAsia="zh-CN"/>
              </w:rPr>
              <w:t>引用永州市生态环境局发布的《关于2024年12月份永州市全市环境质量状况的通报》附件4中冷水滩区城区常规环境空气质量监测数据来表征区域环境质量达标情况。项目采用了地方生态环境主管部门公开发布的环境质量现状数据，环境质量现状监测时间为2024年，符合要求。</w:t>
            </w:r>
          </w:p>
          <w:p w14:paraId="778B2AC1">
            <w:pPr>
              <w:pStyle w:val="90"/>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cs="Times New Roman"/>
                <w:color w:val="auto"/>
                <w:sz w:val="21"/>
                <w:szCs w:val="21"/>
                <w:highlight w:val="none"/>
                <w:u w:val="none" w:color="auto"/>
              </w:rPr>
              <w:t>表</w:t>
            </w:r>
            <w:r>
              <w:rPr>
                <w:rFonts w:hint="default" w:ascii="Times New Roman" w:hAnsi="Times New Roman" w:cs="Times New Roman"/>
                <w:color w:val="auto"/>
                <w:sz w:val="21"/>
                <w:szCs w:val="21"/>
                <w:highlight w:val="none"/>
                <w:u w:val="none" w:color="auto"/>
                <w:lang w:val="en-US" w:eastAsia="zh-CN"/>
              </w:rPr>
              <w:t>3</w:t>
            </w:r>
            <w:r>
              <w:rPr>
                <w:rFonts w:hint="default" w:ascii="Times New Roman" w:hAnsi="Times New Roman" w:cs="Times New Roman"/>
                <w:color w:val="auto"/>
                <w:sz w:val="21"/>
                <w:szCs w:val="21"/>
                <w:highlight w:val="none"/>
                <w:u w:val="none" w:color="auto"/>
              </w:rPr>
              <w:t xml:space="preserve">-1  </w:t>
            </w:r>
            <w:r>
              <w:rPr>
                <w:rFonts w:hint="eastAsia" w:ascii="Times New Roman" w:hAnsi="Times New Roman" w:cs="Times New Roman"/>
                <w:color w:val="auto"/>
                <w:sz w:val="21"/>
                <w:szCs w:val="21"/>
                <w:highlight w:val="none"/>
                <w:u w:val="none" w:color="auto"/>
                <w:lang w:eastAsia="zh-CN"/>
              </w:rPr>
              <w:t>202</w:t>
            </w:r>
            <w:r>
              <w:rPr>
                <w:rFonts w:hint="eastAsia" w:cs="Times New Roman"/>
                <w:color w:val="auto"/>
                <w:sz w:val="21"/>
                <w:szCs w:val="21"/>
                <w:highlight w:val="none"/>
                <w:u w:val="none" w:color="auto"/>
                <w:lang w:val="en-US" w:eastAsia="zh-CN"/>
              </w:rPr>
              <w:t>4</w:t>
            </w:r>
            <w:r>
              <w:rPr>
                <w:rFonts w:hint="eastAsia" w:ascii="Times New Roman" w:hAnsi="Times New Roman" w:cs="Times New Roman"/>
                <w:color w:val="auto"/>
                <w:sz w:val="21"/>
                <w:szCs w:val="21"/>
                <w:highlight w:val="none"/>
                <w:u w:val="none" w:color="auto"/>
                <w:lang w:eastAsia="zh-CN"/>
              </w:rPr>
              <w:t>年</w:t>
            </w:r>
            <w:r>
              <w:rPr>
                <w:rFonts w:hint="eastAsia" w:cs="Times New Roman"/>
                <w:color w:val="auto"/>
                <w:sz w:val="21"/>
                <w:szCs w:val="21"/>
                <w:highlight w:val="none"/>
                <w:u w:val="none" w:color="auto"/>
                <w:lang w:val="en-US" w:eastAsia="zh-CN"/>
              </w:rPr>
              <w:t>度冷水滩区</w:t>
            </w:r>
            <w:r>
              <w:rPr>
                <w:rFonts w:hint="default" w:ascii="Times New Roman" w:hAnsi="Times New Roman" w:cs="Times New Roman"/>
                <w:color w:val="auto"/>
                <w:sz w:val="21"/>
                <w:szCs w:val="21"/>
                <w:highlight w:val="none"/>
                <w:u w:val="none" w:color="auto"/>
              </w:rPr>
              <w:t>环境空气质量状况</w:t>
            </w:r>
            <w:r>
              <w:rPr>
                <w:rFonts w:hint="eastAsia" w:cs="Times New Roman"/>
                <w:color w:val="auto"/>
                <w:sz w:val="21"/>
                <w:szCs w:val="21"/>
                <w:highlight w:val="none"/>
                <w:u w:val="none" w:color="auto"/>
                <w:lang w:val="en-US" w:eastAsia="zh-CN"/>
              </w:rPr>
              <w:t>统计表</w:t>
            </w:r>
          </w:p>
          <w:tbl>
            <w:tblPr>
              <w:tblStyle w:val="35"/>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106"/>
              <w:gridCol w:w="2041"/>
              <w:gridCol w:w="1276"/>
              <w:gridCol w:w="1092"/>
              <w:gridCol w:w="1008"/>
              <w:gridCol w:w="1110"/>
            </w:tblGrid>
            <w:tr w14:paraId="23D8A0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25" w:type="pct"/>
                  <w:tcBorders>
                    <w:top w:val="single" w:color="000000" w:sz="12" w:space="0"/>
                    <w:left w:val="single" w:color="000000" w:sz="12" w:space="0"/>
                    <w:bottom w:val="single" w:color="000000" w:sz="4" w:space="0"/>
                    <w:right w:val="single" w:color="000000" w:sz="4" w:space="0"/>
                  </w:tcBorders>
                  <w:noWrap w:val="0"/>
                  <w:vAlign w:val="center"/>
                </w:tcPr>
                <w:p w14:paraId="1AD9E30D">
                  <w:pPr>
                    <w:pStyle w:val="50"/>
                    <w:widowControl w:val="0"/>
                    <w:spacing w:before="0" w:beforeLines="0" w:after="0" w:afterLines="0"/>
                    <w:rPr>
                      <w:rFonts w:ascii="Times New Roman" w:hAnsi="Times New Roman" w:eastAsia="宋体"/>
                      <w:bCs/>
                      <w:color w:val="000000" w:themeColor="text1"/>
                      <w:kern w:val="2"/>
                      <w:sz w:val="21"/>
                      <w:szCs w:val="21"/>
                      <w14:textFill>
                        <w14:solidFill>
                          <w14:schemeClr w14:val="tx1"/>
                        </w14:solidFill>
                      </w14:textFill>
                    </w:rPr>
                  </w:pPr>
                  <w:r>
                    <w:rPr>
                      <w:rFonts w:ascii="Times New Roman" w:hAnsi="Times New Roman" w:eastAsia="宋体"/>
                      <w:bCs/>
                      <w:color w:val="000000" w:themeColor="text1"/>
                      <w:sz w:val="21"/>
                      <w:szCs w:val="21"/>
                      <w14:textFill>
                        <w14:solidFill>
                          <w14:schemeClr w14:val="tx1"/>
                        </w14:solidFill>
                      </w14:textFill>
                    </w:rPr>
                    <w:t>评价因子</w:t>
                  </w:r>
                </w:p>
              </w:tc>
              <w:tc>
                <w:tcPr>
                  <w:tcW w:w="1337" w:type="pct"/>
                  <w:tcBorders>
                    <w:top w:val="single" w:color="000000" w:sz="12" w:space="0"/>
                    <w:left w:val="single" w:color="000000" w:sz="4" w:space="0"/>
                    <w:bottom w:val="single" w:color="000000" w:sz="4" w:space="0"/>
                    <w:right w:val="single" w:color="000000" w:sz="4" w:space="0"/>
                  </w:tcBorders>
                  <w:noWrap w:val="0"/>
                  <w:vAlign w:val="center"/>
                </w:tcPr>
                <w:p w14:paraId="329E2BD2">
                  <w:pPr>
                    <w:pStyle w:val="50"/>
                    <w:widowControl w:val="0"/>
                    <w:spacing w:before="0" w:beforeLines="0" w:after="0" w:afterLines="0"/>
                    <w:rPr>
                      <w:rFonts w:ascii="Times New Roman" w:hAnsi="Times New Roman" w:eastAsia="宋体"/>
                      <w:bCs/>
                      <w:color w:val="000000" w:themeColor="text1"/>
                      <w:kern w:val="2"/>
                      <w:sz w:val="21"/>
                      <w:szCs w:val="21"/>
                      <w14:textFill>
                        <w14:solidFill>
                          <w14:schemeClr w14:val="tx1"/>
                        </w14:solidFill>
                      </w14:textFill>
                    </w:rPr>
                  </w:pPr>
                  <w:r>
                    <w:rPr>
                      <w:rFonts w:ascii="Times New Roman" w:hAnsi="Times New Roman" w:eastAsia="宋体"/>
                      <w:bCs/>
                      <w:color w:val="000000" w:themeColor="text1"/>
                      <w:sz w:val="21"/>
                      <w:szCs w:val="21"/>
                      <w14:textFill>
                        <w14:solidFill>
                          <w14:schemeClr w14:val="tx1"/>
                        </w14:solidFill>
                      </w14:textFill>
                    </w:rPr>
                    <w:t>项目</w:t>
                  </w:r>
                </w:p>
              </w:tc>
              <w:tc>
                <w:tcPr>
                  <w:tcW w:w="836" w:type="pct"/>
                  <w:tcBorders>
                    <w:top w:val="single" w:color="000000" w:sz="12" w:space="0"/>
                    <w:left w:val="single" w:color="000000" w:sz="4" w:space="0"/>
                    <w:bottom w:val="single" w:color="000000" w:sz="4" w:space="0"/>
                    <w:right w:val="single" w:color="000000" w:sz="4" w:space="0"/>
                  </w:tcBorders>
                  <w:noWrap w:val="0"/>
                  <w:vAlign w:val="center"/>
                </w:tcPr>
                <w:p w14:paraId="7AE991FA">
                  <w:pPr>
                    <w:pStyle w:val="50"/>
                    <w:widowControl w:val="0"/>
                    <w:spacing w:before="0" w:beforeLines="0" w:after="0" w:afterLines="0"/>
                    <w:rPr>
                      <w:rFonts w:ascii="Times New Roman" w:hAnsi="Times New Roman" w:eastAsia="宋体"/>
                      <w:bCs/>
                      <w:color w:val="000000" w:themeColor="text1"/>
                      <w:kern w:val="2"/>
                      <w:sz w:val="21"/>
                      <w:szCs w:val="21"/>
                      <w14:textFill>
                        <w14:solidFill>
                          <w14:schemeClr w14:val="tx1"/>
                        </w14:solidFill>
                      </w14:textFill>
                    </w:rPr>
                  </w:pPr>
                  <w:r>
                    <w:rPr>
                      <w:rFonts w:ascii="Times New Roman" w:hAnsi="Times New Roman" w:eastAsia="宋体"/>
                      <w:bCs/>
                      <w:color w:val="000000" w:themeColor="text1"/>
                      <w:sz w:val="21"/>
                      <w:szCs w:val="21"/>
                      <w14:textFill>
                        <w14:solidFill>
                          <w14:schemeClr w14:val="tx1"/>
                        </w14:solidFill>
                      </w14:textFill>
                    </w:rPr>
                    <w:t>浓度</w:t>
                  </w:r>
                </w:p>
              </w:tc>
              <w:tc>
                <w:tcPr>
                  <w:tcW w:w="715" w:type="pct"/>
                  <w:tcBorders>
                    <w:top w:val="single" w:color="000000" w:sz="12" w:space="0"/>
                    <w:left w:val="single" w:color="000000" w:sz="4" w:space="0"/>
                    <w:bottom w:val="single" w:color="000000" w:sz="4" w:space="0"/>
                    <w:right w:val="single" w:color="000000" w:sz="4" w:space="0"/>
                  </w:tcBorders>
                  <w:noWrap w:val="0"/>
                  <w:vAlign w:val="center"/>
                </w:tcPr>
                <w:p w14:paraId="1C7F4101">
                  <w:pPr>
                    <w:pStyle w:val="50"/>
                    <w:widowControl w:val="0"/>
                    <w:spacing w:before="0" w:beforeLines="0" w:after="0" w:afterLines="0"/>
                    <w:rPr>
                      <w:rFonts w:ascii="Times New Roman" w:hAnsi="Times New Roman" w:eastAsia="宋体"/>
                      <w:bCs/>
                      <w:color w:val="000000" w:themeColor="text1"/>
                      <w:kern w:val="2"/>
                      <w:sz w:val="21"/>
                      <w:szCs w:val="21"/>
                      <w14:textFill>
                        <w14:solidFill>
                          <w14:schemeClr w14:val="tx1"/>
                        </w14:solidFill>
                      </w14:textFill>
                    </w:rPr>
                  </w:pPr>
                  <w:r>
                    <w:rPr>
                      <w:rFonts w:ascii="Times New Roman" w:hAnsi="Times New Roman" w:eastAsia="宋体"/>
                      <w:bCs/>
                      <w:color w:val="000000" w:themeColor="text1"/>
                      <w:sz w:val="21"/>
                      <w:szCs w:val="21"/>
                      <w14:textFill>
                        <w14:solidFill>
                          <w14:schemeClr w14:val="tx1"/>
                        </w14:solidFill>
                      </w14:textFill>
                    </w:rPr>
                    <w:t>标准值</w:t>
                  </w:r>
                </w:p>
              </w:tc>
              <w:tc>
                <w:tcPr>
                  <w:tcW w:w="660" w:type="pct"/>
                  <w:tcBorders>
                    <w:top w:val="single" w:color="000000" w:sz="12" w:space="0"/>
                    <w:left w:val="single" w:color="000000" w:sz="4" w:space="0"/>
                    <w:bottom w:val="single" w:color="000000" w:sz="4" w:space="0"/>
                    <w:right w:val="single" w:color="000000" w:sz="4" w:space="0"/>
                  </w:tcBorders>
                  <w:noWrap w:val="0"/>
                  <w:vAlign w:val="center"/>
                </w:tcPr>
                <w:p w14:paraId="265E1BA6">
                  <w:pPr>
                    <w:pStyle w:val="50"/>
                    <w:widowControl w:val="0"/>
                    <w:spacing w:before="0" w:beforeLines="0" w:after="0" w:afterLines="0"/>
                    <w:ind w:left="0" w:leftChars="0" w:firstLine="0" w:firstLineChars="0"/>
                    <w:jc w:val="center"/>
                    <w:rPr>
                      <w:rFonts w:ascii="Times New Roman" w:hAnsi="Times New Roman" w:eastAsia="宋体"/>
                      <w:bCs/>
                      <w:color w:val="000000" w:themeColor="text1"/>
                      <w:kern w:val="2"/>
                      <w:sz w:val="21"/>
                      <w:szCs w:val="21"/>
                      <w14:textFill>
                        <w14:solidFill>
                          <w14:schemeClr w14:val="tx1"/>
                        </w14:solidFill>
                      </w14:textFill>
                    </w:rPr>
                  </w:pPr>
                  <w:r>
                    <w:rPr>
                      <w:rFonts w:ascii="Times New Roman" w:hAnsi="Times New Roman" w:eastAsia="宋体"/>
                      <w:bCs/>
                      <w:color w:val="000000" w:themeColor="text1"/>
                      <w:sz w:val="21"/>
                      <w:szCs w:val="21"/>
                      <w14:textFill>
                        <w14:solidFill>
                          <w14:schemeClr w14:val="tx1"/>
                        </w14:solidFill>
                      </w14:textFill>
                    </w:rPr>
                    <w:t>占标率</w:t>
                  </w:r>
                  <w:r>
                    <w:rPr>
                      <w:rFonts w:hint="default" w:ascii="Times New Roman" w:hAnsi="Times New Roman" w:cs="Times New Roman"/>
                      <w:color w:val="auto"/>
                      <w:sz w:val="21"/>
                      <w:szCs w:val="21"/>
                      <w:highlight w:val="none"/>
                      <w:u w:val="none" w:color="auto"/>
                      <w:lang w:val="en-US" w:eastAsia="zh-CN"/>
                    </w:rPr>
                    <w:t>%</w:t>
                  </w:r>
                </w:p>
              </w:tc>
              <w:tc>
                <w:tcPr>
                  <w:tcW w:w="725" w:type="pct"/>
                  <w:tcBorders>
                    <w:top w:val="single" w:color="000000" w:sz="12" w:space="0"/>
                    <w:left w:val="single" w:color="000000" w:sz="4" w:space="0"/>
                    <w:bottom w:val="single" w:color="000000" w:sz="4" w:space="0"/>
                    <w:right w:val="single" w:color="000000" w:sz="12" w:space="0"/>
                  </w:tcBorders>
                  <w:noWrap w:val="0"/>
                  <w:vAlign w:val="center"/>
                </w:tcPr>
                <w:p w14:paraId="7ED0E1A1">
                  <w:pPr>
                    <w:pStyle w:val="50"/>
                    <w:widowControl w:val="0"/>
                    <w:spacing w:before="0" w:beforeLines="0" w:after="0" w:afterLines="0"/>
                    <w:rPr>
                      <w:rFonts w:ascii="Times New Roman" w:hAnsi="Times New Roman" w:eastAsia="宋体"/>
                      <w:bCs/>
                      <w:color w:val="000000" w:themeColor="text1"/>
                      <w:kern w:val="2"/>
                      <w:sz w:val="21"/>
                      <w:szCs w:val="21"/>
                      <w14:textFill>
                        <w14:solidFill>
                          <w14:schemeClr w14:val="tx1"/>
                        </w14:solidFill>
                      </w14:textFill>
                    </w:rPr>
                  </w:pPr>
                  <w:r>
                    <w:rPr>
                      <w:rFonts w:ascii="Times New Roman" w:hAnsi="Times New Roman" w:eastAsia="宋体"/>
                      <w:bCs/>
                      <w:color w:val="000000" w:themeColor="text1"/>
                      <w:sz w:val="21"/>
                      <w:szCs w:val="21"/>
                      <w14:textFill>
                        <w14:solidFill>
                          <w14:schemeClr w14:val="tx1"/>
                        </w14:solidFill>
                      </w14:textFill>
                    </w:rPr>
                    <w:t>达标情况</w:t>
                  </w:r>
                </w:p>
              </w:tc>
            </w:tr>
            <w:tr w14:paraId="462312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25" w:type="pct"/>
                  <w:tcBorders>
                    <w:top w:val="single" w:color="000000" w:sz="4" w:space="0"/>
                    <w:left w:val="single" w:color="000000" w:sz="12" w:space="0"/>
                    <w:right w:val="single" w:color="000000" w:sz="4" w:space="0"/>
                  </w:tcBorders>
                  <w:noWrap w:val="0"/>
                  <w:vAlign w:val="center"/>
                </w:tcPr>
                <w:p w14:paraId="16456E57">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SO</w:t>
                  </w:r>
                  <w:r>
                    <w:rPr>
                      <w:rFonts w:hint="default" w:ascii="Times New Roman" w:hAnsi="Times New Roman" w:cs="Times New Roman"/>
                      <w:color w:val="auto"/>
                      <w:sz w:val="21"/>
                      <w:szCs w:val="21"/>
                      <w:highlight w:val="none"/>
                      <w:u w:val="none" w:color="auto"/>
                      <w:vertAlign w:val="subscript"/>
                    </w:rPr>
                    <w:t>2</w:t>
                  </w:r>
                </w:p>
              </w:tc>
              <w:tc>
                <w:tcPr>
                  <w:tcW w:w="1337" w:type="pct"/>
                  <w:tcBorders>
                    <w:top w:val="single" w:color="000000" w:sz="4" w:space="0"/>
                    <w:left w:val="single" w:color="000000" w:sz="4" w:space="0"/>
                    <w:bottom w:val="single" w:color="000000" w:sz="4" w:space="0"/>
                    <w:right w:val="single" w:color="000000" w:sz="4" w:space="0"/>
                  </w:tcBorders>
                  <w:noWrap w:val="0"/>
                  <w:vAlign w:val="center"/>
                </w:tcPr>
                <w:p w14:paraId="3C5923E5">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年平均质量浓度</w:t>
                  </w:r>
                </w:p>
              </w:tc>
              <w:tc>
                <w:tcPr>
                  <w:tcW w:w="836" w:type="pct"/>
                  <w:tcBorders>
                    <w:top w:val="single" w:color="000000" w:sz="4" w:space="0"/>
                    <w:left w:val="single" w:color="000000" w:sz="4" w:space="0"/>
                    <w:bottom w:val="single" w:color="000000" w:sz="4" w:space="0"/>
                    <w:right w:val="single" w:color="000000" w:sz="4" w:space="0"/>
                  </w:tcBorders>
                  <w:noWrap w:val="0"/>
                  <w:vAlign w:val="center"/>
                </w:tcPr>
                <w:p w14:paraId="4C0DBEFA">
                  <w:pPr>
                    <w:pStyle w:val="98"/>
                    <w:spacing w:line="240" w:lineRule="auto"/>
                    <w:ind w:firstLine="0" w:firstLineChars="0"/>
                    <w:jc w:val="center"/>
                    <w:rPr>
                      <w:rFonts w:ascii="Times New Roman" w:hAnsi="Times New Roman" w:eastAsia="宋体"/>
                      <w:bCs/>
                      <w:color w:val="000000" w:themeColor="text1"/>
                      <w:kern w:val="2"/>
                      <w:sz w:val="21"/>
                      <w:szCs w:val="21"/>
                      <w14:textFill>
                        <w14:solidFill>
                          <w14:schemeClr w14:val="tx1"/>
                        </w14:solidFill>
                      </w14:textFill>
                    </w:rPr>
                  </w:pPr>
                  <w:r>
                    <w:rPr>
                      <w:rFonts w:hint="eastAsia" w:eastAsia="宋体"/>
                      <w:bCs/>
                      <w:color w:val="000000"/>
                      <w:sz w:val="21"/>
                      <w:szCs w:val="21"/>
                      <w:lang w:val="en-US" w:eastAsia="zh-CN"/>
                    </w:rPr>
                    <w:t>9</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36D24B6A">
                  <w:pPr>
                    <w:pStyle w:val="98"/>
                    <w:spacing w:line="240" w:lineRule="auto"/>
                    <w:ind w:firstLine="0" w:firstLineChars="0"/>
                    <w:jc w:val="center"/>
                    <w:rPr>
                      <w:rFonts w:ascii="Times New Roman" w:hAnsi="Times New Roman" w:eastAsia="宋体"/>
                      <w:bCs/>
                      <w:color w:val="000000" w:themeColor="text1"/>
                      <w:kern w:val="2"/>
                      <w:sz w:val="21"/>
                      <w:szCs w:val="21"/>
                      <w14:textFill>
                        <w14:solidFill>
                          <w14:schemeClr w14:val="tx1"/>
                        </w14:solidFill>
                      </w14:textFill>
                    </w:rPr>
                  </w:pPr>
                  <w:r>
                    <w:rPr>
                      <w:rFonts w:hint="eastAsia" w:eastAsia="宋体"/>
                      <w:color w:val="000000"/>
                      <w:kern w:val="2"/>
                      <w:sz w:val="21"/>
                      <w:szCs w:val="21"/>
                    </w:rPr>
                    <w:t>60</w:t>
                  </w:r>
                </w:p>
              </w:tc>
              <w:tc>
                <w:tcPr>
                  <w:tcW w:w="660" w:type="pct"/>
                  <w:tcBorders>
                    <w:top w:val="single" w:color="000000" w:sz="4" w:space="0"/>
                    <w:left w:val="single" w:color="000000" w:sz="4" w:space="0"/>
                    <w:bottom w:val="single" w:color="000000" w:sz="4" w:space="0"/>
                    <w:right w:val="single" w:color="000000" w:sz="4" w:space="0"/>
                  </w:tcBorders>
                  <w:noWrap w:val="0"/>
                  <w:vAlign w:val="center"/>
                </w:tcPr>
                <w:p w14:paraId="6E8C2DE9">
                  <w:pPr>
                    <w:pStyle w:val="98"/>
                    <w:spacing w:line="240" w:lineRule="auto"/>
                    <w:ind w:firstLine="0" w:firstLineChars="0"/>
                    <w:jc w:val="center"/>
                    <w:rPr>
                      <w:rFonts w:hint="default" w:ascii="Times New Roman" w:hAnsi="Times New Roman" w:eastAsia="宋体" w:cs="Times New Roman"/>
                      <w:color w:val="000000"/>
                      <w:kern w:val="2"/>
                      <w:sz w:val="21"/>
                      <w:szCs w:val="21"/>
                      <w:lang w:val="en-US"/>
                    </w:rPr>
                  </w:pPr>
                  <w:r>
                    <w:rPr>
                      <w:rFonts w:hint="eastAsia" w:ascii="Times New Roman" w:hAnsi="Times New Roman" w:eastAsia="宋体" w:cs="Times New Roman"/>
                      <w:color w:val="000000"/>
                      <w:kern w:val="2"/>
                      <w:sz w:val="21"/>
                      <w:szCs w:val="21"/>
                      <w:lang w:val="en-US" w:eastAsia="zh-CN"/>
                    </w:rPr>
                    <w:t xml:space="preserve">15.0 </w:t>
                  </w:r>
                </w:p>
              </w:tc>
              <w:tc>
                <w:tcPr>
                  <w:tcW w:w="725" w:type="pct"/>
                  <w:tcBorders>
                    <w:top w:val="single" w:color="000000" w:sz="4" w:space="0"/>
                    <w:left w:val="single" w:color="000000" w:sz="4" w:space="0"/>
                    <w:bottom w:val="single" w:color="000000" w:sz="4" w:space="0"/>
                    <w:right w:val="single" w:color="000000" w:sz="12" w:space="0"/>
                  </w:tcBorders>
                  <w:noWrap w:val="0"/>
                  <w:vAlign w:val="center"/>
                </w:tcPr>
                <w:p w14:paraId="770E0DFF">
                  <w:pPr>
                    <w:pStyle w:val="98"/>
                    <w:spacing w:line="240" w:lineRule="auto"/>
                    <w:ind w:firstLine="0" w:firstLineChars="0"/>
                    <w:jc w:val="center"/>
                    <w:rPr>
                      <w:rFonts w:ascii="Times New Roman" w:hAnsi="Times New Roman" w:eastAsia="宋体"/>
                      <w:bCs/>
                      <w:color w:val="000000" w:themeColor="text1"/>
                      <w:kern w:val="2"/>
                      <w:sz w:val="21"/>
                      <w:szCs w:val="21"/>
                      <w14:textFill>
                        <w14:solidFill>
                          <w14:schemeClr w14:val="tx1"/>
                        </w14:solidFill>
                      </w14:textFill>
                    </w:rPr>
                  </w:pPr>
                  <w:r>
                    <w:rPr>
                      <w:rFonts w:hint="eastAsia" w:eastAsia="宋体"/>
                      <w:color w:val="000000"/>
                      <w:kern w:val="2"/>
                      <w:sz w:val="21"/>
                      <w:szCs w:val="21"/>
                    </w:rPr>
                    <w:t>达标</w:t>
                  </w:r>
                </w:p>
              </w:tc>
            </w:tr>
            <w:tr w14:paraId="3FEFD3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25" w:type="pct"/>
                  <w:tcBorders>
                    <w:top w:val="single" w:color="000000" w:sz="4" w:space="0"/>
                    <w:left w:val="single" w:color="000000" w:sz="12" w:space="0"/>
                    <w:right w:val="single" w:color="000000" w:sz="4" w:space="0"/>
                  </w:tcBorders>
                  <w:noWrap w:val="0"/>
                  <w:vAlign w:val="center"/>
                </w:tcPr>
                <w:p w14:paraId="607685B4">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NO</w:t>
                  </w:r>
                  <w:r>
                    <w:rPr>
                      <w:rFonts w:hint="default" w:ascii="Times New Roman" w:hAnsi="Times New Roman" w:cs="Times New Roman"/>
                      <w:color w:val="auto"/>
                      <w:sz w:val="21"/>
                      <w:szCs w:val="21"/>
                      <w:highlight w:val="none"/>
                      <w:u w:val="none" w:color="auto"/>
                      <w:vertAlign w:val="subscript"/>
                    </w:rPr>
                    <w:t>2</w:t>
                  </w:r>
                </w:p>
              </w:tc>
              <w:tc>
                <w:tcPr>
                  <w:tcW w:w="1337" w:type="pct"/>
                  <w:tcBorders>
                    <w:top w:val="single" w:color="000000" w:sz="4" w:space="0"/>
                    <w:left w:val="single" w:color="000000" w:sz="4" w:space="0"/>
                    <w:bottom w:val="single" w:color="000000" w:sz="4" w:space="0"/>
                    <w:right w:val="single" w:color="000000" w:sz="4" w:space="0"/>
                  </w:tcBorders>
                  <w:noWrap w:val="0"/>
                  <w:vAlign w:val="center"/>
                </w:tcPr>
                <w:p w14:paraId="5BFA1376">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年平均质量浓度</w:t>
                  </w:r>
                </w:p>
              </w:tc>
              <w:tc>
                <w:tcPr>
                  <w:tcW w:w="836" w:type="pct"/>
                  <w:tcBorders>
                    <w:top w:val="single" w:color="000000" w:sz="4" w:space="0"/>
                    <w:left w:val="single" w:color="000000" w:sz="4" w:space="0"/>
                    <w:bottom w:val="single" w:color="000000" w:sz="4" w:space="0"/>
                    <w:right w:val="single" w:color="000000" w:sz="4" w:space="0"/>
                  </w:tcBorders>
                  <w:noWrap w:val="0"/>
                  <w:vAlign w:val="center"/>
                </w:tcPr>
                <w:p w14:paraId="2B57CE55">
                  <w:pPr>
                    <w:pStyle w:val="98"/>
                    <w:spacing w:line="240" w:lineRule="auto"/>
                    <w:ind w:firstLine="0" w:firstLineChars="0"/>
                    <w:jc w:val="center"/>
                    <w:rPr>
                      <w:rFonts w:ascii="Times New Roman" w:hAnsi="Times New Roman" w:eastAsia="宋体"/>
                      <w:bCs/>
                      <w:color w:val="000000" w:themeColor="text1"/>
                      <w:kern w:val="2"/>
                      <w:sz w:val="21"/>
                      <w:szCs w:val="21"/>
                      <w14:textFill>
                        <w14:solidFill>
                          <w14:schemeClr w14:val="tx1"/>
                        </w14:solidFill>
                      </w14:textFill>
                    </w:rPr>
                  </w:pPr>
                  <w:r>
                    <w:rPr>
                      <w:rFonts w:hint="eastAsia" w:eastAsia="宋体"/>
                      <w:bCs/>
                      <w:color w:val="000000"/>
                      <w:sz w:val="21"/>
                      <w:szCs w:val="21"/>
                      <w:lang w:val="en-US" w:eastAsia="zh-CN"/>
                    </w:rPr>
                    <w:t>13</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45CB62F8">
                  <w:pPr>
                    <w:pStyle w:val="98"/>
                    <w:spacing w:line="240" w:lineRule="auto"/>
                    <w:ind w:firstLine="0" w:firstLineChars="0"/>
                    <w:jc w:val="center"/>
                    <w:rPr>
                      <w:rFonts w:ascii="Times New Roman" w:hAnsi="Times New Roman" w:eastAsia="宋体"/>
                      <w:bCs/>
                      <w:color w:val="000000" w:themeColor="text1"/>
                      <w:kern w:val="2"/>
                      <w:sz w:val="21"/>
                      <w:szCs w:val="21"/>
                      <w14:textFill>
                        <w14:solidFill>
                          <w14:schemeClr w14:val="tx1"/>
                        </w14:solidFill>
                      </w14:textFill>
                    </w:rPr>
                  </w:pPr>
                  <w:r>
                    <w:rPr>
                      <w:rFonts w:hint="eastAsia" w:eastAsia="宋体"/>
                      <w:color w:val="000000"/>
                      <w:kern w:val="2"/>
                      <w:sz w:val="21"/>
                      <w:szCs w:val="21"/>
                    </w:rPr>
                    <w:t>40</w:t>
                  </w:r>
                </w:p>
              </w:tc>
              <w:tc>
                <w:tcPr>
                  <w:tcW w:w="660" w:type="pct"/>
                  <w:tcBorders>
                    <w:top w:val="single" w:color="000000" w:sz="4" w:space="0"/>
                    <w:left w:val="single" w:color="000000" w:sz="4" w:space="0"/>
                    <w:bottom w:val="single" w:color="000000" w:sz="4" w:space="0"/>
                    <w:right w:val="single" w:color="000000" w:sz="4" w:space="0"/>
                  </w:tcBorders>
                  <w:noWrap w:val="0"/>
                  <w:vAlign w:val="center"/>
                </w:tcPr>
                <w:p w14:paraId="7C0520E3">
                  <w:pPr>
                    <w:pStyle w:val="98"/>
                    <w:spacing w:line="240" w:lineRule="auto"/>
                    <w:ind w:firstLine="0" w:firstLineChars="0"/>
                    <w:jc w:val="center"/>
                    <w:rPr>
                      <w:rFonts w:hint="eastAsia" w:ascii="Times New Roman" w:hAnsi="Times New Roman" w:eastAsia="宋体" w:cs="Times New Roman"/>
                      <w:color w:val="000000"/>
                      <w:kern w:val="2"/>
                      <w:sz w:val="21"/>
                      <w:szCs w:val="21"/>
                    </w:rPr>
                  </w:pPr>
                  <w:r>
                    <w:rPr>
                      <w:rFonts w:hint="eastAsia" w:ascii="Times New Roman" w:hAnsi="Times New Roman" w:eastAsia="宋体" w:cs="Times New Roman"/>
                      <w:color w:val="000000"/>
                      <w:kern w:val="2"/>
                      <w:sz w:val="21"/>
                      <w:szCs w:val="21"/>
                      <w:lang w:val="en-US" w:eastAsia="zh-CN"/>
                    </w:rPr>
                    <w:t xml:space="preserve">32.5 </w:t>
                  </w:r>
                </w:p>
              </w:tc>
              <w:tc>
                <w:tcPr>
                  <w:tcW w:w="725" w:type="pct"/>
                  <w:tcBorders>
                    <w:top w:val="single" w:color="000000" w:sz="4" w:space="0"/>
                    <w:left w:val="single" w:color="000000" w:sz="4" w:space="0"/>
                    <w:bottom w:val="single" w:color="000000" w:sz="4" w:space="0"/>
                    <w:right w:val="single" w:color="000000" w:sz="12" w:space="0"/>
                  </w:tcBorders>
                  <w:noWrap w:val="0"/>
                  <w:vAlign w:val="center"/>
                </w:tcPr>
                <w:p w14:paraId="1D310E95">
                  <w:pPr>
                    <w:pStyle w:val="98"/>
                    <w:spacing w:line="240" w:lineRule="auto"/>
                    <w:ind w:firstLine="0" w:firstLineChars="0"/>
                    <w:jc w:val="center"/>
                    <w:rPr>
                      <w:rFonts w:ascii="Times New Roman" w:hAnsi="Times New Roman" w:eastAsia="宋体"/>
                      <w:bCs/>
                      <w:color w:val="000000" w:themeColor="text1"/>
                      <w:kern w:val="2"/>
                      <w:sz w:val="21"/>
                      <w:szCs w:val="21"/>
                      <w14:textFill>
                        <w14:solidFill>
                          <w14:schemeClr w14:val="tx1"/>
                        </w14:solidFill>
                      </w14:textFill>
                    </w:rPr>
                  </w:pPr>
                  <w:r>
                    <w:rPr>
                      <w:rFonts w:hint="eastAsia" w:eastAsia="宋体"/>
                      <w:color w:val="000000"/>
                      <w:kern w:val="2"/>
                      <w:sz w:val="21"/>
                      <w:szCs w:val="21"/>
                    </w:rPr>
                    <w:t>达标</w:t>
                  </w:r>
                </w:p>
              </w:tc>
            </w:tr>
            <w:tr w14:paraId="16F5BB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25" w:type="pct"/>
                  <w:tcBorders>
                    <w:top w:val="single" w:color="000000" w:sz="4" w:space="0"/>
                    <w:left w:val="single" w:color="000000" w:sz="12" w:space="0"/>
                    <w:right w:val="single" w:color="000000" w:sz="4" w:space="0"/>
                  </w:tcBorders>
                  <w:noWrap w:val="0"/>
                  <w:vAlign w:val="center"/>
                </w:tcPr>
                <w:p w14:paraId="7102BE37">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PM</w:t>
                  </w:r>
                  <w:r>
                    <w:rPr>
                      <w:rFonts w:hint="default" w:ascii="Times New Roman" w:hAnsi="Times New Roman" w:cs="Times New Roman"/>
                      <w:color w:val="auto"/>
                      <w:sz w:val="21"/>
                      <w:szCs w:val="21"/>
                      <w:highlight w:val="none"/>
                      <w:u w:val="none" w:color="auto"/>
                      <w:vertAlign w:val="subscript"/>
                    </w:rPr>
                    <w:t>10</w:t>
                  </w:r>
                </w:p>
              </w:tc>
              <w:tc>
                <w:tcPr>
                  <w:tcW w:w="1337" w:type="pct"/>
                  <w:tcBorders>
                    <w:top w:val="single" w:color="000000" w:sz="4" w:space="0"/>
                    <w:left w:val="single" w:color="000000" w:sz="4" w:space="0"/>
                    <w:bottom w:val="single" w:color="000000" w:sz="4" w:space="0"/>
                    <w:right w:val="single" w:color="000000" w:sz="4" w:space="0"/>
                  </w:tcBorders>
                  <w:noWrap w:val="0"/>
                  <w:vAlign w:val="center"/>
                </w:tcPr>
                <w:p w14:paraId="2CAAB008">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年平均质量浓度</w:t>
                  </w:r>
                </w:p>
              </w:tc>
              <w:tc>
                <w:tcPr>
                  <w:tcW w:w="836" w:type="pct"/>
                  <w:tcBorders>
                    <w:top w:val="single" w:color="000000" w:sz="4" w:space="0"/>
                    <w:left w:val="single" w:color="000000" w:sz="4" w:space="0"/>
                    <w:bottom w:val="single" w:color="000000" w:sz="4" w:space="0"/>
                    <w:right w:val="single" w:color="000000" w:sz="4" w:space="0"/>
                  </w:tcBorders>
                  <w:noWrap w:val="0"/>
                  <w:vAlign w:val="center"/>
                </w:tcPr>
                <w:p w14:paraId="2C3818FB">
                  <w:pPr>
                    <w:pStyle w:val="98"/>
                    <w:spacing w:line="240" w:lineRule="auto"/>
                    <w:ind w:firstLine="0" w:firstLineChars="0"/>
                    <w:jc w:val="center"/>
                    <w:rPr>
                      <w:rFonts w:hint="default" w:ascii="Times New Roman" w:hAnsi="Times New Roman" w:eastAsia="宋体"/>
                      <w:bCs/>
                      <w:color w:val="000000" w:themeColor="text1"/>
                      <w:kern w:val="2"/>
                      <w:sz w:val="21"/>
                      <w:szCs w:val="21"/>
                      <w:lang w:val="en-US"/>
                      <w14:textFill>
                        <w14:solidFill>
                          <w14:schemeClr w14:val="tx1"/>
                        </w14:solidFill>
                      </w14:textFill>
                    </w:rPr>
                  </w:pPr>
                  <w:r>
                    <w:rPr>
                      <w:rFonts w:hint="eastAsia" w:eastAsia="宋体"/>
                      <w:bCs/>
                      <w:color w:val="000000"/>
                      <w:kern w:val="2"/>
                      <w:sz w:val="21"/>
                      <w:szCs w:val="21"/>
                      <w:lang w:val="en-US" w:eastAsia="zh-CN"/>
                    </w:rPr>
                    <w:t>45</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252F1EB5">
                  <w:pPr>
                    <w:pStyle w:val="98"/>
                    <w:spacing w:line="240" w:lineRule="auto"/>
                    <w:ind w:firstLine="0" w:firstLineChars="0"/>
                    <w:jc w:val="center"/>
                    <w:rPr>
                      <w:rFonts w:ascii="Times New Roman" w:hAnsi="Times New Roman" w:eastAsia="宋体"/>
                      <w:bCs/>
                      <w:color w:val="000000" w:themeColor="text1"/>
                      <w:kern w:val="2"/>
                      <w:sz w:val="21"/>
                      <w:szCs w:val="21"/>
                      <w14:textFill>
                        <w14:solidFill>
                          <w14:schemeClr w14:val="tx1"/>
                        </w14:solidFill>
                      </w14:textFill>
                    </w:rPr>
                  </w:pPr>
                  <w:r>
                    <w:rPr>
                      <w:rFonts w:hint="eastAsia" w:eastAsia="宋体"/>
                      <w:color w:val="000000"/>
                      <w:kern w:val="2"/>
                      <w:sz w:val="21"/>
                      <w:szCs w:val="21"/>
                    </w:rPr>
                    <w:t>70</w:t>
                  </w:r>
                </w:p>
              </w:tc>
              <w:tc>
                <w:tcPr>
                  <w:tcW w:w="660" w:type="pct"/>
                  <w:tcBorders>
                    <w:top w:val="single" w:color="000000" w:sz="4" w:space="0"/>
                    <w:left w:val="single" w:color="000000" w:sz="4" w:space="0"/>
                    <w:bottom w:val="single" w:color="000000" w:sz="4" w:space="0"/>
                    <w:right w:val="single" w:color="000000" w:sz="4" w:space="0"/>
                  </w:tcBorders>
                  <w:noWrap w:val="0"/>
                  <w:vAlign w:val="center"/>
                </w:tcPr>
                <w:p w14:paraId="786B1D1D">
                  <w:pPr>
                    <w:pStyle w:val="98"/>
                    <w:spacing w:line="240" w:lineRule="auto"/>
                    <w:ind w:firstLine="0" w:firstLineChars="0"/>
                    <w:jc w:val="center"/>
                    <w:rPr>
                      <w:rFonts w:hint="default" w:ascii="Times New Roman" w:hAnsi="Times New Roman" w:eastAsia="宋体" w:cs="Times New Roman"/>
                      <w:color w:val="000000"/>
                      <w:kern w:val="2"/>
                      <w:sz w:val="21"/>
                      <w:szCs w:val="21"/>
                      <w:lang w:val="en-US"/>
                    </w:rPr>
                  </w:pPr>
                  <w:r>
                    <w:rPr>
                      <w:rFonts w:hint="eastAsia" w:ascii="Times New Roman" w:hAnsi="Times New Roman" w:eastAsia="宋体" w:cs="Times New Roman"/>
                      <w:color w:val="000000"/>
                      <w:kern w:val="2"/>
                      <w:sz w:val="21"/>
                      <w:szCs w:val="21"/>
                      <w:lang w:val="en-US" w:eastAsia="zh-CN"/>
                    </w:rPr>
                    <w:t xml:space="preserve">64.3 </w:t>
                  </w:r>
                </w:p>
              </w:tc>
              <w:tc>
                <w:tcPr>
                  <w:tcW w:w="725" w:type="pct"/>
                  <w:tcBorders>
                    <w:top w:val="single" w:color="000000" w:sz="4" w:space="0"/>
                    <w:left w:val="single" w:color="000000" w:sz="4" w:space="0"/>
                    <w:bottom w:val="single" w:color="000000" w:sz="4" w:space="0"/>
                    <w:right w:val="single" w:color="000000" w:sz="12" w:space="0"/>
                  </w:tcBorders>
                  <w:noWrap w:val="0"/>
                  <w:vAlign w:val="center"/>
                </w:tcPr>
                <w:p w14:paraId="7E50B74C">
                  <w:pPr>
                    <w:pStyle w:val="98"/>
                    <w:spacing w:line="240" w:lineRule="auto"/>
                    <w:ind w:firstLine="0" w:firstLineChars="0"/>
                    <w:jc w:val="center"/>
                    <w:rPr>
                      <w:rFonts w:ascii="Times New Roman" w:hAnsi="Times New Roman" w:eastAsia="宋体"/>
                      <w:bCs/>
                      <w:color w:val="000000" w:themeColor="text1"/>
                      <w:kern w:val="2"/>
                      <w:sz w:val="21"/>
                      <w:szCs w:val="21"/>
                      <w14:textFill>
                        <w14:solidFill>
                          <w14:schemeClr w14:val="tx1"/>
                        </w14:solidFill>
                      </w14:textFill>
                    </w:rPr>
                  </w:pPr>
                  <w:r>
                    <w:rPr>
                      <w:rFonts w:hint="eastAsia" w:eastAsia="宋体"/>
                      <w:color w:val="000000"/>
                      <w:kern w:val="2"/>
                      <w:sz w:val="21"/>
                      <w:szCs w:val="21"/>
                    </w:rPr>
                    <w:t>达标</w:t>
                  </w:r>
                </w:p>
              </w:tc>
            </w:tr>
            <w:tr w14:paraId="007B8A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25" w:type="pct"/>
                  <w:tcBorders>
                    <w:top w:val="single" w:color="000000" w:sz="4" w:space="0"/>
                    <w:left w:val="single" w:color="000000" w:sz="12" w:space="0"/>
                    <w:right w:val="single" w:color="000000" w:sz="4" w:space="0"/>
                  </w:tcBorders>
                  <w:noWrap w:val="0"/>
                  <w:vAlign w:val="center"/>
                </w:tcPr>
                <w:p w14:paraId="22DE0735">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PM</w:t>
                  </w:r>
                  <w:r>
                    <w:rPr>
                      <w:rFonts w:hint="default" w:ascii="Times New Roman" w:hAnsi="Times New Roman" w:cs="Times New Roman"/>
                      <w:color w:val="auto"/>
                      <w:sz w:val="21"/>
                      <w:szCs w:val="21"/>
                      <w:highlight w:val="none"/>
                      <w:u w:val="none" w:color="auto"/>
                      <w:vertAlign w:val="subscript"/>
                    </w:rPr>
                    <w:t>2.5</w:t>
                  </w:r>
                </w:p>
              </w:tc>
              <w:tc>
                <w:tcPr>
                  <w:tcW w:w="1337" w:type="pct"/>
                  <w:tcBorders>
                    <w:top w:val="single" w:color="000000" w:sz="4" w:space="0"/>
                    <w:left w:val="single" w:color="000000" w:sz="4" w:space="0"/>
                    <w:bottom w:val="single" w:color="000000" w:sz="4" w:space="0"/>
                    <w:right w:val="single" w:color="000000" w:sz="4" w:space="0"/>
                  </w:tcBorders>
                  <w:noWrap w:val="0"/>
                  <w:vAlign w:val="center"/>
                </w:tcPr>
                <w:p w14:paraId="661A1E5E">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年平均质量浓度</w:t>
                  </w:r>
                </w:p>
              </w:tc>
              <w:tc>
                <w:tcPr>
                  <w:tcW w:w="836" w:type="pct"/>
                  <w:tcBorders>
                    <w:top w:val="single" w:color="000000" w:sz="4" w:space="0"/>
                    <w:left w:val="single" w:color="000000" w:sz="4" w:space="0"/>
                    <w:bottom w:val="single" w:color="000000" w:sz="4" w:space="0"/>
                    <w:right w:val="single" w:color="000000" w:sz="4" w:space="0"/>
                  </w:tcBorders>
                  <w:noWrap w:val="0"/>
                  <w:vAlign w:val="center"/>
                </w:tcPr>
                <w:p w14:paraId="0A42F6EB">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hint="default" w:ascii="Times New Roman" w:hAnsi="Times New Roman" w:eastAsia="宋体"/>
                      <w:bCs/>
                      <w:color w:val="000000" w:themeColor="text1"/>
                      <w:kern w:val="2"/>
                      <w:sz w:val="21"/>
                      <w:szCs w:val="21"/>
                      <w:lang w:val="en-US"/>
                      <w14:textFill>
                        <w14:solidFill>
                          <w14:schemeClr w14:val="tx1"/>
                        </w14:solidFill>
                      </w14:textFill>
                    </w:rPr>
                  </w:pPr>
                  <w:r>
                    <w:rPr>
                      <w:rFonts w:hint="eastAsia" w:cs="Times New Roman"/>
                      <w:color w:val="auto"/>
                      <w:sz w:val="21"/>
                      <w:szCs w:val="21"/>
                      <w:highlight w:val="none"/>
                      <w:u w:val="none" w:color="auto"/>
                      <w:lang w:val="en-US" w:eastAsia="zh-CN"/>
                    </w:rPr>
                    <w:t>35</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28649061">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35</w:t>
                  </w:r>
                </w:p>
              </w:tc>
              <w:tc>
                <w:tcPr>
                  <w:tcW w:w="660" w:type="pct"/>
                  <w:tcBorders>
                    <w:top w:val="single" w:color="000000" w:sz="4" w:space="0"/>
                    <w:left w:val="single" w:color="000000" w:sz="4" w:space="0"/>
                    <w:bottom w:val="single" w:color="000000" w:sz="4" w:space="0"/>
                    <w:right w:val="single" w:color="000000" w:sz="4" w:space="0"/>
                  </w:tcBorders>
                  <w:noWrap w:val="0"/>
                  <w:vAlign w:val="center"/>
                </w:tcPr>
                <w:p w14:paraId="6BD3B62B">
                  <w:pPr>
                    <w:pStyle w:val="98"/>
                    <w:spacing w:line="240" w:lineRule="auto"/>
                    <w:ind w:firstLine="0" w:firstLineChars="0"/>
                    <w:jc w:val="center"/>
                    <w:rPr>
                      <w:rFonts w:hint="default" w:ascii="Times New Roman" w:hAnsi="Times New Roman" w:eastAsia="宋体" w:cs="Times New Roman"/>
                      <w:color w:val="000000"/>
                      <w:kern w:val="2"/>
                      <w:sz w:val="21"/>
                      <w:szCs w:val="21"/>
                      <w:lang w:val="en-US"/>
                    </w:rPr>
                  </w:pPr>
                  <w:r>
                    <w:rPr>
                      <w:rFonts w:hint="eastAsia" w:ascii="Times New Roman" w:hAnsi="Times New Roman" w:eastAsia="宋体" w:cs="Times New Roman"/>
                      <w:color w:val="000000"/>
                      <w:kern w:val="2"/>
                      <w:sz w:val="21"/>
                      <w:szCs w:val="21"/>
                      <w:lang w:val="en-US" w:eastAsia="zh-CN"/>
                    </w:rPr>
                    <w:t xml:space="preserve">100.0 </w:t>
                  </w:r>
                </w:p>
              </w:tc>
              <w:tc>
                <w:tcPr>
                  <w:tcW w:w="725" w:type="pct"/>
                  <w:tcBorders>
                    <w:top w:val="single" w:color="000000" w:sz="4" w:space="0"/>
                    <w:left w:val="single" w:color="000000" w:sz="4" w:space="0"/>
                    <w:bottom w:val="single" w:color="000000" w:sz="4" w:space="0"/>
                    <w:right w:val="single" w:color="000000" w:sz="12" w:space="0"/>
                  </w:tcBorders>
                  <w:noWrap w:val="0"/>
                  <w:vAlign w:val="center"/>
                </w:tcPr>
                <w:p w14:paraId="30859699">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达标</w:t>
                  </w:r>
                </w:p>
              </w:tc>
            </w:tr>
            <w:tr w14:paraId="611C98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25" w:type="pct"/>
                  <w:tcBorders>
                    <w:top w:val="single" w:color="000000" w:sz="4" w:space="0"/>
                    <w:left w:val="single" w:color="000000" w:sz="12" w:space="0"/>
                    <w:bottom w:val="single" w:color="000000" w:sz="4" w:space="0"/>
                    <w:right w:val="single" w:color="000000" w:sz="4" w:space="0"/>
                  </w:tcBorders>
                  <w:noWrap w:val="0"/>
                  <w:vAlign w:val="center"/>
                </w:tcPr>
                <w:p w14:paraId="2D4DF827">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CO</w:t>
                  </w:r>
                </w:p>
              </w:tc>
              <w:tc>
                <w:tcPr>
                  <w:tcW w:w="1337" w:type="pct"/>
                  <w:tcBorders>
                    <w:top w:val="single" w:color="000000" w:sz="4" w:space="0"/>
                    <w:left w:val="single" w:color="000000" w:sz="4" w:space="0"/>
                    <w:bottom w:val="single" w:color="000000" w:sz="4" w:space="0"/>
                    <w:right w:val="single" w:color="000000" w:sz="4" w:space="0"/>
                  </w:tcBorders>
                  <w:noWrap w:val="0"/>
                  <w:vAlign w:val="center"/>
                </w:tcPr>
                <w:p w14:paraId="16A3BDD5">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95%日平均质量浓度</w:t>
                  </w:r>
                </w:p>
              </w:tc>
              <w:tc>
                <w:tcPr>
                  <w:tcW w:w="836" w:type="pct"/>
                  <w:tcBorders>
                    <w:top w:val="single" w:color="000000" w:sz="4" w:space="0"/>
                    <w:left w:val="single" w:color="000000" w:sz="4" w:space="0"/>
                    <w:bottom w:val="single" w:color="000000" w:sz="4" w:space="0"/>
                    <w:right w:val="single" w:color="000000" w:sz="4" w:space="0"/>
                  </w:tcBorders>
                  <w:noWrap w:val="0"/>
                  <w:vAlign w:val="center"/>
                </w:tcPr>
                <w:p w14:paraId="2CDEEDB3">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hint="default" w:ascii="Times New Roman" w:hAnsi="Times New Roman" w:eastAsia="宋体"/>
                      <w:bCs/>
                      <w:color w:val="000000" w:themeColor="text1"/>
                      <w:kern w:val="2"/>
                      <w:sz w:val="21"/>
                      <w:szCs w:val="21"/>
                      <w:lang w:val="en-US"/>
                      <w14:textFill>
                        <w14:solidFill>
                          <w14:schemeClr w14:val="tx1"/>
                        </w14:solidFill>
                      </w14:textFill>
                    </w:rPr>
                  </w:pPr>
                  <w:r>
                    <w:rPr>
                      <w:rFonts w:hint="eastAsia" w:cs="Times New Roman"/>
                      <w:color w:val="auto"/>
                      <w:sz w:val="21"/>
                      <w:szCs w:val="21"/>
                      <w:highlight w:val="none"/>
                      <w:u w:val="none" w:color="auto"/>
                      <w:lang w:val="en-US" w:eastAsia="zh-CN"/>
                    </w:rPr>
                    <w:t>1.0</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01B10408">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4</w:t>
                  </w:r>
                </w:p>
              </w:tc>
              <w:tc>
                <w:tcPr>
                  <w:tcW w:w="660" w:type="pct"/>
                  <w:tcBorders>
                    <w:top w:val="single" w:color="000000" w:sz="4" w:space="0"/>
                    <w:left w:val="single" w:color="000000" w:sz="4" w:space="0"/>
                    <w:bottom w:val="single" w:color="000000" w:sz="4" w:space="0"/>
                    <w:right w:val="single" w:color="000000" w:sz="4" w:space="0"/>
                  </w:tcBorders>
                  <w:noWrap w:val="0"/>
                  <w:vAlign w:val="center"/>
                </w:tcPr>
                <w:p w14:paraId="79784104">
                  <w:pPr>
                    <w:pStyle w:val="98"/>
                    <w:spacing w:line="240" w:lineRule="auto"/>
                    <w:ind w:firstLine="0" w:firstLineChars="0"/>
                    <w:jc w:val="center"/>
                    <w:rPr>
                      <w:rFonts w:hint="default" w:ascii="Times New Roman" w:hAnsi="Times New Roman" w:eastAsia="宋体" w:cs="Times New Roman"/>
                      <w:color w:val="000000"/>
                      <w:kern w:val="2"/>
                      <w:sz w:val="21"/>
                      <w:szCs w:val="21"/>
                      <w:lang w:val="en-US"/>
                    </w:rPr>
                  </w:pPr>
                  <w:r>
                    <w:rPr>
                      <w:rFonts w:hint="eastAsia" w:ascii="Times New Roman" w:hAnsi="Times New Roman" w:eastAsia="宋体" w:cs="Times New Roman"/>
                      <w:color w:val="000000"/>
                      <w:kern w:val="2"/>
                      <w:sz w:val="21"/>
                      <w:szCs w:val="21"/>
                      <w:lang w:val="en-US" w:eastAsia="zh-CN"/>
                    </w:rPr>
                    <w:t xml:space="preserve">25.0 </w:t>
                  </w:r>
                </w:p>
              </w:tc>
              <w:tc>
                <w:tcPr>
                  <w:tcW w:w="725" w:type="pct"/>
                  <w:tcBorders>
                    <w:top w:val="single" w:color="000000" w:sz="4" w:space="0"/>
                    <w:left w:val="single" w:color="000000" w:sz="4" w:space="0"/>
                    <w:bottom w:val="single" w:color="000000" w:sz="4" w:space="0"/>
                    <w:right w:val="single" w:color="000000" w:sz="12" w:space="0"/>
                  </w:tcBorders>
                  <w:noWrap w:val="0"/>
                  <w:vAlign w:val="center"/>
                </w:tcPr>
                <w:p w14:paraId="40CF3CF5">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达标</w:t>
                  </w:r>
                </w:p>
              </w:tc>
            </w:tr>
            <w:tr w14:paraId="0DB87F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725" w:type="pct"/>
                  <w:tcBorders>
                    <w:top w:val="single" w:color="000000" w:sz="4" w:space="0"/>
                    <w:left w:val="single" w:color="000000" w:sz="12" w:space="0"/>
                    <w:bottom w:val="single" w:color="000000" w:sz="4" w:space="0"/>
                    <w:right w:val="single" w:color="000000" w:sz="4" w:space="0"/>
                  </w:tcBorders>
                  <w:noWrap w:val="0"/>
                  <w:vAlign w:val="center"/>
                </w:tcPr>
                <w:p w14:paraId="19185FFE">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O</w:t>
                  </w:r>
                  <w:r>
                    <w:rPr>
                      <w:rFonts w:hint="default" w:ascii="Times New Roman" w:hAnsi="Times New Roman" w:cs="Times New Roman"/>
                      <w:color w:val="auto"/>
                      <w:sz w:val="21"/>
                      <w:szCs w:val="21"/>
                      <w:highlight w:val="none"/>
                      <w:u w:val="none" w:color="auto"/>
                      <w:vertAlign w:val="subscript"/>
                    </w:rPr>
                    <w:t>3</w:t>
                  </w:r>
                </w:p>
              </w:tc>
              <w:tc>
                <w:tcPr>
                  <w:tcW w:w="1337" w:type="pct"/>
                  <w:tcBorders>
                    <w:top w:val="single" w:color="000000" w:sz="4" w:space="0"/>
                    <w:left w:val="single" w:color="000000" w:sz="4" w:space="0"/>
                    <w:bottom w:val="single" w:color="000000" w:sz="4" w:space="0"/>
                    <w:right w:val="single" w:color="000000" w:sz="4" w:space="0"/>
                  </w:tcBorders>
                  <w:noWrap w:val="0"/>
                  <w:vAlign w:val="center"/>
                </w:tcPr>
                <w:p w14:paraId="2DA296E2">
                  <w:pPr>
                    <w:keepNext w:val="0"/>
                    <w:keepLines w:val="0"/>
                    <w:suppressLineNumbers w:val="0"/>
                    <w:autoSpaceDE w:val="0"/>
                    <w:autoSpaceDN w:val="0"/>
                    <w:adjustRightInd w:val="0"/>
                    <w:spacing w:before="0" w:beforeAutospacing="0" w:after="0" w:afterAutospacing="0" w:line="240" w:lineRule="auto"/>
                    <w:ind w:left="0" w:leftChars="0" w:right="0" w:rightChars="0"/>
                    <w:jc w:val="center"/>
                    <w:textAlignment w:val="baseline"/>
                    <w:rPr>
                      <w:rFonts w:ascii="Times New Roman" w:hAnsi="Times New Roman" w:eastAsia="宋体"/>
                      <w:bCs/>
                      <w:color w:val="000000" w:themeColor="text1"/>
                      <w:kern w:val="2"/>
                      <w:sz w:val="21"/>
                      <w:szCs w:val="21"/>
                      <w14:textFill>
                        <w14:solidFill>
                          <w14:schemeClr w14:val="tx1"/>
                        </w14:solidFill>
                      </w14:textFill>
                    </w:rPr>
                  </w:pPr>
                  <w:r>
                    <w:rPr>
                      <w:rFonts w:hint="default" w:ascii="Times New Roman" w:hAnsi="Times New Roman" w:cs="Times New Roman"/>
                      <w:color w:val="auto"/>
                      <w:sz w:val="21"/>
                      <w:szCs w:val="21"/>
                      <w:highlight w:val="none"/>
                      <w:u w:val="none" w:color="auto"/>
                    </w:rPr>
                    <w:t>90%8h平均质量浓度</w:t>
                  </w:r>
                </w:p>
              </w:tc>
              <w:tc>
                <w:tcPr>
                  <w:tcW w:w="836" w:type="pct"/>
                  <w:tcBorders>
                    <w:top w:val="single" w:color="000000" w:sz="4" w:space="0"/>
                    <w:left w:val="single" w:color="000000" w:sz="4" w:space="0"/>
                    <w:bottom w:val="single" w:color="000000" w:sz="4" w:space="0"/>
                    <w:right w:val="single" w:color="000000" w:sz="4" w:space="0"/>
                  </w:tcBorders>
                  <w:noWrap w:val="0"/>
                  <w:vAlign w:val="center"/>
                </w:tcPr>
                <w:p w14:paraId="4BE61953">
                  <w:pPr>
                    <w:pStyle w:val="98"/>
                    <w:spacing w:line="240" w:lineRule="auto"/>
                    <w:ind w:firstLine="0" w:firstLineChars="0"/>
                    <w:jc w:val="center"/>
                    <w:rPr>
                      <w:rFonts w:hint="default" w:ascii="Times New Roman" w:hAnsi="Times New Roman" w:eastAsia="宋体"/>
                      <w:bCs/>
                      <w:color w:val="000000" w:themeColor="text1"/>
                      <w:kern w:val="2"/>
                      <w:sz w:val="21"/>
                      <w:szCs w:val="21"/>
                      <w:lang w:val="en-US"/>
                      <w14:textFill>
                        <w14:solidFill>
                          <w14:schemeClr w14:val="tx1"/>
                        </w14:solidFill>
                      </w14:textFill>
                    </w:rPr>
                  </w:pPr>
                  <w:r>
                    <w:rPr>
                      <w:rFonts w:hint="eastAsia" w:eastAsia="宋体"/>
                      <w:bCs/>
                      <w:color w:val="000000"/>
                      <w:sz w:val="21"/>
                      <w:szCs w:val="21"/>
                      <w:lang w:val="en-US" w:eastAsia="zh-CN"/>
                    </w:rPr>
                    <w:t>128</w:t>
                  </w:r>
                </w:p>
              </w:tc>
              <w:tc>
                <w:tcPr>
                  <w:tcW w:w="715" w:type="pct"/>
                  <w:tcBorders>
                    <w:top w:val="single" w:color="000000" w:sz="4" w:space="0"/>
                    <w:left w:val="single" w:color="000000" w:sz="4" w:space="0"/>
                    <w:bottom w:val="single" w:color="000000" w:sz="4" w:space="0"/>
                    <w:right w:val="single" w:color="000000" w:sz="4" w:space="0"/>
                  </w:tcBorders>
                  <w:noWrap w:val="0"/>
                  <w:vAlign w:val="center"/>
                </w:tcPr>
                <w:p w14:paraId="392B58CD">
                  <w:pPr>
                    <w:pStyle w:val="98"/>
                    <w:spacing w:line="240" w:lineRule="auto"/>
                    <w:ind w:firstLine="0" w:firstLineChars="0"/>
                    <w:jc w:val="center"/>
                    <w:rPr>
                      <w:rFonts w:ascii="Times New Roman" w:hAnsi="Times New Roman" w:eastAsia="宋体"/>
                      <w:bCs/>
                      <w:color w:val="000000" w:themeColor="text1"/>
                      <w:kern w:val="2"/>
                      <w:sz w:val="21"/>
                      <w:szCs w:val="21"/>
                      <w14:textFill>
                        <w14:solidFill>
                          <w14:schemeClr w14:val="tx1"/>
                        </w14:solidFill>
                      </w14:textFill>
                    </w:rPr>
                  </w:pPr>
                  <w:r>
                    <w:rPr>
                      <w:rFonts w:hint="eastAsia" w:eastAsia="宋体"/>
                      <w:color w:val="000000"/>
                      <w:kern w:val="2"/>
                      <w:sz w:val="21"/>
                      <w:szCs w:val="21"/>
                    </w:rPr>
                    <w:t>160</w:t>
                  </w:r>
                </w:p>
              </w:tc>
              <w:tc>
                <w:tcPr>
                  <w:tcW w:w="660" w:type="pct"/>
                  <w:tcBorders>
                    <w:top w:val="single" w:color="000000" w:sz="4" w:space="0"/>
                    <w:left w:val="single" w:color="000000" w:sz="4" w:space="0"/>
                    <w:bottom w:val="single" w:color="000000" w:sz="4" w:space="0"/>
                    <w:right w:val="single" w:color="000000" w:sz="4" w:space="0"/>
                  </w:tcBorders>
                  <w:noWrap w:val="0"/>
                  <w:vAlign w:val="center"/>
                </w:tcPr>
                <w:p w14:paraId="580B153C">
                  <w:pPr>
                    <w:pStyle w:val="98"/>
                    <w:spacing w:line="240" w:lineRule="auto"/>
                    <w:ind w:firstLine="0" w:firstLineChars="0"/>
                    <w:jc w:val="center"/>
                    <w:rPr>
                      <w:rFonts w:hint="default" w:ascii="Times New Roman" w:hAnsi="Times New Roman" w:eastAsia="宋体" w:cs="Times New Roman"/>
                      <w:color w:val="000000"/>
                      <w:kern w:val="2"/>
                      <w:sz w:val="21"/>
                      <w:szCs w:val="21"/>
                      <w:lang w:val="en-US"/>
                    </w:rPr>
                  </w:pPr>
                  <w:r>
                    <w:rPr>
                      <w:rFonts w:hint="eastAsia" w:ascii="Times New Roman" w:hAnsi="Times New Roman" w:eastAsia="宋体" w:cs="Times New Roman"/>
                      <w:color w:val="000000"/>
                      <w:kern w:val="2"/>
                      <w:sz w:val="21"/>
                      <w:szCs w:val="21"/>
                      <w:lang w:val="en-US" w:eastAsia="zh-CN"/>
                    </w:rPr>
                    <w:t xml:space="preserve">80.0 </w:t>
                  </w:r>
                </w:p>
              </w:tc>
              <w:tc>
                <w:tcPr>
                  <w:tcW w:w="725" w:type="pct"/>
                  <w:tcBorders>
                    <w:top w:val="single" w:color="000000" w:sz="4" w:space="0"/>
                    <w:left w:val="single" w:color="000000" w:sz="4" w:space="0"/>
                    <w:bottom w:val="single" w:color="000000" w:sz="4" w:space="0"/>
                    <w:right w:val="single" w:color="000000" w:sz="12" w:space="0"/>
                  </w:tcBorders>
                  <w:noWrap w:val="0"/>
                  <w:vAlign w:val="center"/>
                </w:tcPr>
                <w:p w14:paraId="2CB9B19C">
                  <w:pPr>
                    <w:pStyle w:val="98"/>
                    <w:spacing w:line="240" w:lineRule="auto"/>
                    <w:ind w:firstLine="0" w:firstLineChars="0"/>
                    <w:jc w:val="center"/>
                    <w:rPr>
                      <w:rFonts w:ascii="Times New Roman" w:hAnsi="Times New Roman" w:eastAsia="宋体"/>
                      <w:bCs/>
                      <w:color w:val="000000" w:themeColor="text1"/>
                      <w:kern w:val="2"/>
                      <w:sz w:val="21"/>
                      <w:szCs w:val="21"/>
                      <w14:textFill>
                        <w14:solidFill>
                          <w14:schemeClr w14:val="tx1"/>
                        </w14:solidFill>
                      </w14:textFill>
                    </w:rPr>
                  </w:pPr>
                  <w:r>
                    <w:rPr>
                      <w:rFonts w:hint="eastAsia" w:eastAsia="宋体"/>
                      <w:color w:val="000000"/>
                      <w:kern w:val="2"/>
                      <w:sz w:val="21"/>
                      <w:szCs w:val="21"/>
                    </w:rPr>
                    <w:t>达标</w:t>
                  </w:r>
                </w:p>
              </w:tc>
            </w:tr>
            <w:tr w14:paraId="1E9F65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5000" w:type="pct"/>
                  <w:gridSpan w:val="6"/>
                  <w:tcBorders>
                    <w:top w:val="single" w:color="000000" w:sz="4" w:space="0"/>
                    <w:left w:val="single" w:color="000000" w:sz="12" w:space="0"/>
                    <w:bottom w:val="single" w:color="000000" w:sz="12" w:space="0"/>
                    <w:right w:val="single" w:color="000000" w:sz="12" w:space="0"/>
                  </w:tcBorders>
                  <w:noWrap w:val="0"/>
                  <w:vAlign w:val="center"/>
                </w:tcPr>
                <w:p w14:paraId="59283899">
                  <w:pPr>
                    <w:pStyle w:val="50"/>
                    <w:widowControl w:val="0"/>
                    <w:spacing w:before="0" w:beforeLines="0" w:after="0" w:afterLines="0"/>
                    <w:ind w:left="360" w:hanging="420" w:hangingChars="200"/>
                    <w:jc w:val="both"/>
                    <w:rPr>
                      <w:rFonts w:ascii="Times New Roman" w:hAnsi="Times New Roman" w:eastAsia="宋体"/>
                      <w:bCs/>
                      <w:color w:val="000000" w:themeColor="text1"/>
                      <w:sz w:val="21"/>
                      <w:szCs w:val="21"/>
                      <w14:textFill>
                        <w14:solidFill>
                          <w14:schemeClr w14:val="tx1"/>
                        </w14:solidFill>
                      </w14:textFill>
                    </w:rPr>
                  </w:pPr>
                  <w:r>
                    <w:rPr>
                      <w:rFonts w:ascii="Times New Roman" w:hAnsi="Times New Roman" w:eastAsia="宋体"/>
                      <w:bCs/>
                      <w:color w:val="000000" w:themeColor="text1"/>
                      <w:sz w:val="21"/>
                      <w:szCs w:val="21"/>
                      <w14:textFill>
                        <w14:solidFill>
                          <w14:schemeClr w14:val="tx1"/>
                        </w14:solidFill>
                      </w14:textFill>
                    </w:rPr>
                    <w:t>备注</w:t>
                  </w:r>
                  <w:r>
                    <w:rPr>
                      <w:rFonts w:hint="eastAsia" w:ascii="Times New Roman" w:hAnsi="Times New Roman" w:eastAsia="宋体"/>
                      <w:bCs/>
                      <w:color w:val="000000" w:themeColor="text1"/>
                      <w:sz w:val="21"/>
                      <w:szCs w:val="21"/>
                      <w14:textFill>
                        <w14:solidFill>
                          <w14:schemeClr w14:val="tx1"/>
                        </w14:solidFill>
                      </w14:textFill>
                    </w:rPr>
                    <w:t>：标准值为《环境空气质量标准》（GB3095-2012）二级标准</w:t>
                  </w:r>
                  <w:r>
                    <w:rPr>
                      <w:rFonts w:hint="eastAsia" w:ascii="Times New Roman" w:hAnsi="Times New Roman" w:eastAsia="宋体"/>
                      <w:bCs/>
                      <w:color w:val="000000" w:themeColor="text1"/>
                      <w:sz w:val="21"/>
                      <w:szCs w:val="21"/>
                      <w:lang w:eastAsia="zh-CN"/>
                      <w14:textFill>
                        <w14:solidFill>
                          <w14:schemeClr w14:val="tx1"/>
                        </w14:solidFill>
                      </w14:textFill>
                    </w:rPr>
                    <w:t>；单位：µg/m</w:t>
                  </w:r>
                  <w:r>
                    <w:rPr>
                      <w:rFonts w:hint="eastAsia" w:ascii="Times New Roman" w:hAnsi="Times New Roman" w:eastAsia="宋体"/>
                      <w:bCs/>
                      <w:color w:val="000000" w:themeColor="text1"/>
                      <w:sz w:val="21"/>
                      <w:szCs w:val="21"/>
                      <w:vertAlign w:val="superscript"/>
                      <w:lang w:eastAsia="zh-CN"/>
                      <w14:textFill>
                        <w14:solidFill>
                          <w14:schemeClr w14:val="tx1"/>
                        </w14:solidFill>
                      </w14:textFill>
                    </w:rPr>
                    <w:t>3</w:t>
                  </w:r>
                  <w:r>
                    <w:rPr>
                      <w:rFonts w:hint="eastAsia" w:ascii="Times New Roman" w:hAnsi="Times New Roman" w:eastAsia="宋体"/>
                      <w:bCs/>
                      <w:color w:val="000000" w:themeColor="text1"/>
                      <w:sz w:val="21"/>
                      <w:szCs w:val="21"/>
                      <w:lang w:eastAsia="zh-CN"/>
                      <w14:textFill>
                        <w14:solidFill>
                          <w14:schemeClr w14:val="tx1"/>
                        </w14:solidFill>
                      </w14:textFill>
                    </w:rPr>
                    <w:t>(CO为mg/m</w:t>
                  </w:r>
                  <w:r>
                    <w:rPr>
                      <w:rFonts w:hint="eastAsia" w:ascii="Times New Roman" w:hAnsi="Times New Roman" w:eastAsia="宋体"/>
                      <w:bCs/>
                      <w:color w:val="000000" w:themeColor="text1"/>
                      <w:sz w:val="21"/>
                      <w:szCs w:val="21"/>
                      <w:vertAlign w:val="superscript"/>
                      <w:lang w:eastAsia="zh-CN"/>
                      <w14:textFill>
                        <w14:solidFill>
                          <w14:schemeClr w14:val="tx1"/>
                        </w14:solidFill>
                      </w14:textFill>
                    </w:rPr>
                    <w:t>3</w:t>
                  </w:r>
                  <w:r>
                    <w:rPr>
                      <w:rFonts w:hint="eastAsia"/>
                      <w:bCs/>
                      <w:color w:val="000000" w:themeColor="text1"/>
                      <w:sz w:val="21"/>
                      <w:szCs w:val="21"/>
                      <w:vertAlign w:val="superscript"/>
                      <w:lang w:eastAsia="zh-CN"/>
                      <w14:textFill>
                        <w14:solidFill>
                          <w14:schemeClr w14:val="tx1"/>
                        </w14:solidFill>
                      </w14:textFill>
                    </w:rPr>
                    <w:t>）</w:t>
                  </w:r>
                  <w:r>
                    <w:rPr>
                      <w:rFonts w:hint="eastAsia" w:ascii="Times New Roman" w:hAnsi="Times New Roman" w:eastAsia="宋体"/>
                      <w:bCs/>
                      <w:color w:val="000000" w:themeColor="text1"/>
                      <w:sz w:val="21"/>
                      <w:szCs w:val="21"/>
                      <w14:textFill>
                        <w14:solidFill>
                          <w14:schemeClr w14:val="tx1"/>
                        </w14:solidFill>
                      </w14:textFill>
                    </w:rPr>
                    <w:t>。</w:t>
                  </w:r>
                </w:p>
              </w:tc>
            </w:tr>
          </w:tbl>
          <w:p w14:paraId="14A5B383">
            <w:pPr>
              <w:spacing w:line="360" w:lineRule="auto"/>
              <w:ind w:firstLine="480" w:firstLineChars="200"/>
              <w:rPr>
                <w:rFonts w:hint="default" w:ascii="Times New Roman" w:hAnsi="Times New Roman" w:eastAsia="宋体" w:cs="Times New Roman"/>
                <w:color w:val="auto"/>
                <w:sz w:val="24"/>
                <w:szCs w:val="24"/>
                <w:highlight w:val="none"/>
                <w:u w:val="none" w:color="auto"/>
                <w:lang w:val="en-US" w:eastAsia="zh-CN"/>
              </w:rPr>
            </w:pPr>
            <w:r>
              <w:rPr>
                <w:rFonts w:hint="eastAsia"/>
                <w:color w:val="000000" w:themeColor="text1"/>
                <w:sz w:val="24"/>
                <w14:textFill>
                  <w14:solidFill>
                    <w14:schemeClr w14:val="tx1"/>
                  </w14:solidFill>
                </w14:textFill>
              </w:rPr>
              <w:t>由表3-1可知，</w:t>
            </w:r>
            <w:r>
              <w:rPr>
                <w:rFonts w:hint="eastAsia"/>
                <w:color w:val="auto"/>
                <w:sz w:val="24"/>
                <w:lang w:eastAsia="zh-CN"/>
              </w:rPr>
              <w:t>冷水滩区</w:t>
            </w:r>
            <w:r>
              <w:rPr>
                <w:rFonts w:hint="eastAsia"/>
                <w:color w:val="auto"/>
                <w:sz w:val="24"/>
              </w:rPr>
              <w:t>202</w:t>
            </w:r>
            <w:r>
              <w:rPr>
                <w:rFonts w:hint="eastAsia"/>
                <w:color w:val="auto"/>
                <w:sz w:val="24"/>
                <w:lang w:val="en-US" w:eastAsia="zh-CN"/>
              </w:rPr>
              <w:t>4</w:t>
            </w:r>
            <w:r>
              <w:rPr>
                <w:rFonts w:hint="eastAsia"/>
                <w:color w:val="auto"/>
                <w:sz w:val="24"/>
              </w:rPr>
              <w:t>年常规大气污染物中PM</w:t>
            </w:r>
            <w:r>
              <w:rPr>
                <w:rFonts w:hint="eastAsia"/>
                <w:color w:val="auto"/>
                <w:sz w:val="24"/>
                <w:vertAlign w:val="subscript"/>
              </w:rPr>
              <w:t>10</w:t>
            </w:r>
            <w:r>
              <w:rPr>
                <w:rFonts w:hint="eastAsia"/>
                <w:color w:val="auto"/>
                <w:sz w:val="24"/>
              </w:rPr>
              <w:t>、PM</w:t>
            </w:r>
            <w:r>
              <w:rPr>
                <w:rFonts w:hint="eastAsia"/>
                <w:color w:val="auto"/>
                <w:sz w:val="24"/>
                <w:vertAlign w:val="subscript"/>
              </w:rPr>
              <w:t>2.5</w:t>
            </w:r>
            <w:r>
              <w:rPr>
                <w:rFonts w:hint="eastAsia"/>
                <w:color w:val="auto"/>
                <w:sz w:val="24"/>
              </w:rPr>
              <w:t>、SO</w:t>
            </w:r>
            <w:r>
              <w:rPr>
                <w:rFonts w:hint="eastAsia"/>
                <w:color w:val="auto"/>
                <w:sz w:val="24"/>
                <w:vertAlign w:val="subscript"/>
              </w:rPr>
              <w:t>2</w:t>
            </w:r>
            <w:r>
              <w:rPr>
                <w:rFonts w:hint="eastAsia"/>
                <w:color w:val="auto"/>
                <w:sz w:val="24"/>
              </w:rPr>
              <w:t>、NO</w:t>
            </w:r>
            <w:r>
              <w:rPr>
                <w:rFonts w:hint="eastAsia"/>
                <w:color w:val="auto"/>
                <w:sz w:val="24"/>
                <w:vertAlign w:val="subscript"/>
              </w:rPr>
              <w:t>2</w:t>
            </w:r>
            <w:r>
              <w:rPr>
                <w:rFonts w:hint="eastAsia"/>
                <w:color w:val="auto"/>
                <w:sz w:val="24"/>
              </w:rPr>
              <w:t>、CO年平均值</w:t>
            </w:r>
            <w:r>
              <w:rPr>
                <w:rFonts w:hint="eastAsia"/>
                <w:color w:val="auto"/>
                <w:sz w:val="24"/>
                <w:lang w:eastAsia="zh-CN"/>
              </w:rPr>
              <w:t>、</w:t>
            </w:r>
            <w:r>
              <w:rPr>
                <w:rFonts w:hint="eastAsia"/>
                <w:color w:val="auto"/>
                <w:sz w:val="24"/>
              </w:rPr>
              <w:t>O</w:t>
            </w:r>
            <w:r>
              <w:rPr>
                <w:rFonts w:hint="eastAsia"/>
                <w:color w:val="auto"/>
                <w:sz w:val="24"/>
                <w:vertAlign w:val="subscript"/>
                <w:lang w:val="en-US" w:eastAsia="zh-CN"/>
              </w:rPr>
              <w:t>3</w:t>
            </w:r>
            <w:r>
              <w:rPr>
                <w:rFonts w:hint="eastAsia"/>
                <w:color w:val="auto"/>
                <w:sz w:val="24"/>
              </w:rPr>
              <w:t>日最大8h平均值浓度均满足《环境空气质量标准》（GB3096-2012）中二级标准要求</w:t>
            </w:r>
            <w:r>
              <w:rPr>
                <w:rFonts w:hint="eastAsia"/>
                <w:color w:val="auto"/>
                <w:sz w:val="24"/>
                <w:lang w:eastAsia="zh-CN"/>
              </w:rPr>
              <w:t>。</w:t>
            </w:r>
            <w:r>
              <w:rPr>
                <w:rFonts w:hint="eastAsia"/>
                <w:color w:val="auto"/>
                <w:sz w:val="24"/>
              </w:rPr>
              <w:t>项目所在区域</w:t>
            </w:r>
            <w:r>
              <w:rPr>
                <w:rFonts w:hint="eastAsia"/>
                <w:color w:val="auto"/>
                <w:sz w:val="24"/>
                <w:lang w:val="en-US" w:eastAsia="zh-CN"/>
              </w:rPr>
              <w:t>环境空气</w:t>
            </w:r>
            <w:r>
              <w:rPr>
                <w:rFonts w:hint="eastAsia"/>
                <w:color w:val="auto"/>
                <w:sz w:val="24"/>
              </w:rPr>
              <w:t>属于达标区</w:t>
            </w:r>
            <w:r>
              <w:rPr>
                <w:rFonts w:hint="eastAsia" w:ascii="Times New Roman" w:hAnsi="Times New Roman" w:cs="Times New Roman"/>
                <w:color w:val="auto"/>
                <w:spacing w:val="0"/>
                <w:w w:val="100"/>
                <w:position w:val="0"/>
                <w:sz w:val="24"/>
                <w:szCs w:val="24"/>
                <w:highlight w:val="none"/>
                <w:u w:val="none" w:color="auto"/>
                <w:lang w:val="en-US" w:eastAsia="zh-CN"/>
              </w:rPr>
              <w:t>。</w:t>
            </w:r>
          </w:p>
          <w:p w14:paraId="2CE2417F">
            <w:pPr>
              <w:widowControl/>
              <w:spacing w:line="360" w:lineRule="auto"/>
              <w:ind w:firstLine="482" w:firstLineChars="200"/>
              <w:jc w:val="left"/>
              <w:rPr>
                <w:b/>
                <w:color w:val="auto"/>
                <w:sz w:val="24"/>
                <w:highlight w:val="none"/>
                <w:u w:val="none" w:color="auto"/>
              </w:rPr>
            </w:pPr>
            <w:r>
              <w:rPr>
                <w:rFonts w:hint="eastAsia"/>
                <w:b/>
                <w:color w:val="auto"/>
                <w:sz w:val="24"/>
                <w:highlight w:val="none"/>
                <w:u w:val="none" w:color="auto"/>
              </w:rPr>
              <w:t>（2）</w:t>
            </w:r>
            <w:r>
              <w:rPr>
                <w:rFonts w:hint="eastAsia"/>
                <w:b/>
                <w:color w:val="auto"/>
                <w:sz w:val="24"/>
                <w:highlight w:val="none"/>
                <w:u w:val="none" w:color="auto"/>
                <w:lang w:val="en-US" w:eastAsia="zh-CN"/>
              </w:rPr>
              <w:t>特征污染物</w:t>
            </w:r>
            <w:r>
              <w:rPr>
                <w:rFonts w:hint="eastAsia"/>
                <w:b/>
                <w:color w:val="auto"/>
                <w:sz w:val="24"/>
                <w:highlight w:val="none"/>
                <w:u w:val="none" w:color="auto"/>
              </w:rPr>
              <w:t>环境质量现状调查与评价</w:t>
            </w:r>
          </w:p>
          <w:p w14:paraId="26B141CE">
            <w:pPr>
              <w:pStyle w:val="100"/>
              <w:spacing w:line="360" w:lineRule="auto"/>
              <w:jc w:val="both"/>
              <w:rPr>
                <w:rFonts w:hint="eastAsia" w:ascii="Times New Roman" w:hAnsi="Times New Roman" w:eastAsia="宋体" w:cs="Times New Roman"/>
                <w:bCs/>
                <w:color w:val="000000" w:themeColor="text1"/>
                <w:sz w:val="24"/>
                <w:szCs w:val="24"/>
                <w:u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4"/>
                <w:szCs w:val="24"/>
                <w:u w:val="none"/>
                <w14:textFill>
                  <w14:solidFill>
                    <w14:schemeClr w14:val="tx1"/>
                  </w14:solidFill>
                </w14:textFill>
              </w:rPr>
              <w:t>为了解项目区域特征污染物环境质量现状，本次评价收集了</w:t>
            </w:r>
            <w:r>
              <w:rPr>
                <w:rFonts w:hint="eastAsia" w:ascii="Times New Roman" w:hAnsi="Times New Roman" w:eastAsia="宋体" w:cs="Times New Roman"/>
                <w:bCs/>
                <w:color w:val="000000" w:themeColor="text1"/>
                <w:sz w:val="24"/>
                <w:szCs w:val="24"/>
                <w:u w:val="none"/>
                <w:lang w:eastAsia="zh-CN"/>
                <w14:textFill>
                  <w14:solidFill>
                    <w14:schemeClr w14:val="tx1"/>
                  </w14:solidFill>
                </w14:textFill>
              </w:rPr>
              <w:t>《</w:t>
            </w:r>
            <w:r>
              <w:rPr>
                <w:rFonts w:hint="eastAsia" w:ascii="Times New Roman" w:hAnsi="Times New Roman" w:eastAsia="宋体" w:cs="Times New Roman"/>
                <w:bCs/>
                <w:color w:val="000000" w:themeColor="text1"/>
                <w:sz w:val="24"/>
                <w:szCs w:val="24"/>
                <w:u w:val="none"/>
                <w:lang w:val="en-US" w:eastAsia="zh-CN"/>
                <w14:textFill>
                  <w14:solidFill>
                    <w14:schemeClr w14:val="tx1"/>
                  </w14:solidFill>
                </w14:textFill>
              </w:rPr>
              <w:t>永州经济技术开发区调区（扩区）规划环境影响报告书</w:t>
            </w:r>
            <w:r>
              <w:rPr>
                <w:rFonts w:hint="eastAsia" w:ascii="Times New Roman" w:hAnsi="Times New Roman" w:eastAsia="宋体" w:cs="Times New Roman"/>
                <w:bCs/>
                <w:color w:val="000000" w:themeColor="text1"/>
                <w:sz w:val="24"/>
                <w:szCs w:val="24"/>
                <w:u w:val="none"/>
                <w:lang w:eastAsia="zh-CN"/>
                <w14:textFill>
                  <w14:solidFill>
                    <w14:schemeClr w14:val="tx1"/>
                  </w14:solidFill>
                </w14:textFill>
              </w:rPr>
              <w:t>》</w:t>
            </w:r>
            <w:r>
              <w:rPr>
                <w:rFonts w:hint="eastAsia" w:ascii="Times New Roman" w:hAnsi="Times New Roman" w:eastAsia="宋体" w:cs="Times New Roman"/>
                <w:bCs/>
                <w:color w:val="000000" w:themeColor="text1"/>
                <w:sz w:val="24"/>
                <w:szCs w:val="24"/>
                <w:u w:val="none"/>
                <w:lang w:val="en-US" w:eastAsia="zh-CN"/>
                <w14:textFill>
                  <w14:solidFill>
                    <w14:schemeClr w14:val="tx1"/>
                  </w14:solidFill>
                </w14:textFill>
              </w:rPr>
              <w:t>和</w:t>
            </w:r>
            <w:r>
              <w:rPr>
                <w:rFonts w:hint="eastAsia" w:ascii="Times New Roman" w:hAnsi="Times New Roman" w:eastAsia="宋体"/>
                <w:color w:val="auto"/>
                <w:highlight w:val="none"/>
                <w:u w:val="none" w:color="auto"/>
              </w:rPr>
              <w:t>《</w:t>
            </w:r>
            <w:r>
              <w:rPr>
                <w:rFonts w:hint="eastAsia" w:ascii="宋体" w:hAnsi="宋体" w:cs="宋体"/>
                <w:color w:val="auto"/>
                <w:sz w:val="24"/>
                <w:highlight w:val="none"/>
                <w:u w:val="none" w:color="auto"/>
              </w:rPr>
              <w:t>永州市诚勇建材有限公司搅拌站建设项目环境影响报告</w:t>
            </w:r>
            <w:r>
              <w:rPr>
                <w:rFonts w:hint="eastAsia" w:cs="宋体"/>
                <w:color w:val="auto"/>
                <w:sz w:val="24"/>
                <w:highlight w:val="none"/>
                <w:u w:val="none" w:color="auto"/>
                <w:lang w:val="en-US" w:eastAsia="zh-CN"/>
              </w:rPr>
              <w:t>表</w:t>
            </w:r>
            <w:r>
              <w:rPr>
                <w:rFonts w:hint="eastAsia" w:ascii="Times New Roman" w:hAnsi="Times New Roman" w:eastAsia="宋体"/>
                <w:color w:val="auto"/>
                <w:highlight w:val="none"/>
                <w:u w:val="none" w:color="auto"/>
              </w:rPr>
              <w:t>》</w:t>
            </w:r>
            <w:r>
              <w:rPr>
                <w:rFonts w:hint="eastAsia" w:ascii="Times New Roman" w:hAnsi="Times New Roman" w:eastAsia="宋体" w:cs="Times New Roman"/>
                <w:bCs/>
                <w:color w:val="000000" w:themeColor="text1"/>
                <w:sz w:val="24"/>
                <w:szCs w:val="24"/>
                <w:u w:val="none"/>
                <w:lang w:val="en-US" w:eastAsia="zh-CN"/>
                <w14:textFill>
                  <w14:solidFill>
                    <w14:schemeClr w14:val="tx1"/>
                  </w14:solidFill>
                </w14:textFill>
              </w:rPr>
              <w:t>中现状</w:t>
            </w:r>
            <w:r>
              <w:rPr>
                <w:rFonts w:hint="eastAsia" w:ascii="Times New Roman" w:hAnsi="Times New Roman" w:eastAsia="宋体" w:cs="Times New Roman"/>
                <w:bCs/>
                <w:color w:val="000000" w:themeColor="text1"/>
                <w:sz w:val="24"/>
                <w:szCs w:val="24"/>
                <w:u w:val="none"/>
                <w14:textFill>
                  <w14:solidFill>
                    <w14:schemeClr w14:val="tx1"/>
                  </w14:solidFill>
                </w14:textFill>
              </w:rPr>
              <w:t>监测数据，为近三年监测数据，且环境质量现状监测点位在本项目</w:t>
            </w:r>
            <w:r>
              <w:rPr>
                <w:rFonts w:hint="eastAsia" w:ascii="Times New Roman" w:hAnsi="Times New Roman" w:eastAsia="宋体" w:cs="Times New Roman"/>
                <w:bCs/>
                <w:color w:val="000000" w:themeColor="text1"/>
                <w:sz w:val="24"/>
                <w:szCs w:val="24"/>
                <w:u w:val="none"/>
                <w:lang w:val="en-US" w:eastAsia="zh-CN"/>
                <w14:textFill>
                  <w14:solidFill>
                    <w14:schemeClr w14:val="tx1"/>
                  </w14:solidFill>
                </w14:textFill>
              </w:rPr>
              <w:t>5km范围内</w:t>
            </w:r>
            <w:r>
              <w:rPr>
                <w:rFonts w:hint="eastAsia" w:ascii="Times New Roman" w:hAnsi="Times New Roman" w:eastAsia="宋体" w:cs="Times New Roman"/>
                <w:bCs/>
                <w:color w:val="000000" w:themeColor="text1"/>
                <w:sz w:val="24"/>
                <w:szCs w:val="24"/>
                <w:u w:val="none"/>
                <w14:textFill>
                  <w14:solidFill>
                    <w14:schemeClr w14:val="tx1"/>
                  </w14:solidFill>
                </w14:textFill>
              </w:rPr>
              <w:t>，可以引用。监测点位布设及监测结果见下表</w:t>
            </w:r>
            <w:r>
              <w:rPr>
                <w:rFonts w:hint="eastAsia" w:ascii="Times New Roman" w:hAnsi="Times New Roman" w:eastAsia="宋体" w:cs="Times New Roman"/>
                <w:bCs/>
                <w:color w:val="000000" w:themeColor="text1"/>
                <w:sz w:val="24"/>
                <w:szCs w:val="24"/>
                <w:u w:val="none"/>
                <w:lang w:val="en-US" w:eastAsia="zh-CN"/>
                <w14:textFill>
                  <w14:solidFill>
                    <w14:schemeClr w14:val="tx1"/>
                  </w14:solidFill>
                </w14:textFill>
              </w:rPr>
              <w:t>：</w:t>
            </w:r>
          </w:p>
          <w:p w14:paraId="2348962E">
            <w:pPr>
              <w:bidi w:val="0"/>
              <w:jc w:val="center"/>
              <w:rPr>
                <w:rFonts w:hint="default" w:ascii="Times New Roman" w:hAnsi="Times New Roman" w:cs="Times New Roman"/>
                <w:b/>
                <w:bCs/>
              </w:rPr>
            </w:pPr>
            <w:r>
              <w:rPr>
                <w:rFonts w:hint="default" w:ascii="Times New Roman" w:hAnsi="Times New Roman" w:cs="Times New Roman"/>
                <w:b/>
                <w:bCs/>
              </w:rPr>
              <w:t>表</w:t>
            </w:r>
            <w:r>
              <w:rPr>
                <w:rFonts w:hint="eastAsia" w:ascii="Times New Roman" w:hAnsi="Times New Roman" w:cs="Times New Roman"/>
                <w:b/>
                <w:bCs/>
                <w:lang w:val="en-US" w:eastAsia="zh-CN"/>
              </w:rPr>
              <w:t>3</w:t>
            </w:r>
            <w:r>
              <w:rPr>
                <w:rFonts w:hint="default" w:ascii="Times New Roman" w:hAnsi="Times New Roman" w:cs="Times New Roman"/>
                <w:b/>
                <w:bCs/>
                <w:lang w:val="en-US" w:eastAsia="zh-CN"/>
              </w:rPr>
              <w:t>-</w:t>
            </w:r>
            <w:r>
              <w:rPr>
                <w:rFonts w:hint="eastAsia" w:ascii="Times New Roman" w:hAnsi="Times New Roman" w:cs="Times New Roman"/>
                <w:b/>
                <w:bCs/>
                <w:lang w:val="en-US" w:eastAsia="zh-CN"/>
              </w:rPr>
              <w:t>2</w:t>
            </w:r>
            <w:r>
              <w:rPr>
                <w:rFonts w:hint="default" w:ascii="Times New Roman" w:hAnsi="Times New Roman" w:cs="Times New Roman"/>
                <w:b/>
                <w:bCs/>
              </w:rPr>
              <w:t xml:space="preserve">  引用数据监测点位一览表</w:t>
            </w:r>
          </w:p>
          <w:tbl>
            <w:tblPr>
              <w:tblStyle w:val="35"/>
              <w:tblW w:w="486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205"/>
              <w:gridCol w:w="1095"/>
              <w:gridCol w:w="865"/>
              <w:gridCol w:w="1950"/>
              <w:gridCol w:w="1772"/>
            </w:tblGrid>
            <w:tr w14:paraId="2827F0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8" w:type="pct"/>
                  <w:tcBorders>
                    <w:top w:val="single" w:color="auto" w:sz="12" w:space="0"/>
                    <w:left w:val="single" w:color="auto" w:sz="12" w:space="0"/>
                    <w:bottom w:val="single" w:color="auto" w:sz="4" w:space="0"/>
                    <w:right w:val="single" w:color="auto" w:sz="4" w:space="0"/>
                  </w:tcBorders>
                  <w:noWrap w:val="0"/>
                  <w:vAlign w:val="center"/>
                </w:tcPr>
                <w:p w14:paraId="532B70D3">
                  <w:pPr>
                    <w:pStyle w:val="101"/>
                    <w:rPr>
                      <w:rFonts w:ascii="Times New Roman" w:hAnsi="Times New Roman" w:eastAsia="宋体" w:cs="宋体"/>
                      <w:b/>
                      <w:bCs/>
                      <w:color w:val="000000"/>
                      <w:sz w:val="21"/>
                      <w:szCs w:val="21"/>
                    </w:rPr>
                  </w:pPr>
                  <w:r>
                    <w:rPr>
                      <w:rFonts w:ascii="Times New Roman" w:hAnsi="Times New Roman" w:eastAsia="宋体" w:cs="宋体"/>
                      <w:b/>
                      <w:bCs/>
                      <w:color w:val="000000"/>
                      <w:sz w:val="21"/>
                      <w:szCs w:val="21"/>
                    </w:rPr>
                    <w:t>编号</w:t>
                  </w:r>
                </w:p>
              </w:tc>
              <w:tc>
                <w:tcPr>
                  <w:tcW w:w="810" w:type="pct"/>
                  <w:tcBorders>
                    <w:top w:val="single" w:color="auto" w:sz="12" w:space="0"/>
                    <w:left w:val="single" w:color="auto" w:sz="4" w:space="0"/>
                    <w:bottom w:val="single" w:color="auto" w:sz="4" w:space="0"/>
                    <w:right w:val="single" w:color="auto" w:sz="4" w:space="0"/>
                  </w:tcBorders>
                  <w:noWrap w:val="0"/>
                  <w:vAlign w:val="center"/>
                </w:tcPr>
                <w:p w14:paraId="017ECE0F">
                  <w:pPr>
                    <w:pStyle w:val="101"/>
                    <w:rPr>
                      <w:rFonts w:ascii="Times New Roman" w:hAnsi="Times New Roman" w:eastAsia="宋体" w:cs="宋体"/>
                      <w:b/>
                      <w:bCs/>
                      <w:color w:val="000000"/>
                      <w:sz w:val="21"/>
                      <w:szCs w:val="21"/>
                    </w:rPr>
                  </w:pPr>
                  <w:r>
                    <w:rPr>
                      <w:rFonts w:ascii="Times New Roman" w:hAnsi="Times New Roman" w:eastAsia="宋体" w:cs="宋体"/>
                      <w:b/>
                      <w:bCs/>
                      <w:color w:val="000000"/>
                      <w:sz w:val="21"/>
                      <w:szCs w:val="21"/>
                    </w:rPr>
                    <w:t>监测点位</w:t>
                  </w:r>
                </w:p>
              </w:tc>
              <w:tc>
                <w:tcPr>
                  <w:tcW w:w="736" w:type="pct"/>
                  <w:tcBorders>
                    <w:top w:val="single" w:color="auto" w:sz="12" w:space="0"/>
                    <w:left w:val="single" w:color="auto" w:sz="4" w:space="0"/>
                    <w:bottom w:val="single" w:color="auto" w:sz="4" w:space="0"/>
                    <w:right w:val="single" w:color="auto" w:sz="4" w:space="0"/>
                  </w:tcBorders>
                  <w:noWrap w:val="0"/>
                  <w:vAlign w:val="center"/>
                </w:tcPr>
                <w:p w14:paraId="7943D732">
                  <w:pPr>
                    <w:pStyle w:val="101"/>
                    <w:rPr>
                      <w:rFonts w:hint="default" w:ascii="Times New Roman" w:hAnsi="Times New Roman" w:eastAsia="宋体" w:cs="宋体"/>
                      <w:b/>
                      <w:bCs/>
                      <w:color w:val="000000"/>
                      <w:sz w:val="21"/>
                      <w:szCs w:val="21"/>
                      <w:lang w:val="en-US" w:eastAsia="zh-CN"/>
                    </w:rPr>
                  </w:pPr>
                  <w:r>
                    <w:rPr>
                      <w:rFonts w:hint="eastAsia" w:ascii="Times New Roman" w:hAnsi="Times New Roman" w:eastAsia="宋体" w:cs="宋体"/>
                      <w:b/>
                      <w:bCs/>
                      <w:color w:val="000000"/>
                      <w:sz w:val="21"/>
                      <w:szCs w:val="21"/>
                      <w:lang w:val="en-US" w:eastAsia="zh-CN"/>
                    </w:rPr>
                    <w:t>与本项目位置关系</w:t>
                  </w:r>
                </w:p>
              </w:tc>
              <w:tc>
                <w:tcPr>
                  <w:tcW w:w="581" w:type="pct"/>
                  <w:tcBorders>
                    <w:top w:val="single" w:color="auto" w:sz="12" w:space="0"/>
                    <w:left w:val="single" w:color="auto" w:sz="4" w:space="0"/>
                    <w:bottom w:val="single" w:color="auto" w:sz="4" w:space="0"/>
                    <w:right w:val="single" w:color="auto" w:sz="4" w:space="0"/>
                  </w:tcBorders>
                  <w:noWrap w:val="0"/>
                  <w:vAlign w:val="center"/>
                </w:tcPr>
                <w:p w14:paraId="0CB6EA3F">
                  <w:pPr>
                    <w:pStyle w:val="101"/>
                    <w:rPr>
                      <w:rFonts w:ascii="Times New Roman" w:hAnsi="Times New Roman" w:eastAsia="宋体" w:cs="宋体"/>
                      <w:b/>
                      <w:bCs/>
                      <w:color w:val="000000"/>
                      <w:sz w:val="21"/>
                      <w:szCs w:val="21"/>
                    </w:rPr>
                  </w:pPr>
                  <w:r>
                    <w:rPr>
                      <w:rFonts w:ascii="Times New Roman" w:hAnsi="Times New Roman" w:eastAsia="宋体" w:cs="宋体"/>
                      <w:b/>
                      <w:bCs/>
                      <w:color w:val="000000"/>
                      <w:sz w:val="21"/>
                      <w:szCs w:val="21"/>
                    </w:rPr>
                    <w:t>监测项目</w:t>
                  </w:r>
                </w:p>
              </w:tc>
              <w:tc>
                <w:tcPr>
                  <w:tcW w:w="1310" w:type="pct"/>
                  <w:tcBorders>
                    <w:top w:val="single" w:color="auto" w:sz="12" w:space="0"/>
                    <w:left w:val="single" w:color="auto" w:sz="4" w:space="0"/>
                    <w:bottom w:val="single" w:color="auto" w:sz="4" w:space="0"/>
                    <w:right w:val="single" w:color="auto" w:sz="4" w:space="0"/>
                  </w:tcBorders>
                  <w:noWrap w:val="0"/>
                  <w:vAlign w:val="center"/>
                </w:tcPr>
                <w:p w14:paraId="0C9F0B54">
                  <w:pPr>
                    <w:pStyle w:val="101"/>
                    <w:rPr>
                      <w:rFonts w:ascii="Times New Roman" w:hAnsi="Times New Roman" w:eastAsia="宋体" w:cs="宋体"/>
                      <w:b/>
                      <w:bCs/>
                      <w:color w:val="000000"/>
                      <w:sz w:val="21"/>
                      <w:szCs w:val="21"/>
                    </w:rPr>
                  </w:pPr>
                  <w:r>
                    <w:rPr>
                      <w:rFonts w:ascii="Times New Roman" w:hAnsi="Times New Roman" w:eastAsia="宋体" w:cs="宋体"/>
                      <w:b/>
                      <w:bCs/>
                      <w:color w:val="000000"/>
                      <w:sz w:val="21"/>
                      <w:szCs w:val="21"/>
                    </w:rPr>
                    <w:t>监测时间</w:t>
                  </w:r>
                </w:p>
              </w:tc>
              <w:tc>
                <w:tcPr>
                  <w:tcW w:w="1191" w:type="pct"/>
                  <w:tcBorders>
                    <w:top w:val="single" w:color="auto" w:sz="12" w:space="0"/>
                    <w:left w:val="single" w:color="auto" w:sz="4" w:space="0"/>
                    <w:bottom w:val="single" w:color="auto" w:sz="4" w:space="0"/>
                    <w:right w:val="single" w:color="auto" w:sz="12" w:space="0"/>
                  </w:tcBorders>
                  <w:noWrap w:val="0"/>
                  <w:vAlign w:val="center"/>
                </w:tcPr>
                <w:p w14:paraId="1AEC57D6">
                  <w:pPr>
                    <w:pStyle w:val="101"/>
                    <w:rPr>
                      <w:rFonts w:ascii="Times New Roman" w:hAnsi="Times New Roman" w:eastAsia="宋体" w:cs="宋体"/>
                      <w:b/>
                      <w:bCs/>
                      <w:color w:val="000000"/>
                      <w:sz w:val="21"/>
                      <w:szCs w:val="21"/>
                    </w:rPr>
                  </w:pPr>
                  <w:r>
                    <w:rPr>
                      <w:rFonts w:ascii="Times New Roman" w:hAnsi="Times New Roman" w:eastAsia="宋体" w:cs="宋体"/>
                      <w:b/>
                      <w:bCs/>
                      <w:color w:val="000000"/>
                      <w:sz w:val="21"/>
                      <w:szCs w:val="21"/>
                    </w:rPr>
                    <w:t>数据来源</w:t>
                  </w:r>
                </w:p>
              </w:tc>
            </w:tr>
            <w:tr w14:paraId="598C16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8" w:type="pct"/>
                  <w:tcBorders>
                    <w:top w:val="single" w:color="auto" w:sz="4" w:space="0"/>
                    <w:left w:val="single" w:color="auto" w:sz="12" w:space="0"/>
                    <w:bottom w:val="single" w:color="auto" w:sz="4" w:space="0"/>
                    <w:right w:val="single" w:color="auto" w:sz="4" w:space="0"/>
                  </w:tcBorders>
                  <w:noWrap w:val="0"/>
                  <w:vAlign w:val="center"/>
                </w:tcPr>
                <w:p w14:paraId="235A06B3">
                  <w:pPr>
                    <w:pStyle w:val="101"/>
                    <w:rPr>
                      <w:rFonts w:ascii="Times New Roman" w:hAnsi="Times New Roman" w:eastAsia="宋体" w:cs="宋体"/>
                      <w:color w:val="000000"/>
                      <w:sz w:val="21"/>
                      <w:szCs w:val="21"/>
                    </w:rPr>
                  </w:pPr>
                  <w:r>
                    <w:rPr>
                      <w:rFonts w:ascii="Times New Roman" w:hAnsi="Times New Roman" w:eastAsia="宋体" w:cs="宋体"/>
                      <w:color w:val="000000"/>
                      <w:sz w:val="21"/>
                      <w:szCs w:val="21"/>
                    </w:rPr>
                    <w:t>YG1</w:t>
                  </w:r>
                </w:p>
              </w:tc>
              <w:tc>
                <w:tcPr>
                  <w:tcW w:w="810" w:type="pct"/>
                  <w:tcBorders>
                    <w:top w:val="single" w:color="auto" w:sz="4" w:space="0"/>
                    <w:left w:val="single" w:color="auto" w:sz="4" w:space="0"/>
                    <w:bottom w:val="single" w:color="auto" w:sz="4" w:space="0"/>
                    <w:right w:val="single" w:color="auto" w:sz="4" w:space="0"/>
                  </w:tcBorders>
                  <w:noWrap w:val="0"/>
                  <w:vAlign w:val="center"/>
                </w:tcPr>
                <w:p w14:paraId="589DD4EE">
                  <w:pPr>
                    <w:pStyle w:val="101"/>
                    <w:rPr>
                      <w:rFonts w:ascii="Times New Roman" w:hAnsi="Times New Roman" w:eastAsia="宋体" w:cs="宋体"/>
                      <w:color w:val="000000"/>
                      <w:sz w:val="21"/>
                      <w:szCs w:val="21"/>
                    </w:rPr>
                  </w:pPr>
                  <w:r>
                    <w:rPr>
                      <w:rFonts w:hint="eastAsia" w:ascii="Times New Roman" w:hAnsi="Times New Roman" w:eastAsia="宋体" w:cs="宋体"/>
                      <w:color w:val="000000" w:themeColor="text1"/>
                      <w:sz w:val="21"/>
                      <w:szCs w:val="21"/>
                      <w14:textFill>
                        <w14:solidFill>
                          <w14:schemeClr w14:val="tx1"/>
                        </w14:solidFill>
                      </w14:textFill>
                    </w:rPr>
                    <w:t>横冲村</w:t>
                  </w:r>
                  <w:r>
                    <w:rPr>
                      <w:rFonts w:ascii="Times New Roman" w:hAnsi="Times New Roman" w:eastAsia="宋体" w:cs="宋体"/>
                      <w:color w:val="000000" w:themeColor="text1"/>
                      <w:sz w:val="21"/>
                      <w:szCs w:val="21"/>
                      <w14:textFill>
                        <w14:solidFill>
                          <w14:schemeClr w14:val="tx1"/>
                        </w14:solidFill>
                      </w14:textFill>
                    </w:rPr>
                    <w:t>村委会</w:t>
                  </w:r>
                </w:p>
              </w:tc>
              <w:tc>
                <w:tcPr>
                  <w:tcW w:w="736" w:type="pct"/>
                  <w:tcBorders>
                    <w:top w:val="single" w:color="auto" w:sz="4" w:space="0"/>
                    <w:left w:val="single" w:color="auto" w:sz="4" w:space="0"/>
                    <w:bottom w:val="single" w:color="auto" w:sz="4" w:space="0"/>
                    <w:right w:val="single" w:color="auto" w:sz="4" w:space="0"/>
                  </w:tcBorders>
                  <w:noWrap w:val="0"/>
                  <w:vAlign w:val="center"/>
                </w:tcPr>
                <w:p w14:paraId="25230EFB">
                  <w:pPr>
                    <w:pStyle w:val="101"/>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东北侧1.2m</w:t>
                  </w:r>
                </w:p>
              </w:tc>
              <w:tc>
                <w:tcPr>
                  <w:tcW w:w="581" w:type="pct"/>
                  <w:tcBorders>
                    <w:top w:val="single" w:color="auto" w:sz="4" w:space="0"/>
                    <w:left w:val="single" w:color="auto" w:sz="4" w:space="0"/>
                    <w:bottom w:val="single" w:color="auto" w:sz="4" w:space="0"/>
                    <w:right w:val="single" w:color="auto" w:sz="4" w:space="0"/>
                  </w:tcBorders>
                  <w:noWrap w:val="0"/>
                  <w:vAlign w:val="center"/>
                </w:tcPr>
                <w:p w14:paraId="0FFDABA4">
                  <w:pPr>
                    <w:pStyle w:val="101"/>
                    <w:rPr>
                      <w:rFonts w:ascii="Times New Roman" w:hAnsi="Times New Roman" w:eastAsia="宋体" w:cs="宋体"/>
                      <w:color w:val="000000"/>
                      <w:sz w:val="21"/>
                      <w:szCs w:val="21"/>
                    </w:rPr>
                  </w:pPr>
                  <w:r>
                    <w:rPr>
                      <w:rFonts w:ascii="Times New Roman" w:hAnsi="Times New Roman" w:eastAsia="宋体" w:cs="宋体"/>
                      <w:color w:val="000000"/>
                      <w:sz w:val="21"/>
                      <w:szCs w:val="21"/>
                    </w:rPr>
                    <w:t>TVOC</w:t>
                  </w:r>
                </w:p>
              </w:tc>
              <w:tc>
                <w:tcPr>
                  <w:tcW w:w="1310" w:type="pct"/>
                  <w:tcBorders>
                    <w:top w:val="single" w:color="auto" w:sz="4" w:space="0"/>
                    <w:left w:val="single" w:color="auto" w:sz="4" w:space="0"/>
                    <w:bottom w:val="single" w:color="auto" w:sz="4" w:space="0"/>
                    <w:right w:val="single" w:color="auto" w:sz="4" w:space="0"/>
                  </w:tcBorders>
                  <w:noWrap w:val="0"/>
                  <w:vAlign w:val="center"/>
                </w:tcPr>
                <w:p w14:paraId="355DFA50">
                  <w:pPr>
                    <w:pStyle w:val="101"/>
                    <w:rPr>
                      <w:rFonts w:hint="default" w:ascii="Times New Roman" w:hAnsi="Times New Roman" w:eastAsia="宋体" w:cs="宋体"/>
                      <w:color w:val="000000"/>
                      <w:sz w:val="21"/>
                      <w:szCs w:val="21"/>
                      <w:lang w:val="en-US" w:eastAsia="zh-CN"/>
                    </w:rPr>
                  </w:pPr>
                  <w:r>
                    <w:rPr>
                      <w:rFonts w:ascii="Times New Roman" w:hAnsi="Times New Roman" w:eastAsia="宋体" w:cs="宋体"/>
                      <w:color w:val="000000"/>
                      <w:sz w:val="21"/>
                      <w:szCs w:val="21"/>
                    </w:rPr>
                    <w:t>2023.12.</w:t>
                  </w:r>
                  <w:r>
                    <w:rPr>
                      <w:rFonts w:hint="eastAsia" w:ascii="Times New Roman" w:hAnsi="Times New Roman" w:eastAsia="宋体" w:cs="宋体"/>
                      <w:color w:val="000000"/>
                      <w:sz w:val="21"/>
                      <w:szCs w:val="21"/>
                      <w:lang w:val="en-US" w:eastAsia="zh-CN"/>
                    </w:rPr>
                    <w:t>25</w:t>
                  </w:r>
                  <w:r>
                    <w:rPr>
                      <w:rFonts w:ascii="Times New Roman" w:hAnsi="Times New Roman" w:eastAsia="宋体" w:cs="宋体"/>
                      <w:color w:val="000000"/>
                      <w:sz w:val="21"/>
                      <w:szCs w:val="21"/>
                    </w:rPr>
                    <w:t>~2023.12.</w:t>
                  </w:r>
                  <w:r>
                    <w:rPr>
                      <w:rFonts w:hint="eastAsia" w:ascii="Times New Roman" w:hAnsi="Times New Roman" w:eastAsia="宋体" w:cs="宋体"/>
                      <w:color w:val="000000"/>
                      <w:sz w:val="21"/>
                      <w:szCs w:val="21"/>
                      <w:lang w:val="en-US" w:eastAsia="zh-CN"/>
                    </w:rPr>
                    <w:t>31</w:t>
                  </w:r>
                </w:p>
              </w:tc>
              <w:tc>
                <w:tcPr>
                  <w:tcW w:w="1191" w:type="pct"/>
                  <w:tcBorders>
                    <w:top w:val="single" w:color="auto" w:sz="4" w:space="0"/>
                    <w:left w:val="single" w:color="auto" w:sz="4" w:space="0"/>
                    <w:bottom w:val="single" w:color="auto" w:sz="4" w:space="0"/>
                    <w:right w:val="single" w:color="auto" w:sz="12" w:space="0"/>
                  </w:tcBorders>
                  <w:noWrap w:val="0"/>
                  <w:vAlign w:val="center"/>
                </w:tcPr>
                <w:p w14:paraId="74EA0195">
                  <w:pPr>
                    <w:pStyle w:val="101"/>
                    <w:rPr>
                      <w:rFonts w:ascii="Times New Roman" w:hAnsi="Times New Roman" w:eastAsia="宋体" w:cs="宋体"/>
                      <w:color w:val="000000"/>
                      <w:sz w:val="21"/>
                      <w:szCs w:val="21"/>
                    </w:rPr>
                  </w:pPr>
                  <w:r>
                    <w:rPr>
                      <w:rFonts w:hint="eastAsia" w:ascii="Times New Roman" w:hAnsi="Times New Roman" w:eastAsia="宋体" w:cs="宋体"/>
                      <w:color w:val="000000"/>
                      <w:sz w:val="21"/>
                      <w:szCs w:val="21"/>
                    </w:rPr>
                    <w:t>《永州经济技术开发区调区（扩区）规划环境影响报告书》</w:t>
                  </w:r>
                </w:p>
              </w:tc>
            </w:tr>
            <w:tr w14:paraId="72BF20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8" w:type="pct"/>
                  <w:tcBorders>
                    <w:top w:val="single" w:color="auto" w:sz="4" w:space="0"/>
                    <w:left w:val="single" w:color="auto" w:sz="12" w:space="0"/>
                    <w:bottom w:val="single" w:color="auto" w:sz="4" w:space="0"/>
                    <w:right w:val="single" w:color="auto" w:sz="4" w:space="0"/>
                  </w:tcBorders>
                  <w:noWrap w:val="0"/>
                  <w:vAlign w:val="center"/>
                </w:tcPr>
                <w:p w14:paraId="495046C5">
                  <w:pPr>
                    <w:rPr>
                      <w:rFonts w:ascii="Times New Roman" w:hAnsi="Times New Roman" w:eastAsia="宋体" w:cs="宋体"/>
                      <w:color w:val="000000"/>
                      <w:sz w:val="21"/>
                      <w:szCs w:val="21"/>
                    </w:rPr>
                  </w:pPr>
                  <w:r>
                    <w:rPr>
                      <w:rFonts w:ascii="Times New Roman" w:hAnsi="Times New Roman" w:eastAsia="宋体" w:cs="宋体"/>
                      <w:color w:val="000000"/>
                      <w:sz w:val="21"/>
                      <w:szCs w:val="21"/>
                    </w:rPr>
                    <w:t>YG</w:t>
                  </w:r>
                  <w:r>
                    <w:rPr>
                      <w:rFonts w:hint="eastAsia" w:ascii="Times New Roman" w:hAnsi="Times New Roman" w:eastAsia="宋体" w:cs="宋体"/>
                      <w:color w:val="000000"/>
                      <w:sz w:val="21"/>
                      <w:szCs w:val="21"/>
                      <w:lang w:val="en-US" w:eastAsia="zh-CN"/>
                    </w:rPr>
                    <w:t>2</w:t>
                  </w:r>
                </w:p>
              </w:tc>
              <w:tc>
                <w:tcPr>
                  <w:tcW w:w="810" w:type="pct"/>
                  <w:tcBorders>
                    <w:top w:val="single" w:color="auto" w:sz="4" w:space="0"/>
                    <w:left w:val="single" w:color="auto" w:sz="4" w:space="0"/>
                    <w:bottom w:val="single" w:color="auto" w:sz="4" w:space="0"/>
                    <w:right w:val="single" w:color="auto" w:sz="4" w:space="0"/>
                  </w:tcBorders>
                  <w:noWrap w:val="0"/>
                  <w:vAlign w:val="center"/>
                </w:tcPr>
                <w:p w14:paraId="62BDD2B2">
                  <w:pPr>
                    <w:pStyle w:val="101"/>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rPr>
                    <w:t>永州市诚勇建材有限公司</w:t>
                  </w:r>
                  <w:r>
                    <w:rPr>
                      <w:rFonts w:hint="eastAsia" w:ascii="Times New Roman" w:hAnsi="Times New Roman" w:eastAsia="宋体" w:cs="宋体"/>
                      <w:color w:val="000000"/>
                      <w:sz w:val="21"/>
                      <w:szCs w:val="21"/>
                      <w:lang w:val="en-US" w:eastAsia="zh-CN"/>
                    </w:rPr>
                    <w:t>厂界南侧10m处</w:t>
                  </w:r>
                </w:p>
              </w:tc>
              <w:tc>
                <w:tcPr>
                  <w:tcW w:w="736" w:type="pct"/>
                  <w:tcBorders>
                    <w:top w:val="single" w:color="auto" w:sz="4" w:space="0"/>
                    <w:left w:val="single" w:color="auto" w:sz="4" w:space="0"/>
                    <w:bottom w:val="single" w:color="auto" w:sz="4" w:space="0"/>
                    <w:right w:val="single" w:color="auto" w:sz="4" w:space="0"/>
                  </w:tcBorders>
                  <w:noWrap w:val="0"/>
                  <w:vAlign w:val="center"/>
                </w:tcPr>
                <w:p w14:paraId="4B785E40">
                  <w:pPr>
                    <w:pStyle w:val="101"/>
                    <w:rPr>
                      <w:rFonts w:hint="default" w:ascii="Times New Roman" w:hAnsi="Times New Roman" w:eastAsia="宋体" w:cs="宋体"/>
                      <w:color w:val="000000"/>
                      <w:sz w:val="21"/>
                      <w:szCs w:val="21"/>
                      <w:lang w:val="en-US" w:eastAsia="zh-CN"/>
                    </w:rPr>
                  </w:pPr>
                  <w:r>
                    <w:rPr>
                      <w:rFonts w:hint="eastAsia" w:ascii="Times New Roman" w:hAnsi="Times New Roman" w:eastAsia="宋体" w:cs="宋体"/>
                      <w:color w:val="000000"/>
                      <w:sz w:val="21"/>
                      <w:szCs w:val="21"/>
                      <w:lang w:val="en-US" w:eastAsia="zh-CN"/>
                    </w:rPr>
                    <w:t>西北侧2.5km</w:t>
                  </w:r>
                </w:p>
              </w:tc>
              <w:tc>
                <w:tcPr>
                  <w:tcW w:w="581" w:type="pct"/>
                  <w:tcBorders>
                    <w:top w:val="single" w:color="auto" w:sz="4" w:space="0"/>
                    <w:left w:val="single" w:color="auto" w:sz="4" w:space="0"/>
                    <w:right w:val="single" w:color="auto" w:sz="4" w:space="0"/>
                  </w:tcBorders>
                  <w:noWrap w:val="0"/>
                  <w:vAlign w:val="center"/>
                </w:tcPr>
                <w:p w14:paraId="01D25E97">
                  <w:pPr>
                    <w:pStyle w:val="101"/>
                    <w:rPr>
                      <w:rFonts w:ascii="Times New Roman" w:hAnsi="Times New Roman" w:eastAsia="宋体" w:cs="宋体"/>
                      <w:color w:val="000000"/>
                      <w:sz w:val="21"/>
                      <w:szCs w:val="21"/>
                    </w:rPr>
                  </w:pPr>
                  <w:r>
                    <w:rPr>
                      <w:rFonts w:hint="eastAsia" w:ascii="Times New Roman" w:hAnsi="Times New Roman" w:eastAsia="宋体" w:cs="宋体"/>
                      <w:color w:val="000000"/>
                      <w:sz w:val="21"/>
                      <w:szCs w:val="21"/>
                    </w:rPr>
                    <w:t>TSP</w:t>
                  </w:r>
                </w:p>
              </w:tc>
              <w:tc>
                <w:tcPr>
                  <w:tcW w:w="1310" w:type="pct"/>
                  <w:tcBorders>
                    <w:top w:val="single" w:color="auto" w:sz="4" w:space="0"/>
                    <w:left w:val="single" w:color="auto" w:sz="4" w:space="0"/>
                    <w:right w:val="single" w:color="auto" w:sz="4" w:space="0"/>
                  </w:tcBorders>
                  <w:noWrap w:val="0"/>
                  <w:vAlign w:val="center"/>
                </w:tcPr>
                <w:p w14:paraId="01F87ADB">
                  <w:pPr>
                    <w:pStyle w:val="101"/>
                    <w:rPr>
                      <w:rFonts w:ascii="Times New Roman" w:hAnsi="Times New Roman" w:eastAsia="宋体" w:cs="宋体"/>
                      <w:color w:val="000000"/>
                      <w:sz w:val="21"/>
                      <w:szCs w:val="21"/>
                    </w:rPr>
                  </w:pPr>
                  <w:r>
                    <w:rPr>
                      <w:rFonts w:hint="eastAsia" w:ascii="Times New Roman" w:hAnsi="Times New Roman" w:eastAsia="宋体" w:cs="宋体"/>
                      <w:color w:val="000000"/>
                      <w:sz w:val="21"/>
                      <w:szCs w:val="21"/>
                    </w:rPr>
                    <w:t>2024</w:t>
                  </w:r>
                  <w:r>
                    <w:rPr>
                      <w:rFonts w:hint="eastAsia" w:ascii="Times New Roman" w:hAnsi="Times New Roman" w:eastAsia="宋体" w:cs="宋体"/>
                      <w:color w:val="000000"/>
                      <w:sz w:val="21"/>
                      <w:szCs w:val="21"/>
                      <w:lang w:val="en-US" w:eastAsia="zh-CN"/>
                    </w:rPr>
                    <w:t>.1.3</w:t>
                  </w:r>
                  <w:r>
                    <w:rPr>
                      <w:rFonts w:hint="eastAsia" w:ascii="Times New Roman" w:hAnsi="Times New Roman" w:eastAsia="宋体" w:cs="宋体"/>
                      <w:color w:val="000000"/>
                      <w:sz w:val="21"/>
                      <w:szCs w:val="21"/>
                    </w:rPr>
                    <w:t>~2024</w:t>
                  </w:r>
                  <w:r>
                    <w:rPr>
                      <w:rFonts w:hint="eastAsia" w:ascii="Times New Roman" w:hAnsi="Times New Roman" w:eastAsia="宋体" w:cs="宋体"/>
                      <w:color w:val="000000"/>
                      <w:sz w:val="21"/>
                      <w:szCs w:val="21"/>
                      <w:lang w:val="en-US" w:eastAsia="zh-CN"/>
                    </w:rPr>
                    <w:t>.1.5</w:t>
                  </w:r>
                </w:p>
              </w:tc>
              <w:tc>
                <w:tcPr>
                  <w:tcW w:w="1191" w:type="pct"/>
                  <w:tcBorders>
                    <w:top w:val="single" w:color="auto" w:sz="4" w:space="0"/>
                    <w:left w:val="single" w:color="auto" w:sz="4" w:space="0"/>
                    <w:right w:val="single" w:color="auto" w:sz="12" w:space="0"/>
                  </w:tcBorders>
                  <w:noWrap w:val="0"/>
                  <w:vAlign w:val="center"/>
                </w:tcPr>
                <w:p w14:paraId="729DC803">
                  <w:pPr>
                    <w:pStyle w:val="101"/>
                    <w:rPr>
                      <w:rFonts w:ascii="Times New Roman" w:hAnsi="Times New Roman" w:eastAsia="宋体" w:cs="宋体"/>
                      <w:color w:val="000000"/>
                      <w:sz w:val="21"/>
                      <w:szCs w:val="21"/>
                    </w:rPr>
                  </w:pPr>
                  <w:r>
                    <w:rPr>
                      <w:rFonts w:hint="eastAsia" w:ascii="Times New Roman" w:hAnsi="Times New Roman" w:eastAsia="宋体" w:cs="宋体"/>
                      <w:color w:val="000000"/>
                      <w:sz w:val="21"/>
                      <w:szCs w:val="21"/>
                    </w:rPr>
                    <w:t>《永州市诚勇建材有限公司搅拌站建设项目环境影响报告表》</w:t>
                  </w:r>
                </w:p>
              </w:tc>
            </w:tr>
          </w:tbl>
          <w:p w14:paraId="2E90AA52">
            <w:pPr>
              <w:pStyle w:val="102"/>
              <w:rPr>
                <w:rFonts w:hint="eastAsia" w:eastAsia="宋体"/>
                <w:color w:val="000000"/>
                <w:lang w:val="en-US" w:eastAsia="zh-CN"/>
              </w:rPr>
            </w:pPr>
            <w:r>
              <w:rPr>
                <w:rFonts w:ascii="宋体" w:hAnsi="宋体"/>
                <w:color w:val="000000"/>
              </w:rPr>
              <w:t>表</w:t>
            </w:r>
            <w:r>
              <w:rPr>
                <w:rFonts w:hint="eastAsia"/>
                <w:color w:val="000000"/>
                <w:lang w:val="en-US" w:eastAsia="zh-CN"/>
              </w:rPr>
              <w:t>3-3</w:t>
            </w:r>
            <w:r>
              <w:rPr>
                <w:color w:val="000000"/>
              </w:rPr>
              <w:t xml:space="preserve">  </w:t>
            </w:r>
            <w:r>
              <w:rPr>
                <w:rFonts w:ascii="宋体" w:hAnsi="宋体"/>
                <w:color w:val="000000"/>
              </w:rPr>
              <w:t>引用监测结果表</w:t>
            </w:r>
            <w:r>
              <w:rPr>
                <w:rFonts w:hint="eastAsia" w:ascii="宋体" w:hAnsi="宋体"/>
                <w:color w:val="000000"/>
                <w:lang w:val="en-US" w:eastAsia="zh-CN"/>
              </w:rPr>
              <w:t xml:space="preserve">     </w:t>
            </w:r>
            <w:r>
              <w:rPr>
                <w:rFonts w:hint="eastAsia" w:ascii="Times New Roman" w:hAnsi="Times New Roman" w:eastAsia="宋体" w:cs="Times New Roman"/>
                <w:b/>
                <w:bCs/>
                <w:color w:val="000000"/>
                <w:kern w:val="2"/>
                <w:sz w:val="21"/>
                <w:szCs w:val="21"/>
                <w:lang w:val="en-US" w:eastAsia="zh-CN" w:bidi="ar-SA"/>
              </w:rPr>
              <w:t>单位：mg/m</w:t>
            </w:r>
            <w:r>
              <w:rPr>
                <w:rFonts w:hint="eastAsia" w:ascii="Times New Roman" w:hAnsi="Times New Roman" w:eastAsia="宋体" w:cs="Times New Roman"/>
                <w:b/>
                <w:bCs/>
                <w:color w:val="000000"/>
                <w:kern w:val="2"/>
                <w:sz w:val="21"/>
                <w:szCs w:val="21"/>
                <w:vertAlign w:val="superscript"/>
                <w:lang w:val="en-US" w:eastAsia="zh-CN" w:bidi="ar-SA"/>
              </w:rPr>
              <w:t>3</w:t>
            </w:r>
          </w:p>
          <w:tbl>
            <w:tblPr>
              <w:tblStyle w:val="3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146"/>
              <w:gridCol w:w="1978"/>
              <w:gridCol w:w="1772"/>
              <w:gridCol w:w="1796"/>
              <w:gridCol w:w="943"/>
            </w:tblGrid>
            <w:tr w14:paraId="0108F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50" w:type="pct"/>
                  <w:vMerge w:val="restart"/>
                  <w:tcBorders>
                    <w:tl2br w:val="nil"/>
                    <w:tr2bl w:val="nil"/>
                  </w:tcBorders>
                  <w:noWrap w:val="0"/>
                  <w:tcMar>
                    <w:top w:w="15" w:type="dxa"/>
                    <w:left w:w="15" w:type="dxa"/>
                    <w:bottom w:w="0" w:type="dxa"/>
                    <w:right w:w="15" w:type="dxa"/>
                  </w:tcMar>
                  <w:vAlign w:val="center"/>
                </w:tcPr>
                <w:p w14:paraId="132C810D">
                  <w:pPr>
                    <w:pStyle w:val="11"/>
                    <w:rPr>
                      <w:color w:val="000000"/>
                    </w:rPr>
                  </w:pPr>
                  <w:r>
                    <w:rPr>
                      <w:color w:val="000000"/>
                    </w:rPr>
                    <w:t>检测因子</w:t>
                  </w:r>
                </w:p>
              </w:tc>
              <w:tc>
                <w:tcPr>
                  <w:tcW w:w="3631" w:type="pct"/>
                  <w:gridSpan w:val="3"/>
                  <w:tcBorders>
                    <w:tl2br w:val="nil"/>
                    <w:tr2bl w:val="nil"/>
                  </w:tcBorders>
                  <w:noWrap w:val="0"/>
                  <w:tcMar>
                    <w:top w:w="15" w:type="dxa"/>
                    <w:left w:w="15" w:type="dxa"/>
                    <w:bottom w:w="0" w:type="dxa"/>
                    <w:right w:w="15" w:type="dxa"/>
                  </w:tcMar>
                  <w:vAlign w:val="center"/>
                </w:tcPr>
                <w:p w14:paraId="4E9C1973">
                  <w:pPr>
                    <w:pStyle w:val="11"/>
                    <w:rPr>
                      <w:rFonts w:hint="eastAsia" w:eastAsia="宋体"/>
                      <w:color w:val="000000"/>
                      <w:lang w:val="en-US" w:eastAsia="zh-CN"/>
                    </w:rPr>
                  </w:pPr>
                  <w:r>
                    <w:rPr>
                      <w:rFonts w:hint="eastAsia"/>
                      <w:color w:val="000000"/>
                      <w:lang w:val="en-US" w:eastAsia="zh-CN"/>
                    </w:rPr>
                    <w:t>Y</w:t>
                  </w:r>
                  <w:r>
                    <w:rPr>
                      <w:color w:val="000000"/>
                    </w:rPr>
                    <w:t>G1</w:t>
                  </w:r>
                  <w:r>
                    <w:rPr>
                      <w:rFonts w:hint="eastAsia"/>
                      <w:color w:val="000000"/>
                      <w:lang w:val="en-US" w:eastAsia="zh-CN"/>
                    </w:rPr>
                    <w:t xml:space="preserve"> </w:t>
                  </w:r>
                  <w:r>
                    <w:rPr>
                      <w:rFonts w:hint="eastAsia" w:ascii="Times New Roman" w:hAnsi="Times New Roman" w:eastAsia="宋体" w:cs="宋体"/>
                      <w:color w:val="000000" w:themeColor="text1"/>
                      <w:sz w:val="21"/>
                      <w:szCs w:val="21"/>
                      <w14:textFill>
                        <w14:solidFill>
                          <w14:schemeClr w14:val="tx1"/>
                        </w14:solidFill>
                      </w14:textFill>
                    </w:rPr>
                    <w:t>横冲村</w:t>
                  </w:r>
                  <w:r>
                    <w:rPr>
                      <w:rFonts w:ascii="Times New Roman" w:hAnsi="Times New Roman" w:eastAsia="宋体" w:cs="宋体"/>
                      <w:color w:val="000000" w:themeColor="text1"/>
                      <w:sz w:val="21"/>
                      <w:szCs w:val="21"/>
                      <w14:textFill>
                        <w14:solidFill>
                          <w14:schemeClr w14:val="tx1"/>
                        </w14:solidFill>
                      </w14:textFill>
                    </w:rPr>
                    <w:t>村委会</w:t>
                  </w:r>
                </w:p>
              </w:tc>
              <w:tc>
                <w:tcPr>
                  <w:tcW w:w="617" w:type="pct"/>
                  <w:vMerge w:val="restart"/>
                  <w:tcBorders>
                    <w:tl2br w:val="nil"/>
                    <w:tr2bl w:val="nil"/>
                  </w:tcBorders>
                  <w:noWrap w:val="0"/>
                  <w:tcMar>
                    <w:top w:w="15" w:type="dxa"/>
                    <w:left w:w="15" w:type="dxa"/>
                    <w:bottom w:w="0" w:type="dxa"/>
                    <w:right w:w="15" w:type="dxa"/>
                  </w:tcMar>
                  <w:vAlign w:val="center"/>
                </w:tcPr>
                <w:p w14:paraId="37A3CC86">
                  <w:pPr>
                    <w:pStyle w:val="11"/>
                    <w:rPr>
                      <w:color w:val="000000"/>
                    </w:rPr>
                  </w:pPr>
                  <w:r>
                    <w:rPr>
                      <w:color w:val="000000"/>
                    </w:rPr>
                    <w:t>标准限值</w:t>
                  </w:r>
                </w:p>
              </w:tc>
            </w:tr>
            <w:tr w14:paraId="15E2E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50" w:type="pct"/>
                  <w:vMerge w:val="continue"/>
                  <w:tcBorders>
                    <w:tl2br w:val="nil"/>
                    <w:tr2bl w:val="nil"/>
                  </w:tcBorders>
                  <w:noWrap w:val="0"/>
                  <w:vAlign w:val="center"/>
                </w:tcPr>
                <w:p w14:paraId="05591C9F">
                  <w:pPr>
                    <w:widowControl/>
                    <w:spacing w:line="240" w:lineRule="auto"/>
                    <w:ind w:firstLine="0" w:firstLineChars="0"/>
                    <w:rPr>
                      <w:color w:val="000000"/>
                      <w:kern w:val="24"/>
                      <w:sz w:val="21"/>
                      <w:szCs w:val="21"/>
                    </w:rPr>
                  </w:pPr>
                </w:p>
              </w:tc>
              <w:tc>
                <w:tcPr>
                  <w:tcW w:w="1295" w:type="pct"/>
                  <w:tcBorders>
                    <w:tl2br w:val="nil"/>
                    <w:tr2bl w:val="nil"/>
                  </w:tcBorders>
                  <w:noWrap w:val="0"/>
                  <w:tcMar>
                    <w:top w:w="15" w:type="dxa"/>
                    <w:left w:w="15" w:type="dxa"/>
                    <w:bottom w:w="0" w:type="dxa"/>
                    <w:right w:w="15" w:type="dxa"/>
                  </w:tcMar>
                  <w:vAlign w:val="center"/>
                </w:tcPr>
                <w:p w14:paraId="35ADFDEF">
                  <w:pPr>
                    <w:pStyle w:val="11"/>
                    <w:rPr>
                      <w:color w:val="000000"/>
                    </w:rPr>
                  </w:pPr>
                  <w:r>
                    <w:rPr>
                      <w:color w:val="000000"/>
                    </w:rPr>
                    <w:t>检测结果</w:t>
                  </w:r>
                </w:p>
              </w:tc>
              <w:tc>
                <w:tcPr>
                  <w:tcW w:w="1160" w:type="pct"/>
                  <w:tcBorders>
                    <w:tl2br w:val="nil"/>
                    <w:tr2bl w:val="nil"/>
                  </w:tcBorders>
                  <w:noWrap w:val="0"/>
                  <w:tcMar>
                    <w:top w:w="15" w:type="dxa"/>
                    <w:left w:w="15" w:type="dxa"/>
                    <w:bottom w:w="0" w:type="dxa"/>
                    <w:right w:w="15" w:type="dxa"/>
                  </w:tcMar>
                  <w:vAlign w:val="center"/>
                </w:tcPr>
                <w:p w14:paraId="4BBD0F78">
                  <w:pPr>
                    <w:pStyle w:val="11"/>
                    <w:rPr>
                      <w:color w:val="000000"/>
                    </w:rPr>
                  </w:pPr>
                  <w:r>
                    <w:rPr>
                      <w:color w:val="000000"/>
                    </w:rPr>
                    <w:t>最大占标率</w:t>
                  </w:r>
                </w:p>
              </w:tc>
              <w:tc>
                <w:tcPr>
                  <w:tcW w:w="1175" w:type="pct"/>
                  <w:tcBorders>
                    <w:tl2br w:val="nil"/>
                    <w:tr2bl w:val="nil"/>
                  </w:tcBorders>
                  <w:noWrap w:val="0"/>
                  <w:tcMar>
                    <w:top w:w="15" w:type="dxa"/>
                    <w:left w:w="15" w:type="dxa"/>
                    <w:bottom w:w="0" w:type="dxa"/>
                    <w:right w:w="15" w:type="dxa"/>
                  </w:tcMar>
                  <w:vAlign w:val="center"/>
                </w:tcPr>
                <w:p w14:paraId="2EAAF7D2">
                  <w:pPr>
                    <w:pStyle w:val="11"/>
                    <w:rPr>
                      <w:color w:val="000000"/>
                    </w:rPr>
                  </w:pPr>
                  <w:r>
                    <w:rPr>
                      <w:color w:val="000000"/>
                    </w:rPr>
                    <w:t>达标情况</w:t>
                  </w:r>
                </w:p>
              </w:tc>
              <w:tc>
                <w:tcPr>
                  <w:tcW w:w="617" w:type="pct"/>
                  <w:vMerge w:val="continue"/>
                  <w:tcBorders>
                    <w:tl2br w:val="nil"/>
                    <w:tr2bl w:val="nil"/>
                  </w:tcBorders>
                  <w:noWrap w:val="0"/>
                  <w:vAlign w:val="center"/>
                </w:tcPr>
                <w:p w14:paraId="5CF1BCC3">
                  <w:pPr>
                    <w:widowControl/>
                    <w:spacing w:line="240" w:lineRule="auto"/>
                    <w:ind w:firstLine="0" w:firstLineChars="0"/>
                    <w:rPr>
                      <w:color w:val="000000"/>
                      <w:kern w:val="24"/>
                      <w:sz w:val="21"/>
                      <w:szCs w:val="21"/>
                    </w:rPr>
                  </w:pPr>
                </w:p>
              </w:tc>
            </w:tr>
            <w:tr w14:paraId="2921B7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50" w:type="pct"/>
                  <w:tcBorders>
                    <w:tl2br w:val="nil"/>
                    <w:tr2bl w:val="nil"/>
                  </w:tcBorders>
                  <w:noWrap w:val="0"/>
                  <w:tcMar>
                    <w:top w:w="15" w:type="dxa"/>
                    <w:left w:w="15" w:type="dxa"/>
                    <w:bottom w:w="0" w:type="dxa"/>
                    <w:right w:w="15" w:type="dxa"/>
                  </w:tcMar>
                  <w:vAlign w:val="center"/>
                </w:tcPr>
                <w:p w14:paraId="504CFC2E">
                  <w:pPr>
                    <w:pStyle w:val="11"/>
                    <w:rPr>
                      <w:color w:val="000000"/>
                    </w:rPr>
                  </w:pPr>
                  <w:r>
                    <w:rPr>
                      <w:color w:val="000000"/>
                    </w:rPr>
                    <w:t>TVOC</w:t>
                  </w:r>
                </w:p>
              </w:tc>
              <w:tc>
                <w:tcPr>
                  <w:tcW w:w="1295" w:type="pct"/>
                  <w:tcBorders>
                    <w:tl2br w:val="nil"/>
                    <w:tr2bl w:val="nil"/>
                  </w:tcBorders>
                  <w:noWrap w:val="0"/>
                  <w:tcMar>
                    <w:top w:w="15" w:type="dxa"/>
                    <w:left w:w="15" w:type="dxa"/>
                    <w:bottom w:w="0" w:type="dxa"/>
                    <w:right w:w="15" w:type="dxa"/>
                  </w:tcMar>
                  <w:vAlign w:val="center"/>
                </w:tcPr>
                <w:p w14:paraId="0E07BDB6">
                  <w:pPr>
                    <w:pStyle w:val="11"/>
                    <w:rPr>
                      <w:color w:val="000000"/>
                    </w:rPr>
                  </w:pPr>
                  <w:r>
                    <w:rPr>
                      <w:color w:val="000000" w:themeColor="text1"/>
                      <w14:textFill>
                        <w14:solidFill>
                          <w14:schemeClr w14:val="tx1"/>
                        </w14:solidFill>
                      </w14:textFill>
                    </w:rPr>
                    <w:t>0.0372~0.0451</w:t>
                  </w:r>
                </w:p>
              </w:tc>
              <w:tc>
                <w:tcPr>
                  <w:tcW w:w="1160" w:type="pct"/>
                  <w:tcBorders>
                    <w:tl2br w:val="nil"/>
                    <w:tr2bl w:val="nil"/>
                  </w:tcBorders>
                  <w:noWrap w:val="0"/>
                  <w:tcMar>
                    <w:top w:w="15" w:type="dxa"/>
                    <w:left w:w="15" w:type="dxa"/>
                    <w:bottom w:w="0" w:type="dxa"/>
                    <w:right w:w="15" w:type="dxa"/>
                  </w:tcMar>
                  <w:vAlign w:val="center"/>
                </w:tcPr>
                <w:p w14:paraId="69F05634">
                  <w:pPr>
                    <w:pStyle w:val="11"/>
                    <w:rPr>
                      <w:rFonts w:hint="default" w:eastAsia="宋体"/>
                      <w:color w:val="000000"/>
                      <w:lang w:val="en-US" w:eastAsia="zh-CN"/>
                    </w:rPr>
                  </w:pPr>
                  <w:r>
                    <w:rPr>
                      <w:rFonts w:hint="eastAsia"/>
                      <w:color w:val="000000"/>
                      <w:lang w:val="en-US" w:eastAsia="zh-CN"/>
                    </w:rPr>
                    <w:t>7.52%</w:t>
                  </w:r>
                </w:p>
              </w:tc>
              <w:tc>
                <w:tcPr>
                  <w:tcW w:w="1175" w:type="pct"/>
                  <w:tcBorders>
                    <w:tl2br w:val="nil"/>
                    <w:tr2bl w:val="nil"/>
                  </w:tcBorders>
                  <w:noWrap w:val="0"/>
                  <w:tcMar>
                    <w:top w:w="15" w:type="dxa"/>
                    <w:left w:w="15" w:type="dxa"/>
                    <w:bottom w:w="0" w:type="dxa"/>
                    <w:right w:w="15" w:type="dxa"/>
                  </w:tcMar>
                  <w:vAlign w:val="center"/>
                </w:tcPr>
                <w:p w14:paraId="37D6E568">
                  <w:pPr>
                    <w:pStyle w:val="11"/>
                    <w:rPr>
                      <w:color w:val="000000"/>
                    </w:rPr>
                  </w:pPr>
                  <w:r>
                    <w:rPr>
                      <w:color w:val="000000"/>
                    </w:rPr>
                    <w:t>达标</w:t>
                  </w:r>
                </w:p>
              </w:tc>
              <w:tc>
                <w:tcPr>
                  <w:tcW w:w="617" w:type="pct"/>
                  <w:tcBorders>
                    <w:tl2br w:val="nil"/>
                    <w:tr2bl w:val="nil"/>
                  </w:tcBorders>
                  <w:noWrap w:val="0"/>
                  <w:tcMar>
                    <w:top w:w="15" w:type="dxa"/>
                    <w:left w:w="15" w:type="dxa"/>
                    <w:bottom w:w="0" w:type="dxa"/>
                    <w:right w:w="15" w:type="dxa"/>
                  </w:tcMar>
                  <w:vAlign w:val="center"/>
                </w:tcPr>
                <w:p w14:paraId="69F9F26E">
                  <w:pPr>
                    <w:pStyle w:val="11"/>
                    <w:rPr>
                      <w:color w:val="000000"/>
                    </w:rPr>
                  </w:pPr>
                  <w:r>
                    <w:rPr>
                      <w:color w:val="000000"/>
                    </w:rPr>
                    <w:t>0.600</w:t>
                  </w:r>
                </w:p>
              </w:tc>
            </w:tr>
            <w:tr w14:paraId="4A3E1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50" w:type="pct"/>
                  <w:vMerge w:val="restart"/>
                  <w:tcBorders>
                    <w:tl2br w:val="nil"/>
                    <w:tr2bl w:val="nil"/>
                  </w:tcBorders>
                  <w:noWrap w:val="0"/>
                  <w:tcMar>
                    <w:top w:w="15" w:type="dxa"/>
                    <w:left w:w="15" w:type="dxa"/>
                    <w:bottom w:w="0" w:type="dxa"/>
                    <w:right w:w="15" w:type="dxa"/>
                  </w:tcMar>
                  <w:vAlign w:val="center"/>
                </w:tcPr>
                <w:p w14:paraId="672DF8CF">
                  <w:pPr>
                    <w:pStyle w:val="11"/>
                    <w:rPr>
                      <w:color w:val="000000"/>
                    </w:rPr>
                  </w:pPr>
                  <w:r>
                    <w:rPr>
                      <w:color w:val="000000"/>
                    </w:rPr>
                    <w:t>检测因子</w:t>
                  </w:r>
                </w:p>
              </w:tc>
              <w:tc>
                <w:tcPr>
                  <w:tcW w:w="3631" w:type="pct"/>
                  <w:gridSpan w:val="3"/>
                  <w:tcBorders>
                    <w:tl2br w:val="nil"/>
                    <w:tr2bl w:val="nil"/>
                  </w:tcBorders>
                  <w:noWrap w:val="0"/>
                  <w:tcMar>
                    <w:top w:w="15" w:type="dxa"/>
                    <w:left w:w="15" w:type="dxa"/>
                    <w:bottom w:w="0" w:type="dxa"/>
                    <w:right w:w="15" w:type="dxa"/>
                  </w:tcMar>
                  <w:vAlign w:val="center"/>
                </w:tcPr>
                <w:p w14:paraId="1B815B76">
                  <w:pPr>
                    <w:pStyle w:val="11"/>
                    <w:rPr>
                      <w:rFonts w:hint="default" w:eastAsia="宋体"/>
                      <w:color w:val="000000"/>
                      <w:lang w:val="en-US" w:eastAsia="zh-CN"/>
                    </w:rPr>
                  </w:pPr>
                  <w:r>
                    <w:rPr>
                      <w:rFonts w:hint="eastAsia"/>
                      <w:color w:val="000000"/>
                      <w:lang w:val="en-US" w:eastAsia="zh-CN"/>
                    </w:rPr>
                    <w:t>Y</w:t>
                  </w:r>
                  <w:r>
                    <w:rPr>
                      <w:color w:val="000000"/>
                    </w:rPr>
                    <w:t>G</w:t>
                  </w:r>
                  <w:r>
                    <w:rPr>
                      <w:rFonts w:hint="eastAsia"/>
                      <w:color w:val="000000"/>
                      <w:lang w:val="en-US" w:eastAsia="zh-CN"/>
                    </w:rPr>
                    <w:t xml:space="preserve">2 </w:t>
                  </w:r>
                  <w:r>
                    <w:rPr>
                      <w:rFonts w:hint="eastAsia" w:ascii="Times New Roman" w:hAnsi="Times New Roman" w:eastAsia="宋体" w:cs="宋体"/>
                      <w:color w:val="000000"/>
                      <w:sz w:val="21"/>
                      <w:szCs w:val="21"/>
                    </w:rPr>
                    <w:t>永州市诚勇建材有限公司</w:t>
                  </w:r>
                  <w:r>
                    <w:rPr>
                      <w:rFonts w:hint="eastAsia" w:ascii="Times New Roman" w:hAnsi="Times New Roman" w:eastAsia="宋体" w:cs="宋体"/>
                      <w:color w:val="000000"/>
                      <w:sz w:val="21"/>
                      <w:szCs w:val="21"/>
                      <w:lang w:val="en-US" w:eastAsia="zh-CN"/>
                    </w:rPr>
                    <w:t>厂界南侧10m处</w:t>
                  </w:r>
                </w:p>
              </w:tc>
              <w:tc>
                <w:tcPr>
                  <w:tcW w:w="617" w:type="pct"/>
                  <w:vMerge w:val="restart"/>
                  <w:tcBorders>
                    <w:tl2br w:val="nil"/>
                    <w:tr2bl w:val="nil"/>
                  </w:tcBorders>
                  <w:noWrap w:val="0"/>
                  <w:tcMar>
                    <w:top w:w="15" w:type="dxa"/>
                    <w:left w:w="15" w:type="dxa"/>
                    <w:bottom w:w="0" w:type="dxa"/>
                    <w:right w:w="15" w:type="dxa"/>
                  </w:tcMar>
                  <w:vAlign w:val="center"/>
                </w:tcPr>
                <w:p w14:paraId="66560203">
                  <w:pPr>
                    <w:pStyle w:val="11"/>
                    <w:rPr>
                      <w:color w:val="000000"/>
                    </w:rPr>
                  </w:pPr>
                  <w:r>
                    <w:rPr>
                      <w:color w:val="000000"/>
                    </w:rPr>
                    <w:t>标准限值</w:t>
                  </w:r>
                </w:p>
              </w:tc>
            </w:tr>
            <w:tr w14:paraId="1693C6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50" w:type="pct"/>
                  <w:vMerge w:val="continue"/>
                  <w:tcBorders>
                    <w:tl2br w:val="nil"/>
                    <w:tr2bl w:val="nil"/>
                  </w:tcBorders>
                  <w:noWrap w:val="0"/>
                  <w:vAlign w:val="center"/>
                </w:tcPr>
                <w:p w14:paraId="01E3CA7C">
                  <w:pPr>
                    <w:widowControl/>
                    <w:spacing w:line="240" w:lineRule="auto"/>
                    <w:ind w:firstLine="0" w:firstLineChars="0"/>
                    <w:rPr>
                      <w:color w:val="000000"/>
                      <w:kern w:val="24"/>
                      <w:sz w:val="21"/>
                      <w:szCs w:val="21"/>
                    </w:rPr>
                  </w:pPr>
                </w:p>
              </w:tc>
              <w:tc>
                <w:tcPr>
                  <w:tcW w:w="1295" w:type="pct"/>
                  <w:tcBorders>
                    <w:tl2br w:val="nil"/>
                    <w:tr2bl w:val="nil"/>
                  </w:tcBorders>
                  <w:noWrap w:val="0"/>
                  <w:tcMar>
                    <w:top w:w="15" w:type="dxa"/>
                    <w:left w:w="15" w:type="dxa"/>
                    <w:bottom w:w="0" w:type="dxa"/>
                    <w:right w:w="15" w:type="dxa"/>
                  </w:tcMar>
                  <w:vAlign w:val="center"/>
                </w:tcPr>
                <w:p w14:paraId="2E740F93">
                  <w:pPr>
                    <w:pStyle w:val="11"/>
                    <w:rPr>
                      <w:color w:val="000000"/>
                    </w:rPr>
                  </w:pPr>
                  <w:r>
                    <w:rPr>
                      <w:color w:val="000000"/>
                    </w:rPr>
                    <w:t>检测结果</w:t>
                  </w:r>
                </w:p>
              </w:tc>
              <w:tc>
                <w:tcPr>
                  <w:tcW w:w="1160" w:type="pct"/>
                  <w:tcBorders>
                    <w:tl2br w:val="nil"/>
                    <w:tr2bl w:val="nil"/>
                  </w:tcBorders>
                  <w:noWrap w:val="0"/>
                  <w:tcMar>
                    <w:top w:w="15" w:type="dxa"/>
                    <w:left w:w="15" w:type="dxa"/>
                    <w:bottom w:w="0" w:type="dxa"/>
                    <w:right w:w="15" w:type="dxa"/>
                  </w:tcMar>
                  <w:vAlign w:val="center"/>
                </w:tcPr>
                <w:p w14:paraId="4766AB37">
                  <w:pPr>
                    <w:pStyle w:val="11"/>
                    <w:rPr>
                      <w:color w:val="000000"/>
                    </w:rPr>
                  </w:pPr>
                  <w:r>
                    <w:rPr>
                      <w:color w:val="000000"/>
                    </w:rPr>
                    <w:t>最大占标率</w:t>
                  </w:r>
                </w:p>
              </w:tc>
              <w:tc>
                <w:tcPr>
                  <w:tcW w:w="1175" w:type="pct"/>
                  <w:tcBorders>
                    <w:tl2br w:val="nil"/>
                    <w:tr2bl w:val="nil"/>
                  </w:tcBorders>
                  <w:noWrap w:val="0"/>
                  <w:tcMar>
                    <w:top w:w="15" w:type="dxa"/>
                    <w:left w:w="15" w:type="dxa"/>
                    <w:bottom w:w="0" w:type="dxa"/>
                    <w:right w:w="15" w:type="dxa"/>
                  </w:tcMar>
                  <w:vAlign w:val="center"/>
                </w:tcPr>
                <w:p w14:paraId="09E16B61">
                  <w:pPr>
                    <w:pStyle w:val="11"/>
                    <w:rPr>
                      <w:color w:val="000000"/>
                    </w:rPr>
                  </w:pPr>
                  <w:r>
                    <w:rPr>
                      <w:color w:val="000000"/>
                    </w:rPr>
                    <w:t>达标情况</w:t>
                  </w:r>
                </w:p>
              </w:tc>
              <w:tc>
                <w:tcPr>
                  <w:tcW w:w="617" w:type="pct"/>
                  <w:vMerge w:val="continue"/>
                  <w:tcBorders>
                    <w:tl2br w:val="nil"/>
                    <w:tr2bl w:val="nil"/>
                  </w:tcBorders>
                  <w:noWrap w:val="0"/>
                  <w:vAlign w:val="center"/>
                </w:tcPr>
                <w:p w14:paraId="4E22D54F">
                  <w:pPr>
                    <w:widowControl/>
                    <w:spacing w:line="240" w:lineRule="auto"/>
                    <w:ind w:firstLine="0" w:firstLineChars="0"/>
                    <w:rPr>
                      <w:color w:val="000000"/>
                      <w:kern w:val="24"/>
                      <w:sz w:val="21"/>
                      <w:szCs w:val="21"/>
                    </w:rPr>
                  </w:pPr>
                </w:p>
              </w:tc>
            </w:tr>
            <w:tr w14:paraId="61FAE1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50" w:type="pct"/>
                  <w:tcBorders>
                    <w:tl2br w:val="nil"/>
                    <w:tr2bl w:val="nil"/>
                  </w:tcBorders>
                  <w:noWrap w:val="0"/>
                  <w:tcMar>
                    <w:top w:w="15" w:type="dxa"/>
                    <w:left w:w="15" w:type="dxa"/>
                    <w:bottom w:w="0" w:type="dxa"/>
                    <w:right w:w="15" w:type="dxa"/>
                  </w:tcMar>
                  <w:vAlign w:val="center"/>
                </w:tcPr>
                <w:p w14:paraId="522C2BFE">
                  <w:pPr>
                    <w:pStyle w:val="11"/>
                    <w:rPr>
                      <w:rFonts w:hint="default" w:eastAsia="宋体"/>
                      <w:color w:val="000000"/>
                      <w:lang w:val="en-US" w:eastAsia="zh-CN"/>
                    </w:rPr>
                  </w:pPr>
                  <w:r>
                    <w:rPr>
                      <w:rFonts w:hint="eastAsia"/>
                      <w:color w:val="000000"/>
                      <w:lang w:val="en-US" w:eastAsia="zh-CN"/>
                    </w:rPr>
                    <w:t>TSP</w:t>
                  </w:r>
                </w:p>
              </w:tc>
              <w:tc>
                <w:tcPr>
                  <w:tcW w:w="1295" w:type="pct"/>
                  <w:tcBorders>
                    <w:tl2br w:val="nil"/>
                    <w:tr2bl w:val="nil"/>
                  </w:tcBorders>
                  <w:noWrap w:val="0"/>
                  <w:tcMar>
                    <w:top w:w="15" w:type="dxa"/>
                    <w:left w:w="15" w:type="dxa"/>
                    <w:bottom w:w="0" w:type="dxa"/>
                    <w:right w:w="15" w:type="dxa"/>
                  </w:tcMar>
                  <w:vAlign w:val="center"/>
                </w:tcPr>
                <w:p w14:paraId="5501156E">
                  <w:pPr>
                    <w:pStyle w:val="11"/>
                    <w:rPr>
                      <w:color w:val="000000"/>
                    </w:rPr>
                  </w:pPr>
                  <w:r>
                    <w:rPr>
                      <w:rFonts w:hint="eastAsia" w:cs="Times New Roman"/>
                      <w:color w:val="auto"/>
                      <w:kern w:val="2"/>
                      <w:sz w:val="21"/>
                      <w:szCs w:val="21"/>
                      <w:highlight w:val="none"/>
                      <w:u w:val="none" w:color="auto"/>
                      <w:lang w:val="en-US" w:eastAsia="zh-CN" w:bidi="ar-SA"/>
                    </w:rPr>
                    <w:t>87</w:t>
                  </w:r>
                  <w:r>
                    <w:rPr>
                      <w:rFonts w:hint="eastAsia" w:ascii="Times New Roman" w:hAnsi="Times New Roman" w:eastAsia="宋体" w:cs="Times New Roman"/>
                      <w:color w:val="auto"/>
                      <w:kern w:val="2"/>
                      <w:sz w:val="21"/>
                      <w:szCs w:val="21"/>
                      <w:highlight w:val="none"/>
                      <w:u w:val="none" w:color="auto"/>
                      <w:lang w:val="en-US" w:eastAsia="zh-CN" w:bidi="ar-SA"/>
                    </w:rPr>
                    <w:t>~</w:t>
                  </w:r>
                  <w:r>
                    <w:rPr>
                      <w:rFonts w:hint="eastAsia" w:cs="Times New Roman"/>
                      <w:color w:val="auto"/>
                      <w:kern w:val="2"/>
                      <w:sz w:val="21"/>
                      <w:szCs w:val="21"/>
                      <w:highlight w:val="none"/>
                      <w:u w:val="none" w:color="auto"/>
                      <w:lang w:val="en-US" w:eastAsia="zh-CN" w:bidi="ar-SA"/>
                    </w:rPr>
                    <w:t>91</w:t>
                  </w:r>
                </w:p>
              </w:tc>
              <w:tc>
                <w:tcPr>
                  <w:tcW w:w="1160" w:type="pct"/>
                  <w:tcBorders>
                    <w:tl2br w:val="nil"/>
                    <w:tr2bl w:val="nil"/>
                  </w:tcBorders>
                  <w:noWrap w:val="0"/>
                  <w:tcMar>
                    <w:top w:w="15" w:type="dxa"/>
                    <w:left w:w="15" w:type="dxa"/>
                    <w:bottom w:w="0" w:type="dxa"/>
                    <w:right w:w="15" w:type="dxa"/>
                  </w:tcMar>
                  <w:vAlign w:val="center"/>
                </w:tcPr>
                <w:p w14:paraId="5418ADEB">
                  <w:pPr>
                    <w:pStyle w:val="11"/>
                    <w:rPr>
                      <w:color w:val="000000"/>
                    </w:rPr>
                  </w:pPr>
                  <w:r>
                    <w:rPr>
                      <w:rFonts w:hint="eastAsia"/>
                      <w:color w:val="000000"/>
                      <w:lang w:val="en-US" w:eastAsia="zh-CN"/>
                    </w:rPr>
                    <w:t>30.33</w:t>
                  </w:r>
                  <w:r>
                    <w:rPr>
                      <w:rFonts w:hint="eastAsia"/>
                      <w:color w:val="000000"/>
                    </w:rPr>
                    <w:t>%</w:t>
                  </w:r>
                </w:p>
              </w:tc>
              <w:tc>
                <w:tcPr>
                  <w:tcW w:w="1175" w:type="pct"/>
                  <w:tcBorders>
                    <w:tl2br w:val="nil"/>
                    <w:tr2bl w:val="nil"/>
                  </w:tcBorders>
                  <w:noWrap w:val="0"/>
                  <w:tcMar>
                    <w:top w:w="15" w:type="dxa"/>
                    <w:left w:w="15" w:type="dxa"/>
                    <w:bottom w:w="0" w:type="dxa"/>
                    <w:right w:w="15" w:type="dxa"/>
                  </w:tcMar>
                  <w:vAlign w:val="center"/>
                </w:tcPr>
                <w:p w14:paraId="36686DB9">
                  <w:pPr>
                    <w:pStyle w:val="11"/>
                    <w:rPr>
                      <w:color w:val="000000"/>
                    </w:rPr>
                  </w:pPr>
                  <w:r>
                    <w:rPr>
                      <w:color w:val="000000"/>
                    </w:rPr>
                    <w:t>达标</w:t>
                  </w:r>
                </w:p>
              </w:tc>
              <w:tc>
                <w:tcPr>
                  <w:tcW w:w="617" w:type="pct"/>
                  <w:tcBorders>
                    <w:tl2br w:val="nil"/>
                    <w:tr2bl w:val="nil"/>
                  </w:tcBorders>
                  <w:noWrap w:val="0"/>
                  <w:tcMar>
                    <w:top w:w="15" w:type="dxa"/>
                    <w:left w:w="15" w:type="dxa"/>
                    <w:bottom w:w="0" w:type="dxa"/>
                    <w:right w:w="15" w:type="dxa"/>
                  </w:tcMar>
                  <w:vAlign w:val="center"/>
                </w:tcPr>
                <w:p w14:paraId="77088778">
                  <w:pPr>
                    <w:pStyle w:val="11"/>
                    <w:rPr>
                      <w:color w:val="000000"/>
                    </w:rPr>
                  </w:pPr>
                  <w:r>
                    <w:rPr>
                      <w:color w:val="000000"/>
                    </w:rPr>
                    <w:t>0.</w:t>
                  </w:r>
                  <w:r>
                    <w:rPr>
                      <w:rFonts w:hint="eastAsia"/>
                      <w:color w:val="000000"/>
                      <w:lang w:val="en-US" w:eastAsia="zh-CN"/>
                    </w:rPr>
                    <w:t>3</w:t>
                  </w:r>
                  <w:r>
                    <w:rPr>
                      <w:color w:val="000000"/>
                    </w:rPr>
                    <w:t>00</w:t>
                  </w:r>
                </w:p>
              </w:tc>
            </w:tr>
          </w:tbl>
          <w:p w14:paraId="73857E74">
            <w:pPr>
              <w:pStyle w:val="100"/>
              <w:spacing w:line="360" w:lineRule="auto"/>
              <w:jc w:val="both"/>
              <w:rPr>
                <w:color w:val="auto"/>
                <w:sz w:val="24"/>
                <w:szCs w:val="24"/>
                <w:highlight w:val="none"/>
                <w:u w:val="none"/>
              </w:rPr>
            </w:pPr>
            <w:r>
              <w:rPr>
                <w:rFonts w:hint="eastAsia" w:ascii="Times New Roman" w:hAnsi="Times New Roman" w:eastAsia="宋体" w:cs="Times New Roman"/>
                <w:bCs/>
                <w:color w:val="000000" w:themeColor="text1"/>
                <w:sz w:val="24"/>
                <w:szCs w:val="24"/>
                <w:u w:val="none"/>
                <w:lang w:val="en-US"/>
                <w14:textFill>
                  <w14:solidFill>
                    <w14:schemeClr w14:val="tx1"/>
                  </w14:solidFill>
                </w14:textFill>
              </w:rPr>
              <w:t>由上表可知项目所在区域</w:t>
            </w:r>
            <w:r>
              <w:rPr>
                <w:rFonts w:hint="eastAsia" w:ascii="Times New Roman" w:hAnsi="Times New Roman" w:eastAsia="宋体" w:cs="Times New Roman"/>
                <w:bCs/>
                <w:color w:val="000000" w:themeColor="text1"/>
                <w:sz w:val="24"/>
                <w:szCs w:val="24"/>
                <w:u w:val="none"/>
                <w:lang w:val="en-US" w:eastAsia="zh-CN"/>
                <w14:textFill>
                  <w14:solidFill>
                    <w14:schemeClr w14:val="tx1"/>
                  </w14:solidFill>
                </w14:textFill>
              </w:rPr>
              <w:t>TSP结果</w:t>
            </w:r>
            <w:r>
              <w:rPr>
                <w:rFonts w:hint="eastAsia" w:ascii="Times New Roman" w:hAnsi="Times New Roman" w:eastAsia="宋体" w:cs="Times New Roman"/>
                <w:bCs/>
                <w:color w:val="000000" w:themeColor="text1"/>
                <w:sz w:val="24"/>
                <w:szCs w:val="24"/>
                <w:u w:val="none"/>
                <w:lang w:val="en-US"/>
                <w14:textFill>
                  <w14:solidFill>
                    <w14:schemeClr w14:val="tx1"/>
                  </w14:solidFill>
                </w14:textFill>
              </w:rPr>
              <w:t>符合《环境空气质量标准》（GB3095-2012）</w:t>
            </w:r>
            <w:r>
              <w:rPr>
                <w:rFonts w:hint="eastAsia" w:ascii="Times New Roman" w:hAnsi="Times New Roman" w:eastAsia="宋体" w:cs="Times New Roman"/>
                <w:bCs/>
                <w:color w:val="000000" w:themeColor="text1"/>
                <w:sz w:val="24"/>
                <w:szCs w:val="24"/>
                <w:u w:val="none"/>
                <w:lang w:val="en-US" w:eastAsia="zh-CN"/>
                <w14:textFill>
                  <w14:solidFill>
                    <w14:schemeClr w14:val="tx1"/>
                  </w14:solidFill>
                </w14:textFill>
              </w:rPr>
              <w:t>及其修改单</w:t>
            </w:r>
            <w:r>
              <w:rPr>
                <w:rFonts w:hint="eastAsia" w:ascii="Times New Roman" w:hAnsi="Times New Roman" w:eastAsia="宋体" w:cs="Times New Roman"/>
                <w:bCs/>
                <w:color w:val="000000" w:themeColor="text1"/>
                <w:sz w:val="24"/>
                <w:szCs w:val="24"/>
                <w:u w:val="none"/>
                <w:lang w:val="en-US"/>
                <w14:textFill>
                  <w14:solidFill>
                    <w14:schemeClr w14:val="tx1"/>
                  </w14:solidFill>
                </w14:textFill>
              </w:rPr>
              <w:t>的二级标准</w:t>
            </w:r>
            <w:r>
              <w:rPr>
                <w:rFonts w:hint="eastAsia" w:ascii="Times New Roman" w:hAnsi="Times New Roman" w:eastAsia="宋体" w:cs="Times New Roman"/>
                <w:bCs/>
                <w:color w:val="000000" w:themeColor="text1"/>
                <w:sz w:val="24"/>
                <w:szCs w:val="24"/>
                <w:u w:val="none"/>
                <w:lang w:val="en-US" w:eastAsia="zh-CN"/>
                <w14:textFill>
                  <w14:solidFill>
                    <w14:schemeClr w14:val="tx1"/>
                  </w14:solidFill>
                </w14:textFill>
              </w:rPr>
              <w:t>；</w:t>
            </w:r>
            <w:r>
              <w:rPr>
                <w:rFonts w:hint="eastAsia" w:ascii="Times New Roman" w:hAnsi="Times New Roman" w:eastAsia="宋体" w:cs="Times New Roman"/>
                <w:sz w:val="24"/>
                <w:szCs w:val="24"/>
                <w:lang w:val="en-US" w:eastAsia="zh-CN"/>
              </w:rPr>
              <w:t>挥发性有机物</w:t>
            </w:r>
            <w:r>
              <w:rPr>
                <w:rFonts w:ascii="Times New Roman" w:hAnsi="Times New Roman" w:eastAsia="宋体" w:cs="Times New Roman"/>
                <w:i w:val="0"/>
                <w:iCs w:val="0"/>
                <w:color w:val="000000"/>
                <w:sz w:val="24"/>
                <w:szCs w:val="24"/>
              </w:rPr>
              <w:t>满足《环境影响评价技术导则大气环境》（HJ2.2-2018）附录D中相应的参考限值</w:t>
            </w:r>
            <w:r>
              <w:rPr>
                <w:rFonts w:hint="eastAsia" w:ascii="Times New Roman" w:hAnsi="Times New Roman" w:eastAsia="宋体" w:cs="Times New Roman"/>
                <w:bCs/>
                <w:color w:val="000000" w:themeColor="text1"/>
                <w:sz w:val="24"/>
                <w:szCs w:val="24"/>
                <w:u w:val="none"/>
                <w:lang w:val="en-US" w:eastAsia="zh-CN"/>
                <w14:textFill>
                  <w14:solidFill>
                    <w14:schemeClr w14:val="tx1"/>
                  </w14:solidFill>
                </w14:textFill>
              </w:rPr>
              <w:t>，该区域环境空气质量良好</w:t>
            </w:r>
            <w:r>
              <w:rPr>
                <w:rFonts w:hint="eastAsia" w:ascii="Times New Roman" w:hAnsi="Times New Roman" w:eastAsia="宋体" w:cs="Times New Roman"/>
                <w:bCs/>
                <w:color w:val="000000" w:themeColor="text1"/>
                <w:sz w:val="24"/>
                <w:szCs w:val="24"/>
                <w:u w:val="none"/>
                <w:lang w:val="en-US"/>
                <w14:textFill>
                  <w14:solidFill>
                    <w14:schemeClr w14:val="tx1"/>
                  </w14:solidFill>
                </w14:textFill>
              </w:rPr>
              <w:t>。</w:t>
            </w:r>
          </w:p>
          <w:p w14:paraId="6DC2D5A4">
            <w:pPr>
              <w:widowControl/>
              <w:spacing w:line="360" w:lineRule="auto"/>
              <w:jc w:val="left"/>
              <w:rPr>
                <w:b/>
                <w:color w:val="auto"/>
                <w:sz w:val="28"/>
                <w:szCs w:val="28"/>
                <w:highlight w:val="none"/>
                <w:u w:val="none"/>
              </w:rPr>
            </w:pPr>
            <w:r>
              <w:rPr>
                <w:rFonts w:hint="eastAsia"/>
                <w:b/>
                <w:color w:val="auto"/>
                <w:sz w:val="24"/>
                <w:szCs w:val="24"/>
                <w:highlight w:val="none"/>
                <w:u w:val="none"/>
              </w:rPr>
              <w:t>2</w:t>
            </w:r>
            <w:r>
              <w:rPr>
                <w:b/>
                <w:color w:val="auto"/>
                <w:sz w:val="24"/>
                <w:szCs w:val="24"/>
                <w:highlight w:val="none"/>
                <w:u w:val="none"/>
              </w:rPr>
              <w:t>、地表水环境质量现状</w:t>
            </w:r>
          </w:p>
          <w:p w14:paraId="3AC1C8F4">
            <w:pPr>
              <w:spacing w:line="360" w:lineRule="auto"/>
              <w:ind w:firstLine="480" w:firstLineChars="200"/>
              <w:rPr>
                <w:rFonts w:hint="default"/>
                <w:color w:val="000000" w:themeColor="text1"/>
                <w:sz w:val="24"/>
                <w:u w:val="none" w:color="auto"/>
                <w:lang w:val="en-US" w:eastAsia="zh-CN"/>
                <w14:textFill>
                  <w14:solidFill>
                    <w14:schemeClr w14:val="tx1"/>
                  </w14:solidFill>
                </w14:textFill>
              </w:rPr>
            </w:pPr>
            <w:r>
              <w:rPr>
                <w:color w:val="auto"/>
                <w:sz w:val="24"/>
                <w:szCs w:val="24"/>
                <w:highlight w:val="none"/>
                <w:u w:val="none" w:color="auto"/>
              </w:rPr>
              <w:t>本项目废水</w:t>
            </w:r>
            <w:r>
              <w:rPr>
                <w:rFonts w:hint="eastAsia"/>
                <w:color w:val="auto"/>
                <w:sz w:val="24"/>
                <w:szCs w:val="24"/>
                <w:highlight w:val="none"/>
                <w:u w:val="none" w:color="auto"/>
              </w:rPr>
              <w:t>通过市政</w:t>
            </w:r>
            <w:r>
              <w:rPr>
                <w:color w:val="auto"/>
                <w:sz w:val="24"/>
                <w:szCs w:val="24"/>
                <w:highlight w:val="none"/>
                <w:u w:val="none" w:color="auto"/>
              </w:rPr>
              <w:t>污水管网进入污水处理厂深度处理</w:t>
            </w:r>
            <w:r>
              <w:rPr>
                <w:rFonts w:hint="eastAsia"/>
                <w:color w:val="auto"/>
                <w:sz w:val="24"/>
                <w:szCs w:val="24"/>
                <w:highlight w:val="none"/>
                <w:u w:val="none" w:color="auto"/>
              </w:rPr>
              <w:t>，</w:t>
            </w:r>
            <w:r>
              <w:rPr>
                <w:color w:val="auto"/>
                <w:sz w:val="24"/>
                <w:szCs w:val="24"/>
                <w:highlight w:val="none"/>
                <w:u w:val="none" w:color="auto"/>
              </w:rPr>
              <w:t>排污口位于湘江。</w:t>
            </w:r>
            <w:r>
              <w:rPr>
                <w:rFonts w:hint="eastAsia"/>
                <w:color w:val="000000" w:themeColor="text1"/>
                <w:sz w:val="24"/>
                <w:u w:val="none" w:color="auto"/>
                <w:lang w:val="en-US" w:eastAsia="zh-CN"/>
                <w14:textFill>
                  <w14:solidFill>
                    <w14:schemeClr w14:val="tx1"/>
                  </w14:solidFill>
                </w14:textFill>
              </w:rPr>
              <w:t>本</w:t>
            </w:r>
            <w:r>
              <w:rPr>
                <w:rFonts w:hint="eastAsia"/>
                <w:color w:val="000000"/>
                <w:kern w:val="0"/>
                <w:sz w:val="24"/>
                <w:u w:val="none" w:color="auto"/>
              </w:rPr>
              <w:t>次环评引用</w:t>
            </w:r>
            <w:r>
              <w:rPr>
                <w:rFonts w:hint="default" w:ascii="Times New Roman" w:hAnsi="Times New Roman" w:cs="Times New Roman"/>
                <w:color w:val="auto"/>
                <w:sz w:val="24"/>
                <w:szCs w:val="24"/>
                <w:highlight w:val="none"/>
                <w:u w:val="none" w:color="auto"/>
              </w:rPr>
              <w:t>永州市生态环境局发布的《</w:t>
            </w:r>
            <w:r>
              <w:rPr>
                <w:rFonts w:hint="eastAsia" w:cs="Times New Roman"/>
                <w:color w:val="auto"/>
                <w:sz w:val="24"/>
                <w:szCs w:val="24"/>
                <w:highlight w:val="none"/>
                <w:u w:val="none" w:color="auto"/>
                <w:lang w:eastAsia="zh-CN"/>
              </w:rPr>
              <w:t>关于</w:t>
            </w:r>
            <w:r>
              <w:rPr>
                <w:rFonts w:hint="default" w:ascii="Times New Roman" w:hAnsi="Times New Roman" w:cs="Times New Roman"/>
                <w:color w:val="auto"/>
                <w:sz w:val="24"/>
                <w:szCs w:val="24"/>
                <w:highlight w:val="none"/>
                <w:u w:val="none" w:color="auto"/>
              </w:rPr>
              <w:t>20</w:t>
            </w:r>
            <w:r>
              <w:rPr>
                <w:rFonts w:hint="default" w:ascii="Times New Roman" w:hAnsi="Times New Roman" w:cs="Times New Roman"/>
                <w:color w:val="auto"/>
                <w:sz w:val="24"/>
                <w:szCs w:val="24"/>
                <w:highlight w:val="none"/>
                <w:u w:val="none" w:color="auto"/>
                <w:lang w:val="en-US" w:eastAsia="zh-CN"/>
              </w:rPr>
              <w:t>2</w:t>
            </w:r>
            <w:r>
              <w:rPr>
                <w:rFonts w:hint="eastAsia" w:cs="Times New Roman"/>
                <w:color w:val="auto"/>
                <w:sz w:val="24"/>
                <w:szCs w:val="24"/>
                <w:highlight w:val="none"/>
                <w:u w:val="none" w:color="auto"/>
                <w:lang w:val="en-US" w:eastAsia="zh-CN"/>
              </w:rPr>
              <w:t>4</w:t>
            </w:r>
            <w:r>
              <w:rPr>
                <w:rFonts w:hint="default" w:ascii="Times New Roman" w:hAnsi="Times New Roman" w:cs="Times New Roman"/>
                <w:color w:val="auto"/>
                <w:sz w:val="24"/>
                <w:szCs w:val="24"/>
                <w:highlight w:val="none"/>
                <w:u w:val="none" w:color="auto"/>
              </w:rPr>
              <w:t>年</w:t>
            </w:r>
            <w:r>
              <w:rPr>
                <w:rFonts w:hint="eastAsia" w:cs="Times New Roman"/>
                <w:color w:val="auto"/>
                <w:sz w:val="24"/>
                <w:szCs w:val="24"/>
                <w:highlight w:val="none"/>
                <w:u w:val="none" w:color="auto"/>
                <w:lang w:val="en-US" w:eastAsia="zh-CN"/>
              </w:rPr>
              <w:t>12月份全市</w:t>
            </w:r>
            <w:r>
              <w:rPr>
                <w:rFonts w:hint="default" w:ascii="Times New Roman" w:hAnsi="Times New Roman" w:cs="Times New Roman"/>
                <w:color w:val="auto"/>
                <w:sz w:val="24"/>
                <w:szCs w:val="24"/>
                <w:highlight w:val="none"/>
                <w:u w:val="none" w:color="auto"/>
                <w:lang w:val="en-US" w:eastAsia="zh-CN"/>
              </w:rPr>
              <w:t>环境质量状况</w:t>
            </w:r>
            <w:r>
              <w:rPr>
                <w:rFonts w:hint="eastAsia" w:cs="Times New Roman"/>
                <w:color w:val="auto"/>
                <w:sz w:val="24"/>
                <w:szCs w:val="24"/>
                <w:highlight w:val="none"/>
                <w:u w:val="none" w:color="auto"/>
                <w:lang w:eastAsia="zh-CN"/>
              </w:rPr>
              <w:t>的通报</w:t>
            </w:r>
            <w:r>
              <w:rPr>
                <w:rFonts w:hint="default" w:ascii="Times New Roman" w:hAnsi="Times New Roman" w:cs="Times New Roman"/>
                <w:color w:val="auto"/>
                <w:sz w:val="24"/>
                <w:szCs w:val="24"/>
                <w:highlight w:val="none"/>
                <w:u w:val="none" w:color="auto"/>
              </w:rPr>
              <w:t>》</w:t>
            </w:r>
            <w:r>
              <w:rPr>
                <w:rFonts w:hint="eastAsia" w:cs="Times New Roman"/>
                <w:color w:val="auto"/>
                <w:sz w:val="24"/>
                <w:szCs w:val="24"/>
                <w:highlight w:val="none"/>
                <w:u w:val="none" w:color="auto"/>
                <w:lang w:val="en-US" w:eastAsia="zh-CN"/>
              </w:rPr>
              <w:t>附件5全市2024年1-12月地表水水质状况</w:t>
            </w:r>
            <w:r>
              <w:rPr>
                <w:rFonts w:hint="eastAsia"/>
                <w:color w:val="000000" w:themeColor="text1"/>
                <w:sz w:val="24"/>
                <w:u w:val="none" w:color="auto"/>
                <w:lang w:val="en-US" w:eastAsia="zh-CN"/>
                <w14:textFill>
                  <w14:solidFill>
                    <w14:schemeClr w14:val="tx1"/>
                  </w14:solidFill>
                </w14:textFill>
              </w:rPr>
              <w:t>。根据该附件，永州市境内52个地表水监控断面（含港子口断面）：《地表水环境质量标准》（</w:t>
            </w:r>
            <w:r>
              <w:rPr>
                <w:rFonts w:hint="default"/>
                <w:color w:val="000000" w:themeColor="text1"/>
                <w:sz w:val="24"/>
                <w:u w:val="none" w:color="auto"/>
                <w:lang w:val="en-US" w:eastAsia="zh-CN"/>
                <w14:textFill>
                  <w14:solidFill>
                    <w14:schemeClr w14:val="tx1"/>
                  </w14:solidFill>
                </w14:textFill>
              </w:rPr>
              <w:t>GB3838-2002</w:t>
            </w:r>
            <w:r>
              <w:rPr>
                <w:rFonts w:hint="eastAsia"/>
                <w:color w:val="000000" w:themeColor="text1"/>
                <w:sz w:val="24"/>
                <w:u w:val="none" w:color="auto"/>
                <w:lang w:val="en-US" w:eastAsia="zh-CN"/>
                <w14:textFill>
                  <w14:solidFill>
                    <w14:schemeClr w14:val="tx1"/>
                  </w14:solidFill>
                </w14:textFill>
              </w:rPr>
              <w:t>）表</w:t>
            </w:r>
            <w:r>
              <w:rPr>
                <w:rFonts w:hint="default"/>
                <w:color w:val="000000" w:themeColor="text1"/>
                <w:sz w:val="24"/>
                <w:u w:val="none" w:color="auto"/>
                <w:lang w:val="en-US" w:eastAsia="zh-CN"/>
                <w14:textFill>
                  <w14:solidFill>
                    <w14:schemeClr w14:val="tx1"/>
                  </w14:solidFill>
                </w14:textFill>
              </w:rPr>
              <w:t>1</w:t>
            </w:r>
            <w:r>
              <w:rPr>
                <w:rFonts w:hint="eastAsia"/>
                <w:color w:val="000000" w:themeColor="text1"/>
                <w:sz w:val="24"/>
                <w:u w:val="none" w:color="auto"/>
                <w:lang w:val="en-US" w:eastAsia="zh-CN"/>
                <w14:textFill>
                  <w14:solidFill>
                    <w14:schemeClr w14:val="tx1"/>
                  </w14:solidFill>
                </w14:textFill>
              </w:rPr>
              <w:t>中</w:t>
            </w:r>
            <w:r>
              <w:rPr>
                <w:rFonts w:hint="default"/>
                <w:color w:val="000000" w:themeColor="text1"/>
                <w:sz w:val="24"/>
                <w:u w:val="none" w:color="auto"/>
                <w:lang w:val="en-US" w:eastAsia="zh-CN"/>
                <w14:textFill>
                  <w14:solidFill>
                    <w14:schemeClr w14:val="tx1"/>
                  </w14:solidFill>
                </w14:textFill>
              </w:rPr>
              <w:t>21</w:t>
            </w:r>
            <w:r>
              <w:rPr>
                <w:rFonts w:hint="eastAsia"/>
                <w:color w:val="000000" w:themeColor="text1"/>
                <w:sz w:val="24"/>
                <w:u w:val="none" w:color="auto"/>
                <w:lang w:val="en-US" w:eastAsia="zh-CN"/>
                <w14:textFill>
                  <w14:solidFill>
                    <w14:schemeClr w14:val="tx1"/>
                  </w14:solidFill>
                </w14:textFill>
              </w:rPr>
              <w:t>项基本指标，所有断面均达标，达标率为</w:t>
            </w:r>
            <w:r>
              <w:rPr>
                <w:rFonts w:hint="default"/>
                <w:color w:val="000000" w:themeColor="text1"/>
                <w:sz w:val="24"/>
                <w:u w:val="none" w:color="auto"/>
                <w:lang w:val="en-US" w:eastAsia="zh-CN"/>
                <w14:textFill>
                  <w14:solidFill>
                    <w14:schemeClr w14:val="tx1"/>
                  </w14:solidFill>
                </w14:textFill>
              </w:rPr>
              <w:t>100%</w:t>
            </w:r>
            <w:r>
              <w:rPr>
                <w:rFonts w:hint="eastAsia"/>
                <w:color w:val="000000" w:themeColor="text1"/>
                <w:sz w:val="24"/>
                <w:u w:val="none" w:color="auto"/>
                <w:lang w:val="en-US" w:eastAsia="zh-CN"/>
                <w14:textFill>
                  <w14:solidFill>
                    <w14:schemeClr w14:val="tx1"/>
                  </w14:solidFill>
                </w14:textFill>
              </w:rPr>
              <w:t>，湘江港子口断面水质监测结果全部符合</w:t>
            </w:r>
            <w:r>
              <w:rPr>
                <w:rFonts w:hint="default"/>
                <w:color w:val="000000" w:themeColor="text1"/>
                <w:sz w:val="24"/>
                <w:u w:val="none" w:color="auto"/>
                <w:lang w:val="en-US" w:eastAsia="zh-CN"/>
                <w14:textFill>
                  <w14:solidFill>
                    <w14:schemeClr w14:val="tx1"/>
                  </w14:solidFill>
                </w14:textFill>
              </w:rPr>
              <w:t>Ⅱ</w:t>
            </w:r>
            <w:r>
              <w:rPr>
                <w:rFonts w:hint="eastAsia"/>
                <w:color w:val="000000" w:themeColor="text1"/>
                <w:sz w:val="24"/>
                <w:u w:val="none" w:color="auto"/>
                <w:lang w:val="en-US" w:eastAsia="zh-CN"/>
                <w14:textFill>
                  <w14:solidFill>
                    <w14:schemeClr w14:val="tx1"/>
                  </w14:solidFill>
                </w14:textFill>
              </w:rPr>
              <w:t>类指标要求。即项目所在区域湘江相关河段水环境质量较好。详见下图。</w:t>
            </w:r>
          </w:p>
          <w:p w14:paraId="407A20C2">
            <w:pPr>
              <w:pStyle w:val="10"/>
              <w:rPr>
                <w:u w:val="single" w:color="auto"/>
              </w:rPr>
            </w:pPr>
            <w:r>
              <w:rPr>
                <w:sz w:val="24"/>
                <w:u w:val="single" w:color="auto"/>
              </w:rPr>
              <mc:AlternateContent>
                <mc:Choice Requires="wps">
                  <w:drawing>
                    <wp:anchor distT="0" distB="0" distL="114300" distR="114300" simplePos="0" relativeHeight="251660288" behindDoc="0" locked="0" layoutInCell="1" allowOverlap="1">
                      <wp:simplePos x="0" y="0"/>
                      <wp:positionH relativeFrom="column">
                        <wp:posOffset>140335</wp:posOffset>
                      </wp:positionH>
                      <wp:positionV relativeFrom="paragraph">
                        <wp:posOffset>671830</wp:posOffset>
                      </wp:positionV>
                      <wp:extent cx="4057650" cy="123825"/>
                      <wp:effectExtent l="6350" t="6350" r="12700" b="22225"/>
                      <wp:wrapNone/>
                      <wp:docPr id="1" name="矩形 1"/>
                      <wp:cNvGraphicFramePr/>
                      <a:graphic xmlns:a="http://schemas.openxmlformats.org/drawingml/2006/main">
                        <a:graphicData uri="http://schemas.microsoft.com/office/word/2010/wordprocessingShape">
                          <wps:wsp>
                            <wps:cNvSpPr/>
                            <wps:spPr>
                              <a:xfrm>
                                <a:off x="1375410" y="2867660"/>
                                <a:ext cx="4057650" cy="12382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05pt;margin-top:52.9pt;height:9.75pt;width:319.5pt;z-index:251660288;v-text-anchor:middle;mso-width-relative:page;mso-height-relative:page;" filled="f" stroked="t" coordsize="21600,21600" o:gfxdata="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G1Td1QAAAAoBAAAPAAAAAAAAAAEAIAAAACIAAABkcnMvZG93&#10;bnJldi54bWxQSwECFAAUAAAACACHTuJAGFCwjHUCAADXBAAADgAAAAAAAAABACAAAAAkAQAAZHJz&#10;L2Uyb0RvYy54bWxQSwUGAAAAAAYABgBZAQAACwYAAAAA&#10;">
                      <v:fill on="f" focussize="0,0"/>
                      <v:stroke weight="1pt" color="#FF0000 [2404]" miterlimit="8" joinstyle="miter"/>
                      <v:imagedata o:title=""/>
                      <o:lock v:ext="edit" aspectratio="f"/>
                    </v:rect>
                  </w:pict>
                </mc:Fallback>
              </mc:AlternateContent>
            </w:r>
            <w:r>
              <w:rPr>
                <w:sz w:val="24"/>
                <w:u w:val="single" w:color="auto"/>
              </w:rPr>
              <mc:AlternateContent>
                <mc:Choice Requires="wps">
                  <w:drawing>
                    <wp:anchor distT="0" distB="0" distL="114300" distR="114300" simplePos="0" relativeHeight="251661312" behindDoc="0" locked="0" layoutInCell="1" allowOverlap="1">
                      <wp:simplePos x="0" y="0"/>
                      <wp:positionH relativeFrom="column">
                        <wp:posOffset>102235</wp:posOffset>
                      </wp:positionH>
                      <wp:positionV relativeFrom="paragraph">
                        <wp:posOffset>2933065</wp:posOffset>
                      </wp:positionV>
                      <wp:extent cx="4057650" cy="266065"/>
                      <wp:effectExtent l="6350" t="6350" r="12700" b="13335"/>
                      <wp:wrapNone/>
                      <wp:docPr id="17" name="矩形 17"/>
                      <wp:cNvGraphicFramePr/>
                      <a:graphic xmlns:a="http://schemas.openxmlformats.org/drawingml/2006/main">
                        <a:graphicData uri="http://schemas.microsoft.com/office/word/2010/wordprocessingShape">
                          <wps:wsp>
                            <wps:cNvSpPr/>
                            <wps:spPr>
                              <a:xfrm>
                                <a:off x="0" y="0"/>
                                <a:ext cx="4057650" cy="26606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05pt;margin-top:230.95pt;height:20.95pt;width:319.5pt;z-index:251661312;v-text-anchor:middle;mso-width-relative:page;mso-height-relative:page;" filled="f" stroked="t" coordsize="21600,21600" o:gfxdata="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dKvuNcAAAAKAQAADwAAAAAAAAABACAAAAAiAAAAZHJzL2Rvd25yZXYueG1s&#10;UEsBAhQAFAAAAAgAh07iQNgDbulrAgAAzQQAAA4AAAAAAAAAAQAgAAAAJgEAAGRycy9lMm9Eb2Mu&#10;eG1sUEsFBgAAAAAGAAYAWQEAAAMGAAAAAA==&#10;">
                      <v:fill on="f" focussize="0,0"/>
                      <v:stroke weight="1pt" color="#FF0000 [2404]" miterlimit="8" joinstyle="miter"/>
                      <v:imagedata o:title=""/>
                      <o:lock v:ext="edit" aspectratio="f"/>
                    </v:rect>
                  </w:pict>
                </mc:Fallback>
              </mc:AlternateContent>
            </w:r>
            <w:r>
              <w:rPr>
                <w:u w:val="single" w:color="auto"/>
              </w:rPr>
              <w:drawing>
                <wp:inline distT="0" distB="0" distL="114300" distR="114300">
                  <wp:extent cx="5535295" cy="3195955"/>
                  <wp:effectExtent l="0" t="0" r="8255" b="444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16"/>
                          <a:srcRect t="4316"/>
                          <a:stretch>
                            <a:fillRect/>
                          </a:stretch>
                        </pic:blipFill>
                        <pic:spPr>
                          <a:xfrm>
                            <a:off x="0" y="0"/>
                            <a:ext cx="5535295" cy="3195955"/>
                          </a:xfrm>
                          <a:prstGeom prst="rect">
                            <a:avLst/>
                          </a:prstGeom>
                          <a:noFill/>
                          <a:ln>
                            <a:noFill/>
                          </a:ln>
                        </pic:spPr>
                      </pic:pic>
                    </a:graphicData>
                  </a:graphic>
                </wp:inline>
              </w:drawing>
            </w:r>
          </w:p>
          <w:p w14:paraId="0C2B3BC7">
            <w:pPr>
              <w:pStyle w:val="10"/>
              <w:jc w:val="center"/>
              <w:rPr>
                <w:rFonts w:hint="default" w:ascii="Times New Roman" w:hAnsi="Times New Roman" w:cs="Times New Roman"/>
                <w:sz w:val="21"/>
                <w:szCs w:val="21"/>
                <w:u w:val="none" w:color="auto"/>
                <w:lang w:val="en-US" w:eastAsia="zh-CN"/>
              </w:rPr>
            </w:pPr>
            <w:r>
              <w:rPr>
                <w:rFonts w:hint="default" w:ascii="Times New Roman" w:hAnsi="Times New Roman" w:cs="Times New Roman"/>
                <w:sz w:val="21"/>
                <w:szCs w:val="21"/>
                <w:u w:val="none" w:color="auto"/>
                <w:lang w:val="en-US" w:eastAsia="zh-CN"/>
              </w:rPr>
              <w:t>图3-1</w:t>
            </w:r>
            <w:r>
              <w:rPr>
                <w:rFonts w:hint="eastAsia" w:ascii="Times New Roman" w:hAnsi="Times New Roman" w:cs="Times New Roman"/>
                <w:sz w:val="21"/>
                <w:szCs w:val="21"/>
                <w:u w:val="none" w:color="auto"/>
                <w:lang w:val="en-US" w:eastAsia="zh-CN"/>
              </w:rPr>
              <w:t xml:space="preserve">  永州市</w:t>
            </w:r>
            <w:r>
              <w:rPr>
                <w:rFonts w:hint="default" w:ascii="Times New Roman" w:hAnsi="Times New Roman" w:cs="Times New Roman"/>
                <w:sz w:val="21"/>
                <w:szCs w:val="21"/>
                <w:u w:val="none" w:color="auto"/>
                <w:lang w:val="en-US" w:eastAsia="zh-CN"/>
              </w:rPr>
              <w:t>2024年1-12月地表水水质状况</w:t>
            </w:r>
          </w:p>
          <w:p w14:paraId="3AAE10FF">
            <w:pPr>
              <w:widowControl/>
              <w:spacing w:line="360" w:lineRule="auto"/>
              <w:jc w:val="left"/>
              <w:rPr>
                <w:b/>
                <w:color w:val="auto"/>
                <w:sz w:val="28"/>
                <w:szCs w:val="28"/>
                <w:highlight w:val="none"/>
                <w:u w:val="none"/>
              </w:rPr>
            </w:pPr>
            <w:r>
              <w:rPr>
                <w:rFonts w:hint="eastAsia"/>
                <w:b/>
                <w:color w:val="auto"/>
                <w:sz w:val="24"/>
                <w:szCs w:val="24"/>
                <w:highlight w:val="none"/>
                <w:u w:val="none"/>
              </w:rPr>
              <w:t>3、</w:t>
            </w:r>
            <w:r>
              <w:rPr>
                <w:b/>
                <w:color w:val="auto"/>
                <w:sz w:val="24"/>
                <w:szCs w:val="24"/>
                <w:highlight w:val="none"/>
                <w:u w:val="none"/>
              </w:rPr>
              <w:t>声环境</w:t>
            </w:r>
            <w:r>
              <w:rPr>
                <w:rFonts w:hint="eastAsia"/>
                <w:b/>
                <w:color w:val="auto"/>
                <w:sz w:val="24"/>
                <w:szCs w:val="24"/>
                <w:highlight w:val="none"/>
                <w:u w:val="none"/>
              </w:rPr>
              <w:t>质量现状</w:t>
            </w:r>
          </w:p>
          <w:p w14:paraId="513B2AB3">
            <w:pPr>
              <w:pStyle w:val="45"/>
              <w:ind w:firstLine="480" w:firstLineChars="200"/>
              <w:rPr>
                <w:b/>
                <w:bCs/>
                <w:color w:val="auto"/>
                <w:highlight w:val="none"/>
                <w:u w:val="none"/>
              </w:rPr>
            </w:pPr>
            <w:r>
              <w:rPr>
                <w:rFonts w:hint="eastAsia"/>
                <w:color w:val="auto"/>
                <w:sz w:val="24"/>
                <w:highlight w:val="none"/>
                <w:u w:val="none" w:color="auto"/>
              </w:rPr>
              <w:t>本项目厂界外周边50米范围内不存在声环境保护目标，因此根据《建设项目环境影响报告表编制技术指南（污染影响类）（试行）》中的规定，本项目可不进行声环境质量现状监测。</w:t>
            </w:r>
          </w:p>
          <w:p w14:paraId="3E238832">
            <w:pPr>
              <w:pStyle w:val="45"/>
              <w:ind w:firstLine="0"/>
              <w:rPr>
                <w:b/>
                <w:bCs/>
                <w:color w:val="auto"/>
                <w:highlight w:val="none"/>
                <w:u w:val="none"/>
              </w:rPr>
            </w:pPr>
            <w:r>
              <w:rPr>
                <w:rFonts w:hint="eastAsia"/>
                <w:b/>
                <w:bCs/>
                <w:color w:val="auto"/>
                <w:highlight w:val="none"/>
                <w:u w:val="none"/>
              </w:rPr>
              <w:t>4、生态环境</w:t>
            </w:r>
          </w:p>
          <w:p w14:paraId="71E90EB5">
            <w:pPr>
              <w:pStyle w:val="45"/>
              <w:rPr>
                <w:color w:val="auto"/>
                <w:highlight w:val="none"/>
                <w:u w:val="none"/>
              </w:rPr>
            </w:pPr>
            <w:r>
              <w:rPr>
                <w:color w:val="auto"/>
                <w:highlight w:val="none"/>
                <w:u w:val="none"/>
              </w:rPr>
              <w:t>本项目</w:t>
            </w:r>
            <w:r>
              <w:rPr>
                <w:rFonts w:hint="eastAsia"/>
                <w:color w:val="auto"/>
                <w:highlight w:val="none"/>
                <w:u w:val="none"/>
                <w:lang w:val="en-US" w:eastAsia="zh-CN"/>
              </w:rPr>
              <w:t>位于工业园范围内</w:t>
            </w:r>
            <w:r>
              <w:rPr>
                <w:rFonts w:hint="eastAsia"/>
                <w:color w:val="auto"/>
                <w:highlight w:val="none"/>
                <w:u w:val="none"/>
              </w:rPr>
              <w:t>，</w:t>
            </w:r>
            <w:r>
              <w:rPr>
                <w:rFonts w:hint="eastAsia"/>
                <w:color w:val="auto"/>
                <w:highlight w:val="none"/>
                <w:u w:val="none"/>
                <w:lang w:val="en-US" w:eastAsia="zh-CN"/>
              </w:rPr>
              <w:t>不属于</w:t>
            </w:r>
            <w:r>
              <w:rPr>
                <w:rFonts w:hint="eastAsia"/>
                <w:color w:val="auto"/>
                <w:highlight w:val="none"/>
                <w:u w:val="none"/>
              </w:rPr>
              <w:t>产业园区外建设项目新增用地且用地范围内含有生态环境保护目标</w:t>
            </w:r>
            <w:r>
              <w:rPr>
                <w:rFonts w:hint="eastAsia"/>
                <w:color w:val="auto"/>
                <w:highlight w:val="none"/>
                <w:u w:val="none"/>
                <w:lang w:eastAsia="zh-CN"/>
              </w:rPr>
              <w:t>，</w:t>
            </w:r>
            <w:r>
              <w:rPr>
                <w:rFonts w:hint="eastAsia"/>
                <w:color w:val="auto"/>
                <w:highlight w:val="none"/>
                <w:u w:val="none"/>
                <w:lang w:val="en-US" w:eastAsia="zh-CN"/>
              </w:rPr>
              <w:t>故可不进行生态环境调查</w:t>
            </w:r>
            <w:r>
              <w:rPr>
                <w:color w:val="auto"/>
                <w:highlight w:val="none"/>
                <w:u w:val="none"/>
              </w:rPr>
              <w:t>。</w:t>
            </w:r>
          </w:p>
          <w:p w14:paraId="045663F4">
            <w:pPr>
              <w:pStyle w:val="45"/>
              <w:ind w:firstLine="0"/>
              <w:rPr>
                <w:b/>
                <w:bCs/>
                <w:color w:val="auto"/>
                <w:highlight w:val="none"/>
                <w:u w:val="none"/>
              </w:rPr>
            </w:pPr>
            <w:r>
              <w:rPr>
                <w:rFonts w:hint="eastAsia"/>
                <w:b/>
                <w:bCs/>
                <w:color w:val="auto"/>
                <w:highlight w:val="none"/>
                <w:u w:val="none"/>
              </w:rPr>
              <w:t>5、地下水、土壤环境</w:t>
            </w:r>
          </w:p>
          <w:p w14:paraId="354E00E3">
            <w:pPr>
              <w:pStyle w:val="45"/>
              <w:rPr>
                <w:color w:val="auto"/>
                <w:highlight w:val="none"/>
                <w:u w:val="none"/>
              </w:rPr>
            </w:pPr>
            <w:r>
              <w:rPr>
                <w:color w:val="auto"/>
                <w:highlight w:val="none"/>
                <w:u w:val="none"/>
              </w:rPr>
              <w:t>根据《建设项目环境影响报告表编制技术指南（污染影响类）（试行）》中提到的</w:t>
            </w:r>
            <w:r>
              <w:rPr>
                <w:rFonts w:hint="eastAsia"/>
                <w:color w:val="auto"/>
                <w:highlight w:val="none"/>
                <w:u w:val="none"/>
              </w:rPr>
              <w:t>“</w:t>
            </w:r>
            <w:r>
              <w:rPr>
                <w:color w:val="auto"/>
                <w:highlight w:val="none"/>
                <w:u w:val="none"/>
              </w:rPr>
              <w:t>原则上不开展环境质量现状调查。建设项目存在土壤、地下水环境污染途径的，应结合污染源、保护目标分布情况开展现状调查以留作背景值</w:t>
            </w:r>
            <w:r>
              <w:rPr>
                <w:rFonts w:hint="eastAsia"/>
                <w:color w:val="auto"/>
                <w:highlight w:val="none"/>
                <w:u w:val="none"/>
              </w:rPr>
              <w:t>”</w:t>
            </w:r>
            <w:r>
              <w:rPr>
                <w:color w:val="auto"/>
                <w:highlight w:val="none"/>
                <w:u w:val="none"/>
              </w:rPr>
              <w:t>。本项目位于</w:t>
            </w:r>
            <w:r>
              <w:rPr>
                <w:rFonts w:hint="eastAsia"/>
                <w:color w:val="auto"/>
                <w:highlight w:val="none"/>
                <w:u w:val="none"/>
              </w:rPr>
              <w:t>工</w:t>
            </w:r>
            <w:r>
              <w:rPr>
                <w:color w:val="auto"/>
                <w:highlight w:val="none"/>
                <w:u w:val="none"/>
              </w:rPr>
              <w:t>业园内，生产工艺主要污染物为</w:t>
            </w:r>
            <w:r>
              <w:rPr>
                <w:rFonts w:hint="eastAsia"/>
                <w:color w:val="auto"/>
                <w:highlight w:val="none"/>
                <w:u w:val="none"/>
                <w:lang w:val="en-US" w:eastAsia="zh-CN"/>
              </w:rPr>
              <w:t>废气、噪声、固废</w:t>
            </w:r>
            <w:r>
              <w:rPr>
                <w:color w:val="auto"/>
                <w:highlight w:val="none"/>
                <w:u w:val="none"/>
              </w:rPr>
              <w:t>，不涉及土壤、地下水环境的污染途径，故可不开展现状调查。</w:t>
            </w:r>
          </w:p>
          <w:p w14:paraId="2966C3E6">
            <w:pPr>
              <w:pStyle w:val="45"/>
              <w:ind w:firstLine="0"/>
              <w:rPr>
                <w:b/>
                <w:bCs/>
                <w:color w:val="auto"/>
                <w:highlight w:val="none"/>
                <w:u w:val="none"/>
              </w:rPr>
            </w:pPr>
            <w:r>
              <w:rPr>
                <w:rFonts w:hint="eastAsia"/>
                <w:b/>
                <w:bCs/>
                <w:color w:val="auto"/>
                <w:highlight w:val="none"/>
                <w:u w:val="none"/>
              </w:rPr>
              <w:t>6、电磁辐射</w:t>
            </w:r>
          </w:p>
          <w:p w14:paraId="646220B6">
            <w:pPr>
              <w:pStyle w:val="45"/>
              <w:rPr>
                <w:color w:val="auto"/>
                <w:kern w:val="0"/>
                <w:szCs w:val="24"/>
                <w:highlight w:val="none"/>
                <w:u w:val="none"/>
              </w:rPr>
            </w:pPr>
            <w:r>
              <w:rPr>
                <w:rFonts w:hint="eastAsia"/>
                <w:color w:val="auto"/>
                <w:highlight w:val="none"/>
                <w:u w:val="none"/>
              </w:rPr>
              <w:t>本项目不涉及电磁辐射设备，不进行电磁辐射影响评价，因此无需进行电磁辐射环境现状调查。</w:t>
            </w:r>
          </w:p>
        </w:tc>
      </w:tr>
      <w:tr w14:paraId="0250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187" w:type="dxa"/>
            <w:vAlign w:val="center"/>
          </w:tcPr>
          <w:p w14:paraId="221F9218">
            <w:pPr>
              <w:spacing w:line="360" w:lineRule="auto"/>
              <w:jc w:val="center"/>
              <w:rPr>
                <w:rFonts w:hint="eastAsia" w:ascii="Times New Roman" w:hAnsi="Times New Roman" w:eastAsia="宋体" w:cs="Times New Roman"/>
                <w:color w:val="auto"/>
                <w:kern w:val="2"/>
                <w:sz w:val="24"/>
                <w:szCs w:val="21"/>
                <w:highlight w:val="none"/>
                <w:u w:val="none" w:color="auto"/>
                <w:lang w:val="en-US" w:eastAsia="zh-CN" w:bidi="ar-SA"/>
              </w:rPr>
            </w:pPr>
            <w:r>
              <w:rPr>
                <w:rFonts w:hint="eastAsia" w:ascii="Times New Roman" w:hAnsi="Times New Roman" w:eastAsia="宋体" w:cs="Times New Roman"/>
                <w:color w:val="auto"/>
                <w:kern w:val="2"/>
                <w:sz w:val="24"/>
                <w:szCs w:val="21"/>
                <w:highlight w:val="none"/>
                <w:u w:val="none" w:color="auto"/>
                <w:lang w:val="en-US" w:eastAsia="zh-CN" w:bidi="ar-SA"/>
              </w:rPr>
              <w:t>环境保护</w:t>
            </w:r>
          </w:p>
          <w:p w14:paraId="7C1D1EEE">
            <w:pPr>
              <w:spacing w:line="360" w:lineRule="auto"/>
              <w:jc w:val="center"/>
              <w:rPr>
                <w:rFonts w:hint="eastAsia" w:ascii="Times New Roman" w:hAnsi="Times New Roman" w:eastAsia="宋体" w:cs="Times New Roman"/>
                <w:color w:val="auto"/>
                <w:kern w:val="2"/>
                <w:sz w:val="24"/>
                <w:szCs w:val="21"/>
                <w:highlight w:val="none"/>
                <w:u w:val="none" w:color="auto"/>
                <w:lang w:val="en-US" w:eastAsia="zh-CN" w:bidi="ar-SA"/>
              </w:rPr>
            </w:pPr>
            <w:r>
              <w:rPr>
                <w:rFonts w:hint="eastAsia" w:ascii="Times New Roman" w:hAnsi="Times New Roman" w:eastAsia="宋体" w:cs="Times New Roman"/>
                <w:color w:val="auto"/>
                <w:kern w:val="2"/>
                <w:sz w:val="24"/>
                <w:szCs w:val="21"/>
                <w:highlight w:val="none"/>
                <w:u w:val="none" w:color="auto"/>
                <w:lang w:val="en-US" w:eastAsia="zh-CN" w:bidi="ar-SA"/>
              </w:rPr>
              <w:t>目标</w:t>
            </w:r>
          </w:p>
        </w:tc>
        <w:tc>
          <w:tcPr>
            <w:tcW w:w="7884" w:type="dxa"/>
          </w:tcPr>
          <w:p w14:paraId="1090B1D8">
            <w:pPr>
              <w:pStyle w:val="45"/>
              <w:rPr>
                <w:rFonts w:hint="eastAsia" w:ascii="Times New Roman" w:hAnsi="Times New Roman" w:eastAsia="宋体" w:cs="Times New Roman"/>
                <w:color w:val="auto"/>
                <w:kern w:val="2"/>
                <w:sz w:val="24"/>
                <w:szCs w:val="21"/>
                <w:highlight w:val="none"/>
                <w:u w:val="none" w:color="auto"/>
                <w:lang w:val="en-US" w:eastAsia="zh-CN" w:bidi="ar-SA"/>
              </w:rPr>
            </w:pPr>
            <w:r>
              <w:rPr>
                <w:rFonts w:hint="eastAsia" w:ascii="Times New Roman" w:hAnsi="Times New Roman" w:eastAsia="宋体" w:cs="Times New Roman"/>
                <w:color w:val="auto"/>
                <w:kern w:val="2"/>
                <w:sz w:val="24"/>
                <w:szCs w:val="21"/>
                <w:highlight w:val="none"/>
                <w:u w:val="none" w:color="auto"/>
                <w:lang w:val="en-US" w:eastAsia="zh-CN" w:bidi="ar-SA"/>
              </w:rPr>
              <w:t>（一）环境保护目标</w:t>
            </w:r>
          </w:p>
          <w:p w14:paraId="439FB9C4">
            <w:pPr>
              <w:pStyle w:val="45"/>
              <w:rPr>
                <w:rFonts w:hint="eastAsia" w:ascii="Times New Roman" w:hAnsi="Times New Roman" w:eastAsia="宋体" w:cs="Times New Roman"/>
                <w:color w:val="auto"/>
                <w:kern w:val="2"/>
                <w:sz w:val="24"/>
                <w:szCs w:val="21"/>
                <w:highlight w:val="none"/>
                <w:u w:val="none" w:color="auto"/>
                <w:lang w:val="en-US" w:eastAsia="zh-CN" w:bidi="ar-SA"/>
              </w:rPr>
            </w:pPr>
            <w:r>
              <w:rPr>
                <w:rFonts w:hint="eastAsia" w:ascii="Times New Roman" w:hAnsi="Times New Roman" w:eastAsia="宋体" w:cs="Times New Roman"/>
                <w:color w:val="auto"/>
                <w:kern w:val="2"/>
                <w:sz w:val="24"/>
                <w:szCs w:val="21"/>
                <w:highlight w:val="none"/>
                <w:u w:val="none" w:color="auto"/>
                <w:lang w:val="en-US" w:eastAsia="zh-CN" w:bidi="ar-SA"/>
              </w:rPr>
              <w:t>（1）大气环境保护目标：</w:t>
            </w:r>
          </w:p>
          <w:p w14:paraId="2BA4933E">
            <w:pPr>
              <w:pStyle w:val="45"/>
              <w:rPr>
                <w:rFonts w:hint="eastAsia" w:ascii="Times New Roman" w:hAnsi="Times New Roman" w:eastAsia="宋体" w:cs="Times New Roman"/>
                <w:color w:val="auto"/>
                <w:kern w:val="2"/>
                <w:sz w:val="24"/>
                <w:szCs w:val="21"/>
                <w:highlight w:val="none"/>
                <w:u w:val="none" w:color="auto"/>
                <w:lang w:val="en-US" w:eastAsia="zh-CN" w:bidi="ar-SA"/>
              </w:rPr>
            </w:pPr>
            <w:r>
              <w:rPr>
                <w:rFonts w:hint="eastAsia" w:ascii="Times New Roman" w:hAnsi="Times New Roman" w:eastAsia="宋体" w:cs="Times New Roman"/>
                <w:color w:val="auto"/>
                <w:kern w:val="2"/>
                <w:sz w:val="24"/>
                <w:szCs w:val="21"/>
                <w:highlight w:val="none"/>
                <w:u w:val="none" w:color="auto"/>
                <w:lang w:val="en-US" w:eastAsia="zh-CN" w:bidi="ar-SA"/>
              </w:rPr>
              <w:t>本项目大气环境保护目标详见大气环境影响专项分析章节。</w:t>
            </w:r>
          </w:p>
          <w:p w14:paraId="2F473C2D">
            <w:pPr>
              <w:pStyle w:val="45"/>
              <w:rPr>
                <w:rFonts w:hint="eastAsia" w:ascii="Times New Roman" w:hAnsi="Times New Roman" w:eastAsia="宋体" w:cs="Times New Roman"/>
                <w:color w:val="auto"/>
                <w:kern w:val="2"/>
                <w:sz w:val="24"/>
                <w:szCs w:val="21"/>
                <w:highlight w:val="none"/>
                <w:u w:val="none" w:color="auto"/>
                <w:lang w:val="en-US" w:eastAsia="zh-CN" w:bidi="ar-SA"/>
              </w:rPr>
            </w:pPr>
            <w:r>
              <w:rPr>
                <w:rFonts w:hint="eastAsia" w:ascii="Times New Roman" w:hAnsi="Times New Roman" w:eastAsia="宋体" w:cs="Times New Roman"/>
                <w:color w:val="auto"/>
                <w:kern w:val="2"/>
                <w:sz w:val="24"/>
                <w:szCs w:val="21"/>
                <w:highlight w:val="none"/>
                <w:u w:val="none" w:color="auto"/>
                <w:lang w:val="en-US" w:eastAsia="zh-CN" w:bidi="ar-SA"/>
              </w:rPr>
              <w:t>（2）声环境保护目标：</w:t>
            </w:r>
          </w:p>
          <w:p w14:paraId="486A5BB3">
            <w:pPr>
              <w:pStyle w:val="45"/>
              <w:rPr>
                <w:rFonts w:hint="eastAsia" w:ascii="Times New Roman" w:hAnsi="Times New Roman" w:eastAsia="宋体" w:cs="Times New Roman"/>
                <w:color w:val="auto"/>
                <w:kern w:val="2"/>
                <w:sz w:val="24"/>
                <w:szCs w:val="21"/>
                <w:highlight w:val="none"/>
                <w:u w:val="none" w:color="auto"/>
                <w:lang w:val="en-US" w:eastAsia="zh-CN" w:bidi="ar-SA"/>
              </w:rPr>
            </w:pPr>
            <w:r>
              <w:rPr>
                <w:rFonts w:hint="eastAsia" w:ascii="Times New Roman" w:hAnsi="Times New Roman" w:eastAsia="宋体" w:cs="Times New Roman"/>
                <w:color w:val="auto"/>
                <w:kern w:val="2"/>
                <w:sz w:val="24"/>
                <w:szCs w:val="21"/>
                <w:highlight w:val="none"/>
                <w:u w:val="none" w:color="auto"/>
                <w:lang w:val="en-US" w:eastAsia="zh-CN" w:bidi="ar-SA"/>
              </w:rPr>
              <w:t>本项目50m范围内无声环境保护目标。</w:t>
            </w:r>
          </w:p>
          <w:p w14:paraId="0DEA255D">
            <w:pPr>
              <w:pStyle w:val="45"/>
              <w:rPr>
                <w:rFonts w:hint="eastAsia" w:ascii="Times New Roman" w:hAnsi="Times New Roman" w:eastAsia="宋体" w:cs="Times New Roman"/>
                <w:color w:val="auto"/>
                <w:kern w:val="2"/>
                <w:sz w:val="24"/>
                <w:szCs w:val="21"/>
                <w:highlight w:val="none"/>
                <w:u w:val="none" w:color="auto"/>
                <w:lang w:val="en-US" w:eastAsia="zh-CN" w:bidi="ar-SA"/>
              </w:rPr>
            </w:pPr>
            <w:r>
              <w:rPr>
                <w:rFonts w:hint="eastAsia" w:ascii="Times New Roman" w:hAnsi="Times New Roman" w:eastAsia="宋体" w:cs="Times New Roman"/>
                <w:color w:val="auto"/>
                <w:kern w:val="2"/>
                <w:sz w:val="24"/>
                <w:szCs w:val="21"/>
                <w:highlight w:val="none"/>
                <w:u w:val="none" w:color="auto"/>
                <w:lang w:val="en-US" w:eastAsia="zh-CN" w:bidi="ar-SA"/>
              </w:rPr>
              <w:t>（3）地下水环境保护目标</w:t>
            </w:r>
          </w:p>
          <w:p w14:paraId="032A6BEC">
            <w:pPr>
              <w:pStyle w:val="45"/>
              <w:rPr>
                <w:rFonts w:hint="eastAsia" w:ascii="Times New Roman" w:hAnsi="Times New Roman" w:eastAsia="宋体" w:cs="Times New Roman"/>
                <w:color w:val="auto"/>
                <w:kern w:val="2"/>
                <w:sz w:val="24"/>
                <w:szCs w:val="21"/>
                <w:highlight w:val="none"/>
                <w:u w:val="none" w:color="auto"/>
                <w:lang w:val="en-US" w:eastAsia="zh-CN" w:bidi="ar-SA"/>
              </w:rPr>
            </w:pPr>
            <w:r>
              <w:rPr>
                <w:rFonts w:hint="eastAsia" w:ascii="Times New Roman" w:hAnsi="Times New Roman" w:eastAsia="宋体" w:cs="Times New Roman"/>
                <w:color w:val="auto"/>
                <w:kern w:val="2"/>
                <w:sz w:val="24"/>
                <w:szCs w:val="21"/>
                <w:highlight w:val="none"/>
                <w:u w:val="none" w:color="auto"/>
                <w:lang w:val="en-US" w:eastAsia="zh-CN" w:bidi="ar-SA"/>
              </w:rPr>
              <w:t>厂界外500米范围内无地下水集中式饮用水水源和热水、矿泉水、温泉等特殊地下水环境保护目标。</w:t>
            </w:r>
          </w:p>
          <w:p w14:paraId="526A3221">
            <w:pPr>
              <w:pStyle w:val="100"/>
              <w:spacing w:line="360" w:lineRule="auto"/>
              <w:ind w:firstLine="482"/>
              <w:jc w:val="left"/>
              <w:rPr>
                <w:rFonts w:hint="eastAsia" w:ascii="Times New Roman" w:hAnsi="Times New Roman" w:eastAsia="宋体" w:cs="Times New Roman"/>
                <w:color w:val="auto"/>
                <w:kern w:val="2"/>
                <w:sz w:val="24"/>
                <w:szCs w:val="21"/>
                <w:highlight w:val="none"/>
                <w:u w:val="none" w:color="auto"/>
                <w:lang w:val="en-US" w:eastAsia="zh-CN" w:bidi="ar-SA"/>
              </w:rPr>
            </w:pPr>
            <w:r>
              <w:rPr>
                <w:rFonts w:hint="eastAsia" w:ascii="Times New Roman" w:hAnsi="Times New Roman" w:eastAsia="宋体" w:cs="Times New Roman"/>
                <w:color w:val="auto"/>
                <w:kern w:val="2"/>
                <w:sz w:val="24"/>
                <w:szCs w:val="21"/>
                <w:highlight w:val="none"/>
                <w:u w:val="none" w:color="auto"/>
                <w:lang w:val="en-US" w:eastAsia="zh-CN" w:bidi="ar-SA"/>
              </w:rPr>
              <w:t>（4）生态环境</w:t>
            </w:r>
          </w:p>
          <w:p w14:paraId="0BEFAB60">
            <w:pPr>
              <w:pStyle w:val="45"/>
              <w:rPr>
                <w:rFonts w:hint="eastAsia" w:ascii="Times New Roman" w:hAnsi="Times New Roman" w:eastAsia="宋体" w:cs="Times New Roman"/>
                <w:color w:val="auto"/>
                <w:kern w:val="2"/>
                <w:sz w:val="24"/>
                <w:szCs w:val="21"/>
                <w:highlight w:val="none"/>
                <w:u w:val="none" w:color="auto"/>
                <w:lang w:val="en-US" w:eastAsia="zh-CN" w:bidi="ar-SA"/>
              </w:rPr>
            </w:pPr>
            <w:r>
              <w:rPr>
                <w:rFonts w:hint="eastAsia" w:ascii="Times New Roman" w:hAnsi="Times New Roman" w:eastAsia="宋体" w:cs="Times New Roman"/>
                <w:color w:val="auto"/>
                <w:kern w:val="2"/>
                <w:sz w:val="24"/>
                <w:szCs w:val="21"/>
                <w:highlight w:val="none"/>
                <w:u w:val="none" w:color="auto"/>
                <w:lang w:val="en-US" w:eastAsia="zh-CN" w:bidi="ar-SA"/>
              </w:rPr>
              <w:t>本项目位于永州市经济技术开发区，项目周边主要为工业区用地，无生态环境保护目标。</w:t>
            </w:r>
          </w:p>
        </w:tc>
      </w:tr>
      <w:tr w14:paraId="4B56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vAlign w:val="center"/>
          </w:tcPr>
          <w:p w14:paraId="41C5EC68">
            <w:pPr>
              <w:spacing w:line="360" w:lineRule="auto"/>
              <w:jc w:val="center"/>
              <w:rPr>
                <w:color w:val="auto"/>
                <w:kern w:val="0"/>
                <w:sz w:val="24"/>
                <w:szCs w:val="24"/>
                <w:highlight w:val="none"/>
                <w:u w:val="none"/>
              </w:rPr>
            </w:pPr>
            <w:r>
              <w:rPr>
                <w:rFonts w:hint="eastAsia"/>
                <w:color w:val="auto"/>
                <w:kern w:val="0"/>
                <w:sz w:val="24"/>
                <w:szCs w:val="24"/>
                <w:highlight w:val="none"/>
                <w:u w:val="none"/>
              </w:rPr>
              <w:t>污染物排放控制标准</w:t>
            </w:r>
          </w:p>
        </w:tc>
        <w:tc>
          <w:tcPr>
            <w:tcW w:w="7884" w:type="dxa"/>
          </w:tcPr>
          <w:p w14:paraId="76434011">
            <w:pPr>
              <w:spacing w:line="360" w:lineRule="auto"/>
              <w:rPr>
                <w:b/>
                <w:bCs/>
                <w:color w:val="auto"/>
                <w:kern w:val="0"/>
                <w:sz w:val="24"/>
                <w:szCs w:val="24"/>
                <w:highlight w:val="none"/>
                <w:u w:val="none"/>
              </w:rPr>
            </w:pPr>
            <w:r>
              <w:rPr>
                <w:rFonts w:hint="eastAsia"/>
                <w:b/>
                <w:bCs/>
                <w:color w:val="auto"/>
                <w:kern w:val="0"/>
                <w:sz w:val="24"/>
                <w:szCs w:val="24"/>
                <w:highlight w:val="none"/>
                <w:u w:val="none"/>
              </w:rPr>
              <w:t>1、废气排放标准</w:t>
            </w:r>
          </w:p>
          <w:p w14:paraId="16F94A89">
            <w:pPr>
              <w:spacing w:line="360" w:lineRule="auto"/>
              <w:ind w:firstLine="480" w:firstLineChars="200"/>
              <w:rPr>
                <w:rFonts w:hint="default"/>
                <w:bCs/>
                <w:color w:val="auto"/>
                <w:sz w:val="24"/>
                <w:highlight w:val="none"/>
                <w:u w:val="none"/>
                <w:lang w:val="en-US" w:eastAsia="zh-CN"/>
              </w:rPr>
            </w:pPr>
            <w:r>
              <w:rPr>
                <w:bCs/>
                <w:color w:val="auto"/>
                <w:sz w:val="24"/>
                <w:highlight w:val="none"/>
                <w:u w:val="none"/>
              </w:rPr>
              <w:t>本项目营运期</w:t>
            </w:r>
            <w:r>
              <w:rPr>
                <w:rFonts w:hint="eastAsia" w:ascii="Times New Roman" w:hAnsi="Times New Roman" w:eastAsia="宋体" w:cs="Times New Roman"/>
                <w:color w:val="auto"/>
                <w:sz w:val="24"/>
                <w:szCs w:val="24"/>
                <w:u w:val="none"/>
                <w:lang w:val="en-US" w:eastAsia="zh-CN"/>
              </w:rPr>
              <w:t>注塑工序产生的非甲烷总烃、甲醛、酚类、四氢呋喃、乙醛有组织排放执行《合成树脂工业污染物排放标准》（</w:t>
            </w:r>
            <w:r>
              <w:rPr>
                <w:rFonts w:hint="default" w:ascii="Times New Roman" w:hAnsi="Times New Roman" w:eastAsia="宋体" w:cs="Times New Roman"/>
                <w:color w:val="auto"/>
                <w:sz w:val="24"/>
                <w:szCs w:val="24"/>
                <w:u w:val="none"/>
                <w:lang w:val="en-US" w:eastAsia="zh-CN"/>
              </w:rPr>
              <w:t>GB31572-2015</w:t>
            </w:r>
            <w:r>
              <w:rPr>
                <w:rFonts w:hint="eastAsia" w:ascii="Times New Roman" w:hAnsi="Times New Roman" w:eastAsia="宋体" w:cs="Times New Roman"/>
                <w:color w:val="auto"/>
                <w:sz w:val="24"/>
                <w:szCs w:val="24"/>
                <w:u w:val="none"/>
                <w:lang w:val="en-US" w:eastAsia="zh-CN"/>
              </w:rPr>
              <w:t xml:space="preserve">，含 </w:t>
            </w:r>
            <w:r>
              <w:rPr>
                <w:rFonts w:hint="default" w:ascii="Times New Roman" w:hAnsi="Times New Roman" w:eastAsia="宋体" w:cs="Times New Roman"/>
                <w:color w:val="auto"/>
                <w:sz w:val="24"/>
                <w:szCs w:val="24"/>
                <w:u w:val="none"/>
                <w:lang w:val="en-US" w:eastAsia="zh-CN"/>
              </w:rPr>
              <w:t xml:space="preserve">2024 </w:t>
            </w:r>
            <w:r>
              <w:rPr>
                <w:rFonts w:hint="eastAsia" w:ascii="Times New Roman" w:hAnsi="Times New Roman" w:eastAsia="宋体" w:cs="Times New Roman"/>
                <w:color w:val="auto"/>
                <w:sz w:val="24"/>
                <w:szCs w:val="24"/>
                <w:u w:val="none"/>
                <w:lang w:val="en-US" w:eastAsia="zh-CN"/>
              </w:rPr>
              <w:t>年修改单）表</w:t>
            </w:r>
            <w:r>
              <w:rPr>
                <w:rFonts w:hint="default" w:ascii="Times New Roman" w:hAnsi="Times New Roman" w:eastAsia="宋体" w:cs="Times New Roman"/>
                <w:color w:val="auto"/>
                <w:sz w:val="24"/>
                <w:szCs w:val="24"/>
                <w:u w:val="none"/>
                <w:lang w:val="en-US" w:eastAsia="zh-CN"/>
              </w:rPr>
              <w:t>5</w:t>
            </w:r>
            <w:r>
              <w:rPr>
                <w:rFonts w:hint="eastAsia" w:ascii="Times New Roman" w:hAnsi="Times New Roman" w:eastAsia="宋体" w:cs="Times New Roman"/>
                <w:color w:val="auto"/>
                <w:sz w:val="24"/>
                <w:szCs w:val="24"/>
                <w:u w:val="none"/>
                <w:lang w:val="en-US" w:eastAsia="zh-CN"/>
              </w:rPr>
              <w:t>大气污染物排放限值，无组织废气执行《大气污染物综合排放标准》（GB16297-1996）表2和《合成树脂工业污染物排放标准》（</w:t>
            </w:r>
            <w:r>
              <w:rPr>
                <w:rFonts w:hint="default" w:ascii="Times New Roman" w:hAnsi="Times New Roman" w:eastAsia="宋体" w:cs="Times New Roman"/>
                <w:color w:val="auto"/>
                <w:sz w:val="24"/>
                <w:szCs w:val="24"/>
                <w:u w:val="none"/>
                <w:lang w:val="en-US" w:eastAsia="zh-CN"/>
              </w:rPr>
              <w:t>GB31572-2015</w:t>
            </w:r>
            <w:r>
              <w:rPr>
                <w:rFonts w:hint="eastAsia" w:ascii="Times New Roman" w:hAnsi="Times New Roman" w:eastAsia="宋体" w:cs="Times New Roman"/>
                <w:color w:val="auto"/>
                <w:sz w:val="24"/>
                <w:szCs w:val="24"/>
                <w:u w:val="none"/>
                <w:lang w:val="en-US" w:eastAsia="zh-CN"/>
              </w:rPr>
              <w:t>，含</w:t>
            </w:r>
            <w:r>
              <w:rPr>
                <w:rFonts w:hint="default" w:ascii="Times New Roman" w:hAnsi="Times New Roman" w:eastAsia="宋体" w:cs="Times New Roman"/>
                <w:color w:val="auto"/>
                <w:sz w:val="24"/>
                <w:szCs w:val="24"/>
                <w:u w:val="none"/>
                <w:lang w:val="en-US" w:eastAsia="zh-CN"/>
              </w:rPr>
              <w:t xml:space="preserve">2024 </w:t>
            </w:r>
            <w:r>
              <w:rPr>
                <w:rFonts w:hint="eastAsia" w:ascii="Times New Roman" w:hAnsi="Times New Roman" w:eastAsia="宋体" w:cs="Times New Roman"/>
                <w:color w:val="auto"/>
                <w:sz w:val="24"/>
                <w:szCs w:val="24"/>
                <w:u w:val="none"/>
                <w:lang w:val="en-US" w:eastAsia="zh-CN"/>
              </w:rPr>
              <w:t>年修改单）中较严值；点胶烘干、焊锡、激光印字等工序产生的废气执行《大气污染物综合排放标准》（GB16297-1996）表2污染物浓度限值要求</w:t>
            </w:r>
            <w:r>
              <w:rPr>
                <w:rFonts w:hint="eastAsia"/>
                <w:bCs/>
                <w:color w:val="auto"/>
                <w:sz w:val="24"/>
                <w:highlight w:val="none"/>
                <w:u w:val="none"/>
                <w:lang w:val="en-US" w:eastAsia="zh-CN"/>
              </w:rPr>
              <w:t>。</w:t>
            </w:r>
          </w:p>
          <w:p w14:paraId="6D8AD3EE">
            <w:pPr>
              <w:spacing w:line="360" w:lineRule="auto"/>
              <w:ind w:firstLine="480" w:firstLineChars="200"/>
              <w:rPr>
                <w:bCs/>
                <w:color w:val="auto"/>
                <w:sz w:val="24"/>
                <w:highlight w:val="none"/>
                <w:u w:val="none"/>
              </w:rPr>
            </w:pPr>
            <w:r>
              <w:rPr>
                <w:rFonts w:hint="eastAsia"/>
                <w:color w:val="auto"/>
                <w:sz w:val="24"/>
                <w:highlight w:val="none"/>
                <w:u w:val="none"/>
              </w:rPr>
              <w:t>无组织排放</w:t>
            </w:r>
            <w:r>
              <w:rPr>
                <w:rFonts w:hint="eastAsia"/>
                <w:bCs/>
                <w:color w:val="auto"/>
                <w:sz w:val="24"/>
                <w:highlight w:val="none"/>
                <w:u w:val="none"/>
                <w:lang w:val="en-US" w:eastAsia="zh-CN"/>
              </w:rPr>
              <w:t>非甲烷总烃</w:t>
            </w:r>
            <w:r>
              <w:rPr>
                <w:rFonts w:hint="eastAsia"/>
                <w:color w:val="auto"/>
                <w:sz w:val="24"/>
                <w:highlight w:val="none"/>
                <w:u w:val="none"/>
              </w:rPr>
              <w:t>废</w:t>
            </w:r>
            <w:r>
              <w:rPr>
                <w:rFonts w:hint="eastAsia"/>
                <w:color w:val="auto"/>
                <w:sz w:val="24"/>
                <w:szCs w:val="24"/>
                <w:highlight w:val="none"/>
                <w:u w:val="none"/>
              </w:rPr>
              <w:t>气中，厂区内的执行《挥发性有机物无组织排放控制标准》厂区内无组织排放限值</w:t>
            </w:r>
            <w:r>
              <w:rPr>
                <w:rFonts w:hint="eastAsia"/>
                <w:color w:val="auto"/>
                <w:sz w:val="24"/>
                <w:szCs w:val="24"/>
                <w:highlight w:val="none"/>
                <w:u w:val="none"/>
                <w:lang w:eastAsia="zh-CN"/>
              </w:rPr>
              <w:t>；</w:t>
            </w:r>
            <w:r>
              <w:rPr>
                <w:color w:val="auto"/>
                <w:sz w:val="24"/>
                <w:highlight w:val="none"/>
                <w:u w:val="none"/>
              </w:rPr>
              <w:t>恶臭污染物执行《恶臭污染物排放标准》（GB14554-93）二级标准。</w:t>
            </w:r>
          </w:p>
          <w:p w14:paraId="0D211D6F">
            <w:pPr>
              <w:pStyle w:val="57"/>
              <w:spacing w:line="240" w:lineRule="auto"/>
              <w:ind w:right="63" w:rightChars="30" w:firstLine="632" w:firstLineChars="300"/>
              <w:rPr>
                <w:rFonts w:ascii="宋体" w:hAnsi="宋体" w:eastAsia="宋体" w:cs="宋体"/>
                <w:b/>
                <w:bCs/>
                <w:color w:val="auto"/>
                <w:kern w:val="2"/>
                <w:sz w:val="21"/>
                <w:highlight w:val="none"/>
                <w:u w:val="none"/>
              </w:rPr>
            </w:pPr>
            <w:r>
              <w:rPr>
                <w:rFonts w:hint="eastAsia" w:ascii="Times New Roman" w:hAnsi="Times New Roman" w:eastAsia="宋体" w:cs="Times New Roman"/>
                <w:b/>
                <w:bCs/>
                <w:color w:val="auto"/>
                <w:kern w:val="2"/>
                <w:sz w:val="21"/>
                <w:highlight w:val="none"/>
                <w:u w:val="none"/>
              </w:rPr>
              <w:t>表3-</w:t>
            </w:r>
            <w:r>
              <w:rPr>
                <w:rFonts w:hint="eastAsia" w:ascii="Times New Roman" w:hAnsi="Times New Roman" w:eastAsia="宋体" w:cs="Times New Roman"/>
                <w:b/>
                <w:bCs/>
                <w:color w:val="auto"/>
                <w:kern w:val="2"/>
                <w:sz w:val="21"/>
                <w:highlight w:val="none"/>
                <w:u w:val="none"/>
                <w:lang w:val="en-US" w:eastAsia="zh-CN"/>
              </w:rPr>
              <w:t>4</w:t>
            </w:r>
            <w:r>
              <w:rPr>
                <w:rFonts w:hint="eastAsia" w:ascii="Times New Roman" w:hAnsi="Times New Roman" w:eastAsia="宋体" w:cs="Times New Roman"/>
                <w:b/>
                <w:bCs/>
                <w:color w:val="auto"/>
                <w:kern w:val="2"/>
                <w:sz w:val="21"/>
                <w:highlight w:val="none"/>
                <w:u w:val="none"/>
              </w:rPr>
              <w:t xml:space="preserve">  《大气污染物综合排放标准》GB16297-1996</w:t>
            </w:r>
            <w:r>
              <w:rPr>
                <w:rFonts w:hint="eastAsia" w:ascii="宋体" w:hAnsi="宋体" w:eastAsia="宋体" w:cs="宋体"/>
                <w:b/>
                <w:bCs/>
                <w:color w:val="auto"/>
                <w:kern w:val="2"/>
                <w:sz w:val="21"/>
                <w:highlight w:val="none"/>
                <w:u w:val="none"/>
              </w:rPr>
              <w:t xml:space="preserve"> </w:t>
            </w:r>
          </w:p>
          <w:tbl>
            <w:tblPr>
              <w:tblStyle w:val="35"/>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99" w:type="dxa"/>
                <w:bottom w:w="0" w:type="dxa"/>
                <w:right w:w="99" w:type="dxa"/>
              </w:tblCellMar>
            </w:tblPr>
            <w:tblGrid>
              <w:gridCol w:w="1338"/>
              <w:gridCol w:w="1549"/>
              <w:gridCol w:w="953"/>
              <w:gridCol w:w="1187"/>
              <w:gridCol w:w="1423"/>
              <w:gridCol w:w="1185"/>
            </w:tblGrid>
            <w:tr w14:paraId="4639C2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876" w:type="pct"/>
                  <w:vMerge w:val="restart"/>
                  <w:vAlign w:val="center"/>
                </w:tcPr>
                <w:p w14:paraId="2ACAAD9E">
                  <w:pPr>
                    <w:jc w:val="center"/>
                    <w:rPr>
                      <w:b/>
                      <w:bCs w:val="0"/>
                      <w:color w:val="auto"/>
                      <w:highlight w:val="none"/>
                      <w:u w:val="none"/>
                    </w:rPr>
                  </w:pPr>
                  <w:r>
                    <w:rPr>
                      <w:b/>
                      <w:bCs w:val="0"/>
                      <w:color w:val="auto"/>
                      <w:highlight w:val="none"/>
                      <w:u w:val="none"/>
                    </w:rPr>
                    <w:t>污染物</w:t>
                  </w:r>
                </w:p>
              </w:tc>
              <w:tc>
                <w:tcPr>
                  <w:tcW w:w="1014" w:type="pct"/>
                  <w:vMerge w:val="restart"/>
                  <w:vAlign w:val="center"/>
                </w:tcPr>
                <w:p w14:paraId="4D421702">
                  <w:pPr>
                    <w:jc w:val="center"/>
                    <w:rPr>
                      <w:b/>
                      <w:bCs w:val="0"/>
                      <w:color w:val="auto"/>
                      <w:highlight w:val="none"/>
                      <w:u w:val="none"/>
                    </w:rPr>
                  </w:pPr>
                  <w:r>
                    <w:rPr>
                      <w:b/>
                      <w:bCs w:val="0"/>
                      <w:color w:val="auto"/>
                      <w:highlight w:val="none"/>
                      <w:u w:val="none"/>
                    </w:rPr>
                    <w:t>最高允许排放浓度</w:t>
                  </w:r>
                  <w:r>
                    <w:rPr>
                      <w:rFonts w:hint="eastAsia"/>
                      <w:b/>
                      <w:bCs w:val="0"/>
                      <w:color w:val="auto"/>
                      <w:highlight w:val="none"/>
                      <w:u w:val="none"/>
                      <w:lang w:eastAsia="zh-CN"/>
                    </w:rPr>
                    <w:t>（</w:t>
                  </w:r>
                  <w:r>
                    <w:rPr>
                      <w:b/>
                      <w:bCs w:val="0"/>
                      <w:color w:val="auto"/>
                      <w:highlight w:val="none"/>
                      <w:u w:val="none"/>
                    </w:rPr>
                    <w:t>mg/m</w:t>
                  </w:r>
                  <w:r>
                    <w:rPr>
                      <w:b/>
                      <w:bCs w:val="0"/>
                      <w:color w:val="auto"/>
                      <w:highlight w:val="none"/>
                      <w:u w:val="none"/>
                      <w:vertAlign w:val="superscript"/>
                    </w:rPr>
                    <w:t>3</w:t>
                  </w:r>
                  <w:r>
                    <w:rPr>
                      <w:rFonts w:hint="eastAsia"/>
                      <w:b/>
                      <w:bCs w:val="0"/>
                      <w:color w:val="auto"/>
                      <w:highlight w:val="none"/>
                      <w:u w:val="none"/>
                      <w:vertAlign w:val="superscript"/>
                      <w:lang w:eastAsia="zh-CN"/>
                    </w:rPr>
                    <w:t>）</w:t>
                  </w:r>
                </w:p>
              </w:tc>
              <w:tc>
                <w:tcPr>
                  <w:tcW w:w="1401" w:type="pct"/>
                  <w:gridSpan w:val="2"/>
                  <w:vAlign w:val="center"/>
                </w:tcPr>
                <w:p w14:paraId="5920ED04">
                  <w:pPr>
                    <w:jc w:val="center"/>
                    <w:rPr>
                      <w:b/>
                      <w:bCs w:val="0"/>
                      <w:color w:val="auto"/>
                      <w:highlight w:val="none"/>
                      <w:u w:val="none"/>
                    </w:rPr>
                  </w:pPr>
                  <w:r>
                    <w:rPr>
                      <w:b/>
                      <w:bCs w:val="0"/>
                      <w:color w:val="auto"/>
                      <w:highlight w:val="none"/>
                      <w:u w:val="none"/>
                    </w:rPr>
                    <w:t>最高允许排放速率</w:t>
                  </w:r>
                </w:p>
              </w:tc>
              <w:tc>
                <w:tcPr>
                  <w:tcW w:w="1707" w:type="pct"/>
                  <w:gridSpan w:val="2"/>
                  <w:vAlign w:val="center"/>
                </w:tcPr>
                <w:p w14:paraId="5681CA4D">
                  <w:pPr>
                    <w:jc w:val="center"/>
                    <w:rPr>
                      <w:b/>
                      <w:bCs w:val="0"/>
                      <w:color w:val="auto"/>
                      <w:highlight w:val="none"/>
                      <w:u w:val="none"/>
                    </w:rPr>
                  </w:pPr>
                  <w:r>
                    <w:rPr>
                      <w:b/>
                      <w:bCs w:val="0"/>
                      <w:color w:val="auto"/>
                      <w:highlight w:val="none"/>
                      <w:u w:val="none"/>
                    </w:rPr>
                    <w:t>无组织排放监控浓度限值</w:t>
                  </w:r>
                </w:p>
              </w:tc>
            </w:tr>
            <w:tr w14:paraId="14C7C3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876" w:type="pct"/>
                  <w:vMerge w:val="continue"/>
                </w:tcPr>
                <w:p w14:paraId="214150E3">
                  <w:pPr>
                    <w:jc w:val="center"/>
                    <w:rPr>
                      <w:b/>
                      <w:bCs w:val="0"/>
                      <w:color w:val="auto"/>
                      <w:highlight w:val="none"/>
                      <w:u w:val="none"/>
                    </w:rPr>
                  </w:pPr>
                </w:p>
              </w:tc>
              <w:tc>
                <w:tcPr>
                  <w:tcW w:w="1014" w:type="pct"/>
                  <w:vMerge w:val="continue"/>
                  <w:vAlign w:val="center"/>
                </w:tcPr>
                <w:p w14:paraId="211890F5">
                  <w:pPr>
                    <w:jc w:val="center"/>
                    <w:rPr>
                      <w:b/>
                      <w:bCs w:val="0"/>
                      <w:color w:val="auto"/>
                      <w:highlight w:val="none"/>
                      <w:u w:val="none"/>
                    </w:rPr>
                  </w:pPr>
                </w:p>
              </w:tc>
              <w:tc>
                <w:tcPr>
                  <w:tcW w:w="624" w:type="pct"/>
                  <w:vAlign w:val="center"/>
                </w:tcPr>
                <w:p w14:paraId="18150A37">
                  <w:pPr>
                    <w:jc w:val="center"/>
                    <w:rPr>
                      <w:b/>
                      <w:bCs w:val="0"/>
                      <w:color w:val="auto"/>
                      <w:highlight w:val="none"/>
                      <w:u w:val="none"/>
                    </w:rPr>
                  </w:pPr>
                  <w:r>
                    <w:rPr>
                      <w:b/>
                      <w:bCs w:val="0"/>
                      <w:color w:val="auto"/>
                      <w:highlight w:val="none"/>
                      <w:u w:val="none"/>
                    </w:rPr>
                    <w:t>排气筒</w:t>
                  </w:r>
                  <w:r>
                    <w:rPr>
                      <w:rFonts w:hint="eastAsia"/>
                      <w:b/>
                      <w:bCs w:val="0"/>
                      <w:color w:val="auto"/>
                      <w:highlight w:val="none"/>
                      <w:u w:val="none"/>
                      <w:lang w:eastAsia="zh-CN"/>
                    </w:rPr>
                    <w:t>（</w:t>
                  </w:r>
                  <w:r>
                    <w:rPr>
                      <w:b/>
                      <w:bCs w:val="0"/>
                      <w:color w:val="auto"/>
                      <w:highlight w:val="none"/>
                      <w:u w:val="none"/>
                    </w:rPr>
                    <w:t>m</w:t>
                  </w:r>
                  <w:r>
                    <w:rPr>
                      <w:rFonts w:hint="eastAsia"/>
                      <w:b/>
                      <w:bCs w:val="0"/>
                      <w:color w:val="auto"/>
                      <w:highlight w:val="none"/>
                      <w:u w:val="none"/>
                      <w:lang w:eastAsia="zh-CN"/>
                    </w:rPr>
                    <w:t>）</w:t>
                  </w:r>
                </w:p>
              </w:tc>
              <w:tc>
                <w:tcPr>
                  <w:tcW w:w="777" w:type="pct"/>
                  <w:vAlign w:val="center"/>
                </w:tcPr>
                <w:p w14:paraId="2647739B">
                  <w:pPr>
                    <w:jc w:val="center"/>
                    <w:rPr>
                      <w:b/>
                      <w:bCs w:val="0"/>
                      <w:color w:val="auto"/>
                      <w:highlight w:val="none"/>
                      <w:u w:val="none"/>
                    </w:rPr>
                  </w:pPr>
                  <w:r>
                    <w:rPr>
                      <w:b/>
                      <w:bCs w:val="0"/>
                      <w:color w:val="auto"/>
                      <w:highlight w:val="none"/>
                      <w:u w:val="none"/>
                    </w:rPr>
                    <w:t>二级</w:t>
                  </w:r>
                </w:p>
                <w:p w14:paraId="60FEAD17">
                  <w:pPr>
                    <w:jc w:val="center"/>
                    <w:rPr>
                      <w:b/>
                      <w:bCs w:val="0"/>
                      <w:color w:val="auto"/>
                      <w:highlight w:val="none"/>
                      <w:u w:val="none"/>
                    </w:rPr>
                  </w:pPr>
                  <w:r>
                    <w:rPr>
                      <w:b/>
                      <w:bCs w:val="0"/>
                      <w:color w:val="auto"/>
                      <w:highlight w:val="none"/>
                      <w:u w:val="none"/>
                    </w:rPr>
                    <w:t>(kg/h)</w:t>
                  </w:r>
                </w:p>
              </w:tc>
              <w:tc>
                <w:tcPr>
                  <w:tcW w:w="931" w:type="pct"/>
                  <w:vAlign w:val="center"/>
                </w:tcPr>
                <w:p w14:paraId="595B4FC8">
                  <w:pPr>
                    <w:jc w:val="center"/>
                    <w:rPr>
                      <w:b/>
                      <w:bCs w:val="0"/>
                      <w:color w:val="auto"/>
                      <w:highlight w:val="none"/>
                      <w:u w:val="none"/>
                    </w:rPr>
                  </w:pPr>
                  <w:r>
                    <w:rPr>
                      <w:b/>
                      <w:bCs w:val="0"/>
                      <w:color w:val="auto"/>
                      <w:highlight w:val="none"/>
                      <w:u w:val="none"/>
                    </w:rPr>
                    <w:t>监控点</w:t>
                  </w:r>
                </w:p>
              </w:tc>
              <w:tc>
                <w:tcPr>
                  <w:tcW w:w="776" w:type="pct"/>
                  <w:vAlign w:val="center"/>
                </w:tcPr>
                <w:p w14:paraId="73E90636">
                  <w:pPr>
                    <w:jc w:val="center"/>
                    <w:rPr>
                      <w:b/>
                      <w:bCs w:val="0"/>
                      <w:color w:val="auto"/>
                      <w:highlight w:val="none"/>
                      <w:u w:val="none"/>
                    </w:rPr>
                  </w:pPr>
                  <w:r>
                    <w:rPr>
                      <w:b/>
                      <w:bCs w:val="0"/>
                      <w:color w:val="auto"/>
                      <w:highlight w:val="none"/>
                      <w:u w:val="none"/>
                    </w:rPr>
                    <w:t>浓度（mg/m</w:t>
                  </w:r>
                  <w:r>
                    <w:rPr>
                      <w:b/>
                      <w:bCs w:val="0"/>
                      <w:color w:val="auto"/>
                      <w:highlight w:val="none"/>
                      <w:u w:val="none"/>
                      <w:vertAlign w:val="superscript"/>
                    </w:rPr>
                    <w:t>3</w:t>
                  </w:r>
                  <w:r>
                    <w:rPr>
                      <w:b/>
                      <w:bCs w:val="0"/>
                      <w:color w:val="auto"/>
                      <w:highlight w:val="none"/>
                      <w:u w:val="none"/>
                    </w:rPr>
                    <w:t>）</w:t>
                  </w:r>
                </w:p>
              </w:tc>
            </w:tr>
            <w:tr w14:paraId="4BABF6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876" w:type="pct"/>
                  <w:vAlign w:val="center"/>
                </w:tcPr>
                <w:p w14:paraId="6B1CAE12">
                  <w:pPr>
                    <w:jc w:val="center"/>
                    <w:rPr>
                      <w:bCs/>
                      <w:color w:val="auto"/>
                      <w:highlight w:val="none"/>
                      <w:u w:val="none"/>
                    </w:rPr>
                  </w:pPr>
                  <w:r>
                    <w:rPr>
                      <w:bCs/>
                      <w:color w:val="auto"/>
                      <w:highlight w:val="none"/>
                      <w:u w:val="none"/>
                    </w:rPr>
                    <w:t>颗粒物</w:t>
                  </w:r>
                </w:p>
              </w:tc>
              <w:tc>
                <w:tcPr>
                  <w:tcW w:w="1014" w:type="pct"/>
                  <w:vAlign w:val="center"/>
                </w:tcPr>
                <w:p w14:paraId="4CC51E70">
                  <w:pPr>
                    <w:jc w:val="center"/>
                    <w:rPr>
                      <w:bCs/>
                      <w:color w:val="auto"/>
                      <w:highlight w:val="none"/>
                      <w:u w:val="none"/>
                    </w:rPr>
                  </w:pPr>
                  <w:r>
                    <w:rPr>
                      <w:bCs/>
                      <w:color w:val="auto"/>
                      <w:highlight w:val="none"/>
                      <w:u w:val="none"/>
                    </w:rPr>
                    <w:t>120</w:t>
                  </w:r>
                </w:p>
              </w:tc>
              <w:tc>
                <w:tcPr>
                  <w:tcW w:w="624" w:type="pct"/>
                  <w:vAlign w:val="center"/>
                </w:tcPr>
                <w:p w14:paraId="4B6F85D7">
                  <w:pPr>
                    <w:jc w:val="center"/>
                    <w:rPr>
                      <w:rFonts w:hint="default" w:eastAsia="宋体"/>
                      <w:bCs/>
                      <w:color w:val="auto"/>
                      <w:highlight w:val="none"/>
                      <w:u w:val="none"/>
                      <w:lang w:val="en-US" w:eastAsia="zh-CN"/>
                    </w:rPr>
                  </w:pPr>
                  <w:r>
                    <w:rPr>
                      <w:rFonts w:hint="eastAsia"/>
                      <w:bCs/>
                      <w:color w:val="auto"/>
                      <w:highlight w:val="none"/>
                      <w:u w:val="none"/>
                      <w:lang w:val="en-US" w:eastAsia="zh-CN"/>
                    </w:rPr>
                    <w:t>25</w:t>
                  </w:r>
                </w:p>
              </w:tc>
              <w:tc>
                <w:tcPr>
                  <w:tcW w:w="777" w:type="pct"/>
                  <w:vAlign w:val="center"/>
                </w:tcPr>
                <w:p w14:paraId="4933457B">
                  <w:pPr>
                    <w:jc w:val="center"/>
                    <w:rPr>
                      <w:rFonts w:hint="default" w:eastAsia="宋体"/>
                      <w:bCs/>
                      <w:color w:val="auto"/>
                      <w:highlight w:val="none"/>
                      <w:u w:val="none"/>
                      <w:lang w:val="en-US" w:eastAsia="zh-CN"/>
                    </w:rPr>
                  </w:pPr>
                  <w:r>
                    <w:rPr>
                      <w:rFonts w:hint="eastAsia"/>
                      <w:bCs/>
                      <w:color w:val="auto"/>
                      <w:highlight w:val="none"/>
                      <w:u w:val="none"/>
                      <w:lang w:val="en-US" w:eastAsia="zh-CN"/>
                    </w:rPr>
                    <w:t>14.45</w:t>
                  </w:r>
                </w:p>
              </w:tc>
              <w:tc>
                <w:tcPr>
                  <w:tcW w:w="931" w:type="pct"/>
                  <w:vAlign w:val="center"/>
                </w:tcPr>
                <w:p w14:paraId="5FF83F08">
                  <w:pPr>
                    <w:jc w:val="center"/>
                    <w:rPr>
                      <w:bCs/>
                      <w:color w:val="auto"/>
                      <w:highlight w:val="none"/>
                      <w:u w:val="none"/>
                    </w:rPr>
                  </w:pPr>
                  <w:r>
                    <w:rPr>
                      <w:bCs/>
                      <w:color w:val="auto"/>
                      <w:highlight w:val="none"/>
                      <w:u w:val="none"/>
                    </w:rPr>
                    <w:t>周界外浓度最高点</w:t>
                  </w:r>
                </w:p>
              </w:tc>
              <w:tc>
                <w:tcPr>
                  <w:tcW w:w="776" w:type="pct"/>
                  <w:vAlign w:val="center"/>
                </w:tcPr>
                <w:p w14:paraId="58B4DF7C">
                  <w:pPr>
                    <w:jc w:val="center"/>
                    <w:rPr>
                      <w:bCs/>
                      <w:color w:val="auto"/>
                      <w:highlight w:val="none"/>
                      <w:u w:val="none"/>
                    </w:rPr>
                  </w:pPr>
                  <w:r>
                    <w:rPr>
                      <w:bCs/>
                      <w:color w:val="auto"/>
                      <w:highlight w:val="none"/>
                      <w:u w:val="none"/>
                    </w:rPr>
                    <w:t>1.0</w:t>
                  </w:r>
                </w:p>
              </w:tc>
            </w:tr>
            <w:tr w14:paraId="7D8039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876" w:type="pct"/>
                  <w:vAlign w:val="center"/>
                </w:tcPr>
                <w:p w14:paraId="4864FA74">
                  <w:pPr>
                    <w:jc w:val="center"/>
                    <w:rPr>
                      <w:rFonts w:hint="default" w:eastAsia="宋体"/>
                      <w:bCs/>
                      <w:color w:val="auto"/>
                      <w:highlight w:val="none"/>
                      <w:u w:val="none"/>
                      <w:lang w:val="en-US" w:eastAsia="zh-CN"/>
                    </w:rPr>
                  </w:pPr>
                  <w:r>
                    <w:rPr>
                      <w:rFonts w:hint="eastAsia"/>
                      <w:bCs/>
                      <w:color w:val="auto"/>
                      <w:highlight w:val="none"/>
                      <w:u w:val="none"/>
                      <w:lang w:val="en-US" w:eastAsia="zh-CN"/>
                    </w:rPr>
                    <w:t>非甲烷总烃</w:t>
                  </w:r>
                </w:p>
              </w:tc>
              <w:tc>
                <w:tcPr>
                  <w:tcW w:w="1014" w:type="pct"/>
                  <w:vAlign w:val="center"/>
                </w:tcPr>
                <w:p w14:paraId="0A890C4A">
                  <w:pPr>
                    <w:jc w:val="center"/>
                    <w:rPr>
                      <w:rFonts w:hint="default" w:eastAsia="宋体"/>
                      <w:bCs/>
                      <w:color w:val="auto"/>
                      <w:highlight w:val="none"/>
                      <w:u w:val="none"/>
                      <w:lang w:val="en-US" w:eastAsia="zh-CN"/>
                    </w:rPr>
                  </w:pPr>
                  <w:r>
                    <w:rPr>
                      <w:rFonts w:hint="eastAsia"/>
                      <w:bCs/>
                      <w:color w:val="auto"/>
                      <w:highlight w:val="none"/>
                      <w:u w:val="none"/>
                      <w:lang w:val="en-US" w:eastAsia="zh-CN"/>
                    </w:rPr>
                    <w:t>120</w:t>
                  </w:r>
                </w:p>
              </w:tc>
              <w:tc>
                <w:tcPr>
                  <w:tcW w:w="624" w:type="pct"/>
                  <w:vAlign w:val="center"/>
                </w:tcPr>
                <w:p w14:paraId="1E635580">
                  <w:pPr>
                    <w:jc w:val="center"/>
                    <w:rPr>
                      <w:rFonts w:hint="default" w:eastAsia="宋体"/>
                      <w:bCs/>
                      <w:color w:val="auto"/>
                      <w:highlight w:val="none"/>
                      <w:u w:val="none"/>
                      <w:lang w:val="en-US" w:eastAsia="zh-CN"/>
                    </w:rPr>
                  </w:pPr>
                  <w:r>
                    <w:rPr>
                      <w:rFonts w:hint="eastAsia"/>
                      <w:bCs/>
                      <w:color w:val="auto"/>
                      <w:highlight w:val="none"/>
                      <w:u w:val="none"/>
                      <w:lang w:val="en-US" w:eastAsia="zh-CN"/>
                    </w:rPr>
                    <w:t>25</w:t>
                  </w:r>
                </w:p>
              </w:tc>
              <w:tc>
                <w:tcPr>
                  <w:tcW w:w="777" w:type="pct"/>
                  <w:vAlign w:val="center"/>
                </w:tcPr>
                <w:p w14:paraId="5D861257">
                  <w:pPr>
                    <w:jc w:val="center"/>
                    <w:rPr>
                      <w:rFonts w:hint="default" w:eastAsia="宋体"/>
                      <w:bCs/>
                      <w:color w:val="auto"/>
                      <w:highlight w:val="none"/>
                      <w:u w:val="none"/>
                      <w:lang w:val="en-US" w:eastAsia="zh-CN"/>
                    </w:rPr>
                  </w:pPr>
                  <w:r>
                    <w:rPr>
                      <w:rFonts w:hint="eastAsia"/>
                      <w:bCs/>
                      <w:color w:val="auto"/>
                      <w:highlight w:val="none"/>
                      <w:u w:val="none"/>
                      <w:lang w:val="en-US" w:eastAsia="zh-CN"/>
                    </w:rPr>
                    <w:t>35</w:t>
                  </w:r>
                </w:p>
              </w:tc>
              <w:tc>
                <w:tcPr>
                  <w:tcW w:w="931" w:type="pct"/>
                  <w:vAlign w:val="center"/>
                </w:tcPr>
                <w:p w14:paraId="7E487E6E">
                  <w:pPr>
                    <w:jc w:val="center"/>
                    <w:rPr>
                      <w:rFonts w:hint="eastAsia"/>
                      <w:bCs/>
                      <w:color w:val="auto"/>
                      <w:highlight w:val="none"/>
                      <w:u w:val="none"/>
                    </w:rPr>
                  </w:pPr>
                  <w:r>
                    <w:rPr>
                      <w:rFonts w:hint="eastAsia"/>
                      <w:bCs/>
                      <w:color w:val="auto"/>
                      <w:highlight w:val="none"/>
                      <w:u w:val="none"/>
                    </w:rPr>
                    <w:t>周界外浓度最高点</w:t>
                  </w:r>
                </w:p>
              </w:tc>
              <w:tc>
                <w:tcPr>
                  <w:tcW w:w="776" w:type="pct"/>
                  <w:vAlign w:val="center"/>
                </w:tcPr>
                <w:p w14:paraId="027C73DE">
                  <w:pPr>
                    <w:jc w:val="center"/>
                    <w:rPr>
                      <w:rFonts w:hint="default" w:eastAsia="宋体"/>
                      <w:bCs/>
                      <w:color w:val="auto"/>
                      <w:highlight w:val="none"/>
                      <w:u w:val="none"/>
                      <w:lang w:val="en-US" w:eastAsia="zh-CN"/>
                    </w:rPr>
                  </w:pPr>
                  <w:r>
                    <w:rPr>
                      <w:rFonts w:hint="eastAsia"/>
                      <w:bCs/>
                      <w:color w:val="auto"/>
                      <w:highlight w:val="none"/>
                      <w:u w:val="none"/>
                      <w:lang w:val="en-US" w:eastAsia="zh-CN"/>
                    </w:rPr>
                    <w:t>4.0</w:t>
                  </w:r>
                </w:p>
              </w:tc>
            </w:tr>
            <w:tr w14:paraId="2AE18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876" w:type="pct"/>
                  <w:vAlign w:val="center"/>
                </w:tcPr>
                <w:p w14:paraId="13BAA14C">
                  <w:pPr>
                    <w:jc w:val="center"/>
                    <w:rPr>
                      <w:rFonts w:hint="default"/>
                      <w:bCs/>
                      <w:color w:val="auto"/>
                      <w:highlight w:val="none"/>
                      <w:u w:val="none"/>
                      <w:lang w:val="en-US" w:eastAsia="zh-CN"/>
                    </w:rPr>
                  </w:pPr>
                  <w:r>
                    <w:rPr>
                      <w:rFonts w:hint="eastAsia"/>
                      <w:bCs/>
                      <w:color w:val="auto"/>
                      <w:highlight w:val="none"/>
                      <w:u w:val="none"/>
                      <w:lang w:val="en-US" w:eastAsia="zh-CN"/>
                    </w:rPr>
                    <w:t>甲醛</w:t>
                  </w:r>
                </w:p>
              </w:tc>
              <w:tc>
                <w:tcPr>
                  <w:tcW w:w="1014" w:type="pct"/>
                  <w:vAlign w:val="center"/>
                </w:tcPr>
                <w:p w14:paraId="6DA8A5C9">
                  <w:pPr>
                    <w:jc w:val="center"/>
                    <w:rPr>
                      <w:rFonts w:hint="default"/>
                      <w:bCs/>
                      <w:color w:val="auto"/>
                      <w:highlight w:val="none"/>
                      <w:u w:val="none"/>
                      <w:lang w:val="en-US" w:eastAsia="zh-CN"/>
                    </w:rPr>
                  </w:pPr>
                  <w:r>
                    <w:rPr>
                      <w:rFonts w:hint="eastAsia"/>
                      <w:bCs/>
                      <w:color w:val="auto"/>
                      <w:highlight w:val="none"/>
                      <w:u w:val="none"/>
                      <w:lang w:val="en-US" w:eastAsia="zh-CN"/>
                    </w:rPr>
                    <w:t>/</w:t>
                  </w:r>
                </w:p>
              </w:tc>
              <w:tc>
                <w:tcPr>
                  <w:tcW w:w="624" w:type="pct"/>
                  <w:vAlign w:val="center"/>
                </w:tcPr>
                <w:p w14:paraId="530B7497">
                  <w:pPr>
                    <w:jc w:val="center"/>
                    <w:rPr>
                      <w:rFonts w:hint="default"/>
                      <w:bCs/>
                      <w:color w:val="auto"/>
                      <w:highlight w:val="none"/>
                      <w:u w:val="none"/>
                      <w:lang w:val="en-US" w:eastAsia="zh-CN"/>
                    </w:rPr>
                  </w:pPr>
                  <w:r>
                    <w:rPr>
                      <w:rFonts w:hint="eastAsia"/>
                      <w:bCs/>
                      <w:color w:val="auto"/>
                      <w:highlight w:val="none"/>
                      <w:u w:val="none"/>
                      <w:lang w:val="en-US" w:eastAsia="zh-CN"/>
                    </w:rPr>
                    <w:t>/</w:t>
                  </w:r>
                </w:p>
              </w:tc>
              <w:tc>
                <w:tcPr>
                  <w:tcW w:w="777" w:type="pct"/>
                  <w:vAlign w:val="center"/>
                </w:tcPr>
                <w:p w14:paraId="6404915F">
                  <w:pPr>
                    <w:jc w:val="center"/>
                    <w:rPr>
                      <w:rFonts w:hint="default"/>
                      <w:bCs/>
                      <w:color w:val="auto"/>
                      <w:highlight w:val="none"/>
                      <w:u w:val="none"/>
                      <w:lang w:val="en-US" w:eastAsia="zh-CN"/>
                    </w:rPr>
                  </w:pPr>
                  <w:r>
                    <w:rPr>
                      <w:rFonts w:hint="eastAsia"/>
                      <w:bCs/>
                      <w:color w:val="auto"/>
                      <w:highlight w:val="none"/>
                      <w:u w:val="none"/>
                      <w:lang w:val="en-US" w:eastAsia="zh-CN"/>
                    </w:rPr>
                    <w:t>/</w:t>
                  </w:r>
                </w:p>
              </w:tc>
              <w:tc>
                <w:tcPr>
                  <w:tcW w:w="931" w:type="pct"/>
                  <w:vAlign w:val="center"/>
                </w:tcPr>
                <w:p w14:paraId="0788A957">
                  <w:pPr>
                    <w:jc w:val="center"/>
                    <w:rPr>
                      <w:rFonts w:hint="eastAsia"/>
                      <w:bCs/>
                      <w:color w:val="auto"/>
                      <w:highlight w:val="none"/>
                      <w:u w:val="none"/>
                    </w:rPr>
                  </w:pPr>
                  <w:r>
                    <w:rPr>
                      <w:rFonts w:hint="eastAsia"/>
                      <w:bCs/>
                      <w:color w:val="auto"/>
                      <w:highlight w:val="none"/>
                      <w:u w:val="none"/>
                    </w:rPr>
                    <w:t>周界外浓度最高点</w:t>
                  </w:r>
                </w:p>
              </w:tc>
              <w:tc>
                <w:tcPr>
                  <w:tcW w:w="776" w:type="pct"/>
                  <w:vAlign w:val="center"/>
                </w:tcPr>
                <w:p w14:paraId="11AE0152">
                  <w:pPr>
                    <w:jc w:val="center"/>
                    <w:rPr>
                      <w:rFonts w:hint="default"/>
                      <w:bCs/>
                      <w:color w:val="auto"/>
                      <w:highlight w:val="none"/>
                      <w:u w:val="none"/>
                      <w:lang w:val="en-US" w:eastAsia="zh-CN"/>
                    </w:rPr>
                  </w:pPr>
                  <w:r>
                    <w:rPr>
                      <w:rFonts w:hint="eastAsia"/>
                      <w:bCs/>
                      <w:color w:val="auto"/>
                      <w:highlight w:val="none"/>
                      <w:u w:val="none"/>
                      <w:lang w:val="en-US" w:eastAsia="zh-CN"/>
                    </w:rPr>
                    <w:t>0.20</w:t>
                  </w:r>
                </w:p>
              </w:tc>
            </w:tr>
            <w:tr w14:paraId="767FD9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876" w:type="pct"/>
                  <w:vAlign w:val="center"/>
                </w:tcPr>
                <w:p w14:paraId="1DF4E3DC">
                  <w:pPr>
                    <w:jc w:val="center"/>
                    <w:rPr>
                      <w:rFonts w:hint="default"/>
                      <w:bCs/>
                      <w:color w:val="auto"/>
                      <w:highlight w:val="none"/>
                      <w:u w:val="none"/>
                      <w:lang w:val="en-US" w:eastAsia="zh-CN"/>
                    </w:rPr>
                  </w:pPr>
                  <w:r>
                    <w:rPr>
                      <w:rFonts w:hint="eastAsia"/>
                      <w:bCs/>
                      <w:color w:val="auto"/>
                      <w:highlight w:val="none"/>
                      <w:u w:val="none"/>
                      <w:lang w:val="en-US" w:eastAsia="zh-CN"/>
                    </w:rPr>
                    <w:t>乙醛</w:t>
                  </w:r>
                </w:p>
              </w:tc>
              <w:tc>
                <w:tcPr>
                  <w:tcW w:w="1014" w:type="pct"/>
                  <w:vAlign w:val="center"/>
                </w:tcPr>
                <w:p w14:paraId="2D5822D9">
                  <w:pPr>
                    <w:jc w:val="center"/>
                    <w:rPr>
                      <w:rFonts w:hint="default"/>
                      <w:bCs/>
                      <w:color w:val="auto"/>
                      <w:highlight w:val="none"/>
                      <w:u w:val="none"/>
                      <w:lang w:val="en-US" w:eastAsia="zh-CN"/>
                    </w:rPr>
                  </w:pPr>
                  <w:r>
                    <w:rPr>
                      <w:rFonts w:hint="eastAsia"/>
                      <w:bCs/>
                      <w:color w:val="auto"/>
                      <w:highlight w:val="none"/>
                      <w:u w:val="none"/>
                      <w:lang w:val="en-US" w:eastAsia="zh-CN"/>
                    </w:rPr>
                    <w:t>/</w:t>
                  </w:r>
                </w:p>
              </w:tc>
              <w:tc>
                <w:tcPr>
                  <w:tcW w:w="624" w:type="pct"/>
                  <w:vAlign w:val="center"/>
                </w:tcPr>
                <w:p w14:paraId="2CBC2FA4">
                  <w:pPr>
                    <w:jc w:val="center"/>
                    <w:rPr>
                      <w:rFonts w:hint="default"/>
                      <w:bCs/>
                      <w:color w:val="auto"/>
                      <w:highlight w:val="none"/>
                      <w:u w:val="none"/>
                      <w:lang w:val="en-US" w:eastAsia="zh-CN"/>
                    </w:rPr>
                  </w:pPr>
                  <w:r>
                    <w:rPr>
                      <w:rFonts w:hint="eastAsia"/>
                      <w:bCs/>
                      <w:color w:val="auto"/>
                      <w:highlight w:val="none"/>
                      <w:u w:val="none"/>
                      <w:lang w:val="en-US" w:eastAsia="zh-CN"/>
                    </w:rPr>
                    <w:t>/</w:t>
                  </w:r>
                </w:p>
              </w:tc>
              <w:tc>
                <w:tcPr>
                  <w:tcW w:w="777" w:type="pct"/>
                  <w:vAlign w:val="center"/>
                </w:tcPr>
                <w:p w14:paraId="0050EEDA">
                  <w:pPr>
                    <w:jc w:val="center"/>
                    <w:rPr>
                      <w:rFonts w:hint="default"/>
                      <w:bCs/>
                      <w:color w:val="auto"/>
                      <w:highlight w:val="none"/>
                      <w:u w:val="none"/>
                      <w:lang w:val="en-US" w:eastAsia="zh-CN"/>
                    </w:rPr>
                  </w:pPr>
                  <w:r>
                    <w:rPr>
                      <w:rFonts w:hint="eastAsia"/>
                      <w:bCs/>
                      <w:color w:val="auto"/>
                      <w:highlight w:val="none"/>
                      <w:u w:val="none"/>
                      <w:lang w:val="en-US" w:eastAsia="zh-CN"/>
                    </w:rPr>
                    <w:t>/</w:t>
                  </w:r>
                </w:p>
              </w:tc>
              <w:tc>
                <w:tcPr>
                  <w:tcW w:w="931" w:type="pct"/>
                  <w:vAlign w:val="center"/>
                </w:tcPr>
                <w:p w14:paraId="1AE46229">
                  <w:pPr>
                    <w:jc w:val="center"/>
                    <w:rPr>
                      <w:rFonts w:hint="eastAsia"/>
                      <w:bCs/>
                      <w:color w:val="auto"/>
                      <w:highlight w:val="none"/>
                      <w:u w:val="none"/>
                    </w:rPr>
                  </w:pPr>
                  <w:r>
                    <w:rPr>
                      <w:rFonts w:hint="eastAsia"/>
                      <w:bCs/>
                      <w:color w:val="auto"/>
                      <w:highlight w:val="none"/>
                      <w:u w:val="none"/>
                    </w:rPr>
                    <w:t>周界外浓度最高点</w:t>
                  </w:r>
                </w:p>
              </w:tc>
              <w:tc>
                <w:tcPr>
                  <w:tcW w:w="776" w:type="pct"/>
                  <w:vAlign w:val="center"/>
                </w:tcPr>
                <w:p w14:paraId="2FE6EEE0">
                  <w:pPr>
                    <w:jc w:val="center"/>
                    <w:rPr>
                      <w:rFonts w:hint="default"/>
                      <w:bCs/>
                      <w:color w:val="auto"/>
                      <w:highlight w:val="none"/>
                      <w:u w:val="none"/>
                      <w:lang w:val="en-US" w:eastAsia="zh-CN"/>
                    </w:rPr>
                  </w:pPr>
                  <w:r>
                    <w:rPr>
                      <w:rFonts w:hint="eastAsia"/>
                      <w:bCs/>
                      <w:color w:val="auto"/>
                      <w:highlight w:val="none"/>
                      <w:u w:val="none"/>
                      <w:lang w:val="en-US" w:eastAsia="zh-CN"/>
                    </w:rPr>
                    <w:t>0.040</w:t>
                  </w:r>
                </w:p>
              </w:tc>
            </w:tr>
            <w:tr w14:paraId="278AAA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876" w:type="pct"/>
                  <w:vAlign w:val="center"/>
                </w:tcPr>
                <w:p w14:paraId="0120B7C4">
                  <w:pPr>
                    <w:jc w:val="center"/>
                    <w:rPr>
                      <w:rFonts w:hint="default"/>
                      <w:bCs/>
                      <w:color w:val="auto"/>
                      <w:highlight w:val="none"/>
                      <w:u w:val="none"/>
                      <w:lang w:val="en-US" w:eastAsia="zh-CN"/>
                    </w:rPr>
                  </w:pPr>
                  <w:r>
                    <w:rPr>
                      <w:rFonts w:hint="eastAsia"/>
                      <w:bCs/>
                      <w:color w:val="auto"/>
                      <w:highlight w:val="none"/>
                      <w:u w:val="none"/>
                      <w:lang w:val="en-US" w:eastAsia="zh-CN"/>
                    </w:rPr>
                    <w:t>酚类</w:t>
                  </w:r>
                </w:p>
              </w:tc>
              <w:tc>
                <w:tcPr>
                  <w:tcW w:w="1014" w:type="pct"/>
                  <w:vAlign w:val="center"/>
                </w:tcPr>
                <w:p w14:paraId="79A05282">
                  <w:pPr>
                    <w:jc w:val="center"/>
                    <w:rPr>
                      <w:rFonts w:hint="default"/>
                      <w:bCs/>
                      <w:color w:val="auto"/>
                      <w:highlight w:val="none"/>
                      <w:u w:val="none"/>
                      <w:lang w:val="en-US" w:eastAsia="zh-CN"/>
                    </w:rPr>
                  </w:pPr>
                  <w:r>
                    <w:rPr>
                      <w:rFonts w:hint="eastAsia"/>
                      <w:bCs/>
                      <w:color w:val="auto"/>
                      <w:highlight w:val="none"/>
                      <w:u w:val="none"/>
                      <w:lang w:val="en-US" w:eastAsia="zh-CN"/>
                    </w:rPr>
                    <w:t>/</w:t>
                  </w:r>
                </w:p>
              </w:tc>
              <w:tc>
                <w:tcPr>
                  <w:tcW w:w="624" w:type="pct"/>
                  <w:vAlign w:val="center"/>
                </w:tcPr>
                <w:p w14:paraId="3D614B88">
                  <w:pPr>
                    <w:jc w:val="center"/>
                    <w:rPr>
                      <w:rFonts w:hint="default"/>
                      <w:bCs/>
                      <w:color w:val="auto"/>
                      <w:highlight w:val="none"/>
                      <w:u w:val="none"/>
                      <w:lang w:val="en-US" w:eastAsia="zh-CN"/>
                    </w:rPr>
                  </w:pPr>
                  <w:r>
                    <w:rPr>
                      <w:rFonts w:hint="eastAsia"/>
                      <w:bCs/>
                      <w:color w:val="auto"/>
                      <w:highlight w:val="none"/>
                      <w:u w:val="none"/>
                      <w:lang w:val="en-US" w:eastAsia="zh-CN"/>
                    </w:rPr>
                    <w:t>/</w:t>
                  </w:r>
                </w:p>
              </w:tc>
              <w:tc>
                <w:tcPr>
                  <w:tcW w:w="777" w:type="pct"/>
                  <w:vAlign w:val="center"/>
                </w:tcPr>
                <w:p w14:paraId="5205D048">
                  <w:pPr>
                    <w:jc w:val="center"/>
                    <w:rPr>
                      <w:rFonts w:hint="default"/>
                      <w:bCs/>
                      <w:color w:val="auto"/>
                      <w:highlight w:val="none"/>
                      <w:u w:val="none"/>
                      <w:lang w:val="en-US" w:eastAsia="zh-CN"/>
                    </w:rPr>
                  </w:pPr>
                  <w:r>
                    <w:rPr>
                      <w:rFonts w:hint="eastAsia"/>
                      <w:bCs/>
                      <w:color w:val="auto"/>
                      <w:highlight w:val="none"/>
                      <w:u w:val="none"/>
                      <w:lang w:val="en-US" w:eastAsia="zh-CN"/>
                    </w:rPr>
                    <w:t>/</w:t>
                  </w:r>
                </w:p>
              </w:tc>
              <w:tc>
                <w:tcPr>
                  <w:tcW w:w="931" w:type="pct"/>
                  <w:vAlign w:val="center"/>
                </w:tcPr>
                <w:p w14:paraId="20433769">
                  <w:pPr>
                    <w:jc w:val="center"/>
                    <w:rPr>
                      <w:rFonts w:hint="eastAsia"/>
                      <w:bCs/>
                      <w:color w:val="auto"/>
                      <w:highlight w:val="none"/>
                      <w:u w:val="none"/>
                    </w:rPr>
                  </w:pPr>
                  <w:r>
                    <w:rPr>
                      <w:rFonts w:hint="eastAsia"/>
                      <w:bCs/>
                      <w:color w:val="auto"/>
                      <w:highlight w:val="none"/>
                      <w:u w:val="none"/>
                    </w:rPr>
                    <w:t>周界外浓度最高点</w:t>
                  </w:r>
                </w:p>
              </w:tc>
              <w:tc>
                <w:tcPr>
                  <w:tcW w:w="776" w:type="pct"/>
                  <w:vAlign w:val="center"/>
                </w:tcPr>
                <w:p w14:paraId="3124C087">
                  <w:pPr>
                    <w:jc w:val="center"/>
                    <w:rPr>
                      <w:rFonts w:hint="default"/>
                      <w:bCs/>
                      <w:color w:val="auto"/>
                      <w:highlight w:val="none"/>
                      <w:u w:val="none"/>
                      <w:lang w:val="en-US" w:eastAsia="zh-CN"/>
                    </w:rPr>
                  </w:pPr>
                  <w:r>
                    <w:rPr>
                      <w:rFonts w:hint="eastAsia"/>
                      <w:bCs/>
                      <w:color w:val="auto"/>
                      <w:highlight w:val="none"/>
                      <w:u w:val="none"/>
                      <w:lang w:val="en-US" w:eastAsia="zh-CN"/>
                    </w:rPr>
                    <w:t>0.080</w:t>
                  </w:r>
                </w:p>
              </w:tc>
            </w:tr>
          </w:tbl>
          <w:p w14:paraId="4276B7E1">
            <w:pPr>
              <w:pStyle w:val="57"/>
              <w:spacing w:line="240" w:lineRule="auto"/>
              <w:ind w:right="63" w:rightChars="30" w:firstLine="632" w:firstLineChars="300"/>
              <w:rPr>
                <w:rFonts w:ascii="宋体" w:hAnsi="宋体" w:eastAsia="宋体" w:cs="宋体"/>
                <w:b/>
                <w:bCs/>
                <w:color w:val="auto"/>
                <w:kern w:val="2"/>
                <w:sz w:val="21"/>
                <w:highlight w:val="none"/>
                <w:u w:val="none"/>
              </w:rPr>
            </w:pPr>
            <w:r>
              <w:rPr>
                <w:rFonts w:hint="eastAsia" w:ascii="Times New Roman" w:hAnsi="Times New Roman" w:eastAsia="宋体" w:cs="Times New Roman"/>
                <w:b/>
                <w:bCs/>
                <w:color w:val="auto"/>
                <w:kern w:val="2"/>
                <w:sz w:val="21"/>
                <w:highlight w:val="none"/>
                <w:u w:val="none"/>
              </w:rPr>
              <w:t>表3-</w:t>
            </w:r>
            <w:r>
              <w:rPr>
                <w:rFonts w:hint="eastAsia" w:ascii="Times New Roman" w:eastAsia="宋体" w:cs="Times New Roman"/>
                <w:b/>
                <w:bCs/>
                <w:color w:val="auto"/>
                <w:kern w:val="2"/>
                <w:sz w:val="21"/>
                <w:highlight w:val="none"/>
                <w:u w:val="none"/>
                <w:lang w:val="en-US" w:eastAsia="zh-CN"/>
              </w:rPr>
              <w:t>5</w:t>
            </w:r>
            <w:r>
              <w:rPr>
                <w:rFonts w:hint="eastAsia" w:ascii="Times New Roman" w:hAnsi="Times New Roman" w:eastAsia="宋体" w:cs="Times New Roman"/>
                <w:b/>
                <w:bCs/>
                <w:color w:val="auto"/>
                <w:kern w:val="2"/>
                <w:sz w:val="21"/>
                <w:highlight w:val="none"/>
                <w:u w:val="none"/>
              </w:rPr>
              <w:t xml:space="preserve">  《合成树脂工业污染物排放标准》（GB31572-2015，含 2024 年修改单）</w:t>
            </w:r>
          </w:p>
          <w:tbl>
            <w:tblPr>
              <w:tblStyle w:val="35"/>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99" w:type="dxa"/>
                <w:bottom w:w="0" w:type="dxa"/>
                <w:right w:w="99" w:type="dxa"/>
              </w:tblCellMar>
            </w:tblPr>
            <w:tblGrid>
              <w:gridCol w:w="1860"/>
              <w:gridCol w:w="2150"/>
              <w:gridCol w:w="1971"/>
              <w:gridCol w:w="1654"/>
            </w:tblGrid>
            <w:tr w14:paraId="6F28D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1218" w:type="pct"/>
                  <w:vMerge w:val="restart"/>
                  <w:vAlign w:val="center"/>
                </w:tcPr>
                <w:p w14:paraId="3F187630">
                  <w:pPr>
                    <w:jc w:val="center"/>
                    <w:rPr>
                      <w:b/>
                      <w:bCs w:val="0"/>
                      <w:color w:val="auto"/>
                      <w:highlight w:val="none"/>
                      <w:u w:val="none"/>
                    </w:rPr>
                  </w:pPr>
                  <w:r>
                    <w:rPr>
                      <w:b/>
                      <w:bCs w:val="0"/>
                      <w:color w:val="auto"/>
                      <w:highlight w:val="none"/>
                      <w:u w:val="none"/>
                    </w:rPr>
                    <w:t>污染物</w:t>
                  </w:r>
                </w:p>
              </w:tc>
              <w:tc>
                <w:tcPr>
                  <w:tcW w:w="1408" w:type="pct"/>
                  <w:vMerge w:val="restart"/>
                  <w:vAlign w:val="center"/>
                </w:tcPr>
                <w:p w14:paraId="4034B628">
                  <w:pPr>
                    <w:jc w:val="center"/>
                    <w:rPr>
                      <w:b/>
                      <w:bCs w:val="0"/>
                      <w:color w:val="auto"/>
                      <w:highlight w:val="none"/>
                      <w:u w:val="none"/>
                    </w:rPr>
                  </w:pPr>
                  <w:r>
                    <w:rPr>
                      <w:rFonts w:hint="eastAsia"/>
                      <w:b/>
                      <w:bCs w:val="0"/>
                      <w:color w:val="auto"/>
                      <w:highlight w:val="none"/>
                      <w:u w:val="none"/>
                      <w:lang w:val="en-US" w:eastAsia="zh-CN"/>
                    </w:rPr>
                    <w:t>有组织</w:t>
                  </w:r>
                  <w:r>
                    <w:rPr>
                      <w:b/>
                      <w:bCs w:val="0"/>
                      <w:color w:val="auto"/>
                      <w:highlight w:val="none"/>
                      <w:u w:val="none"/>
                    </w:rPr>
                    <w:t>排放浓度</w:t>
                  </w:r>
                  <w:r>
                    <w:rPr>
                      <w:rFonts w:hint="eastAsia"/>
                      <w:b/>
                      <w:bCs w:val="0"/>
                      <w:color w:val="auto"/>
                      <w:highlight w:val="none"/>
                      <w:u w:val="none"/>
                      <w:lang w:val="en-US" w:eastAsia="zh-CN"/>
                    </w:rPr>
                    <w:t>限值（</w:t>
                  </w:r>
                  <w:r>
                    <w:rPr>
                      <w:b/>
                      <w:bCs w:val="0"/>
                      <w:color w:val="auto"/>
                      <w:highlight w:val="none"/>
                      <w:u w:val="none"/>
                    </w:rPr>
                    <w:t>mg/m</w:t>
                  </w:r>
                  <w:r>
                    <w:rPr>
                      <w:b/>
                      <w:bCs w:val="0"/>
                      <w:color w:val="auto"/>
                      <w:highlight w:val="none"/>
                      <w:u w:val="none"/>
                      <w:vertAlign w:val="superscript"/>
                    </w:rPr>
                    <w:t>3</w:t>
                  </w:r>
                  <w:r>
                    <w:rPr>
                      <w:rFonts w:hint="eastAsia"/>
                      <w:b/>
                      <w:bCs w:val="0"/>
                      <w:color w:val="auto"/>
                      <w:highlight w:val="none"/>
                      <w:u w:val="none"/>
                      <w:vertAlign w:val="superscript"/>
                      <w:lang w:eastAsia="zh-CN"/>
                    </w:rPr>
                    <w:t>）</w:t>
                  </w:r>
                </w:p>
              </w:tc>
              <w:tc>
                <w:tcPr>
                  <w:tcW w:w="2373" w:type="pct"/>
                  <w:gridSpan w:val="2"/>
                  <w:vAlign w:val="center"/>
                </w:tcPr>
                <w:p w14:paraId="2918F1D7">
                  <w:pPr>
                    <w:jc w:val="center"/>
                    <w:rPr>
                      <w:b/>
                      <w:bCs w:val="0"/>
                      <w:color w:val="auto"/>
                      <w:highlight w:val="none"/>
                      <w:u w:val="none"/>
                    </w:rPr>
                  </w:pPr>
                  <w:r>
                    <w:rPr>
                      <w:b/>
                      <w:bCs w:val="0"/>
                      <w:color w:val="auto"/>
                      <w:highlight w:val="none"/>
                      <w:u w:val="none"/>
                    </w:rPr>
                    <w:t>无组织排放监控浓度限值</w:t>
                  </w:r>
                </w:p>
              </w:tc>
            </w:tr>
            <w:tr w14:paraId="351A74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1218" w:type="pct"/>
                  <w:vMerge w:val="continue"/>
                </w:tcPr>
                <w:p w14:paraId="2D838467">
                  <w:pPr>
                    <w:jc w:val="center"/>
                    <w:rPr>
                      <w:b/>
                      <w:bCs w:val="0"/>
                      <w:color w:val="auto"/>
                      <w:highlight w:val="none"/>
                      <w:u w:val="none"/>
                    </w:rPr>
                  </w:pPr>
                </w:p>
              </w:tc>
              <w:tc>
                <w:tcPr>
                  <w:tcW w:w="1408" w:type="pct"/>
                  <w:vMerge w:val="continue"/>
                  <w:vAlign w:val="center"/>
                </w:tcPr>
                <w:p w14:paraId="2135616B">
                  <w:pPr>
                    <w:jc w:val="center"/>
                    <w:rPr>
                      <w:b/>
                      <w:bCs w:val="0"/>
                      <w:color w:val="auto"/>
                      <w:highlight w:val="none"/>
                      <w:u w:val="none"/>
                    </w:rPr>
                  </w:pPr>
                </w:p>
              </w:tc>
              <w:tc>
                <w:tcPr>
                  <w:tcW w:w="1291" w:type="pct"/>
                  <w:vAlign w:val="center"/>
                </w:tcPr>
                <w:p w14:paraId="18704C22">
                  <w:pPr>
                    <w:jc w:val="center"/>
                    <w:rPr>
                      <w:b/>
                      <w:bCs w:val="0"/>
                      <w:color w:val="auto"/>
                      <w:highlight w:val="none"/>
                      <w:u w:val="none"/>
                    </w:rPr>
                  </w:pPr>
                  <w:r>
                    <w:rPr>
                      <w:b/>
                      <w:bCs w:val="0"/>
                      <w:color w:val="auto"/>
                      <w:highlight w:val="none"/>
                      <w:u w:val="none"/>
                    </w:rPr>
                    <w:t>监控点</w:t>
                  </w:r>
                </w:p>
              </w:tc>
              <w:tc>
                <w:tcPr>
                  <w:tcW w:w="1081" w:type="pct"/>
                  <w:vAlign w:val="center"/>
                </w:tcPr>
                <w:p w14:paraId="202666E2">
                  <w:pPr>
                    <w:jc w:val="center"/>
                    <w:rPr>
                      <w:b/>
                      <w:bCs w:val="0"/>
                      <w:color w:val="auto"/>
                      <w:highlight w:val="none"/>
                      <w:u w:val="none"/>
                    </w:rPr>
                  </w:pPr>
                  <w:r>
                    <w:rPr>
                      <w:b/>
                      <w:bCs w:val="0"/>
                      <w:color w:val="auto"/>
                      <w:highlight w:val="none"/>
                      <w:u w:val="none"/>
                    </w:rPr>
                    <w:t>浓度（mg/m</w:t>
                  </w:r>
                  <w:r>
                    <w:rPr>
                      <w:b/>
                      <w:bCs w:val="0"/>
                      <w:color w:val="auto"/>
                      <w:highlight w:val="none"/>
                      <w:u w:val="none"/>
                      <w:vertAlign w:val="superscript"/>
                    </w:rPr>
                    <w:t>3</w:t>
                  </w:r>
                  <w:r>
                    <w:rPr>
                      <w:b/>
                      <w:bCs w:val="0"/>
                      <w:color w:val="auto"/>
                      <w:highlight w:val="none"/>
                      <w:u w:val="none"/>
                    </w:rPr>
                    <w:t>）</w:t>
                  </w:r>
                </w:p>
              </w:tc>
            </w:tr>
            <w:tr w14:paraId="2D375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1218" w:type="pct"/>
                  <w:vAlign w:val="center"/>
                </w:tcPr>
                <w:p w14:paraId="6B7D00F0">
                  <w:pPr>
                    <w:jc w:val="center"/>
                    <w:rPr>
                      <w:bCs/>
                      <w:color w:val="auto"/>
                      <w:highlight w:val="none"/>
                      <w:u w:val="none"/>
                    </w:rPr>
                  </w:pPr>
                  <w:r>
                    <w:rPr>
                      <w:bCs/>
                      <w:color w:val="auto"/>
                      <w:highlight w:val="none"/>
                      <w:u w:val="none"/>
                    </w:rPr>
                    <w:t>颗粒物</w:t>
                  </w:r>
                </w:p>
              </w:tc>
              <w:tc>
                <w:tcPr>
                  <w:tcW w:w="1408" w:type="pct"/>
                  <w:vAlign w:val="center"/>
                </w:tcPr>
                <w:p w14:paraId="40202640">
                  <w:pPr>
                    <w:jc w:val="center"/>
                    <w:rPr>
                      <w:rFonts w:hint="default" w:eastAsia="宋体"/>
                      <w:bCs/>
                      <w:color w:val="auto"/>
                      <w:highlight w:val="none"/>
                      <w:u w:val="none"/>
                      <w:lang w:val="en-US" w:eastAsia="zh-CN"/>
                    </w:rPr>
                  </w:pPr>
                  <w:r>
                    <w:rPr>
                      <w:rFonts w:hint="eastAsia"/>
                      <w:bCs/>
                      <w:color w:val="auto"/>
                      <w:highlight w:val="none"/>
                      <w:u w:val="none"/>
                      <w:lang w:val="en-US" w:eastAsia="zh-CN"/>
                    </w:rPr>
                    <w:t>30</w:t>
                  </w:r>
                </w:p>
              </w:tc>
              <w:tc>
                <w:tcPr>
                  <w:tcW w:w="1291" w:type="pct"/>
                  <w:vAlign w:val="center"/>
                </w:tcPr>
                <w:p w14:paraId="3A52F6A8">
                  <w:pPr>
                    <w:jc w:val="center"/>
                    <w:rPr>
                      <w:bCs/>
                      <w:color w:val="auto"/>
                      <w:highlight w:val="none"/>
                      <w:u w:val="none"/>
                    </w:rPr>
                  </w:pPr>
                  <w:r>
                    <w:rPr>
                      <w:bCs/>
                      <w:color w:val="auto"/>
                      <w:highlight w:val="none"/>
                      <w:u w:val="none"/>
                    </w:rPr>
                    <w:t>周界外浓度最高点</w:t>
                  </w:r>
                </w:p>
              </w:tc>
              <w:tc>
                <w:tcPr>
                  <w:tcW w:w="1081" w:type="pct"/>
                  <w:vAlign w:val="center"/>
                </w:tcPr>
                <w:p w14:paraId="20ACE01B">
                  <w:pPr>
                    <w:jc w:val="center"/>
                    <w:rPr>
                      <w:bCs/>
                      <w:color w:val="auto"/>
                      <w:highlight w:val="none"/>
                      <w:u w:val="none"/>
                    </w:rPr>
                  </w:pPr>
                  <w:r>
                    <w:rPr>
                      <w:bCs/>
                      <w:color w:val="auto"/>
                      <w:highlight w:val="none"/>
                      <w:u w:val="none"/>
                    </w:rPr>
                    <w:t>1.0</w:t>
                  </w:r>
                </w:p>
              </w:tc>
            </w:tr>
            <w:tr w14:paraId="0DAA66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1218" w:type="pct"/>
                  <w:vAlign w:val="center"/>
                </w:tcPr>
                <w:p w14:paraId="2DE0A86D">
                  <w:pPr>
                    <w:jc w:val="center"/>
                    <w:rPr>
                      <w:rFonts w:hint="default" w:eastAsia="宋体"/>
                      <w:bCs/>
                      <w:color w:val="auto"/>
                      <w:highlight w:val="none"/>
                      <w:u w:val="none"/>
                      <w:lang w:val="en-US" w:eastAsia="zh-CN"/>
                    </w:rPr>
                  </w:pPr>
                  <w:r>
                    <w:rPr>
                      <w:rFonts w:hint="eastAsia"/>
                      <w:bCs/>
                      <w:color w:val="auto"/>
                      <w:highlight w:val="none"/>
                      <w:u w:val="none"/>
                      <w:lang w:val="en-US" w:eastAsia="zh-CN"/>
                    </w:rPr>
                    <w:t>非甲烷总烃</w:t>
                  </w:r>
                </w:p>
              </w:tc>
              <w:tc>
                <w:tcPr>
                  <w:tcW w:w="1408" w:type="pct"/>
                  <w:vAlign w:val="center"/>
                </w:tcPr>
                <w:p w14:paraId="0891759D">
                  <w:pPr>
                    <w:jc w:val="center"/>
                    <w:rPr>
                      <w:rFonts w:hint="default" w:eastAsia="宋体"/>
                      <w:bCs/>
                      <w:color w:val="auto"/>
                      <w:highlight w:val="none"/>
                      <w:u w:val="none"/>
                      <w:lang w:val="en-US" w:eastAsia="zh-CN"/>
                    </w:rPr>
                  </w:pPr>
                  <w:r>
                    <w:rPr>
                      <w:rFonts w:hint="eastAsia"/>
                      <w:bCs/>
                      <w:color w:val="auto"/>
                      <w:highlight w:val="none"/>
                      <w:u w:val="none"/>
                      <w:lang w:val="en-US" w:eastAsia="zh-CN"/>
                    </w:rPr>
                    <w:t>100</w:t>
                  </w:r>
                </w:p>
              </w:tc>
              <w:tc>
                <w:tcPr>
                  <w:tcW w:w="1291" w:type="pct"/>
                  <w:vAlign w:val="center"/>
                </w:tcPr>
                <w:p w14:paraId="4243A0FD">
                  <w:pPr>
                    <w:jc w:val="center"/>
                    <w:rPr>
                      <w:rFonts w:hint="eastAsia"/>
                      <w:bCs/>
                      <w:color w:val="auto"/>
                      <w:highlight w:val="none"/>
                      <w:u w:val="none"/>
                    </w:rPr>
                  </w:pPr>
                  <w:r>
                    <w:rPr>
                      <w:rFonts w:hint="eastAsia"/>
                      <w:bCs/>
                      <w:color w:val="auto"/>
                      <w:highlight w:val="none"/>
                      <w:u w:val="none"/>
                    </w:rPr>
                    <w:t>周界外浓度最高点</w:t>
                  </w:r>
                </w:p>
              </w:tc>
              <w:tc>
                <w:tcPr>
                  <w:tcW w:w="1081" w:type="pct"/>
                  <w:vAlign w:val="center"/>
                </w:tcPr>
                <w:p w14:paraId="30382B19">
                  <w:pPr>
                    <w:jc w:val="center"/>
                    <w:rPr>
                      <w:rFonts w:hint="default" w:eastAsia="宋体"/>
                      <w:bCs/>
                      <w:color w:val="auto"/>
                      <w:highlight w:val="none"/>
                      <w:u w:val="none"/>
                      <w:lang w:val="en-US" w:eastAsia="zh-CN"/>
                    </w:rPr>
                  </w:pPr>
                  <w:r>
                    <w:rPr>
                      <w:rFonts w:hint="eastAsia"/>
                      <w:bCs/>
                      <w:color w:val="auto"/>
                      <w:highlight w:val="none"/>
                      <w:u w:val="none"/>
                      <w:lang w:val="en-US" w:eastAsia="zh-CN"/>
                    </w:rPr>
                    <w:t>4.0</w:t>
                  </w:r>
                </w:p>
              </w:tc>
            </w:tr>
            <w:tr w14:paraId="46FAF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1218" w:type="pct"/>
                  <w:vAlign w:val="center"/>
                </w:tcPr>
                <w:p w14:paraId="0D3326A0">
                  <w:pPr>
                    <w:jc w:val="center"/>
                    <w:rPr>
                      <w:rFonts w:hint="default"/>
                      <w:bCs/>
                      <w:color w:val="auto"/>
                      <w:highlight w:val="none"/>
                      <w:u w:val="none"/>
                      <w:lang w:val="en-US" w:eastAsia="zh-CN"/>
                    </w:rPr>
                  </w:pPr>
                  <w:r>
                    <w:rPr>
                      <w:rFonts w:hint="eastAsia"/>
                      <w:bCs/>
                      <w:color w:val="auto"/>
                      <w:highlight w:val="none"/>
                      <w:u w:val="none"/>
                      <w:lang w:val="en-US" w:eastAsia="zh-CN"/>
                    </w:rPr>
                    <w:t>甲醛</w:t>
                  </w:r>
                </w:p>
              </w:tc>
              <w:tc>
                <w:tcPr>
                  <w:tcW w:w="1408" w:type="pct"/>
                  <w:vAlign w:val="center"/>
                </w:tcPr>
                <w:p w14:paraId="610EDA36">
                  <w:pPr>
                    <w:jc w:val="center"/>
                    <w:rPr>
                      <w:rFonts w:hint="default"/>
                      <w:bCs/>
                      <w:color w:val="auto"/>
                      <w:highlight w:val="none"/>
                      <w:u w:val="none"/>
                      <w:lang w:val="en-US" w:eastAsia="zh-CN"/>
                    </w:rPr>
                  </w:pPr>
                  <w:r>
                    <w:rPr>
                      <w:rFonts w:hint="eastAsia"/>
                      <w:bCs/>
                      <w:color w:val="auto"/>
                      <w:highlight w:val="none"/>
                      <w:u w:val="none"/>
                      <w:lang w:val="en-US" w:eastAsia="zh-CN"/>
                    </w:rPr>
                    <w:t>5</w:t>
                  </w:r>
                </w:p>
              </w:tc>
              <w:tc>
                <w:tcPr>
                  <w:tcW w:w="1291" w:type="pct"/>
                  <w:vAlign w:val="center"/>
                </w:tcPr>
                <w:p w14:paraId="4324974B">
                  <w:pPr>
                    <w:jc w:val="center"/>
                    <w:rPr>
                      <w:rFonts w:hint="eastAsia" w:eastAsia="宋体"/>
                      <w:bCs/>
                      <w:color w:val="auto"/>
                      <w:highlight w:val="none"/>
                      <w:u w:val="none"/>
                      <w:lang w:eastAsia="zh-CN"/>
                    </w:rPr>
                  </w:pPr>
                  <w:r>
                    <w:rPr>
                      <w:rFonts w:hint="eastAsia"/>
                      <w:bCs/>
                      <w:color w:val="auto"/>
                      <w:highlight w:val="none"/>
                      <w:u w:val="none"/>
                      <w:lang w:eastAsia="zh-CN"/>
                    </w:rPr>
                    <w:t>/</w:t>
                  </w:r>
                </w:p>
              </w:tc>
              <w:tc>
                <w:tcPr>
                  <w:tcW w:w="1081" w:type="pct"/>
                  <w:vAlign w:val="center"/>
                </w:tcPr>
                <w:p w14:paraId="32C9D58A">
                  <w:pPr>
                    <w:jc w:val="center"/>
                    <w:rPr>
                      <w:rFonts w:hint="default"/>
                      <w:bCs/>
                      <w:color w:val="auto"/>
                      <w:highlight w:val="none"/>
                      <w:u w:val="none"/>
                      <w:lang w:val="en-US" w:eastAsia="zh-CN"/>
                    </w:rPr>
                  </w:pPr>
                  <w:r>
                    <w:rPr>
                      <w:rFonts w:hint="eastAsia"/>
                      <w:bCs/>
                      <w:color w:val="auto"/>
                      <w:highlight w:val="none"/>
                      <w:u w:val="none"/>
                      <w:lang w:eastAsia="zh-CN"/>
                    </w:rPr>
                    <w:t>/</w:t>
                  </w:r>
                </w:p>
              </w:tc>
            </w:tr>
            <w:tr w14:paraId="3E699F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1218" w:type="pct"/>
                  <w:vAlign w:val="center"/>
                </w:tcPr>
                <w:p w14:paraId="31877058">
                  <w:pPr>
                    <w:jc w:val="center"/>
                    <w:rPr>
                      <w:rFonts w:hint="default"/>
                      <w:bCs/>
                      <w:color w:val="auto"/>
                      <w:highlight w:val="none"/>
                      <w:u w:val="none"/>
                      <w:lang w:val="en-US" w:eastAsia="zh-CN"/>
                    </w:rPr>
                  </w:pPr>
                  <w:r>
                    <w:rPr>
                      <w:rFonts w:hint="eastAsia"/>
                      <w:bCs/>
                      <w:color w:val="auto"/>
                      <w:highlight w:val="none"/>
                      <w:u w:val="none"/>
                      <w:lang w:val="en-US" w:eastAsia="zh-CN"/>
                    </w:rPr>
                    <w:t>乙醛</w:t>
                  </w:r>
                </w:p>
              </w:tc>
              <w:tc>
                <w:tcPr>
                  <w:tcW w:w="1408" w:type="pct"/>
                  <w:vAlign w:val="center"/>
                </w:tcPr>
                <w:p w14:paraId="05052423">
                  <w:pPr>
                    <w:jc w:val="center"/>
                    <w:rPr>
                      <w:rFonts w:hint="default"/>
                      <w:bCs/>
                      <w:color w:val="auto"/>
                      <w:highlight w:val="none"/>
                      <w:u w:val="none"/>
                      <w:lang w:val="en-US" w:eastAsia="zh-CN"/>
                    </w:rPr>
                  </w:pPr>
                  <w:r>
                    <w:rPr>
                      <w:rFonts w:hint="eastAsia"/>
                      <w:bCs/>
                      <w:color w:val="auto"/>
                      <w:highlight w:val="none"/>
                      <w:u w:val="none"/>
                      <w:lang w:val="en-US" w:eastAsia="zh-CN"/>
                    </w:rPr>
                    <w:t>50</w:t>
                  </w:r>
                </w:p>
              </w:tc>
              <w:tc>
                <w:tcPr>
                  <w:tcW w:w="1291" w:type="pct"/>
                  <w:vAlign w:val="center"/>
                </w:tcPr>
                <w:p w14:paraId="29244D74">
                  <w:pPr>
                    <w:jc w:val="center"/>
                    <w:rPr>
                      <w:rFonts w:hint="eastAsia"/>
                      <w:bCs/>
                      <w:color w:val="auto"/>
                      <w:highlight w:val="none"/>
                      <w:u w:val="none"/>
                    </w:rPr>
                  </w:pPr>
                  <w:r>
                    <w:rPr>
                      <w:rFonts w:hint="eastAsia"/>
                      <w:bCs/>
                      <w:color w:val="auto"/>
                      <w:highlight w:val="none"/>
                      <w:u w:val="none"/>
                      <w:lang w:eastAsia="zh-CN"/>
                    </w:rPr>
                    <w:t>/</w:t>
                  </w:r>
                </w:p>
              </w:tc>
              <w:tc>
                <w:tcPr>
                  <w:tcW w:w="1081" w:type="pct"/>
                  <w:vAlign w:val="center"/>
                </w:tcPr>
                <w:p w14:paraId="0E6A3DE4">
                  <w:pPr>
                    <w:jc w:val="center"/>
                    <w:rPr>
                      <w:rFonts w:hint="default"/>
                      <w:bCs/>
                      <w:color w:val="auto"/>
                      <w:highlight w:val="none"/>
                      <w:u w:val="none"/>
                      <w:lang w:val="en-US" w:eastAsia="zh-CN"/>
                    </w:rPr>
                  </w:pPr>
                  <w:r>
                    <w:rPr>
                      <w:rFonts w:hint="eastAsia"/>
                      <w:bCs/>
                      <w:color w:val="auto"/>
                      <w:highlight w:val="none"/>
                      <w:u w:val="none"/>
                      <w:lang w:eastAsia="zh-CN"/>
                    </w:rPr>
                    <w:t>/</w:t>
                  </w:r>
                </w:p>
              </w:tc>
            </w:tr>
            <w:tr w14:paraId="13CC3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1218" w:type="pct"/>
                  <w:vAlign w:val="center"/>
                </w:tcPr>
                <w:p w14:paraId="4E505BF6">
                  <w:pPr>
                    <w:jc w:val="center"/>
                    <w:rPr>
                      <w:rFonts w:hint="default"/>
                      <w:bCs/>
                      <w:color w:val="auto"/>
                      <w:highlight w:val="none"/>
                      <w:u w:val="none"/>
                      <w:lang w:val="en-US" w:eastAsia="zh-CN"/>
                    </w:rPr>
                  </w:pPr>
                  <w:r>
                    <w:rPr>
                      <w:rFonts w:hint="eastAsia"/>
                      <w:bCs/>
                      <w:color w:val="auto"/>
                      <w:highlight w:val="none"/>
                      <w:u w:val="none"/>
                      <w:lang w:val="en-US" w:eastAsia="zh-CN"/>
                    </w:rPr>
                    <w:t>酚类</w:t>
                  </w:r>
                </w:p>
              </w:tc>
              <w:tc>
                <w:tcPr>
                  <w:tcW w:w="1408" w:type="pct"/>
                  <w:vAlign w:val="center"/>
                </w:tcPr>
                <w:p w14:paraId="05FA5EEA">
                  <w:pPr>
                    <w:jc w:val="center"/>
                    <w:rPr>
                      <w:rFonts w:hint="default"/>
                      <w:bCs/>
                      <w:color w:val="auto"/>
                      <w:highlight w:val="none"/>
                      <w:u w:val="none"/>
                      <w:lang w:val="en-US" w:eastAsia="zh-CN"/>
                    </w:rPr>
                  </w:pPr>
                  <w:r>
                    <w:rPr>
                      <w:rFonts w:hint="eastAsia"/>
                      <w:bCs/>
                      <w:color w:val="auto"/>
                      <w:highlight w:val="none"/>
                      <w:u w:val="none"/>
                      <w:lang w:val="en-US" w:eastAsia="zh-CN"/>
                    </w:rPr>
                    <w:t>20</w:t>
                  </w:r>
                </w:p>
              </w:tc>
              <w:tc>
                <w:tcPr>
                  <w:tcW w:w="1291" w:type="pct"/>
                  <w:vAlign w:val="center"/>
                </w:tcPr>
                <w:p w14:paraId="79BAE77C">
                  <w:pPr>
                    <w:jc w:val="center"/>
                    <w:rPr>
                      <w:rFonts w:hint="default"/>
                      <w:bCs/>
                      <w:color w:val="auto"/>
                      <w:highlight w:val="none"/>
                      <w:u w:val="none"/>
                      <w:lang w:val="en-US"/>
                    </w:rPr>
                  </w:pPr>
                  <w:r>
                    <w:rPr>
                      <w:rFonts w:hint="eastAsia"/>
                      <w:bCs/>
                      <w:color w:val="auto"/>
                      <w:highlight w:val="none"/>
                      <w:u w:val="none"/>
                      <w:lang w:eastAsia="zh-CN"/>
                    </w:rPr>
                    <w:t>/</w:t>
                  </w:r>
                </w:p>
              </w:tc>
              <w:tc>
                <w:tcPr>
                  <w:tcW w:w="1081" w:type="pct"/>
                  <w:vAlign w:val="center"/>
                </w:tcPr>
                <w:p w14:paraId="7C59FBB4">
                  <w:pPr>
                    <w:jc w:val="center"/>
                    <w:rPr>
                      <w:rFonts w:hint="default"/>
                      <w:bCs/>
                      <w:color w:val="auto"/>
                      <w:highlight w:val="none"/>
                      <w:u w:val="none"/>
                      <w:lang w:val="en-US" w:eastAsia="zh-CN"/>
                    </w:rPr>
                  </w:pPr>
                  <w:r>
                    <w:rPr>
                      <w:rFonts w:hint="eastAsia"/>
                      <w:bCs/>
                      <w:color w:val="auto"/>
                      <w:highlight w:val="none"/>
                      <w:u w:val="none"/>
                      <w:lang w:eastAsia="zh-CN"/>
                    </w:rPr>
                    <w:t>/</w:t>
                  </w:r>
                </w:p>
              </w:tc>
            </w:tr>
            <w:tr w14:paraId="6FE4FA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1218" w:type="pct"/>
                  <w:vAlign w:val="center"/>
                </w:tcPr>
                <w:p w14:paraId="4FA44C26">
                  <w:pPr>
                    <w:jc w:val="center"/>
                    <w:rPr>
                      <w:rFonts w:hint="eastAsia"/>
                      <w:bCs/>
                      <w:color w:val="auto"/>
                      <w:highlight w:val="none"/>
                      <w:u w:val="none"/>
                      <w:lang w:val="en-US" w:eastAsia="zh-CN"/>
                    </w:rPr>
                  </w:pPr>
                  <w:r>
                    <w:rPr>
                      <w:rFonts w:hint="eastAsia"/>
                      <w:bCs/>
                      <w:color w:val="auto"/>
                      <w:highlight w:val="none"/>
                      <w:u w:val="none"/>
                      <w:lang w:val="en-US" w:eastAsia="zh-CN"/>
                    </w:rPr>
                    <w:t>四氢呋喃</w:t>
                  </w:r>
                </w:p>
              </w:tc>
              <w:tc>
                <w:tcPr>
                  <w:tcW w:w="1408" w:type="pct"/>
                  <w:vAlign w:val="center"/>
                </w:tcPr>
                <w:p w14:paraId="5A18E112">
                  <w:pPr>
                    <w:jc w:val="center"/>
                    <w:rPr>
                      <w:rFonts w:hint="default"/>
                      <w:bCs/>
                      <w:color w:val="auto"/>
                      <w:highlight w:val="none"/>
                      <w:u w:val="none"/>
                      <w:lang w:val="en-US" w:eastAsia="zh-CN"/>
                    </w:rPr>
                  </w:pPr>
                  <w:r>
                    <w:rPr>
                      <w:rFonts w:hint="eastAsia"/>
                      <w:bCs/>
                      <w:color w:val="auto"/>
                      <w:highlight w:val="none"/>
                      <w:u w:val="none"/>
                      <w:lang w:val="en-US" w:eastAsia="zh-CN"/>
                    </w:rPr>
                    <w:t>100</w:t>
                  </w:r>
                </w:p>
              </w:tc>
              <w:tc>
                <w:tcPr>
                  <w:tcW w:w="1291" w:type="pct"/>
                  <w:vAlign w:val="center"/>
                </w:tcPr>
                <w:p w14:paraId="2F4AC875">
                  <w:pPr>
                    <w:jc w:val="center"/>
                    <w:rPr>
                      <w:rFonts w:hint="default"/>
                      <w:bCs/>
                      <w:color w:val="auto"/>
                      <w:highlight w:val="none"/>
                      <w:u w:val="none"/>
                      <w:lang w:val="en-US" w:eastAsia="zh-CN"/>
                    </w:rPr>
                  </w:pPr>
                  <w:r>
                    <w:rPr>
                      <w:rFonts w:hint="eastAsia"/>
                      <w:bCs/>
                      <w:color w:val="auto"/>
                      <w:highlight w:val="none"/>
                      <w:u w:val="none"/>
                      <w:lang w:val="en-US" w:eastAsia="zh-CN"/>
                    </w:rPr>
                    <w:t>/</w:t>
                  </w:r>
                </w:p>
              </w:tc>
              <w:tc>
                <w:tcPr>
                  <w:tcW w:w="1081" w:type="pct"/>
                  <w:vAlign w:val="center"/>
                </w:tcPr>
                <w:p w14:paraId="13BB7177">
                  <w:pPr>
                    <w:jc w:val="center"/>
                    <w:rPr>
                      <w:rFonts w:hint="default"/>
                      <w:bCs/>
                      <w:color w:val="auto"/>
                      <w:highlight w:val="none"/>
                      <w:u w:val="none"/>
                      <w:lang w:val="en-US" w:eastAsia="zh-CN"/>
                    </w:rPr>
                  </w:pPr>
                  <w:r>
                    <w:rPr>
                      <w:rFonts w:hint="eastAsia"/>
                      <w:bCs/>
                      <w:color w:val="auto"/>
                      <w:highlight w:val="none"/>
                      <w:u w:val="none"/>
                      <w:lang w:val="en-US" w:eastAsia="zh-CN"/>
                    </w:rPr>
                    <w:t>/</w:t>
                  </w:r>
                </w:p>
              </w:tc>
            </w:tr>
            <w:tr w14:paraId="59513D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99" w:type="dxa"/>
                  <w:bottom w:w="0" w:type="dxa"/>
                  <w:right w:w="99" w:type="dxa"/>
                </w:tblCellMar>
              </w:tblPrEx>
              <w:trPr>
                <w:cantSplit/>
                <w:trHeight w:val="454" w:hRule="atLeast"/>
                <w:jc w:val="center"/>
              </w:trPr>
              <w:tc>
                <w:tcPr>
                  <w:tcW w:w="5000" w:type="pct"/>
                  <w:gridSpan w:val="4"/>
                  <w:vAlign w:val="center"/>
                </w:tcPr>
                <w:p w14:paraId="65D34A9B">
                  <w:pPr>
                    <w:jc w:val="left"/>
                    <w:rPr>
                      <w:rFonts w:hint="eastAsia"/>
                      <w:bCs/>
                      <w:color w:val="auto"/>
                      <w:highlight w:val="none"/>
                      <w:u w:val="none"/>
                      <w:lang w:eastAsia="zh-CN"/>
                    </w:rPr>
                  </w:pPr>
                  <w:r>
                    <w:rPr>
                      <w:rFonts w:hint="eastAsia"/>
                      <w:bCs/>
                      <w:color w:val="auto"/>
                      <w:highlight w:val="none"/>
                      <w:u w:val="none"/>
                      <w:lang w:val="en-US" w:eastAsia="zh-CN"/>
                    </w:rPr>
                    <w:t>备注：四氢呋喃</w:t>
                  </w:r>
                  <w:r>
                    <w:rPr>
                      <w:rFonts w:hint="eastAsia"/>
                      <w:bCs/>
                      <w:color w:val="auto"/>
                      <w:highlight w:val="none"/>
                      <w:u w:val="none"/>
                      <w:lang w:eastAsia="zh-CN"/>
                    </w:rPr>
                    <w:t>待国家污染物监测方法标准发布后实施。</w:t>
                  </w:r>
                </w:p>
              </w:tc>
            </w:tr>
          </w:tbl>
          <w:p w14:paraId="2F208085">
            <w:pPr>
              <w:jc w:val="center"/>
              <w:rPr>
                <w:b/>
                <w:bCs/>
                <w:color w:val="auto"/>
                <w:highlight w:val="none"/>
                <w:u w:val="none"/>
              </w:rPr>
            </w:pPr>
            <w:r>
              <w:rPr>
                <w:b/>
                <w:bCs/>
                <w:color w:val="auto"/>
                <w:highlight w:val="none"/>
                <w:u w:val="none"/>
              </w:rPr>
              <w:t>表</w:t>
            </w:r>
            <w:r>
              <w:rPr>
                <w:rFonts w:hint="eastAsia"/>
                <w:b/>
                <w:bCs/>
                <w:color w:val="auto"/>
                <w:highlight w:val="none"/>
                <w:u w:val="none"/>
              </w:rPr>
              <w:t>3-</w:t>
            </w:r>
            <w:r>
              <w:rPr>
                <w:rFonts w:hint="eastAsia"/>
                <w:b/>
                <w:bCs/>
                <w:color w:val="auto"/>
                <w:highlight w:val="none"/>
                <w:u w:val="none"/>
                <w:lang w:val="en-US" w:eastAsia="zh-CN"/>
              </w:rPr>
              <w:t>6</w:t>
            </w:r>
            <w:r>
              <w:rPr>
                <w:b/>
                <w:bCs/>
                <w:color w:val="auto"/>
                <w:highlight w:val="none"/>
                <w:u w:val="none"/>
              </w:rPr>
              <w:t xml:space="preserve">   恶臭污染物排放标准     单位：mg/m</w:t>
            </w:r>
            <w:r>
              <w:rPr>
                <w:b/>
                <w:bCs/>
                <w:color w:val="auto"/>
                <w:highlight w:val="none"/>
                <w:u w:val="none"/>
                <w:vertAlign w:val="superscript"/>
              </w:rPr>
              <w:t>3</w:t>
            </w:r>
          </w:p>
          <w:tbl>
            <w:tblPr>
              <w:tblStyle w:val="35"/>
              <w:tblW w:w="499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817"/>
              <w:gridCol w:w="3819"/>
            </w:tblGrid>
            <w:tr w14:paraId="15CBD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99" w:type="pct"/>
                  <w:vAlign w:val="center"/>
                </w:tcPr>
                <w:p w14:paraId="31CE33C8">
                  <w:pPr>
                    <w:pStyle w:val="17"/>
                    <w:spacing w:after="0"/>
                    <w:jc w:val="center"/>
                    <w:rPr>
                      <w:color w:val="auto"/>
                      <w:sz w:val="21"/>
                      <w:highlight w:val="none"/>
                      <w:u w:val="none"/>
                    </w:rPr>
                  </w:pPr>
                  <w:r>
                    <w:rPr>
                      <w:color w:val="auto"/>
                      <w:sz w:val="21"/>
                      <w:highlight w:val="none"/>
                      <w:u w:val="none"/>
                    </w:rPr>
                    <w:t>污染物</w:t>
                  </w:r>
                </w:p>
              </w:tc>
              <w:tc>
                <w:tcPr>
                  <w:tcW w:w="2500" w:type="pct"/>
                  <w:vAlign w:val="center"/>
                </w:tcPr>
                <w:p w14:paraId="561FE3EC">
                  <w:pPr>
                    <w:pStyle w:val="17"/>
                    <w:spacing w:after="0"/>
                    <w:jc w:val="center"/>
                    <w:rPr>
                      <w:color w:val="auto"/>
                      <w:sz w:val="21"/>
                      <w:highlight w:val="none"/>
                      <w:u w:val="none"/>
                    </w:rPr>
                  </w:pPr>
                  <w:r>
                    <w:rPr>
                      <w:color w:val="auto"/>
                      <w:sz w:val="21"/>
                      <w:highlight w:val="none"/>
                      <w:u w:val="none"/>
                    </w:rPr>
                    <w:t>厂界标准值（mg/m</w:t>
                  </w:r>
                  <w:r>
                    <w:rPr>
                      <w:color w:val="auto"/>
                      <w:sz w:val="21"/>
                      <w:highlight w:val="none"/>
                      <w:u w:val="none"/>
                      <w:vertAlign w:val="superscript"/>
                    </w:rPr>
                    <w:t>3</w:t>
                  </w:r>
                  <w:r>
                    <w:rPr>
                      <w:color w:val="auto"/>
                      <w:sz w:val="21"/>
                      <w:highlight w:val="none"/>
                      <w:u w:val="none"/>
                    </w:rPr>
                    <w:t>）</w:t>
                  </w:r>
                </w:p>
              </w:tc>
            </w:tr>
            <w:tr w14:paraId="3F78CD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99" w:type="pct"/>
                  <w:vAlign w:val="center"/>
                </w:tcPr>
                <w:p w14:paraId="2DB6EA45">
                  <w:pPr>
                    <w:pStyle w:val="17"/>
                    <w:spacing w:after="0"/>
                    <w:jc w:val="center"/>
                    <w:rPr>
                      <w:color w:val="auto"/>
                      <w:sz w:val="21"/>
                      <w:highlight w:val="none"/>
                      <w:u w:val="none"/>
                    </w:rPr>
                  </w:pPr>
                  <w:r>
                    <w:rPr>
                      <w:color w:val="auto"/>
                      <w:sz w:val="21"/>
                      <w:highlight w:val="none"/>
                      <w:u w:val="none"/>
                    </w:rPr>
                    <w:t>臭气浓度</w:t>
                  </w:r>
                </w:p>
              </w:tc>
              <w:tc>
                <w:tcPr>
                  <w:tcW w:w="2500" w:type="pct"/>
                  <w:vAlign w:val="center"/>
                </w:tcPr>
                <w:p w14:paraId="206EF8CD">
                  <w:pPr>
                    <w:pStyle w:val="17"/>
                    <w:spacing w:after="0"/>
                    <w:jc w:val="center"/>
                    <w:rPr>
                      <w:color w:val="auto"/>
                      <w:sz w:val="21"/>
                      <w:highlight w:val="none"/>
                      <w:u w:val="none"/>
                    </w:rPr>
                  </w:pPr>
                  <w:r>
                    <w:rPr>
                      <w:color w:val="auto"/>
                      <w:sz w:val="21"/>
                      <w:highlight w:val="none"/>
                      <w:u w:val="none"/>
                    </w:rPr>
                    <w:t>20</w:t>
                  </w:r>
                </w:p>
              </w:tc>
            </w:tr>
          </w:tbl>
          <w:p w14:paraId="5D5BC2BC">
            <w:pPr>
              <w:jc w:val="center"/>
              <w:rPr>
                <w:rFonts w:ascii="Times New Roman" w:hAnsi="Times New Roman" w:eastAsia="宋体" w:cs="Times New Roman"/>
                <w:b/>
                <w:bCs/>
                <w:color w:val="auto"/>
                <w:highlight w:val="none"/>
                <w:u w:val="none"/>
              </w:rPr>
            </w:pPr>
            <w:r>
              <w:rPr>
                <w:rFonts w:hint="eastAsia" w:ascii="Times New Roman" w:hAnsi="Times New Roman" w:eastAsia="宋体" w:cs="Times New Roman"/>
                <w:b/>
                <w:bCs/>
                <w:color w:val="auto"/>
                <w:highlight w:val="none"/>
                <w:u w:val="none"/>
              </w:rPr>
              <w:t>表3-</w:t>
            </w:r>
            <w:r>
              <w:rPr>
                <w:rFonts w:hint="eastAsia" w:cs="Times New Roman"/>
                <w:b/>
                <w:bCs/>
                <w:color w:val="auto"/>
                <w:highlight w:val="none"/>
                <w:u w:val="none"/>
                <w:lang w:val="en-US" w:eastAsia="zh-CN"/>
              </w:rPr>
              <w:t>7</w:t>
            </w:r>
            <w:r>
              <w:rPr>
                <w:rFonts w:hint="eastAsia" w:ascii="Times New Roman" w:hAnsi="Times New Roman" w:eastAsia="宋体" w:cs="Times New Roman"/>
                <w:b/>
                <w:bCs/>
                <w:color w:val="auto"/>
                <w:highlight w:val="none"/>
                <w:u w:val="none"/>
              </w:rPr>
              <w:t xml:space="preserve"> 《挥发性有机物无组织排放控制标准》厂区内VOCs无组织排放限值</w:t>
            </w:r>
            <w:r>
              <w:rPr>
                <w:rFonts w:ascii="Times New Roman" w:hAnsi="Times New Roman" w:eastAsia="宋体" w:cs="Times New Roman"/>
                <w:b/>
                <w:bCs/>
                <w:color w:val="auto"/>
                <w:highlight w:val="none"/>
                <w:u w:val="none"/>
                <w:lang w:val="zh-CN"/>
              </w:rPr>
              <w:t xml:space="preserve"> 单位：mg/</w:t>
            </w:r>
            <w:r>
              <w:rPr>
                <w:rFonts w:hint="eastAsia" w:ascii="Times New Roman" w:hAnsi="Times New Roman" w:eastAsia="宋体" w:cs="Times New Roman"/>
                <w:b/>
                <w:bCs/>
                <w:color w:val="auto"/>
                <w:highlight w:val="none"/>
                <w:u w:val="none"/>
              </w:rPr>
              <w:t>m</w:t>
            </w:r>
            <w:r>
              <w:rPr>
                <w:rFonts w:hint="eastAsia" w:ascii="Times New Roman" w:hAnsi="Times New Roman" w:eastAsia="宋体" w:cs="Times New Roman"/>
                <w:b/>
                <w:bCs/>
                <w:color w:val="auto"/>
                <w:highlight w:val="none"/>
                <w:u w:val="none"/>
                <w:vertAlign w:val="superscript"/>
              </w:rPr>
              <w:t>3</w:t>
            </w:r>
          </w:p>
          <w:tbl>
            <w:tblPr>
              <w:tblStyle w:val="3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1051"/>
              <w:gridCol w:w="1445"/>
              <w:gridCol w:w="1740"/>
              <w:gridCol w:w="2109"/>
            </w:tblGrid>
            <w:tr w14:paraId="0FD130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21" w:hRule="atLeast"/>
              </w:trPr>
              <w:tc>
                <w:tcPr>
                  <w:tcW w:w="844" w:type="pct"/>
                  <w:vAlign w:val="center"/>
                </w:tcPr>
                <w:p w14:paraId="5F3058F9">
                  <w:pPr>
                    <w:spacing w:line="300" w:lineRule="exact"/>
                    <w:jc w:val="center"/>
                    <w:rPr>
                      <w:bCs/>
                      <w:color w:val="auto"/>
                      <w:kern w:val="0"/>
                      <w:highlight w:val="none"/>
                      <w:u w:val="none"/>
                    </w:rPr>
                  </w:pPr>
                  <w:r>
                    <w:rPr>
                      <w:rFonts w:hint="eastAsia"/>
                      <w:bCs/>
                      <w:color w:val="auto"/>
                      <w:kern w:val="0"/>
                      <w:highlight w:val="none"/>
                      <w:u w:val="none"/>
                    </w:rPr>
                    <w:t>污染物项目</w:t>
                  </w:r>
                </w:p>
              </w:tc>
              <w:tc>
                <w:tcPr>
                  <w:tcW w:w="688" w:type="pct"/>
                  <w:vAlign w:val="center"/>
                </w:tcPr>
                <w:p w14:paraId="5B9ACFC1">
                  <w:pPr>
                    <w:spacing w:line="300" w:lineRule="exact"/>
                    <w:jc w:val="center"/>
                    <w:rPr>
                      <w:bCs/>
                      <w:color w:val="auto"/>
                      <w:kern w:val="0"/>
                      <w:highlight w:val="none"/>
                      <w:u w:val="none"/>
                    </w:rPr>
                  </w:pPr>
                  <w:r>
                    <w:rPr>
                      <w:rFonts w:hint="eastAsia"/>
                      <w:bCs/>
                      <w:color w:val="auto"/>
                      <w:kern w:val="0"/>
                      <w:highlight w:val="none"/>
                      <w:u w:val="none"/>
                    </w:rPr>
                    <w:t>排放限值</w:t>
                  </w:r>
                </w:p>
              </w:tc>
              <w:tc>
                <w:tcPr>
                  <w:tcW w:w="946" w:type="pct"/>
                  <w:vAlign w:val="center"/>
                </w:tcPr>
                <w:p w14:paraId="6046A7BA">
                  <w:pPr>
                    <w:spacing w:line="300" w:lineRule="exact"/>
                    <w:jc w:val="center"/>
                    <w:rPr>
                      <w:bCs/>
                      <w:color w:val="auto"/>
                      <w:kern w:val="0"/>
                      <w:highlight w:val="none"/>
                      <w:u w:val="none"/>
                    </w:rPr>
                  </w:pPr>
                  <w:r>
                    <w:rPr>
                      <w:rFonts w:hint="eastAsia"/>
                      <w:bCs/>
                      <w:color w:val="auto"/>
                      <w:kern w:val="0"/>
                      <w:highlight w:val="none"/>
                      <w:u w:val="none"/>
                    </w:rPr>
                    <w:t>特别排放限值</w:t>
                  </w:r>
                </w:p>
              </w:tc>
              <w:tc>
                <w:tcPr>
                  <w:tcW w:w="1139" w:type="pct"/>
                  <w:vAlign w:val="center"/>
                </w:tcPr>
                <w:p w14:paraId="7CC14AD2">
                  <w:pPr>
                    <w:spacing w:line="300" w:lineRule="exact"/>
                    <w:jc w:val="center"/>
                    <w:rPr>
                      <w:bCs/>
                      <w:color w:val="auto"/>
                      <w:kern w:val="0"/>
                      <w:highlight w:val="none"/>
                      <w:u w:val="none"/>
                    </w:rPr>
                  </w:pPr>
                  <w:r>
                    <w:rPr>
                      <w:rFonts w:hint="eastAsia"/>
                      <w:bCs/>
                      <w:color w:val="auto"/>
                      <w:kern w:val="0"/>
                      <w:highlight w:val="none"/>
                      <w:u w:val="none"/>
                    </w:rPr>
                    <w:t>限值含义</w:t>
                  </w:r>
                </w:p>
              </w:tc>
              <w:tc>
                <w:tcPr>
                  <w:tcW w:w="1380" w:type="pct"/>
                  <w:vAlign w:val="center"/>
                </w:tcPr>
                <w:p w14:paraId="2E4649E7">
                  <w:pPr>
                    <w:spacing w:line="300" w:lineRule="exact"/>
                    <w:jc w:val="center"/>
                    <w:rPr>
                      <w:bCs/>
                      <w:color w:val="auto"/>
                      <w:kern w:val="0"/>
                      <w:highlight w:val="none"/>
                      <w:u w:val="none"/>
                    </w:rPr>
                  </w:pPr>
                  <w:r>
                    <w:rPr>
                      <w:rFonts w:hint="eastAsia"/>
                      <w:bCs/>
                      <w:color w:val="auto"/>
                      <w:kern w:val="0"/>
                      <w:highlight w:val="none"/>
                      <w:u w:val="none"/>
                    </w:rPr>
                    <w:t>无组织排放监控位置</w:t>
                  </w:r>
                </w:p>
              </w:tc>
            </w:tr>
            <w:tr w14:paraId="0C718F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844" w:type="pct"/>
                  <w:vMerge w:val="restart"/>
                  <w:vAlign w:val="center"/>
                </w:tcPr>
                <w:p w14:paraId="7A8BCC2A">
                  <w:pPr>
                    <w:spacing w:line="300" w:lineRule="exact"/>
                    <w:jc w:val="center"/>
                    <w:rPr>
                      <w:bCs/>
                      <w:color w:val="auto"/>
                      <w:kern w:val="0"/>
                      <w:highlight w:val="none"/>
                      <w:u w:val="none"/>
                    </w:rPr>
                  </w:pPr>
                  <w:r>
                    <w:rPr>
                      <w:rFonts w:hint="eastAsia"/>
                      <w:bCs/>
                      <w:color w:val="auto"/>
                      <w:kern w:val="0"/>
                      <w:highlight w:val="none"/>
                      <w:u w:val="none"/>
                    </w:rPr>
                    <w:t>NMHC</w:t>
                  </w:r>
                </w:p>
              </w:tc>
              <w:tc>
                <w:tcPr>
                  <w:tcW w:w="688" w:type="pct"/>
                  <w:vAlign w:val="center"/>
                </w:tcPr>
                <w:p w14:paraId="35E6AF27">
                  <w:pPr>
                    <w:spacing w:line="300" w:lineRule="exact"/>
                    <w:jc w:val="center"/>
                    <w:rPr>
                      <w:bCs/>
                      <w:color w:val="auto"/>
                      <w:kern w:val="0"/>
                      <w:highlight w:val="none"/>
                      <w:u w:val="none"/>
                    </w:rPr>
                  </w:pPr>
                  <w:r>
                    <w:rPr>
                      <w:rFonts w:hint="eastAsia"/>
                      <w:bCs/>
                      <w:color w:val="auto"/>
                      <w:kern w:val="0"/>
                      <w:highlight w:val="none"/>
                      <w:u w:val="none"/>
                    </w:rPr>
                    <w:t>10</w:t>
                  </w:r>
                </w:p>
              </w:tc>
              <w:tc>
                <w:tcPr>
                  <w:tcW w:w="946" w:type="pct"/>
                  <w:vAlign w:val="center"/>
                </w:tcPr>
                <w:p w14:paraId="24419C49">
                  <w:pPr>
                    <w:spacing w:line="300" w:lineRule="exact"/>
                    <w:jc w:val="center"/>
                    <w:rPr>
                      <w:bCs/>
                      <w:color w:val="auto"/>
                      <w:kern w:val="0"/>
                      <w:highlight w:val="none"/>
                      <w:u w:val="none"/>
                    </w:rPr>
                  </w:pPr>
                  <w:r>
                    <w:rPr>
                      <w:rFonts w:hint="eastAsia"/>
                      <w:bCs/>
                      <w:color w:val="auto"/>
                      <w:kern w:val="0"/>
                      <w:highlight w:val="none"/>
                      <w:u w:val="none"/>
                    </w:rPr>
                    <w:t>6</w:t>
                  </w:r>
                </w:p>
              </w:tc>
              <w:tc>
                <w:tcPr>
                  <w:tcW w:w="1139" w:type="pct"/>
                  <w:vAlign w:val="center"/>
                </w:tcPr>
                <w:p w14:paraId="749008CC">
                  <w:pPr>
                    <w:spacing w:line="300" w:lineRule="exact"/>
                    <w:jc w:val="center"/>
                    <w:rPr>
                      <w:bCs/>
                      <w:color w:val="auto"/>
                      <w:kern w:val="0"/>
                      <w:highlight w:val="none"/>
                      <w:u w:val="none"/>
                    </w:rPr>
                  </w:pPr>
                  <w:r>
                    <w:rPr>
                      <w:rFonts w:hint="eastAsia"/>
                      <w:bCs/>
                      <w:color w:val="auto"/>
                      <w:kern w:val="0"/>
                      <w:highlight w:val="none"/>
                      <w:u w:val="none"/>
                    </w:rPr>
                    <w:t>监控点处1h平均浓度值</w:t>
                  </w:r>
                </w:p>
              </w:tc>
              <w:tc>
                <w:tcPr>
                  <w:tcW w:w="1380" w:type="pct"/>
                  <w:vMerge w:val="restart"/>
                  <w:vAlign w:val="center"/>
                </w:tcPr>
                <w:p w14:paraId="597AC06A">
                  <w:pPr>
                    <w:spacing w:line="300" w:lineRule="exact"/>
                    <w:jc w:val="center"/>
                    <w:rPr>
                      <w:bCs/>
                      <w:color w:val="auto"/>
                      <w:kern w:val="0"/>
                      <w:highlight w:val="none"/>
                      <w:u w:val="none"/>
                    </w:rPr>
                  </w:pPr>
                  <w:r>
                    <w:rPr>
                      <w:rFonts w:hint="eastAsia"/>
                      <w:bCs/>
                      <w:color w:val="auto"/>
                      <w:kern w:val="0"/>
                      <w:highlight w:val="none"/>
                      <w:u w:val="none"/>
                    </w:rPr>
                    <w:t>在厂房外设置监控点</w:t>
                  </w:r>
                </w:p>
              </w:tc>
            </w:tr>
            <w:tr w14:paraId="39E07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844" w:type="pct"/>
                  <w:vMerge w:val="continue"/>
                  <w:vAlign w:val="center"/>
                </w:tcPr>
                <w:p w14:paraId="68CC498C">
                  <w:pPr>
                    <w:spacing w:line="300" w:lineRule="exact"/>
                    <w:jc w:val="center"/>
                    <w:rPr>
                      <w:bCs/>
                      <w:color w:val="auto"/>
                      <w:kern w:val="0"/>
                      <w:highlight w:val="none"/>
                      <w:u w:val="none"/>
                    </w:rPr>
                  </w:pPr>
                </w:p>
              </w:tc>
              <w:tc>
                <w:tcPr>
                  <w:tcW w:w="688" w:type="pct"/>
                  <w:vAlign w:val="center"/>
                </w:tcPr>
                <w:p w14:paraId="0658ABDD">
                  <w:pPr>
                    <w:spacing w:line="300" w:lineRule="exact"/>
                    <w:jc w:val="center"/>
                    <w:rPr>
                      <w:bCs/>
                      <w:color w:val="auto"/>
                      <w:kern w:val="0"/>
                      <w:highlight w:val="none"/>
                      <w:u w:val="none"/>
                    </w:rPr>
                  </w:pPr>
                  <w:r>
                    <w:rPr>
                      <w:rFonts w:hint="eastAsia"/>
                      <w:bCs/>
                      <w:color w:val="auto"/>
                      <w:kern w:val="0"/>
                      <w:highlight w:val="none"/>
                      <w:u w:val="none"/>
                    </w:rPr>
                    <w:t>30</w:t>
                  </w:r>
                </w:p>
              </w:tc>
              <w:tc>
                <w:tcPr>
                  <w:tcW w:w="946" w:type="pct"/>
                  <w:vAlign w:val="center"/>
                </w:tcPr>
                <w:p w14:paraId="02E88A10">
                  <w:pPr>
                    <w:spacing w:line="300" w:lineRule="exact"/>
                    <w:jc w:val="center"/>
                    <w:rPr>
                      <w:bCs/>
                      <w:color w:val="auto"/>
                      <w:kern w:val="0"/>
                      <w:highlight w:val="none"/>
                      <w:u w:val="none"/>
                    </w:rPr>
                  </w:pPr>
                  <w:r>
                    <w:rPr>
                      <w:rFonts w:hint="eastAsia"/>
                      <w:bCs/>
                      <w:color w:val="auto"/>
                      <w:kern w:val="0"/>
                      <w:highlight w:val="none"/>
                      <w:u w:val="none"/>
                    </w:rPr>
                    <w:t>20</w:t>
                  </w:r>
                </w:p>
              </w:tc>
              <w:tc>
                <w:tcPr>
                  <w:tcW w:w="1139" w:type="pct"/>
                  <w:vAlign w:val="center"/>
                </w:tcPr>
                <w:p w14:paraId="2402BA85">
                  <w:pPr>
                    <w:spacing w:line="300" w:lineRule="exact"/>
                    <w:jc w:val="center"/>
                    <w:rPr>
                      <w:bCs/>
                      <w:color w:val="auto"/>
                      <w:kern w:val="0"/>
                      <w:highlight w:val="none"/>
                      <w:u w:val="none"/>
                    </w:rPr>
                  </w:pPr>
                  <w:r>
                    <w:rPr>
                      <w:rFonts w:hint="eastAsia"/>
                      <w:bCs/>
                      <w:color w:val="auto"/>
                      <w:kern w:val="0"/>
                      <w:highlight w:val="none"/>
                      <w:u w:val="none"/>
                    </w:rPr>
                    <w:t>监控点处任意一次浓度值</w:t>
                  </w:r>
                </w:p>
              </w:tc>
              <w:tc>
                <w:tcPr>
                  <w:tcW w:w="1380" w:type="pct"/>
                  <w:vMerge w:val="continue"/>
                  <w:vAlign w:val="center"/>
                </w:tcPr>
                <w:p w14:paraId="1C6DB6DE">
                  <w:pPr>
                    <w:spacing w:line="300" w:lineRule="exact"/>
                    <w:jc w:val="center"/>
                    <w:rPr>
                      <w:bCs/>
                      <w:color w:val="auto"/>
                      <w:kern w:val="0"/>
                      <w:highlight w:val="none"/>
                      <w:u w:val="none"/>
                    </w:rPr>
                  </w:pPr>
                </w:p>
              </w:tc>
            </w:tr>
          </w:tbl>
          <w:p w14:paraId="179E0E61">
            <w:pPr>
              <w:spacing w:line="360" w:lineRule="auto"/>
              <w:jc w:val="left"/>
              <w:rPr>
                <w:b/>
                <w:color w:val="auto"/>
                <w:kern w:val="0"/>
                <w:sz w:val="24"/>
                <w:highlight w:val="none"/>
                <w:u w:val="none"/>
              </w:rPr>
            </w:pPr>
            <w:r>
              <w:rPr>
                <w:rFonts w:hint="eastAsia"/>
                <w:b/>
                <w:color w:val="auto"/>
                <w:kern w:val="0"/>
                <w:sz w:val="24"/>
                <w:highlight w:val="none"/>
                <w:u w:val="none"/>
              </w:rPr>
              <w:t>2、废水排放标准</w:t>
            </w:r>
          </w:p>
          <w:p w14:paraId="4354326F">
            <w:pPr>
              <w:spacing w:line="360" w:lineRule="auto"/>
              <w:ind w:firstLine="480" w:firstLineChars="200"/>
              <w:jc w:val="both"/>
              <w:rPr>
                <w:rFonts w:hint="eastAsia"/>
                <w:color w:val="auto"/>
                <w:sz w:val="24"/>
                <w:highlight w:val="none"/>
                <w:u w:val="none"/>
              </w:rPr>
            </w:pPr>
            <w:r>
              <w:rPr>
                <w:rFonts w:hint="eastAsia"/>
                <w:color w:val="auto"/>
                <w:sz w:val="24"/>
                <w:highlight w:val="none"/>
                <w:u w:val="none"/>
              </w:rPr>
              <w:t>近期：目前经开区工业污水处理厂尚未运营，项目生活废水经厂区化粪池处理设施处理达到《电子工业水污染物排放标准》（GB 39731-2020）表1水污染物排放限值</w:t>
            </w:r>
            <w:r>
              <w:rPr>
                <w:rFonts w:hint="eastAsia"/>
                <w:color w:val="auto"/>
                <w:sz w:val="24"/>
                <w:highlight w:val="none"/>
                <w:u w:val="none"/>
                <w:lang w:val="en-US" w:eastAsia="zh-CN"/>
              </w:rPr>
              <w:t>和《污水综合排放标准》（GB8978-1996）三级排放标准中较严值后</w:t>
            </w:r>
            <w:r>
              <w:rPr>
                <w:rFonts w:hint="eastAsia"/>
                <w:color w:val="auto"/>
                <w:sz w:val="24"/>
                <w:highlight w:val="none"/>
                <w:u w:val="none"/>
              </w:rPr>
              <w:t>排市政污水管网，进入下河线污水处理厂处理达到《城镇污水处理厂污染物排放标准》（GB18918-2002）中一级A标准后排入湘江。</w:t>
            </w:r>
          </w:p>
          <w:p w14:paraId="14886785">
            <w:pPr>
              <w:spacing w:line="360" w:lineRule="auto"/>
              <w:ind w:firstLine="480" w:firstLineChars="200"/>
              <w:jc w:val="left"/>
              <w:rPr>
                <w:color w:val="auto"/>
                <w:sz w:val="24"/>
                <w:highlight w:val="none"/>
                <w:u w:val="none"/>
              </w:rPr>
            </w:pPr>
            <w:r>
              <w:rPr>
                <w:rFonts w:hint="eastAsia"/>
                <w:color w:val="auto"/>
                <w:sz w:val="24"/>
                <w:highlight w:val="none"/>
                <w:u w:val="none"/>
              </w:rPr>
              <w:t>远期：经开区工业污水处理厂投入运营后，项目生活废水经厂区化粪池处理设施处理达到《电子工业水污染物排放标准》（GB 39731-2020）表1水污染物排放限值</w:t>
            </w:r>
            <w:r>
              <w:rPr>
                <w:rFonts w:hint="eastAsia"/>
                <w:color w:val="auto"/>
                <w:sz w:val="24"/>
                <w:highlight w:val="none"/>
                <w:u w:val="none"/>
                <w:lang w:val="en-US" w:eastAsia="zh-CN"/>
              </w:rPr>
              <w:t>和《污水综合排放标准》（GB8978-1996）三级排放标准中较严值后</w:t>
            </w:r>
            <w:r>
              <w:rPr>
                <w:rFonts w:hint="eastAsia"/>
                <w:color w:val="auto"/>
                <w:sz w:val="24"/>
                <w:highlight w:val="none"/>
                <w:u w:val="none"/>
              </w:rPr>
              <w:t>排市政污水管网，进入永州经开区工业污水处理厂处理达到《中药类制药工业水污染物排放标准》（GB 21906 2008）、《提取类制药工业水污染物排放标准》（GB 21905 2008）、《城镇污水处理厂污染物排放标准》（GB18918- 2002）一级A排放标准中的较严标准后排入湘江。</w:t>
            </w:r>
          </w:p>
          <w:p w14:paraId="09844EE8">
            <w:pPr>
              <w:spacing w:line="360" w:lineRule="auto"/>
              <w:ind w:firstLine="422" w:firstLineChars="200"/>
              <w:jc w:val="center"/>
              <w:rPr>
                <w:rFonts w:hint="default" w:eastAsia="宋体"/>
                <w:b/>
                <w:bCs/>
                <w:color w:val="auto"/>
                <w:highlight w:val="none"/>
                <w:u w:val="none"/>
                <w:lang w:val="en-US" w:eastAsia="zh-CN"/>
              </w:rPr>
            </w:pPr>
            <w:r>
              <w:rPr>
                <w:rFonts w:hint="eastAsia"/>
                <w:b/>
                <w:bCs/>
                <w:color w:val="auto"/>
                <w:highlight w:val="none"/>
                <w:u w:val="none"/>
              </w:rPr>
              <w:t>表3-</w:t>
            </w:r>
            <w:r>
              <w:rPr>
                <w:rFonts w:hint="eastAsia"/>
                <w:b/>
                <w:bCs/>
                <w:color w:val="auto"/>
                <w:highlight w:val="none"/>
                <w:u w:val="none"/>
                <w:lang w:val="en-US" w:eastAsia="zh-CN"/>
              </w:rPr>
              <w:t>8</w:t>
            </w:r>
            <w:r>
              <w:rPr>
                <w:rFonts w:hint="eastAsia"/>
                <w:b/>
                <w:bCs/>
                <w:color w:val="auto"/>
                <w:highlight w:val="none"/>
                <w:u w:val="none"/>
              </w:rPr>
              <w:t xml:space="preserve">  </w:t>
            </w:r>
            <w:r>
              <w:rPr>
                <w:rFonts w:hint="eastAsia"/>
                <w:b/>
                <w:bCs/>
                <w:color w:val="auto"/>
                <w:highlight w:val="none"/>
                <w:u w:val="none"/>
                <w:lang w:val="en-US" w:eastAsia="zh-CN"/>
              </w:rPr>
              <w:t>废水执行标准限值（单位：mg/L）</w:t>
            </w:r>
          </w:p>
          <w:tbl>
            <w:tblPr>
              <w:tblStyle w:val="35"/>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77"/>
              <w:gridCol w:w="844"/>
              <w:gridCol w:w="880"/>
              <w:gridCol w:w="961"/>
              <w:gridCol w:w="1083"/>
              <w:gridCol w:w="744"/>
              <w:gridCol w:w="744"/>
            </w:tblGrid>
            <w:tr w14:paraId="215E8C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7" w:type="pct"/>
                  <w:tcBorders>
                    <w:tl2br w:val="nil"/>
                    <w:tr2bl w:val="nil"/>
                  </w:tcBorders>
                  <w:vAlign w:val="center"/>
                </w:tcPr>
                <w:p w14:paraId="39649719">
                  <w:pPr>
                    <w:snapToGrid w:val="0"/>
                    <w:jc w:val="center"/>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标准项目</w:t>
                  </w:r>
                </w:p>
              </w:tc>
              <w:tc>
                <w:tcPr>
                  <w:tcW w:w="552" w:type="pct"/>
                  <w:tcBorders>
                    <w:tl2br w:val="nil"/>
                    <w:tr2bl w:val="nil"/>
                  </w:tcBorders>
                  <w:vAlign w:val="center"/>
                </w:tcPr>
                <w:p w14:paraId="101992C1">
                  <w:pPr>
                    <w:spacing w:line="400" w:lineRule="exact"/>
                    <w:jc w:val="center"/>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pH值</w:t>
                  </w:r>
                </w:p>
              </w:tc>
              <w:tc>
                <w:tcPr>
                  <w:tcW w:w="576" w:type="pct"/>
                  <w:tcBorders>
                    <w:tl2br w:val="nil"/>
                    <w:tr2bl w:val="nil"/>
                  </w:tcBorders>
                  <w:vAlign w:val="center"/>
                </w:tcPr>
                <w:p w14:paraId="2EDB3AB7">
                  <w:pPr>
                    <w:spacing w:line="400" w:lineRule="exact"/>
                    <w:jc w:val="center"/>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SS</w:t>
                  </w:r>
                </w:p>
              </w:tc>
              <w:tc>
                <w:tcPr>
                  <w:tcW w:w="629" w:type="pct"/>
                  <w:tcBorders>
                    <w:tl2br w:val="nil"/>
                    <w:tr2bl w:val="nil"/>
                  </w:tcBorders>
                  <w:vAlign w:val="center"/>
                </w:tcPr>
                <w:p w14:paraId="28E15D56">
                  <w:pPr>
                    <w:spacing w:line="400" w:lineRule="exact"/>
                    <w:jc w:val="center"/>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eastAsia="宋体" w:cs="Times New Roman"/>
                      <w:color w:val="auto"/>
                      <w:sz w:val="21"/>
                      <w:szCs w:val="21"/>
                      <w:highlight w:val="none"/>
                      <w:u w:val="none"/>
                      <w:lang w:val="en-US" w:eastAsia="zh-CN"/>
                    </w:rPr>
                    <w:t>动植物油</w:t>
                  </w:r>
                </w:p>
              </w:tc>
              <w:tc>
                <w:tcPr>
                  <w:tcW w:w="709" w:type="pct"/>
                  <w:tcBorders>
                    <w:tl2br w:val="nil"/>
                    <w:tr2bl w:val="nil"/>
                  </w:tcBorders>
                  <w:vAlign w:val="center"/>
                </w:tcPr>
                <w:p w14:paraId="0FB97A0A">
                  <w:pPr>
                    <w:spacing w:line="400" w:lineRule="exact"/>
                    <w:jc w:val="center"/>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CODcr</w:t>
                  </w:r>
                </w:p>
              </w:tc>
              <w:tc>
                <w:tcPr>
                  <w:tcW w:w="487" w:type="pct"/>
                  <w:tcBorders>
                    <w:tl2br w:val="nil"/>
                    <w:tr2bl w:val="nil"/>
                  </w:tcBorders>
                  <w:vAlign w:val="center"/>
                </w:tcPr>
                <w:p w14:paraId="025DD5D4">
                  <w:pPr>
                    <w:spacing w:line="400" w:lineRule="exact"/>
                    <w:jc w:val="center"/>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氨氮</w:t>
                  </w:r>
                </w:p>
              </w:tc>
              <w:tc>
                <w:tcPr>
                  <w:tcW w:w="487" w:type="pct"/>
                  <w:tcBorders>
                    <w:tl2br w:val="nil"/>
                    <w:tr2bl w:val="nil"/>
                  </w:tcBorders>
                  <w:vAlign w:val="center"/>
                </w:tcPr>
                <w:p w14:paraId="6E622333">
                  <w:pPr>
                    <w:spacing w:line="400" w:lineRule="exact"/>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BOD</w:t>
                  </w:r>
                  <w:r>
                    <w:rPr>
                      <w:rFonts w:hint="eastAsia" w:ascii="Times New Roman" w:hAnsi="Times New Roman" w:eastAsia="宋体" w:cs="Times New Roman"/>
                      <w:color w:val="auto"/>
                      <w:sz w:val="21"/>
                      <w:szCs w:val="21"/>
                      <w:highlight w:val="none"/>
                      <w:u w:val="none"/>
                      <w:vertAlign w:val="subscript"/>
                      <w:lang w:val="en-US" w:eastAsia="zh-CN"/>
                    </w:rPr>
                    <w:t>5</w:t>
                  </w:r>
                </w:p>
              </w:tc>
            </w:tr>
            <w:tr w14:paraId="722115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7" w:type="pct"/>
                  <w:tcBorders>
                    <w:tl2br w:val="nil"/>
                    <w:tr2bl w:val="nil"/>
                  </w:tcBorders>
                  <w:vAlign w:val="center"/>
                </w:tcPr>
                <w:p w14:paraId="75F090D7">
                  <w:pPr>
                    <w:jc w:val="center"/>
                    <w:rPr>
                      <w:rFonts w:hint="eastAsia" w:ascii="Times New Roman" w:hAnsi="Times New Roman" w:eastAsia="宋体" w:cs="Times New Roman"/>
                      <w:color w:val="auto"/>
                      <w:sz w:val="21"/>
                      <w:szCs w:val="21"/>
                      <w:highlight w:val="none"/>
                      <w:u w:val="none"/>
                      <w:lang w:eastAsia="zh-CN"/>
                    </w:rPr>
                  </w:pPr>
                  <w:r>
                    <w:rPr>
                      <w:rFonts w:ascii="Times New Roman" w:hAnsi="Times New Roman" w:eastAsia="宋体" w:cs="Times New Roman"/>
                      <w:color w:val="auto"/>
                      <w:sz w:val="21"/>
                      <w:szCs w:val="21"/>
                      <w:highlight w:val="none"/>
                      <w:u w:val="none"/>
                    </w:rPr>
                    <w:t>（</w:t>
                  </w:r>
                  <w:r>
                    <w:rPr>
                      <w:rFonts w:hint="eastAsia" w:ascii="Times New Roman" w:hAnsi="Times New Roman" w:eastAsia="宋体" w:cs="Times New Roman"/>
                      <w:color w:val="auto"/>
                      <w:sz w:val="21"/>
                      <w:szCs w:val="21"/>
                      <w:highlight w:val="none"/>
                      <w:u w:val="none"/>
                    </w:rPr>
                    <w:t>GB</w:t>
                  </w:r>
                  <w:r>
                    <w:rPr>
                      <w:rFonts w:hint="eastAsia" w:ascii="Times New Roman" w:hAnsi="Times New Roman" w:eastAsia="宋体" w:cs="Times New Roman"/>
                      <w:color w:val="auto"/>
                      <w:sz w:val="21"/>
                      <w:szCs w:val="21"/>
                      <w:highlight w:val="none"/>
                      <w:u w:val="none"/>
                      <w:lang w:val="en-US" w:eastAsia="zh-CN"/>
                    </w:rPr>
                    <w:t xml:space="preserve"> </w:t>
                  </w:r>
                  <w:r>
                    <w:rPr>
                      <w:rFonts w:hint="eastAsia" w:ascii="Times New Roman" w:hAnsi="Times New Roman" w:eastAsia="宋体" w:cs="Times New Roman"/>
                      <w:color w:val="auto"/>
                      <w:sz w:val="21"/>
                      <w:szCs w:val="21"/>
                      <w:highlight w:val="none"/>
                      <w:u w:val="none"/>
                    </w:rPr>
                    <w:t>39731-2020</w:t>
                  </w:r>
                  <w:r>
                    <w:rPr>
                      <w:rFonts w:ascii="Times New Roman" w:hAnsi="Times New Roman" w:eastAsia="宋体" w:cs="Times New Roman"/>
                      <w:color w:val="auto"/>
                      <w:sz w:val="21"/>
                      <w:szCs w:val="21"/>
                      <w:highlight w:val="none"/>
                      <w:u w:val="none"/>
                    </w:rPr>
                    <w:t>）表</w:t>
                  </w:r>
                  <w:r>
                    <w:rPr>
                      <w:rFonts w:hint="eastAsia" w:ascii="Times New Roman" w:hAnsi="Times New Roman" w:eastAsia="宋体" w:cs="Times New Roman"/>
                      <w:color w:val="auto"/>
                      <w:sz w:val="21"/>
                      <w:szCs w:val="21"/>
                      <w:highlight w:val="none"/>
                      <w:u w:val="none"/>
                      <w:lang w:val="en-US" w:eastAsia="zh-CN"/>
                    </w:rPr>
                    <w:t>1</w:t>
                  </w:r>
                </w:p>
              </w:tc>
              <w:tc>
                <w:tcPr>
                  <w:tcW w:w="552" w:type="pct"/>
                  <w:tcBorders>
                    <w:tl2br w:val="nil"/>
                    <w:tr2bl w:val="nil"/>
                  </w:tcBorders>
                  <w:vAlign w:val="center"/>
                </w:tcPr>
                <w:p w14:paraId="364AD78C">
                  <w:pPr>
                    <w:spacing w:line="400" w:lineRule="exact"/>
                    <w:jc w:val="center"/>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6-9</w:t>
                  </w:r>
                </w:p>
              </w:tc>
              <w:tc>
                <w:tcPr>
                  <w:tcW w:w="576" w:type="pct"/>
                  <w:tcBorders>
                    <w:tl2br w:val="nil"/>
                    <w:tr2bl w:val="nil"/>
                  </w:tcBorders>
                  <w:vAlign w:val="center"/>
                </w:tcPr>
                <w:p w14:paraId="4D672700">
                  <w:pPr>
                    <w:spacing w:line="400" w:lineRule="exact"/>
                    <w:jc w:val="center"/>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400</w:t>
                  </w:r>
                </w:p>
              </w:tc>
              <w:tc>
                <w:tcPr>
                  <w:tcW w:w="629" w:type="pct"/>
                  <w:tcBorders>
                    <w:tl2br w:val="nil"/>
                    <w:tr2bl w:val="nil"/>
                  </w:tcBorders>
                  <w:vAlign w:val="center"/>
                </w:tcPr>
                <w:p w14:paraId="59C22F9E">
                  <w:pPr>
                    <w:spacing w:line="400" w:lineRule="exact"/>
                    <w:jc w:val="center"/>
                    <w:rPr>
                      <w:rFonts w:hint="eastAsia" w:ascii="Times New Roman" w:hAnsi="Times New Roman" w:eastAsia="宋体" w:cs="Times New Roman"/>
                      <w:color w:val="auto"/>
                      <w:sz w:val="21"/>
                      <w:szCs w:val="21"/>
                      <w:highlight w:val="none"/>
                      <w:u w:val="none"/>
                      <w:lang w:eastAsia="zh-CN"/>
                    </w:rPr>
                  </w:pPr>
                  <w:r>
                    <w:rPr>
                      <w:rFonts w:hint="eastAsia" w:ascii="Times New Roman" w:hAnsi="Times New Roman" w:eastAsia="宋体" w:cs="Times New Roman"/>
                      <w:color w:val="auto"/>
                      <w:sz w:val="21"/>
                      <w:szCs w:val="21"/>
                      <w:highlight w:val="none"/>
                      <w:u w:val="none"/>
                      <w:lang w:val="en-US" w:eastAsia="zh-CN"/>
                    </w:rPr>
                    <w:t>/</w:t>
                  </w:r>
                </w:p>
              </w:tc>
              <w:tc>
                <w:tcPr>
                  <w:tcW w:w="709" w:type="pct"/>
                  <w:tcBorders>
                    <w:tl2br w:val="nil"/>
                    <w:tr2bl w:val="nil"/>
                  </w:tcBorders>
                  <w:vAlign w:val="center"/>
                </w:tcPr>
                <w:p w14:paraId="07D7F6A5">
                  <w:pPr>
                    <w:spacing w:line="400" w:lineRule="exact"/>
                    <w:jc w:val="center"/>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lang w:val="en-US" w:eastAsia="zh-CN"/>
                    </w:rPr>
                    <w:t>5</w:t>
                  </w:r>
                  <w:r>
                    <w:rPr>
                      <w:rFonts w:hint="eastAsia" w:ascii="Times New Roman" w:hAnsi="Times New Roman" w:eastAsia="宋体" w:cs="Times New Roman"/>
                      <w:color w:val="auto"/>
                      <w:sz w:val="21"/>
                      <w:szCs w:val="21"/>
                      <w:highlight w:val="none"/>
                      <w:u w:val="none"/>
                    </w:rPr>
                    <w:t>00</w:t>
                  </w:r>
                </w:p>
              </w:tc>
              <w:tc>
                <w:tcPr>
                  <w:tcW w:w="487" w:type="pct"/>
                  <w:tcBorders>
                    <w:tl2br w:val="nil"/>
                    <w:tr2bl w:val="nil"/>
                  </w:tcBorders>
                  <w:vAlign w:val="center"/>
                </w:tcPr>
                <w:p w14:paraId="51B47E95">
                  <w:pPr>
                    <w:spacing w:line="400" w:lineRule="exact"/>
                    <w:jc w:val="center"/>
                    <w:rPr>
                      <w:rFonts w:ascii="Times New Roman" w:hAnsi="Times New Roman" w:eastAsia="宋体" w:cs="Times New Roman"/>
                      <w:color w:val="auto"/>
                      <w:sz w:val="21"/>
                      <w:szCs w:val="21"/>
                      <w:highlight w:val="none"/>
                      <w:u w:val="none"/>
                      <w:vertAlign w:val="superscript"/>
                    </w:rPr>
                  </w:pPr>
                  <w:r>
                    <w:rPr>
                      <w:rFonts w:hint="eastAsia" w:ascii="Times New Roman" w:hAnsi="Times New Roman" w:eastAsia="宋体" w:cs="Times New Roman"/>
                      <w:color w:val="auto"/>
                      <w:sz w:val="21"/>
                      <w:szCs w:val="21"/>
                      <w:highlight w:val="none"/>
                      <w:u w:val="none"/>
                    </w:rPr>
                    <w:t>45</w:t>
                  </w:r>
                </w:p>
              </w:tc>
              <w:tc>
                <w:tcPr>
                  <w:tcW w:w="487" w:type="pct"/>
                  <w:tcBorders>
                    <w:tl2br w:val="nil"/>
                    <w:tr2bl w:val="nil"/>
                  </w:tcBorders>
                  <w:vAlign w:val="center"/>
                </w:tcPr>
                <w:p w14:paraId="5E5025FC">
                  <w:pPr>
                    <w:spacing w:line="400" w:lineRule="exact"/>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w:t>
                  </w:r>
                </w:p>
              </w:tc>
            </w:tr>
            <w:tr w14:paraId="56E966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7" w:type="pct"/>
                  <w:tcBorders>
                    <w:tl2br w:val="nil"/>
                    <w:tr2bl w:val="nil"/>
                  </w:tcBorders>
                  <w:vAlign w:val="center"/>
                </w:tcPr>
                <w:p w14:paraId="1C9F8E5B">
                  <w:pPr>
                    <w:jc w:val="center"/>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《污水综合排放标准》（GB8978-1996）三级</w:t>
                  </w:r>
                </w:p>
              </w:tc>
              <w:tc>
                <w:tcPr>
                  <w:tcW w:w="552" w:type="pct"/>
                  <w:tcBorders>
                    <w:tl2br w:val="nil"/>
                    <w:tr2bl w:val="nil"/>
                  </w:tcBorders>
                  <w:vAlign w:val="center"/>
                </w:tcPr>
                <w:p w14:paraId="701F55F2">
                  <w:pPr>
                    <w:spacing w:line="400" w:lineRule="exact"/>
                    <w:jc w:val="center"/>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6-9</w:t>
                  </w:r>
                </w:p>
              </w:tc>
              <w:tc>
                <w:tcPr>
                  <w:tcW w:w="576" w:type="pct"/>
                  <w:tcBorders>
                    <w:tl2br w:val="nil"/>
                    <w:tr2bl w:val="nil"/>
                  </w:tcBorders>
                  <w:vAlign w:val="center"/>
                </w:tcPr>
                <w:p w14:paraId="648646B1">
                  <w:pPr>
                    <w:spacing w:line="400" w:lineRule="exact"/>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400</w:t>
                  </w:r>
                </w:p>
              </w:tc>
              <w:tc>
                <w:tcPr>
                  <w:tcW w:w="629" w:type="pct"/>
                  <w:tcBorders>
                    <w:tl2br w:val="nil"/>
                    <w:tr2bl w:val="nil"/>
                  </w:tcBorders>
                  <w:vAlign w:val="center"/>
                </w:tcPr>
                <w:p w14:paraId="6B0B4B0E">
                  <w:pPr>
                    <w:spacing w:line="400" w:lineRule="exact"/>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100</w:t>
                  </w:r>
                </w:p>
              </w:tc>
              <w:tc>
                <w:tcPr>
                  <w:tcW w:w="709" w:type="pct"/>
                  <w:tcBorders>
                    <w:tl2br w:val="nil"/>
                    <w:tr2bl w:val="nil"/>
                  </w:tcBorders>
                  <w:vAlign w:val="center"/>
                </w:tcPr>
                <w:p w14:paraId="0F2D1034">
                  <w:pPr>
                    <w:spacing w:line="400" w:lineRule="exact"/>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500</w:t>
                  </w:r>
                </w:p>
              </w:tc>
              <w:tc>
                <w:tcPr>
                  <w:tcW w:w="487" w:type="pct"/>
                  <w:tcBorders>
                    <w:tl2br w:val="nil"/>
                    <w:tr2bl w:val="nil"/>
                  </w:tcBorders>
                  <w:vAlign w:val="center"/>
                </w:tcPr>
                <w:p w14:paraId="4299FD47">
                  <w:pPr>
                    <w:spacing w:line="400" w:lineRule="exact"/>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w:t>
                  </w:r>
                </w:p>
              </w:tc>
              <w:tc>
                <w:tcPr>
                  <w:tcW w:w="487" w:type="pct"/>
                  <w:tcBorders>
                    <w:tl2br w:val="nil"/>
                    <w:tr2bl w:val="nil"/>
                  </w:tcBorders>
                  <w:vAlign w:val="center"/>
                </w:tcPr>
                <w:p w14:paraId="355AF45A">
                  <w:pPr>
                    <w:spacing w:line="400" w:lineRule="exact"/>
                    <w:jc w:val="center"/>
                    <w:rPr>
                      <w:rFonts w:hint="default" w:ascii="Times New Roman" w:hAnsi="Times New Roman" w:eastAsia="宋体" w:cs="Times New Roman"/>
                      <w:color w:val="auto"/>
                      <w:sz w:val="21"/>
                      <w:szCs w:val="21"/>
                      <w:highlight w:val="none"/>
                      <w:u w:val="none"/>
                      <w:lang w:val="en-US"/>
                    </w:rPr>
                  </w:pPr>
                  <w:r>
                    <w:rPr>
                      <w:rFonts w:hint="eastAsia" w:cs="Times New Roman"/>
                      <w:color w:val="auto"/>
                      <w:sz w:val="21"/>
                      <w:szCs w:val="21"/>
                      <w:highlight w:val="none"/>
                      <w:u w:val="none"/>
                      <w:lang w:val="en-US" w:eastAsia="zh-CN"/>
                    </w:rPr>
                    <w:t>300</w:t>
                  </w:r>
                </w:p>
              </w:tc>
            </w:tr>
            <w:tr w14:paraId="1E158F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7" w:type="pct"/>
                  <w:tcBorders>
                    <w:tl2br w:val="nil"/>
                    <w:tr2bl w:val="nil"/>
                  </w:tcBorders>
                  <w:vAlign w:val="center"/>
                </w:tcPr>
                <w:p w14:paraId="1A80DDB9">
                  <w:pPr>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本项目执行标准</w:t>
                  </w:r>
                </w:p>
              </w:tc>
              <w:tc>
                <w:tcPr>
                  <w:tcW w:w="552" w:type="pct"/>
                  <w:tcBorders>
                    <w:tl2br w:val="nil"/>
                    <w:tr2bl w:val="nil"/>
                  </w:tcBorders>
                  <w:vAlign w:val="center"/>
                </w:tcPr>
                <w:p w14:paraId="5D406651">
                  <w:pPr>
                    <w:spacing w:line="400" w:lineRule="exact"/>
                    <w:jc w:val="center"/>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6-9</w:t>
                  </w:r>
                </w:p>
              </w:tc>
              <w:tc>
                <w:tcPr>
                  <w:tcW w:w="576" w:type="pct"/>
                  <w:tcBorders>
                    <w:tl2br w:val="nil"/>
                    <w:tr2bl w:val="nil"/>
                  </w:tcBorders>
                  <w:shd w:val="clear" w:color="auto" w:fill="auto"/>
                  <w:vAlign w:val="center"/>
                </w:tcPr>
                <w:p w14:paraId="759E9C4A">
                  <w:pPr>
                    <w:spacing w:line="400" w:lineRule="exact"/>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eastAsia="宋体" w:cs="Times New Roman"/>
                      <w:color w:val="auto"/>
                      <w:sz w:val="21"/>
                      <w:szCs w:val="21"/>
                      <w:highlight w:val="none"/>
                      <w:u w:val="none"/>
                      <w:lang w:val="en-US" w:eastAsia="zh-CN"/>
                    </w:rPr>
                    <w:t>400</w:t>
                  </w:r>
                </w:p>
              </w:tc>
              <w:tc>
                <w:tcPr>
                  <w:tcW w:w="629" w:type="pct"/>
                  <w:tcBorders>
                    <w:tl2br w:val="nil"/>
                    <w:tr2bl w:val="nil"/>
                  </w:tcBorders>
                  <w:shd w:val="clear" w:color="auto" w:fill="auto"/>
                  <w:vAlign w:val="center"/>
                </w:tcPr>
                <w:p w14:paraId="4AF4871E">
                  <w:pPr>
                    <w:spacing w:line="400" w:lineRule="exact"/>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eastAsia="宋体" w:cs="Times New Roman"/>
                      <w:color w:val="auto"/>
                      <w:sz w:val="21"/>
                      <w:szCs w:val="21"/>
                      <w:highlight w:val="none"/>
                      <w:u w:val="none"/>
                      <w:lang w:val="en-US" w:eastAsia="zh-CN"/>
                    </w:rPr>
                    <w:t>100</w:t>
                  </w:r>
                </w:p>
              </w:tc>
              <w:tc>
                <w:tcPr>
                  <w:tcW w:w="709" w:type="pct"/>
                  <w:tcBorders>
                    <w:tl2br w:val="nil"/>
                    <w:tr2bl w:val="nil"/>
                  </w:tcBorders>
                  <w:shd w:val="clear" w:color="auto" w:fill="auto"/>
                  <w:vAlign w:val="center"/>
                </w:tcPr>
                <w:p w14:paraId="3B34F44E">
                  <w:pPr>
                    <w:spacing w:line="400" w:lineRule="exact"/>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eastAsia="宋体" w:cs="Times New Roman"/>
                      <w:color w:val="auto"/>
                      <w:sz w:val="21"/>
                      <w:szCs w:val="21"/>
                      <w:highlight w:val="none"/>
                      <w:u w:val="none"/>
                      <w:lang w:val="en-US" w:eastAsia="zh-CN"/>
                    </w:rPr>
                    <w:t>500</w:t>
                  </w:r>
                </w:p>
              </w:tc>
              <w:tc>
                <w:tcPr>
                  <w:tcW w:w="487" w:type="pct"/>
                  <w:tcBorders>
                    <w:tl2br w:val="nil"/>
                    <w:tr2bl w:val="nil"/>
                  </w:tcBorders>
                  <w:vAlign w:val="center"/>
                </w:tcPr>
                <w:p w14:paraId="4588EBDE">
                  <w:pPr>
                    <w:spacing w:line="400" w:lineRule="exact"/>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45</w:t>
                  </w:r>
                </w:p>
              </w:tc>
              <w:tc>
                <w:tcPr>
                  <w:tcW w:w="487" w:type="pct"/>
                  <w:tcBorders>
                    <w:tl2br w:val="nil"/>
                    <w:tr2bl w:val="nil"/>
                  </w:tcBorders>
                  <w:vAlign w:val="center"/>
                </w:tcPr>
                <w:p w14:paraId="1CBC3915">
                  <w:pPr>
                    <w:spacing w:line="400" w:lineRule="exact"/>
                    <w:jc w:val="center"/>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lang w:val="en-US" w:eastAsia="zh-CN"/>
                    </w:rPr>
                    <w:t>300</w:t>
                  </w:r>
                </w:p>
              </w:tc>
            </w:tr>
          </w:tbl>
          <w:p w14:paraId="3CCD68EF">
            <w:pPr>
              <w:spacing w:line="360" w:lineRule="auto"/>
              <w:jc w:val="left"/>
              <w:rPr>
                <w:b/>
                <w:color w:val="auto"/>
                <w:kern w:val="0"/>
                <w:sz w:val="24"/>
                <w:highlight w:val="none"/>
                <w:u w:val="none"/>
              </w:rPr>
            </w:pPr>
            <w:r>
              <w:rPr>
                <w:b/>
                <w:color w:val="auto"/>
                <w:kern w:val="0"/>
                <w:sz w:val="24"/>
                <w:highlight w:val="none"/>
                <w:u w:val="none"/>
              </w:rPr>
              <w:t>3、噪声</w:t>
            </w:r>
            <w:r>
              <w:rPr>
                <w:rFonts w:hint="eastAsia"/>
                <w:b/>
                <w:color w:val="auto"/>
                <w:kern w:val="0"/>
                <w:sz w:val="24"/>
                <w:highlight w:val="none"/>
                <w:u w:val="none"/>
              </w:rPr>
              <w:t>排放标准</w:t>
            </w:r>
          </w:p>
          <w:p w14:paraId="7401A8EE">
            <w:pPr>
              <w:spacing w:line="360" w:lineRule="auto"/>
              <w:ind w:firstLine="480" w:firstLineChars="200"/>
              <w:jc w:val="both"/>
              <w:rPr>
                <w:b/>
                <w:color w:val="auto"/>
                <w:highlight w:val="none"/>
                <w:u w:val="none"/>
              </w:rPr>
            </w:pPr>
            <w:r>
              <w:rPr>
                <w:bCs/>
                <w:color w:val="auto"/>
                <w:sz w:val="24"/>
                <w:highlight w:val="none"/>
                <w:u w:val="none"/>
              </w:rPr>
              <w:t>本项目施工期噪声排放执行《建筑施工噪声排放标准》（GB 12523-20</w:t>
            </w:r>
            <w:r>
              <w:rPr>
                <w:rFonts w:hint="eastAsia"/>
                <w:bCs/>
                <w:color w:val="auto"/>
                <w:sz w:val="24"/>
                <w:highlight w:val="none"/>
                <w:u w:val="none"/>
                <w:lang w:val="en-US" w:eastAsia="zh-CN"/>
              </w:rPr>
              <w:t>25</w:t>
            </w:r>
            <w:r>
              <w:rPr>
                <w:bCs/>
                <w:color w:val="auto"/>
                <w:sz w:val="24"/>
                <w:highlight w:val="none"/>
                <w:u w:val="none"/>
              </w:rPr>
              <w:t>）；本项目</w:t>
            </w:r>
            <w:r>
              <w:rPr>
                <w:color w:val="auto"/>
                <w:sz w:val="24"/>
                <w:highlight w:val="none"/>
                <w:u w:val="none"/>
              </w:rPr>
              <w:t>营运期噪声排放执行《工业企业厂界环境噪声排放标准》</w:t>
            </w:r>
            <w:r>
              <w:rPr>
                <w:rFonts w:hint="eastAsia"/>
                <w:color w:val="auto"/>
                <w:sz w:val="24"/>
                <w:highlight w:val="none"/>
                <w:u w:val="none"/>
                <w:lang w:eastAsia="zh-CN"/>
              </w:rPr>
              <w:t>（</w:t>
            </w:r>
            <w:r>
              <w:rPr>
                <w:color w:val="auto"/>
                <w:sz w:val="24"/>
                <w:highlight w:val="none"/>
                <w:u w:val="none"/>
              </w:rPr>
              <w:t>GB12348-2008</w:t>
            </w:r>
            <w:r>
              <w:rPr>
                <w:rFonts w:hint="eastAsia"/>
                <w:color w:val="auto"/>
                <w:sz w:val="24"/>
                <w:highlight w:val="none"/>
                <w:u w:val="none"/>
                <w:lang w:eastAsia="zh-CN"/>
              </w:rPr>
              <w:t>）</w:t>
            </w:r>
            <w:r>
              <w:rPr>
                <w:color w:val="auto"/>
                <w:sz w:val="24"/>
                <w:highlight w:val="none"/>
                <w:u w:val="none"/>
              </w:rPr>
              <w:t>中</w:t>
            </w:r>
            <w:r>
              <w:rPr>
                <w:rFonts w:hint="eastAsia"/>
                <w:color w:val="auto"/>
                <w:sz w:val="24"/>
                <w:highlight w:val="none"/>
                <w:u w:val="none"/>
              </w:rPr>
              <w:t>3</w:t>
            </w:r>
            <w:r>
              <w:rPr>
                <w:color w:val="auto"/>
                <w:sz w:val="24"/>
                <w:highlight w:val="none"/>
                <w:u w:val="none"/>
              </w:rPr>
              <w:t>类标准</w:t>
            </w:r>
            <w:r>
              <w:rPr>
                <w:color w:val="auto"/>
                <w:sz w:val="24"/>
                <w:highlight w:val="none"/>
                <w:u w:val="none"/>
                <w:lang w:val="zh-CN"/>
              </w:rPr>
              <w:t>，</w:t>
            </w:r>
            <w:r>
              <w:rPr>
                <w:bCs/>
                <w:color w:val="auto"/>
                <w:sz w:val="24"/>
                <w:highlight w:val="none"/>
                <w:u w:val="none"/>
              </w:rPr>
              <w:t>详见表</w:t>
            </w:r>
            <w:r>
              <w:rPr>
                <w:rFonts w:hint="eastAsia"/>
                <w:bCs/>
                <w:color w:val="auto"/>
                <w:sz w:val="24"/>
                <w:highlight w:val="none"/>
                <w:u w:val="none"/>
              </w:rPr>
              <w:t>3-13、3-14</w:t>
            </w:r>
            <w:r>
              <w:rPr>
                <w:bCs/>
                <w:color w:val="auto"/>
                <w:sz w:val="24"/>
                <w:highlight w:val="none"/>
                <w:u w:val="none"/>
              </w:rPr>
              <w:t>。</w:t>
            </w:r>
          </w:p>
          <w:p w14:paraId="2CEF96CA">
            <w:pPr>
              <w:jc w:val="center"/>
              <w:rPr>
                <w:b/>
                <w:color w:val="auto"/>
                <w:highlight w:val="none"/>
                <w:u w:val="none"/>
              </w:rPr>
            </w:pPr>
            <w:r>
              <w:rPr>
                <w:b/>
                <w:color w:val="auto"/>
                <w:highlight w:val="none"/>
                <w:u w:val="none"/>
              </w:rPr>
              <w:t>表</w:t>
            </w:r>
            <w:r>
              <w:rPr>
                <w:rFonts w:hint="eastAsia"/>
                <w:b/>
                <w:color w:val="auto"/>
                <w:highlight w:val="none"/>
                <w:u w:val="none"/>
              </w:rPr>
              <w:t xml:space="preserve">3-13 </w:t>
            </w:r>
            <w:r>
              <w:rPr>
                <w:b/>
                <w:color w:val="auto"/>
                <w:highlight w:val="none"/>
                <w:u w:val="none"/>
              </w:rPr>
              <w:t>《建筑施工噪声排放标准》（GB 12523-20</w:t>
            </w:r>
            <w:r>
              <w:rPr>
                <w:rFonts w:hint="eastAsia"/>
                <w:b/>
                <w:color w:val="auto"/>
                <w:highlight w:val="none"/>
                <w:u w:val="none"/>
                <w:lang w:val="en-US" w:eastAsia="zh-CN"/>
              </w:rPr>
              <w:t>25</w:t>
            </w:r>
            <w:r>
              <w:rPr>
                <w:b/>
                <w:color w:val="auto"/>
                <w:highlight w:val="none"/>
                <w:u w:val="none"/>
              </w:rPr>
              <w:t>） 单位：dB(A)</w:t>
            </w:r>
          </w:p>
          <w:tbl>
            <w:tblPr>
              <w:tblStyle w:val="35"/>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03"/>
              <w:gridCol w:w="1166"/>
              <w:gridCol w:w="1169"/>
              <w:gridCol w:w="2898"/>
            </w:tblGrid>
            <w:tr w14:paraId="056013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573" w:type="pct"/>
                  <w:vAlign w:val="center"/>
                </w:tcPr>
                <w:p w14:paraId="7503456F">
                  <w:pPr>
                    <w:ind w:right="-40"/>
                    <w:jc w:val="center"/>
                    <w:rPr>
                      <w:color w:val="auto"/>
                      <w:highlight w:val="none"/>
                      <w:u w:val="none"/>
                    </w:rPr>
                  </w:pPr>
                  <w:r>
                    <w:rPr>
                      <w:color w:val="auto"/>
                      <w:highlight w:val="none"/>
                      <w:u w:val="none"/>
                    </w:rPr>
                    <w:t>污染物排放标准</w:t>
                  </w:r>
                </w:p>
              </w:tc>
              <w:tc>
                <w:tcPr>
                  <w:tcW w:w="763" w:type="pct"/>
                  <w:vAlign w:val="center"/>
                </w:tcPr>
                <w:p w14:paraId="36B5529B">
                  <w:pPr>
                    <w:ind w:right="-40"/>
                    <w:jc w:val="center"/>
                    <w:rPr>
                      <w:color w:val="auto"/>
                      <w:highlight w:val="none"/>
                      <w:u w:val="none"/>
                    </w:rPr>
                  </w:pPr>
                  <w:r>
                    <w:rPr>
                      <w:color w:val="auto"/>
                      <w:highlight w:val="none"/>
                      <w:u w:val="none"/>
                    </w:rPr>
                    <w:t>昼间</w:t>
                  </w:r>
                </w:p>
              </w:tc>
              <w:tc>
                <w:tcPr>
                  <w:tcW w:w="765" w:type="pct"/>
                  <w:vAlign w:val="center"/>
                </w:tcPr>
                <w:p w14:paraId="696ED0CF">
                  <w:pPr>
                    <w:ind w:right="-40"/>
                    <w:jc w:val="center"/>
                    <w:rPr>
                      <w:color w:val="auto"/>
                      <w:highlight w:val="none"/>
                      <w:u w:val="none"/>
                    </w:rPr>
                  </w:pPr>
                  <w:r>
                    <w:rPr>
                      <w:color w:val="auto"/>
                      <w:highlight w:val="none"/>
                      <w:u w:val="none"/>
                    </w:rPr>
                    <w:t>夜间</w:t>
                  </w:r>
                </w:p>
              </w:tc>
              <w:tc>
                <w:tcPr>
                  <w:tcW w:w="1897" w:type="pct"/>
                  <w:vAlign w:val="center"/>
                </w:tcPr>
                <w:p w14:paraId="69B351A1">
                  <w:pPr>
                    <w:ind w:right="-40"/>
                    <w:jc w:val="center"/>
                    <w:rPr>
                      <w:color w:val="auto"/>
                      <w:highlight w:val="none"/>
                      <w:u w:val="none"/>
                    </w:rPr>
                  </w:pPr>
                  <w:r>
                    <w:rPr>
                      <w:color w:val="auto"/>
                      <w:highlight w:val="none"/>
                      <w:u w:val="none"/>
                    </w:rPr>
                    <w:t>适用范围</w:t>
                  </w:r>
                </w:p>
              </w:tc>
            </w:tr>
            <w:tr w14:paraId="3D48DD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573" w:type="pct"/>
                  <w:vAlign w:val="center"/>
                </w:tcPr>
                <w:p w14:paraId="559F02B6">
                  <w:pPr>
                    <w:ind w:right="-40"/>
                    <w:jc w:val="center"/>
                    <w:rPr>
                      <w:color w:val="auto"/>
                      <w:highlight w:val="none"/>
                      <w:u w:val="none"/>
                    </w:rPr>
                  </w:pPr>
                  <w:r>
                    <w:rPr>
                      <w:color w:val="auto"/>
                      <w:highlight w:val="none"/>
                      <w:u w:val="none"/>
                    </w:rPr>
                    <w:t>（GB 12523-2011）</w:t>
                  </w:r>
                </w:p>
              </w:tc>
              <w:tc>
                <w:tcPr>
                  <w:tcW w:w="763" w:type="pct"/>
                  <w:vAlign w:val="center"/>
                </w:tcPr>
                <w:p w14:paraId="45D19BF9">
                  <w:pPr>
                    <w:ind w:right="-40"/>
                    <w:jc w:val="center"/>
                    <w:rPr>
                      <w:color w:val="auto"/>
                      <w:highlight w:val="none"/>
                      <w:u w:val="none"/>
                    </w:rPr>
                  </w:pPr>
                  <w:r>
                    <w:rPr>
                      <w:color w:val="auto"/>
                      <w:highlight w:val="none"/>
                      <w:u w:val="none"/>
                    </w:rPr>
                    <w:t>70</w:t>
                  </w:r>
                </w:p>
              </w:tc>
              <w:tc>
                <w:tcPr>
                  <w:tcW w:w="765" w:type="pct"/>
                  <w:vAlign w:val="center"/>
                </w:tcPr>
                <w:p w14:paraId="6E53A655">
                  <w:pPr>
                    <w:ind w:right="-40"/>
                    <w:jc w:val="center"/>
                    <w:rPr>
                      <w:color w:val="auto"/>
                      <w:highlight w:val="none"/>
                      <w:u w:val="none"/>
                    </w:rPr>
                  </w:pPr>
                  <w:r>
                    <w:rPr>
                      <w:color w:val="auto"/>
                      <w:highlight w:val="none"/>
                      <w:u w:val="none"/>
                    </w:rPr>
                    <w:t>55</w:t>
                  </w:r>
                </w:p>
              </w:tc>
              <w:tc>
                <w:tcPr>
                  <w:tcW w:w="1897" w:type="pct"/>
                  <w:vAlign w:val="center"/>
                </w:tcPr>
                <w:p w14:paraId="3C178244">
                  <w:pPr>
                    <w:pStyle w:val="59"/>
                    <w:rPr>
                      <w:color w:val="auto"/>
                      <w:szCs w:val="21"/>
                      <w:highlight w:val="none"/>
                      <w:u w:val="none"/>
                    </w:rPr>
                  </w:pPr>
                  <w:r>
                    <w:rPr>
                      <w:color w:val="auto"/>
                      <w:szCs w:val="21"/>
                      <w:highlight w:val="none"/>
                      <w:u w:val="none"/>
                    </w:rPr>
                    <w:t>建筑施工场界</w:t>
                  </w:r>
                </w:p>
              </w:tc>
            </w:tr>
          </w:tbl>
          <w:p w14:paraId="54E43F15">
            <w:pPr>
              <w:jc w:val="center"/>
              <w:rPr>
                <w:b/>
                <w:color w:val="auto"/>
                <w:highlight w:val="none"/>
                <w:u w:val="none"/>
              </w:rPr>
            </w:pPr>
            <w:r>
              <w:rPr>
                <w:b/>
                <w:color w:val="auto"/>
                <w:highlight w:val="none"/>
                <w:u w:val="none"/>
              </w:rPr>
              <w:t>表</w:t>
            </w:r>
            <w:r>
              <w:rPr>
                <w:rFonts w:hint="eastAsia"/>
                <w:b/>
                <w:color w:val="auto"/>
                <w:highlight w:val="none"/>
                <w:u w:val="none"/>
              </w:rPr>
              <w:t>3</w:t>
            </w:r>
            <w:r>
              <w:rPr>
                <w:b/>
                <w:color w:val="auto"/>
                <w:highlight w:val="none"/>
                <w:u w:val="none"/>
              </w:rPr>
              <w:t>-</w:t>
            </w:r>
            <w:r>
              <w:rPr>
                <w:rFonts w:hint="eastAsia"/>
                <w:b/>
                <w:color w:val="auto"/>
                <w:highlight w:val="none"/>
                <w:u w:val="none"/>
              </w:rPr>
              <w:t>14</w:t>
            </w:r>
            <w:r>
              <w:rPr>
                <w:b/>
                <w:color w:val="auto"/>
                <w:highlight w:val="none"/>
                <w:u w:val="none"/>
              </w:rPr>
              <w:t xml:space="preserve"> 《工业企业厂界环境噪声排放标准》</w:t>
            </w:r>
            <w:r>
              <w:rPr>
                <w:rFonts w:hint="eastAsia"/>
                <w:b/>
                <w:color w:val="auto"/>
                <w:highlight w:val="none"/>
                <w:u w:val="none"/>
                <w:lang w:eastAsia="zh-CN"/>
              </w:rPr>
              <w:t>（</w:t>
            </w:r>
            <w:r>
              <w:rPr>
                <w:b/>
                <w:color w:val="auto"/>
                <w:highlight w:val="none"/>
                <w:u w:val="none"/>
              </w:rPr>
              <w:t>GB12348-2008)   单位：dB(A)</w:t>
            </w:r>
          </w:p>
          <w:tbl>
            <w:tblPr>
              <w:tblStyle w:val="35"/>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46"/>
              <w:gridCol w:w="2679"/>
              <w:gridCol w:w="2511"/>
            </w:tblGrid>
            <w:tr w14:paraId="0EED0D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1601" w:type="pct"/>
                  <w:vMerge w:val="restart"/>
                  <w:vAlign w:val="center"/>
                </w:tcPr>
                <w:p w14:paraId="3D2A9025">
                  <w:pPr>
                    <w:tabs>
                      <w:tab w:val="left" w:pos="360"/>
                    </w:tabs>
                    <w:adjustRightInd w:val="0"/>
                    <w:snapToGrid w:val="0"/>
                    <w:spacing w:line="300" w:lineRule="exact"/>
                    <w:jc w:val="center"/>
                    <w:rPr>
                      <w:color w:val="auto"/>
                      <w:highlight w:val="none"/>
                      <w:u w:val="none"/>
                    </w:rPr>
                  </w:pPr>
                  <w:r>
                    <w:rPr>
                      <w:color w:val="auto"/>
                      <w:highlight w:val="none"/>
                      <w:u w:val="none"/>
                    </w:rPr>
                    <w:t>声环境功能区类别</w:t>
                  </w:r>
                </w:p>
              </w:tc>
              <w:tc>
                <w:tcPr>
                  <w:tcW w:w="3398" w:type="pct"/>
                  <w:gridSpan w:val="2"/>
                  <w:vAlign w:val="center"/>
                </w:tcPr>
                <w:p w14:paraId="0D8445C1">
                  <w:pPr>
                    <w:tabs>
                      <w:tab w:val="left" w:pos="360"/>
                    </w:tabs>
                    <w:adjustRightInd w:val="0"/>
                    <w:snapToGrid w:val="0"/>
                    <w:spacing w:line="300" w:lineRule="exact"/>
                    <w:jc w:val="center"/>
                    <w:rPr>
                      <w:color w:val="auto"/>
                      <w:highlight w:val="none"/>
                      <w:u w:val="none"/>
                    </w:rPr>
                  </w:pPr>
                  <w:r>
                    <w:rPr>
                      <w:color w:val="auto"/>
                      <w:highlight w:val="none"/>
                      <w:u w:val="none"/>
                    </w:rPr>
                    <w:t>时段</w:t>
                  </w:r>
                </w:p>
              </w:tc>
            </w:tr>
            <w:tr w14:paraId="63D14D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1601" w:type="pct"/>
                  <w:vMerge w:val="continue"/>
                  <w:vAlign w:val="center"/>
                </w:tcPr>
                <w:p w14:paraId="52C6BF05">
                  <w:pPr>
                    <w:tabs>
                      <w:tab w:val="left" w:pos="360"/>
                    </w:tabs>
                    <w:adjustRightInd w:val="0"/>
                    <w:snapToGrid w:val="0"/>
                    <w:spacing w:line="300" w:lineRule="exact"/>
                    <w:jc w:val="center"/>
                    <w:rPr>
                      <w:color w:val="auto"/>
                      <w:highlight w:val="none"/>
                      <w:u w:val="none"/>
                    </w:rPr>
                  </w:pPr>
                </w:p>
              </w:tc>
              <w:tc>
                <w:tcPr>
                  <w:tcW w:w="1754" w:type="pct"/>
                  <w:vAlign w:val="center"/>
                </w:tcPr>
                <w:p w14:paraId="6F5B38D0">
                  <w:pPr>
                    <w:tabs>
                      <w:tab w:val="left" w:pos="360"/>
                    </w:tabs>
                    <w:adjustRightInd w:val="0"/>
                    <w:snapToGrid w:val="0"/>
                    <w:spacing w:line="300" w:lineRule="exact"/>
                    <w:jc w:val="center"/>
                    <w:rPr>
                      <w:color w:val="auto"/>
                      <w:highlight w:val="none"/>
                      <w:u w:val="none"/>
                    </w:rPr>
                  </w:pPr>
                  <w:r>
                    <w:rPr>
                      <w:color w:val="auto"/>
                      <w:highlight w:val="none"/>
                      <w:u w:val="none"/>
                    </w:rPr>
                    <w:t>昼间</w:t>
                  </w:r>
                </w:p>
              </w:tc>
              <w:tc>
                <w:tcPr>
                  <w:tcW w:w="1643" w:type="pct"/>
                  <w:vAlign w:val="center"/>
                </w:tcPr>
                <w:p w14:paraId="19A7445C">
                  <w:pPr>
                    <w:tabs>
                      <w:tab w:val="left" w:pos="360"/>
                    </w:tabs>
                    <w:adjustRightInd w:val="0"/>
                    <w:snapToGrid w:val="0"/>
                    <w:spacing w:line="300" w:lineRule="exact"/>
                    <w:jc w:val="center"/>
                    <w:rPr>
                      <w:color w:val="auto"/>
                      <w:highlight w:val="none"/>
                      <w:u w:val="none"/>
                    </w:rPr>
                  </w:pPr>
                  <w:r>
                    <w:rPr>
                      <w:color w:val="auto"/>
                      <w:highlight w:val="none"/>
                      <w:u w:val="none"/>
                    </w:rPr>
                    <w:t>夜间</w:t>
                  </w:r>
                </w:p>
              </w:tc>
            </w:tr>
            <w:tr w14:paraId="1A39F3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1601" w:type="pct"/>
                  <w:vAlign w:val="center"/>
                </w:tcPr>
                <w:p w14:paraId="6ECFD9E9">
                  <w:pPr>
                    <w:tabs>
                      <w:tab w:val="left" w:pos="360"/>
                    </w:tabs>
                    <w:spacing w:line="300" w:lineRule="exact"/>
                    <w:jc w:val="center"/>
                    <w:rPr>
                      <w:color w:val="auto"/>
                      <w:highlight w:val="none"/>
                      <w:u w:val="none"/>
                    </w:rPr>
                  </w:pPr>
                  <w:r>
                    <w:rPr>
                      <w:rFonts w:hint="eastAsia"/>
                      <w:color w:val="auto"/>
                      <w:highlight w:val="none"/>
                      <w:u w:val="none"/>
                    </w:rPr>
                    <w:t>3</w:t>
                  </w:r>
                  <w:r>
                    <w:rPr>
                      <w:color w:val="auto"/>
                      <w:highlight w:val="none"/>
                      <w:u w:val="none"/>
                    </w:rPr>
                    <w:t>类</w:t>
                  </w:r>
                </w:p>
              </w:tc>
              <w:tc>
                <w:tcPr>
                  <w:tcW w:w="1754" w:type="pct"/>
                  <w:vAlign w:val="center"/>
                </w:tcPr>
                <w:p w14:paraId="49A0833B">
                  <w:pPr>
                    <w:tabs>
                      <w:tab w:val="left" w:pos="360"/>
                    </w:tabs>
                    <w:spacing w:line="300" w:lineRule="exact"/>
                    <w:jc w:val="center"/>
                    <w:rPr>
                      <w:color w:val="auto"/>
                      <w:highlight w:val="none"/>
                      <w:u w:val="none"/>
                    </w:rPr>
                  </w:pPr>
                  <w:r>
                    <w:rPr>
                      <w:color w:val="auto"/>
                      <w:highlight w:val="none"/>
                      <w:u w:val="none"/>
                    </w:rPr>
                    <w:t>6</w:t>
                  </w:r>
                  <w:r>
                    <w:rPr>
                      <w:rFonts w:hint="eastAsia"/>
                      <w:color w:val="auto"/>
                      <w:highlight w:val="none"/>
                      <w:u w:val="none"/>
                    </w:rPr>
                    <w:t>5</w:t>
                  </w:r>
                </w:p>
              </w:tc>
              <w:tc>
                <w:tcPr>
                  <w:tcW w:w="1643" w:type="pct"/>
                  <w:vAlign w:val="center"/>
                </w:tcPr>
                <w:p w14:paraId="140313FC">
                  <w:pPr>
                    <w:tabs>
                      <w:tab w:val="left" w:pos="360"/>
                    </w:tabs>
                    <w:spacing w:line="300" w:lineRule="exact"/>
                    <w:jc w:val="center"/>
                    <w:rPr>
                      <w:color w:val="auto"/>
                      <w:highlight w:val="none"/>
                      <w:u w:val="none"/>
                    </w:rPr>
                  </w:pPr>
                  <w:r>
                    <w:rPr>
                      <w:color w:val="auto"/>
                      <w:highlight w:val="none"/>
                      <w:u w:val="none"/>
                    </w:rPr>
                    <w:t>5</w:t>
                  </w:r>
                  <w:r>
                    <w:rPr>
                      <w:rFonts w:hint="eastAsia"/>
                      <w:color w:val="auto"/>
                      <w:highlight w:val="none"/>
                      <w:u w:val="none"/>
                    </w:rPr>
                    <w:t>5</w:t>
                  </w:r>
                </w:p>
              </w:tc>
            </w:tr>
          </w:tbl>
          <w:p w14:paraId="10E4ACEA">
            <w:pPr>
              <w:spacing w:line="360" w:lineRule="auto"/>
              <w:ind w:firstLine="482" w:firstLineChars="200"/>
              <w:jc w:val="left"/>
              <w:rPr>
                <w:b/>
                <w:color w:val="auto"/>
                <w:kern w:val="0"/>
                <w:sz w:val="24"/>
                <w:highlight w:val="none"/>
                <w:u w:val="none"/>
              </w:rPr>
            </w:pPr>
            <w:r>
              <w:rPr>
                <w:b/>
                <w:color w:val="auto"/>
                <w:kern w:val="0"/>
                <w:sz w:val="24"/>
                <w:highlight w:val="none"/>
                <w:u w:val="none"/>
              </w:rPr>
              <w:t>4、固废</w:t>
            </w:r>
          </w:p>
          <w:p w14:paraId="7CD3CD32">
            <w:pPr>
              <w:spacing w:line="360" w:lineRule="auto"/>
              <w:ind w:firstLine="480" w:firstLineChars="200"/>
              <w:rPr>
                <w:color w:val="auto"/>
                <w:kern w:val="0"/>
                <w:sz w:val="24"/>
                <w:szCs w:val="24"/>
                <w:highlight w:val="none"/>
                <w:u w:val="none"/>
              </w:rPr>
            </w:pPr>
            <w:r>
              <w:rPr>
                <w:color w:val="auto"/>
                <w:sz w:val="24"/>
                <w:highlight w:val="none"/>
                <w:u w:val="none" w:color="auto"/>
              </w:rPr>
              <w:t>本项目一般工业固体废弃物执行《</w:t>
            </w:r>
            <w:r>
              <w:rPr>
                <w:rFonts w:hint="eastAsia"/>
                <w:color w:val="auto"/>
                <w:sz w:val="24"/>
                <w:highlight w:val="none"/>
                <w:u w:val="none" w:color="auto"/>
                <w:lang w:val="en-US" w:eastAsia="zh-CN"/>
              </w:rPr>
              <w:t>一般工业固体废物贮存和填埋污染控制标准</w:t>
            </w:r>
            <w:r>
              <w:rPr>
                <w:color w:val="auto"/>
                <w:sz w:val="24"/>
                <w:highlight w:val="none"/>
                <w:u w:val="none" w:color="auto"/>
              </w:rPr>
              <w:t>》（GB18599-20</w:t>
            </w:r>
            <w:r>
              <w:rPr>
                <w:rFonts w:hint="eastAsia"/>
                <w:color w:val="auto"/>
                <w:sz w:val="24"/>
                <w:highlight w:val="none"/>
                <w:u w:val="none" w:color="auto"/>
                <w:lang w:val="en-US" w:eastAsia="zh-CN"/>
              </w:rPr>
              <w:t>20</w:t>
            </w:r>
            <w:r>
              <w:rPr>
                <w:color w:val="auto"/>
                <w:sz w:val="24"/>
                <w:highlight w:val="none"/>
                <w:u w:val="none" w:color="auto"/>
              </w:rPr>
              <w:t>）；危险固废执行</w:t>
            </w:r>
            <w:r>
              <w:rPr>
                <w:rFonts w:hint="eastAsia"/>
                <w:color w:val="auto"/>
                <w:sz w:val="24"/>
                <w:highlight w:val="none"/>
                <w:u w:val="none" w:color="auto"/>
              </w:rPr>
              <w:t>《危险废物贮存污染控制标准》</w:t>
            </w:r>
            <w:r>
              <w:rPr>
                <w:rFonts w:hint="eastAsia"/>
                <w:color w:val="auto"/>
                <w:sz w:val="24"/>
                <w:highlight w:val="none"/>
                <w:u w:val="none" w:color="auto"/>
                <w:lang w:eastAsia="zh-CN"/>
              </w:rPr>
              <w:t>（</w:t>
            </w:r>
            <w:r>
              <w:rPr>
                <w:rFonts w:hint="eastAsia"/>
                <w:color w:val="auto"/>
                <w:sz w:val="24"/>
                <w:highlight w:val="none"/>
                <w:u w:val="none" w:color="auto"/>
              </w:rPr>
              <w:t>GB 1</w:t>
            </w:r>
            <w:r>
              <w:rPr>
                <w:rFonts w:hint="eastAsia" w:eastAsia="宋体"/>
                <w:color w:val="auto"/>
                <w:sz w:val="24"/>
                <w:highlight w:val="none"/>
                <w:u w:val="none" w:color="auto"/>
                <w:lang w:val="en-US" w:eastAsia="zh-CN"/>
              </w:rPr>
              <w:t>8597-2023</w:t>
            </w:r>
            <w:r>
              <w:rPr>
                <w:rFonts w:hint="eastAsia"/>
                <w:color w:val="auto"/>
                <w:sz w:val="24"/>
                <w:highlight w:val="none"/>
                <w:u w:val="none" w:color="auto"/>
                <w:lang w:val="en-US" w:eastAsia="zh-CN"/>
              </w:rPr>
              <w:t>）</w:t>
            </w:r>
            <w:r>
              <w:rPr>
                <w:rFonts w:hint="eastAsia" w:eastAsia="宋体"/>
                <w:color w:val="auto"/>
                <w:sz w:val="24"/>
                <w:highlight w:val="none"/>
                <w:u w:val="none" w:color="auto"/>
                <w:lang w:val="en-US" w:eastAsia="zh-CN"/>
              </w:rPr>
              <w:t>；生活垃圾交由环卫集中收集处置</w:t>
            </w:r>
            <w:r>
              <w:rPr>
                <w:color w:val="auto"/>
                <w:sz w:val="24"/>
                <w:szCs w:val="24"/>
                <w:highlight w:val="none"/>
                <w:u w:val="none"/>
              </w:rPr>
              <w:t>。</w:t>
            </w:r>
          </w:p>
        </w:tc>
      </w:tr>
      <w:tr w14:paraId="00C32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7" w:type="dxa"/>
            <w:vAlign w:val="center"/>
          </w:tcPr>
          <w:p w14:paraId="7D22ED3B">
            <w:pPr>
              <w:spacing w:line="360" w:lineRule="auto"/>
              <w:jc w:val="center"/>
              <w:rPr>
                <w:color w:val="auto"/>
                <w:kern w:val="0"/>
                <w:sz w:val="24"/>
                <w:szCs w:val="24"/>
                <w:highlight w:val="none"/>
                <w:u w:val="none"/>
              </w:rPr>
            </w:pPr>
            <w:r>
              <w:rPr>
                <w:rFonts w:hint="eastAsia"/>
                <w:color w:val="auto"/>
                <w:kern w:val="0"/>
                <w:sz w:val="24"/>
                <w:szCs w:val="24"/>
                <w:highlight w:val="none"/>
                <w:u w:val="none"/>
              </w:rPr>
              <w:t>总量控制指标</w:t>
            </w:r>
          </w:p>
        </w:tc>
        <w:tc>
          <w:tcPr>
            <w:tcW w:w="7884" w:type="dxa"/>
          </w:tcPr>
          <w:p w14:paraId="0F95BC2B">
            <w:pPr>
              <w:pStyle w:val="18"/>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color w:val="auto"/>
                <w:kern w:val="2"/>
                <w:highlight w:val="none"/>
                <w:u w:val="none"/>
              </w:rPr>
            </w:pPr>
            <w:r>
              <w:rPr>
                <w:color w:val="auto"/>
                <w:kern w:val="2"/>
                <w:highlight w:val="none"/>
                <w:u w:val="none"/>
              </w:rPr>
              <w:t>按国家对污染物排放总量控制指标的要求，在核算基础上，提出工程污染物总量控制建议指标，是建设项目环境影响评价的任务之一，污染物总量控制建议指标应包括国家规定的指标和项目特征污染物。并结合本项目工程特征，确定本项目的总量控制因子为COD、氨氮</w:t>
            </w:r>
            <w:r>
              <w:rPr>
                <w:rFonts w:hint="eastAsia"/>
                <w:color w:val="auto"/>
                <w:kern w:val="2"/>
                <w:highlight w:val="none"/>
                <w:u w:val="none"/>
                <w:lang w:eastAsia="zh-CN"/>
              </w:rPr>
              <w:t>、</w:t>
            </w:r>
            <w:r>
              <w:rPr>
                <w:rFonts w:hint="eastAsia"/>
                <w:bCs/>
                <w:color w:val="auto"/>
                <w:sz w:val="24"/>
                <w:highlight w:val="none"/>
                <w:u w:val="none"/>
              </w:rPr>
              <w:t>VOCs</w:t>
            </w:r>
            <w:r>
              <w:rPr>
                <w:color w:val="auto"/>
                <w:kern w:val="2"/>
                <w:highlight w:val="none"/>
                <w:u w:val="none"/>
              </w:rPr>
              <w:t>。</w:t>
            </w:r>
          </w:p>
          <w:p w14:paraId="7F36F4BC">
            <w:pPr>
              <w:pStyle w:val="18"/>
              <w:keepNext w:val="0"/>
              <w:keepLines w:val="0"/>
              <w:pageBreakBefore w:val="0"/>
              <w:kinsoku/>
              <w:wordWrap/>
              <w:overflowPunct/>
              <w:topLinePunct w:val="0"/>
              <w:autoSpaceDE/>
              <w:autoSpaceDN/>
              <w:bidi w:val="0"/>
              <w:adjustRightInd/>
              <w:snapToGrid/>
              <w:spacing w:after="0" w:line="360" w:lineRule="auto"/>
              <w:ind w:left="0" w:leftChars="0" w:firstLine="480" w:firstLineChars="200"/>
              <w:textAlignment w:val="auto"/>
              <w:rPr>
                <w:color w:val="auto"/>
                <w:kern w:val="2"/>
                <w:szCs w:val="24"/>
                <w:highlight w:val="none"/>
                <w:u w:val="none"/>
              </w:rPr>
            </w:pPr>
            <w:r>
              <w:rPr>
                <w:color w:val="auto"/>
                <w:kern w:val="2"/>
                <w:highlight w:val="none"/>
                <w:u w:val="none"/>
              </w:rPr>
              <w:t>①水污染物控制指标：</w:t>
            </w:r>
            <w:r>
              <w:rPr>
                <w:rFonts w:hint="eastAsia"/>
                <w:color w:val="auto"/>
                <w:highlight w:val="none"/>
                <w:u w:val="none"/>
              </w:rPr>
              <w:t>本项目</w:t>
            </w:r>
            <w:r>
              <w:rPr>
                <w:color w:val="auto"/>
                <w:highlight w:val="none"/>
                <w:u w:val="none"/>
              </w:rPr>
              <w:t>生活污</w:t>
            </w:r>
            <w:r>
              <w:rPr>
                <w:color w:val="auto"/>
                <w:szCs w:val="28"/>
                <w:highlight w:val="none"/>
                <w:u w:val="none"/>
              </w:rPr>
              <w:t>水经化粪池处理达到</w:t>
            </w:r>
            <w:r>
              <w:rPr>
                <w:rFonts w:hint="eastAsia"/>
                <w:color w:val="auto"/>
                <w:highlight w:val="none"/>
                <w:u w:val="none"/>
              </w:rPr>
              <w:t>排放限值</w:t>
            </w:r>
            <w:r>
              <w:rPr>
                <w:color w:val="auto"/>
                <w:highlight w:val="none"/>
                <w:u w:val="none"/>
              </w:rPr>
              <w:t>后</w:t>
            </w:r>
            <w:r>
              <w:rPr>
                <w:color w:val="auto"/>
                <w:szCs w:val="28"/>
                <w:highlight w:val="none"/>
                <w:u w:val="none"/>
              </w:rPr>
              <w:t>经污水管网排入污水</w:t>
            </w:r>
            <w:r>
              <w:rPr>
                <w:rFonts w:hint="eastAsia"/>
                <w:color w:val="auto"/>
                <w:szCs w:val="28"/>
                <w:highlight w:val="none"/>
                <w:u w:val="none"/>
                <w:lang w:val="en-US" w:eastAsia="zh-CN"/>
              </w:rPr>
              <w:t>处理</w:t>
            </w:r>
            <w:r>
              <w:rPr>
                <w:color w:val="auto"/>
                <w:szCs w:val="28"/>
                <w:highlight w:val="none"/>
                <w:u w:val="none"/>
              </w:rPr>
              <w:t>厂</w:t>
            </w:r>
            <w:r>
              <w:rPr>
                <w:rFonts w:hint="eastAsia"/>
                <w:color w:val="auto"/>
                <w:szCs w:val="28"/>
                <w:highlight w:val="none"/>
                <w:u w:val="none"/>
                <w:lang w:eastAsia="zh-CN"/>
              </w:rPr>
              <w:t>（</w:t>
            </w:r>
            <w:r>
              <w:rPr>
                <w:rFonts w:hint="eastAsia"/>
                <w:color w:val="auto"/>
                <w:szCs w:val="28"/>
                <w:highlight w:val="none"/>
                <w:u w:val="none"/>
                <w:lang w:val="en-US" w:eastAsia="zh-CN"/>
              </w:rPr>
              <w:t>近期排入下河线污水处理厂，远期排入永州经开区工业污水处理厂）</w:t>
            </w:r>
            <w:r>
              <w:rPr>
                <w:color w:val="auto"/>
                <w:szCs w:val="28"/>
                <w:highlight w:val="none"/>
                <w:u w:val="none"/>
              </w:rPr>
              <w:t>处理</w:t>
            </w:r>
            <w:r>
              <w:rPr>
                <w:rFonts w:hint="eastAsia"/>
                <w:color w:val="auto"/>
                <w:szCs w:val="28"/>
                <w:highlight w:val="none"/>
                <w:u w:val="none"/>
              </w:rPr>
              <w:t>后最终排入湘江</w:t>
            </w:r>
            <w:r>
              <w:rPr>
                <w:color w:val="auto"/>
                <w:szCs w:val="28"/>
                <w:highlight w:val="none"/>
                <w:u w:val="none"/>
              </w:rPr>
              <w:t>。</w:t>
            </w:r>
            <w:r>
              <w:rPr>
                <w:rFonts w:hint="eastAsia"/>
                <w:color w:val="auto"/>
                <w:szCs w:val="28"/>
                <w:highlight w:val="none"/>
                <w:u w:val="none"/>
                <w:lang w:val="en-US" w:eastAsia="zh-CN"/>
              </w:rPr>
              <w:t>项目无</w:t>
            </w:r>
            <w:r>
              <w:rPr>
                <w:rFonts w:hint="eastAsia"/>
                <w:color w:val="auto"/>
                <w:szCs w:val="24"/>
                <w:highlight w:val="none"/>
                <w:u w:val="none"/>
              </w:rPr>
              <w:t>生产废水外排</w:t>
            </w:r>
            <w:r>
              <w:rPr>
                <w:rFonts w:hint="eastAsia"/>
                <w:color w:val="auto"/>
                <w:szCs w:val="24"/>
                <w:highlight w:val="none"/>
                <w:u w:val="none"/>
                <w:lang w:eastAsia="zh-CN"/>
              </w:rPr>
              <w:t>，</w:t>
            </w:r>
            <w:r>
              <w:rPr>
                <w:color w:val="auto"/>
                <w:kern w:val="2"/>
                <w:szCs w:val="24"/>
                <w:highlight w:val="none"/>
                <w:u w:val="none"/>
              </w:rPr>
              <w:t>因此无需申请</w:t>
            </w:r>
            <w:r>
              <w:rPr>
                <w:rFonts w:hint="eastAsia"/>
                <w:color w:val="auto"/>
                <w:kern w:val="2"/>
                <w:szCs w:val="24"/>
                <w:highlight w:val="none"/>
                <w:u w:val="none"/>
              </w:rPr>
              <w:t>水</w:t>
            </w:r>
            <w:r>
              <w:rPr>
                <w:color w:val="auto"/>
                <w:kern w:val="2"/>
                <w:szCs w:val="24"/>
                <w:highlight w:val="none"/>
                <w:u w:val="none"/>
              </w:rPr>
              <w:t>总量指标。</w:t>
            </w:r>
          </w:p>
          <w:p w14:paraId="7CAF21ED">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kern w:val="0"/>
                <w:sz w:val="24"/>
                <w:szCs w:val="24"/>
                <w:highlight w:val="none"/>
                <w:u w:val="none"/>
              </w:rPr>
            </w:pPr>
            <w:r>
              <w:rPr>
                <w:rFonts w:hint="eastAsia"/>
                <w:bCs/>
                <w:color w:val="auto"/>
                <w:sz w:val="24"/>
                <w:highlight w:val="none"/>
                <w:u w:val="none"/>
              </w:rPr>
              <w:t>②大气总量控制指标：根据工程分析，本项目</w:t>
            </w:r>
            <w:r>
              <w:rPr>
                <w:rFonts w:hint="eastAsia"/>
                <w:bCs/>
                <w:color w:val="auto"/>
                <w:sz w:val="24"/>
                <w:highlight w:val="none"/>
                <w:u w:val="none"/>
                <w:lang w:eastAsia="zh-CN"/>
              </w:rPr>
              <w:t>VOCs</w:t>
            </w:r>
            <w:r>
              <w:rPr>
                <w:rFonts w:hint="eastAsia"/>
                <w:bCs/>
                <w:color w:val="auto"/>
                <w:sz w:val="24"/>
                <w:highlight w:val="none"/>
                <w:u w:val="none"/>
              </w:rPr>
              <w:t>排放量为</w:t>
            </w:r>
            <w:r>
              <w:rPr>
                <w:rFonts w:hint="eastAsia"/>
                <w:bCs/>
                <w:color w:val="auto"/>
                <w:sz w:val="24"/>
                <w:highlight w:val="none"/>
                <w:u w:val="none"/>
                <w:lang w:val="en-US" w:eastAsia="zh-CN"/>
              </w:rPr>
              <w:t>1.218</w:t>
            </w:r>
            <w:r>
              <w:rPr>
                <w:rFonts w:hint="eastAsia"/>
                <w:bCs/>
                <w:color w:val="auto"/>
                <w:sz w:val="24"/>
                <w:highlight w:val="none"/>
                <w:u w:val="none"/>
              </w:rPr>
              <w:t>t/a</w:t>
            </w:r>
            <w:r>
              <w:rPr>
                <w:rFonts w:hint="eastAsia"/>
                <w:bCs/>
                <w:color w:val="auto"/>
                <w:sz w:val="24"/>
                <w:szCs w:val="24"/>
                <w:highlight w:val="none"/>
                <w:u w:val="none"/>
              </w:rPr>
              <w:t>，</w:t>
            </w:r>
            <w:r>
              <w:rPr>
                <w:rFonts w:hint="eastAsia"/>
                <w:bCs/>
                <w:color w:val="auto"/>
                <w:sz w:val="24"/>
                <w:highlight w:val="none"/>
                <w:u w:val="none"/>
              </w:rPr>
              <w:t>目前VOCs总量控制指标未纳入国家总量控制指标体系，建议核定，不进行总量控制指标交易。</w:t>
            </w:r>
          </w:p>
        </w:tc>
      </w:tr>
    </w:tbl>
    <w:p w14:paraId="6936CED2">
      <w:pPr>
        <w:pStyle w:val="3"/>
        <w:spacing w:before="0" w:after="0" w:line="360" w:lineRule="auto"/>
        <w:jc w:val="center"/>
        <w:rPr>
          <w:rFonts w:eastAsia="黑体"/>
          <w:b w:val="0"/>
          <w:bCs w:val="0"/>
          <w:color w:val="auto"/>
          <w:sz w:val="32"/>
          <w:highlight w:val="none"/>
          <w:u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6B93183">
      <w:pPr>
        <w:pStyle w:val="3"/>
        <w:spacing w:before="0" w:after="0" w:line="360" w:lineRule="auto"/>
        <w:jc w:val="center"/>
        <w:rPr>
          <w:color w:val="auto"/>
          <w:sz w:val="32"/>
          <w:highlight w:val="none"/>
          <w:u w:val="none"/>
        </w:rPr>
      </w:pPr>
      <w:bookmarkStart w:id="5" w:name="_Toc13607"/>
      <w:r>
        <w:rPr>
          <w:rFonts w:hint="eastAsia"/>
          <w:color w:val="auto"/>
          <w:sz w:val="32"/>
          <w:highlight w:val="none"/>
          <w:u w:val="none"/>
        </w:rPr>
        <w:t>四、主要环境影响和保护措施</w:t>
      </w:r>
      <w:bookmarkEnd w:id="5"/>
    </w:p>
    <w:tbl>
      <w:tblPr>
        <w:tblStyle w:val="36"/>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9188"/>
      </w:tblGrid>
      <w:tr w14:paraId="5B47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7" w:type="dxa"/>
            <w:vAlign w:val="center"/>
          </w:tcPr>
          <w:p w14:paraId="27DACF0C">
            <w:pPr>
              <w:spacing w:line="360" w:lineRule="auto"/>
              <w:jc w:val="center"/>
              <w:rPr>
                <w:color w:val="auto"/>
                <w:kern w:val="0"/>
                <w:sz w:val="24"/>
                <w:szCs w:val="24"/>
                <w:highlight w:val="none"/>
                <w:u w:val="none"/>
              </w:rPr>
            </w:pPr>
            <w:r>
              <w:rPr>
                <w:rFonts w:hint="eastAsia"/>
                <w:color w:val="auto"/>
                <w:kern w:val="0"/>
                <w:sz w:val="24"/>
                <w:szCs w:val="24"/>
                <w:highlight w:val="none"/>
                <w:u w:val="none"/>
              </w:rPr>
              <w:t>施工期环境保护措施</w:t>
            </w:r>
          </w:p>
        </w:tc>
        <w:tc>
          <w:tcPr>
            <w:tcW w:w="8947" w:type="dxa"/>
          </w:tcPr>
          <w:p w14:paraId="46865609">
            <w:pPr>
              <w:spacing w:line="360" w:lineRule="auto"/>
              <w:ind w:firstLine="480" w:firstLineChars="200"/>
              <w:jc w:val="left"/>
              <w:rPr>
                <w:rFonts w:hint="default" w:eastAsia="宋体"/>
                <w:color w:val="auto"/>
                <w:kern w:val="0"/>
                <w:sz w:val="24"/>
                <w:szCs w:val="24"/>
                <w:highlight w:val="none"/>
                <w:u w:val="none"/>
                <w:lang w:val="en-US" w:eastAsia="zh-CN"/>
              </w:rPr>
            </w:pPr>
            <w:r>
              <w:rPr>
                <w:rFonts w:hint="eastAsia"/>
                <w:color w:val="auto"/>
                <w:sz w:val="24"/>
                <w:highlight w:val="none"/>
                <w:u w:val="none"/>
              </w:rPr>
              <w:t>本项目</w:t>
            </w:r>
            <w:r>
              <w:rPr>
                <w:rFonts w:hint="eastAsia"/>
                <w:color w:val="auto"/>
                <w:sz w:val="24"/>
                <w:szCs w:val="24"/>
                <w:highlight w:val="none"/>
                <w:u w:val="none"/>
              </w:rPr>
              <w:t>租赁</w:t>
            </w:r>
            <w:r>
              <w:rPr>
                <w:rFonts w:hint="eastAsia"/>
                <w:color w:val="auto"/>
                <w:sz w:val="24"/>
                <w:szCs w:val="24"/>
                <w:highlight w:val="none"/>
                <w:u w:val="none"/>
                <w:shd w:val="clear" w:color="auto" w:fill="FFFFFF"/>
              </w:rPr>
              <w:t>永州经济技术开发区智能装备产业园标准厂11栋</w:t>
            </w:r>
            <w:r>
              <w:rPr>
                <w:rFonts w:hint="eastAsia" w:ascii="宋体" w:hAnsi="宋体" w:cs="宋体"/>
                <w:color w:val="auto"/>
                <w:sz w:val="24"/>
                <w:szCs w:val="24"/>
                <w:highlight w:val="none"/>
                <w:u w:val="none"/>
              </w:rPr>
              <w:t>的</w:t>
            </w:r>
            <w:r>
              <w:rPr>
                <w:rFonts w:hint="eastAsia"/>
                <w:color w:val="auto"/>
                <w:sz w:val="24"/>
                <w:szCs w:val="24"/>
                <w:highlight w:val="none"/>
                <w:u w:val="none"/>
              </w:rPr>
              <w:t>标</w:t>
            </w:r>
            <w:r>
              <w:rPr>
                <w:rFonts w:hint="eastAsia"/>
                <w:color w:val="auto"/>
                <w:sz w:val="24"/>
                <w:highlight w:val="none"/>
                <w:u w:val="none"/>
              </w:rPr>
              <w:t>准厂房及配套设施，项目入驻只需进行简单的装修和设备安装。据调查，</w:t>
            </w:r>
            <w:r>
              <w:rPr>
                <w:rFonts w:hint="eastAsia"/>
                <w:color w:val="auto"/>
                <w:sz w:val="24"/>
                <w:highlight w:val="none"/>
                <w:u w:val="none"/>
                <w:lang w:val="en-US" w:eastAsia="zh-CN"/>
              </w:rPr>
              <w:t>项目现场已进行厂房装修和设备安装</w:t>
            </w:r>
            <w:r>
              <w:rPr>
                <w:rFonts w:hint="eastAsia"/>
                <w:color w:val="auto"/>
                <w:sz w:val="24"/>
                <w:highlight w:val="none"/>
                <w:u w:val="none"/>
              </w:rPr>
              <w:t>。</w:t>
            </w:r>
            <w:r>
              <w:rPr>
                <w:rFonts w:hint="eastAsia"/>
                <w:color w:val="auto"/>
                <w:sz w:val="24"/>
                <w:highlight w:val="none"/>
                <w:u w:val="none"/>
                <w:lang w:val="en-US" w:eastAsia="zh-CN"/>
              </w:rPr>
              <w:t>施工期已结束，施工期间无环境污染问题发生。</w:t>
            </w:r>
          </w:p>
        </w:tc>
      </w:tr>
      <w:tr w14:paraId="4007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97" w:type="dxa"/>
            <w:vAlign w:val="center"/>
          </w:tcPr>
          <w:p w14:paraId="3AC11AFD">
            <w:pPr>
              <w:spacing w:line="360" w:lineRule="auto"/>
              <w:jc w:val="center"/>
              <w:rPr>
                <w:color w:val="auto"/>
                <w:kern w:val="0"/>
                <w:sz w:val="24"/>
                <w:szCs w:val="24"/>
                <w:highlight w:val="none"/>
                <w:u w:val="none"/>
              </w:rPr>
            </w:pPr>
            <w:r>
              <w:rPr>
                <w:rFonts w:hint="eastAsia"/>
                <w:color w:val="auto"/>
                <w:kern w:val="0"/>
                <w:sz w:val="24"/>
                <w:szCs w:val="24"/>
                <w:highlight w:val="none"/>
                <w:u w:val="none"/>
              </w:rPr>
              <w:t>运营期环境影响和保护措施</w:t>
            </w:r>
          </w:p>
        </w:tc>
        <w:tc>
          <w:tcPr>
            <w:tcW w:w="8947" w:type="dxa"/>
          </w:tcPr>
          <w:p w14:paraId="15B6BAC4">
            <w:pPr>
              <w:widowControl/>
              <w:spacing w:afterAutospacing="0" w:line="360" w:lineRule="auto"/>
              <w:ind w:firstLine="482" w:firstLineChars="200"/>
              <w:jc w:val="left"/>
              <w:rPr>
                <w:color w:val="auto"/>
                <w:highlight w:val="none"/>
                <w:u w:val="none"/>
              </w:rPr>
            </w:pPr>
            <w:r>
              <w:rPr>
                <w:b/>
                <w:color w:val="auto"/>
                <w:kern w:val="0"/>
                <w:sz w:val="24"/>
                <w:highlight w:val="none"/>
                <w:u w:val="none"/>
                <w:lang w:bidi="ar"/>
              </w:rPr>
              <w:t>1</w:t>
            </w:r>
            <w:r>
              <w:rPr>
                <w:rFonts w:hint="eastAsia" w:ascii="宋体" w:hAnsi="宋体" w:cs="宋体"/>
                <w:b/>
                <w:color w:val="auto"/>
                <w:kern w:val="0"/>
                <w:sz w:val="24"/>
                <w:highlight w:val="none"/>
                <w:u w:val="none"/>
                <w:lang w:bidi="ar"/>
              </w:rPr>
              <w:t>、废气</w:t>
            </w:r>
          </w:p>
          <w:p w14:paraId="3E50403A">
            <w:pPr>
              <w:pStyle w:val="96"/>
              <w:keepNext w:val="0"/>
              <w:keepLines w:val="0"/>
              <w:pageBreakBefore w:val="0"/>
              <w:widowControl/>
              <w:kinsoku/>
              <w:wordWrap/>
              <w:overflowPunct/>
              <w:topLinePunct w:val="0"/>
              <w:autoSpaceDE/>
              <w:autoSpaceDN/>
              <w:bidi w:val="0"/>
              <w:adjustRightInd/>
              <w:snapToGrid w:val="0"/>
              <w:spacing w:before="159" w:beforeLines="50" w:beforeAutospacing="0" w:line="360" w:lineRule="auto"/>
              <w:jc w:val="both"/>
              <w:textAlignment w:val="auto"/>
              <w:rPr>
                <w:rFonts w:hint="default" w:ascii="Times New Roman" w:hAnsi="Times New Roman" w:eastAsia="宋体" w:cs="Times New Roman"/>
                <w:b w:val="0"/>
                <w:bCs w:val="0"/>
                <w:color w:val="auto"/>
                <w:sz w:val="24"/>
                <w:szCs w:val="24"/>
                <w:highlight w:val="none"/>
                <w:u w:val="none" w:color="auto"/>
                <w:lang w:val="en-US" w:eastAsia="zh-CN" w:bidi="ar-SA"/>
              </w:rPr>
            </w:pPr>
            <w:r>
              <w:rPr>
                <w:rFonts w:hint="eastAsia" w:cs="Times New Roman"/>
                <w:b/>
                <w:color w:val="auto"/>
                <w:szCs w:val="21"/>
                <w:highlight w:val="none"/>
                <w:u w:val="none" w:color="auto"/>
                <w:lang w:val="en-US" w:eastAsia="zh-CN" w:bidi="ar-SA"/>
              </w:rPr>
              <w:t xml:space="preserve">  </w:t>
            </w:r>
            <w:r>
              <w:rPr>
                <w:rFonts w:hint="eastAsia" w:cs="Times New Roman"/>
                <w:b w:val="0"/>
                <w:bCs w:val="0"/>
                <w:color w:val="auto"/>
                <w:sz w:val="24"/>
                <w:szCs w:val="24"/>
                <w:highlight w:val="none"/>
                <w:u w:val="none" w:color="auto"/>
                <w:lang w:val="en-US" w:eastAsia="zh-CN" w:bidi="ar-SA"/>
              </w:rPr>
              <w:t xml:space="preserve">  本项目废气影响和保护措施内容详见大气环境影响专项评价。</w:t>
            </w:r>
          </w:p>
          <w:p w14:paraId="23C6590B">
            <w:pPr>
              <w:tabs>
                <w:tab w:val="center" w:pos="4758"/>
              </w:tabs>
              <w:spacing w:line="360" w:lineRule="auto"/>
              <w:ind w:firstLine="482" w:firstLineChars="200"/>
              <w:rPr>
                <w:rFonts w:hAnsi="宋体"/>
                <w:b/>
                <w:bCs/>
                <w:color w:val="auto"/>
                <w:sz w:val="24"/>
                <w:highlight w:val="none"/>
                <w:u w:val="none"/>
              </w:rPr>
            </w:pPr>
            <w:r>
              <w:rPr>
                <w:rFonts w:hint="eastAsia" w:hAnsi="宋体"/>
                <w:b/>
                <w:bCs/>
                <w:color w:val="auto"/>
                <w:sz w:val="24"/>
                <w:highlight w:val="none"/>
                <w:u w:val="none"/>
              </w:rPr>
              <w:t>2、废水</w:t>
            </w:r>
          </w:p>
          <w:p w14:paraId="2FEE7E61">
            <w:pPr>
              <w:tabs>
                <w:tab w:val="center" w:pos="4758"/>
              </w:tabs>
              <w:spacing w:line="360" w:lineRule="auto"/>
              <w:ind w:firstLine="482" w:firstLineChars="200"/>
              <w:rPr>
                <w:rFonts w:hAnsi="宋体"/>
                <w:b/>
                <w:bCs/>
                <w:color w:val="auto"/>
                <w:sz w:val="24"/>
                <w:highlight w:val="none"/>
                <w:u w:val="none"/>
              </w:rPr>
            </w:pPr>
            <w:r>
              <w:rPr>
                <w:rFonts w:hint="eastAsia" w:hAnsi="宋体"/>
                <w:b/>
                <w:bCs/>
                <w:color w:val="auto"/>
                <w:sz w:val="24"/>
                <w:highlight w:val="none"/>
                <w:u w:val="none"/>
              </w:rPr>
              <w:t>（1）废水源强分析</w:t>
            </w:r>
          </w:p>
          <w:p w14:paraId="043743B7">
            <w:pPr>
              <w:tabs>
                <w:tab w:val="center" w:pos="4758"/>
              </w:tabs>
              <w:spacing w:line="360" w:lineRule="auto"/>
              <w:ind w:firstLine="480" w:firstLineChars="200"/>
              <w:rPr>
                <w:rFonts w:hAnsi="宋体"/>
                <w:color w:val="auto"/>
                <w:sz w:val="24"/>
                <w:highlight w:val="none"/>
                <w:u w:val="none"/>
              </w:rPr>
            </w:pPr>
            <w:r>
              <w:rPr>
                <w:rFonts w:hint="eastAsia" w:hAnsi="宋体"/>
                <w:color w:val="auto"/>
                <w:sz w:val="24"/>
                <w:highlight w:val="none"/>
                <w:u w:val="none"/>
              </w:rPr>
              <w:t>本项目车间地面采取扫帚干法清扫，不使用</w:t>
            </w:r>
            <w:r>
              <w:rPr>
                <w:rFonts w:hint="eastAsia" w:hAnsi="宋体"/>
                <w:color w:val="auto"/>
                <w:sz w:val="24"/>
                <w:highlight w:val="none"/>
                <w:u w:val="none"/>
                <w:lang w:val="en-US" w:eastAsia="zh-CN"/>
              </w:rPr>
              <w:t>水冲洗</w:t>
            </w:r>
            <w:r>
              <w:rPr>
                <w:rFonts w:hint="eastAsia" w:hAnsi="宋体"/>
                <w:color w:val="auto"/>
                <w:sz w:val="24"/>
                <w:highlight w:val="none"/>
                <w:u w:val="none"/>
              </w:rPr>
              <w:t>。本项目废水主要为生活污水、注塑机冷却水。</w:t>
            </w:r>
          </w:p>
          <w:p w14:paraId="2E28F2BC">
            <w:pPr>
              <w:tabs>
                <w:tab w:val="center" w:pos="4758"/>
              </w:tabs>
              <w:spacing w:line="360" w:lineRule="auto"/>
              <w:ind w:firstLine="480" w:firstLineChars="200"/>
              <w:rPr>
                <w:color w:val="auto"/>
                <w:sz w:val="24"/>
                <w:highlight w:val="none"/>
                <w:u w:val="none"/>
              </w:rPr>
            </w:pPr>
            <w:r>
              <w:rPr>
                <w:rFonts w:hint="eastAsia" w:hAnsi="宋体"/>
                <w:color w:val="auto"/>
                <w:sz w:val="24"/>
                <w:highlight w:val="none"/>
                <w:u w:val="none"/>
              </w:rPr>
              <w:t>1）</w:t>
            </w:r>
            <w:r>
              <w:rPr>
                <w:rFonts w:hAnsi="宋体"/>
                <w:color w:val="auto"/>
                <w:sz w:val="24"/>
                <w:highlight w:val="none"/>
                <w:u w:val="none"/>
              </w:rPr>
              <w:t>生活用水</w:t>
            </w:r>
          </w:p>
          <w:p w14:paraId="0FEF9CFE">
            <w:pPr>
              <w:tabs>
                <w:tab w:val="center" w:pos="4758"/>
              </w:tabs>
              <w:spacing w:line="360" w:lineRule="auto"/>
              <w:ind w:firstLine="480" w:firstLineChars="200"/>
              <w:rPr>
                <w:rFonts w:hAnsi="宋体"/>
                <w:color w:val="auto"/>
                <w:sz w:val="24"/>
                <w:highlight w:val="none"/>
                <w:u w:val="none"/>
              </w:rPr>
            </w:pPr>
            <w:r>
              <w:rPr>
                <w:color w:val="auto"/>
                <w:sz w:val="24"/>
                <w:highlight w:val="none"/>
                <w:u w:val="none"/>
              </w:rPr>
              <w:t>本项目</w:t>
            </w:r>
            <w:r>
              <w:rPr>
                <w:rFonts w:hint="eastAsia"/>
                <w:color w:val="auto"/>
                <w:sz w:val="24"/>
                <w:highlight w:val="none"/>
                <w:u w:val="none"/>
              </w:rPr>
              <w:t>厂区</w:t>
            </w:r>
            <w:r>
              <w:rPr>
                <w:color w:val="auto"/>
                <w:sz w:val="24"/>
                <w:highlight w:val="none"/>
                <w:u w:val="none"/>
              </w:rPr>
              <w:t>员工人数为</w:t>
            </w:r>
            <w:r>
              <w:rPr>
                <w:rFonts w:hint="eastAsia"/>
                <w:color w:val="auto"/>
                <w:sz w:val="24"/>
                <w:highlight w:val="none"/>
                <w:u w:val="none"/>
                <w:lang w:val="en-US" w:eastAsia="zh-CN"/>
              </w:rPr>
              <w:t>100</w:t>
            </w:r>
            <w:r>
              <w:rPr>
                <w:color w:val="auto"/>
                <w:sz w:val="24"/>
                <w:highlight w:val="none"/>
                <w:u w:val="none"/>
              </w:rPr>
              <w:t>人，年工作</w:t>
            </w:r>
            <w:r>
              <w:rPr>
                <w:rFonts w:hint="eastAsia"/>
                <w:color w:val="auto"/>
                <w:sz w:val="24"/>
                <w:highlight w:val="none"/>
                <w:u w:val="none"/>
                <w:lang w:val="en-US" w:eastAsia="zh-CN"/>
              </w:rPr>
              <w:t>300</w:t>
            </w:r>
            <w:r>
              <w:rPr>
                <w:color w:val="auto"/>
                <w:sz w:val="24"/>
                <w:highlight w:val="none"/>
                <w:u w:val="none"/>
              </w:rPr>
              <w:t>天，</w:t>
            </w:r>
            <w:r>
              <w:rPr>
                <w:rFonts w:hint="eastAsia" w:ascii="宋体" w:hAnsi="宋体" w:cs="宋体"/>
                <w:color w:val="auto"/>
                <w:sz w:val="24"/>
                <w:szCs w:val="24"/>
                <w:highlight w:val="none"/>
                <w:u w:val="none"/>
                <w:lang w:val="en-US" w:eastAsia="zh-CN"/>
              </w:rPr>
              <w:t>均不在厂区内食宿</w:t>
            </w:r>
            <w:r>
              <w:rPr>
                <w:color w:val="auto"/>
                <w:sz w:val="24"/>
                <w:highlight w:val="none"/>
                <w:u w:val="none"/>
              </w:rPr>
              <w:t>，参照</w:t>
            </w:r>
            <w:r>
              <w:rPr>
                <w:rFonts w:hint="eastAsia" w:ascii="Times New Roman" w:hAnsi="Times New Roman" w:eastAsia="宋体" w:cs="Times New Roman"/>
                <w:color w:val="auto"/>
                <w:sz w:val="24"/>
                <w:lang w:val="en-US" w:eastAsia="zh-CN"/>
              </w:rPr>
              <w:t>《湖南省用水定额 第3部分：生活、服务业及建筑业》（DB43/T388.3—2025）</w:t>
            </w:r>
            <w:r>
              <w:rPr>
                <w:color w:val="auto"/>
                <w:sz w:val="24"/>
                <w:highlight w:val="none"/>
                <w:u w:val="none"/>
              </w:rPr>
              <w:t>及类比，</w:t>
            </w:r>
            <w:r>
              <w:rPr>
                <w:rFonts w:hint="eastAsia" w:ascii="宋体" w:hAnsi="宋体" w:cs="宋体"/>
                <w:color w:val="auto"/>
                <w:sz w:val="24"/>
                <w:highlight w:val="none"/>
                <w:u w:val="none"/>
              </w:rPr>
              <w:t>不在厂区住宿员工用水量</w:t>
            </w:r>
            <w:r>
              <w:rPr>
                <w:rFonts w:hint="default" w:ascii="Times New Roman" w:hAnsi="Times New Roman" w:cs="Times New Roman"/>
                <w:color w:val="auto"/>
                <w:sz w:val="24"/>
                <w:highlight w:val="none"/>
                <w:u w:val="none"/>
              </w:rPr>
              <w:t>以</w:t>
            </w:r>
            <w:r>
              <w:rPr>
                <w:rFonts w:hint="eastAsia" w:ascii="Times New Roman" w:hAnsi="Times New Roman" w:cs="Times New Roman"/>
                <w:color w:val="auto"/>
                <w:sz w:val="24"/>
                <w:highlight w:val="none"/>
                <w:u w:val="none"/>
                <w:lang w:val="en-US" w:eastAsia="zh-CN"/>
              </w:rPr>
              <w:t>5</w:t>
            </w:r>
            <w:r>
              <w:rPr>
                <w:rFonts w:hint="default" w:ascii="Times New Roman" w:hAnsi="Times New Roman" w:cs="Times New Roman"/>
                <w:color w:val="auto"/>
                <w:sz w:val="24"/>
                <w:highlight w:val="none"/>
                <w:u w:val="none"/>
                <w:lang w:val="en-US" w:eastAsia="zh-CN"/>
              </w:rPr>
              <w:t>0</w:t>
            </w:r>
            <w:r>
              <w:rPr>
                <w:color w:val="auto"/>
                <w:sz w:val="24"/>
                <w:highlight w:val="none"/>
                <w:u w:val="none"/>
              </w:rPr>
              <w:t>L/d•</w:t>
            </w:r>
            <w:r>
              <w:rPr>
                <w:rFonts w:hint="eastAsia" w:ascii="宋体" w:hAnsi="宋体" w:cs="宋体"/>
                <w:color w:val="auto"/>
                <w:sz w:val="24"/>
                <w:highlight w:val="none"/>
                <w:u w:val="none"/>
              </w:rPr>
              <w:t>人计，</w:t>
            </w:r>
            <w:r>
              <w:rPr>
                <w:color w:val="auto"/>
                <w:sz w:val="24"/>
                <w:highlight w:val="none"/>
                <w:u w:val="none"/>
              </w:rPr>
              <w:t>则生活用水量为</w:t>
            </w:r>
            <w:r>
              <w:rPr>
                <w:rFonts w:hint="eastAsia"/>
                <w:color w:val="auto"/>
                <w:sz w:val="24"/>
                <w:highlight w:val="none"/>
                <w:u w:val="none"/>
                <w:lang w:val="en-US" w:eastAsia="zh-CN"/>
              </w:rPr>
              <w:t>1500</w:t>
            </w:r>
            <w:r>
              <w:rPr>
                <w:color w:val="auto"/>
                <w:sz w:val="24"/>
                <w:highlight w:val="none"/>
                <w:u w:val="none"/>
              </w:rPr>
              <w:t>m</w:t>
            </w:r>
            <w:r>
              <w:rPr>
                <w:color w:val="auto"/>
                <w:sz w:val="24"/>
                <w:highlight w:val="none"/>
                <w:u w:val="none"/>
                <w:vertAlign w:val="superscript"/>
              </w:rPr>
              <w:t>3</w:t>
            </w:r>
            <w:r>
              <w:rPr>
                <w:color w:val="auto"/>
                <w:sz w:val="24"/>
                <w:highlight w:val="none"/>
                <w:u w:val="none"/>
              </w:rPr>
              <w:t>/a（</w:t>
            </w:r>
            <w:r>
              <w:rPr>
                <w:rFonts w:hint="eastAsia"/>
                <w:color w:val="auto"/>
                <w:sz w:val="24"/>
                <w:highlight w:val="none"/>
                <w:u w:val="none"/>
                <w:lang w:val="en-US" w:eastAsia="zh-CN"/>
              </w:rPr>
              <w:t>5</w:t>
            </w:r>
            <w:r>
              <w:rPr>
                <w:color w:val="auto"/>
                <w:sz w:val="24"/>
                <w:highlight w:val="none"/>
                <w:u w:val="none"/>
              </w:rPr>
              <w:t>m</w:t>
            </w:r>
            <w:r>
              <w:rPr>
                <w:color w:val="auto"/>
                <w:sz w:val="24"/>
                <w:highlight w:val="none"/>
                <w:u w:val="none"/>
                <w:vertAlign w:val="superscript"/>
              </w:rPr>
              <w:t>3</w:t>
            </w:r>
            <w:r>
              <w:rPr>
                <w:color w:val="auto"/>
                <w:sz w:val="24"/>
                <w:highlight w:val="none"/>
                <w:u w:val="none"/>
              </w:rPr>
              <w:t>/d），排水量按用水量的</w:t>
            </w:r>
            <w:r>
              <w:rPr>
                <w:rFonts w:hint="eastAsia"/>
                <w:color w:val="auto"/>
                <w:sz w:val="24"/>
                <w:highlight w:val="none"/>
                <w:u w:val="none"/>
              </w:rPr>
              <w:t>8</w:t>
            </w:r>
            <w:r>
              <w:rPr>
                <w:rFonts w:hint="eastAsia"/>
                <w:color w:val="auto"/>
                <w:sz w:val="24"/>
                <w:highlight w:val="none"/>
                <w:u w:val="none"/>
                <w:lang w:val="en-US" w:eastAsia="zh-CN"/>
              </w:rPr>
              <w:t>0</w:t>
            </w:r>
            <w:r>
              <w:rPr>
                <w:color w:val="auto"/>
                <w:sz w:val="24"/>
                <w:highlight w:val="none"/>
                <w:u w:val="none"/>
              </w:rPr>
              <w:t>%计，则本项目排水量为</w:t>
            </w:r>
            <w:r>
              <w:rPr>
                <w:rFonts w:hint="eastAsia"/>
                <w:color w:val="auto"/>
                <w:sz w:val="24"/>
                <w:highlight w:val="none"/>
                <w:u w:val="none"/>
                <w:lang w:val="en-US" w:eastAsia="zh-CN"/>
              </w:rPr>
              <w:t>1200</w:t>
            </w:r>
            <w:r>
              <w:rPr>
                <w:color w:val="auto"/>
                <w:sz w:val="24"/>
                <w:highlight w:val="none"/>
                <w:u w:val="none"/>
              </w:rPr>
              <w:t>m</w:t>
            </w:r>
            <w:r>
              <w:rPr>
                <w:color w:val="auto"/>
                <w:sz w:val="24"/>
                <w:highlight w:val="none"/>
                <w:u w:val="none"/>
                <w:vertAlign w:val="superscript"/>
              </w:rPr>
              <w:t>3</w:t>
            </w:r>
            <w:r>
              <w:rPr>
                <w:color w:val="auto"/>
                <w:sz w:val="24"/>
                <w:highlight w:val="none"/>
                <w:u w:val="none"/>
              </w:rPr>
              <w:t>/a（</w:t>
            </w:r>
            <w:r>
              <w:rPr>
                <w:rFonts w:hint="eastAsia"/>
                <w:color w:val="auto"/>
                <w:sz w:val="24"/>
                <w:highlight w:val="none"/>
                <w:u w:val="none"/>
                <w:lang w:val="en-US" w:eastAsia="zh-CN"/>
              </w:rPr>
              <w:t>4.0</w:t>
            </w:r>
            <w:r>
              <w:rPr>
                <w:color w:val="auto"/>
                <w:sz w:val="24"/>
                <w:highlight w:val="none"/>
                <w:u w:val="none"/>
              </w:rPr>
              <w:t>m</w:t>
            </w:r>
            <w:r>
              <w:rPr>
                <w:color w:val="auto"/>
                <w:sz w:val="24"/>
                <w:highlight w:val="none"/>
                <w:u w:val="none"/>
                <w:vertAlign w:val="superscript"/>
              </w:rPr>
              <w:t>3</w:t>
            </w:r>
            <w:r>
              <w:rPr>
                <w:color w:val="auto"/>
                <w:sz w:val="24"/>
                <w:highlight w:val="none"/>
                <w:u w:val="none"/>
              </w:rPr>
              <w:t>/d），</w:t>
            </w:r>
            <w:r>
              <w:rPr>
                <w:rFonts w:hint="eastAsia"/>
                <w:color w:val="auto"/>
                <w:sz w:val="24"/>
                <w:highlight w:val="none"/>
                <w:u w:val="none"/>
              </w:rPr>
              <w:t>主要污染物为</w:t>
            </w:r>
            <w:r>
              <w:rPr>
                <w:rFonts w:hint="eastAsia" w:ascii="Times New Roman" w:hAnsi="Times New Roman" w:eastAsia="宋体"/>
                <w:color w:val="auto"/>
                <w:spacing w:val="0"/>
                <w:sz w:val="24"/>
                <w:highlight w:val="none"/>
                <w:u w:val="none"/>
                <w:lang w:val="en-US" w:eastAsia="zh-CN"/>
              </w:rPr>
              <w:t xml:space="preserve"> COD</w:t>
            </w:r>
            <w:r>
              <w:rPr>
                <w:rFonts w:hint="eastAsia" w:ascii="Times New Roman" w:hAnsi="Times New Roman" w:eastAsia="宋体"/>
                <w:color w:val="auto"/>
                <w:spacing w:val="0"/>
                <w:sz w:val="24"/>
                <w:highlight w:val="none"/>
                <w:u w:val="none"/>
                <w:vertAlign w:val="subscript"/>
                <w:lang w:val="en-US" w:eastAsia="zh-CN"/>
              </w:rPr>
              <w:t>Cr</w:t>
            </w:r>
            <w:r>
              <w:rPr>
                <w:rFonts w:hint="eastAsia" w:ascii="Times New Roman" w:hAnsi="Times New Roman" w:eastAsia="宋体"/>
                <w:color w:val="auto"/>
                <w:spacing w:val="0"/>
                <w:sz w:val="24"/>
                <w:highlight w:val="none"/>
                <w:u w:val="none"/>
                <w:lang w:val="en-US" w:eastAsia="zh-CN"/>
              </w:rPr>
              <w:t>：</w:t>
            </w:r>
            <w:r>
              <w:rPr>
                <w:rFonts w:hint="eastAsia"/>
                <w:color w:val="auto"/>
                <w:spacing w:val="0"/>
                <w:sz w:val="24"/>
                <w:highlight w:val="none"/>
                <w:u w:val="none"/>
                <w:lang w:val="en-US" w:eastAsia="zh-CN"/>
              </w:rPr>
              <w:t>30</w:t>
            </w:r>
            <w:r>
              <w:rPr>
                <w:rFonts w:hint="eastAsia" w:ascii="Times New Roman" w:hAnsi="Times New Roman" w:eastAsia="宋体"/>
                <w:color w:val="auto"/>
                <w:spacing w:val="0"/>
                <w:sz w:val="24"/>
                <w:highlight w:val="none"/>
                <w:u w:val="none"/>
                <w:lang w:val="en-US" w:eastAsia="zh-CN"/>
              </w:rPr>
              <w:t>0mg/L、BOD</w:t>
            </w:r>
            <w:r>
              <w:rPr>
                <w:rFonts w:hint="eastAsia" w:ascii="Times New Roman" w:hAnsi="Times New Roman" w:eastAsia="宋体"/>
                <w:color w:val="auto"/>
                <w:spacing w:val="0"/>
                <w:sz w:val="24"/>
                <w:highlight w:val="none"/>
                <w:u w:val="none"/>
                <w:vertAlign w:val="subscript"/>
                <w:lang w:val="en-US" w:eastAsia="zh-CN"/>
              </w:rPr>
              <w:t>5</w:t>
            </w:r>
            <w:r>
              <w:rPr>
                <w:rFonts w:hint="eastAsia" w:ascii="Times New Roman" w:hAnsi="Times New Roman" w:eastAsia="宋体"/>
                <w:color w:val="auto"/>
                <w:spacing w:val="0"/>
                <w:sz w:val="24"/>
                <w:highlight w:val="none"/>
                <w:u w:val="none"/>
                <w:lang w:val="en-US" w:eastAsia="zh-CN"/>
              </w:rPr>
              <w:t>：</w:t>
            </w:r>
            <w:r>
              <w:rPr>
                <w:rFonts w:hint="eastAsia"/>
                <w:color w:val="auto"/>
                <w:spacing w:val="0"/>
                <w:sz w:val="24"/>
                <w:highlight w:val="none"/>
                <w:u w:val="none"/>
                <w:lang w:val="en-US" w:eastAsia="zh-CN"/>
              </w:rPr>
              <w:t>20</w:t>
            </w:r>
            <w:r>
              <w:rPr>
                <w:rFonts w:hint="eastAsia" w:ascii="Times New Roman" w:hAnsi="Times New Roman" w:eastAsia="宋体"/>
                <w:color w:val="auto"/>
                <w:spacing w:val="0"/>
                <w:sz w:val="24"/>
                <w:highlight w:val="none"/>
                <w:u w:val="none"/>
                <w:lang w:val="en-US" w:eastAsia="zh-CN"/>
              </w:rPr>
              <w:t>0mg/L、SS：200mg/L 和 NH</w:t>
            </w:r>
            <w:r>
              <w:rPr>
                <w:rFonts w:hint="eastAsia" w:ascii="Times New Roman" w:hAnsi="Times New Roman" w:eastAsia="宋体"/>
                <w:color w:val="auto"/>
                <w:spacing w:val="0"/>
                <w:sz w:val="24"/>
                <w:highlight w:val="none"/>
                <w:u w:val="none"/>
                <w:vertAlign w:val="subscript"/>
                <w:lang w:val="en-US" w:eastAsia="zh-CN"/>
              </w:rPr>
              <w:t>3</w:t>
            </w:r>
            <w:r>
              <w:rPr>
                <w:rFonts w:hint="eastAsia" w:ascii="Times New Roman" w:hAnsi="Times New Roman" w:eastAsia="宋体"/>
                <w:color w:val="auto"/>
                <w:spacing w:val="0"/>
                <w:sz w:val="24"/>
                <w:highlight w:val="none"/>
                <w:u w:val="none"/>
                <w:lang w:val="en-US" w:eastAsia="zh-CN"/>
              </w:rPr>
              <w:t>-N：</w:t>
            </w:r>
            <w:r>
              <w:rPr>
                <w:rFonts w:hint="eastAsia"/>
                <w:color w:val="auto"/>
                <w:spacing w:val="0"/>
                <w:sz w:val="24"/>
                <w:highlight w:val="none"/>
                <w:u w:val="none"/>
                <w:lang w:val="en-US" w:eastAsia="zh-CN"/>
              </w:rPr>
              <w:t>3</w:t>
            </w:r>
            <w:r>
              <w:rPr>
                <w:rFonts w:hint="eastAsia" w:ascii="Times New Roman" w:hAnsi="Times New Roman" w:eastAsia="宋体"/>
                <w:color w:val="auto"/>
                <w:spacing w:val="0"/>
                <w:sz w:val="24"/>
                <w:highlight w:val="none"/>
                <w:u w:val="none"/>
                <w:lang w:val="en-US" w:eastAsia="zh-CN"/>
              </w:rPr>
              <w:t>5mg/L</w:t>
            </w:r>
            <w:r>
              <w:rPr>
                <w:rFonts w:hint="eastAsia" w:hAnsi="宋体"/>
                <w:color w:val="auto"/>
                <w:sz w:val="24"/>
                <w:highlight w:val="none"/>
                <w:u w:val="none"/>
              </w:rPr>
              <w:t>。</w:t>
            </w:r>
          </w:p>
          <w:p w14:paraId="3095D11F">
            <w:pPr>
              <w:spacing w:line="360" w:lineRule="auto"/>
              <w:ind w:firstLine="480" w:firstLineChars="200"/>
              <w:jc w:val="left"/>
              <w:rPr>
                <w:bCs/>
                <w:color w:val="auto"/>
                <w:sz w:val="24"/>
                <w:highlight w:val="none"/>
                <w:u w:val="none"/>
              </w:rPr>
            </w:pPr>
            <w:r>
              <w:rPr>
                <w:rFonts w:hint="eastAsia"/>
                <w:bCs/>
                <w:color w:val="auto"/>
                <w:sz w:val="24"/>
                <w:highlight w:val="none"/>
                <w:u w:val="none"/>
              </w:rPr>
              <w:t>2）注塑机冷却水</w:t>
            </w:r>
          </w:p>
          <w:p w14:paraId="15C8234B">
            <w:pPr>
              <w:spacing w:line="360" w:lineRule="auto"/>
              <w:ind w:firstLine="480" w:firstLineChars="200"/>
              <w:rPr>
                <w:color w:val="auto"/>
                <w:kern w:val="0"/>
                <w:sz w:val="24"/>
                <w:szCs w:val="24"/>
                <w:highlight w:val="none"/>
                <w:u w:val="none"/>
              </w:rPr>
            </w:pPr>
            <w:r>
              <w:rPr>
                <w:rFonts w:hint="eastAsia"/>
                <w:color w:val="auto"/>
                <w:sz w:val="24"/>
                <w:szCs w:val="24"/>
                <w:highlight w:val="none"/>
                <w:u w:val="none"/>
              </w:rPr>
              <w:t>本项目注塑工序进行冷却，本</w:t>
            </w:r>
            <w:r>
              <w:rPr>
                <w:rFonts w:hint="eastAsia"/>
                <w:color w:val="auto"/>
                <w:sz w:val="24"/>
                <w:szCs w:val="24"/>
                <w:highlight w:val="none"/>
                <w:u w:val="none"/>
                <w:lang w:eastAsia="zh-CN"/>
              </w:rPr>
              <w:t>项目</w:t>
            </w:r>
            <w:r>
              <w:rPr>
                <w:rFonts w:hint="eastAsia"/>
                <w:color w:val="auto"/>
                <w:sz w:val="24"/>
                <w:szCs w:val="24"/>
                <w:highlight w:val="none"/>
                <w:u w:val="none"/>
              </w:rPr>
              <w:t>设置</w:t>
            </w:r>
            <w:r>
              <w:rPr>
                <w:rFonts w:hint="eastAsia"/>
                <w:color w:val="auto"/>
                <w:sz w:val="24"/>
                <w:szCs w:val="24"/>
                <w:highlight w:val="none"/>
                <w:u w:val="none"/>
                <w:lang w:val="en-US" w:eastAsia="zh-CN"/>
              </w:rPr>
              <w:t>1</w:t>
            </w:r>
            <w:r>
              <w:rPr>
                <w:rFonts w:hint="eastAsia"/>
                <w:color w:val="auto"/>
                <w:sz w:val="24"/>
                <w:szCs w:val="24"/>
                <w:highlight w:val="none"/>
                <w:u w:val="none"/>
              </w:rPr>
              <w:t>个容积大小约为</w:t>
            </w:r>
            <w:r>
              <w:rPr>
                <w:rFonts w:hint="eastAsia"/>
                <w:color w:val="auto"/>
                <w:sz w:val="24"/>
                <w:szCs w:val="24"/>
                <w:highlight w:val="none"/>
                <w:u w:val="none"/>
                <w:lang w:val="en-US" w:eastAsia="zh-CN"/>
              </w:rPr>
              <w:t>280</w:t>
            </w:r>
            <w:r>
              <w:rPr>
                <w:rFonts w:hint="eastAsia"/>
                <w:color w:val="auto"/>
                <w:sz w:val="24"/>
                <w:szCs w:val="24"/>
                <w:highlight w:val="none"/>
                <w:u w:val="none"/>
              </w:rPr>
              <w:t>L的冷却水塔，使用水对热熔挤出的物料进行直接冷却。为了合理利用水资源，降低生产成本，</w:t>
            </w:r>
            <w:r>
              <w:rPr>
                <w:color w:val="auto"/>
                <w:kern w:val="0"/>
                <w:sz w:val="24"/>
                <w:szCs w:val="24"/>
                <w:highlight w:val="none"/>
                <w:u w:val="none"/>
              </w:rPr>
              <w:t>冷却水</w:t>
            </w:r>
            <w:r>
              <w:rPr>
                <w:rFonts w:hint="eastAsia"/>
                <w:color w:val="auto"/>
                <w:kern w:val="0"/>
                <w:sz w:val="24"/>
                <w:szCs w:val="24"/>
                <w:highlight w:val="none"/>
                <w:u w:val="none"/>
              </w:rPr>
              <w:t>塔</w:t>
            </w:r>
            <w:r>
              <w:rPr>
                <w:color w:val="auto"/>
                <w:kern w:val="0"/>
                <w:sz w:val="24"/>
                <w:szCs w:val="24"/>
                <w:highlight w:val="none"/>
                <w:u w:val="none"/>
              </w:rPr>
              <w:t>的循环水量为</w:t>
            </w:r>
            <w:r>
              <w:rPr>
                <w:rFonts w:hint="eastAsia"/>
                <w:color w:val="auto"/>
                <w:kern w:val="0"/>
                <w:sz w:val="24"/>
                <w:szCs w:val="24"/>
                <w:highlight w:val="none"/>
                <w:u w:val="none"/>
              </w:rPr>
              <w:t>0.</w:t>
            </w:r>
            <w:r>
              <w:rPr>
                <w:rFonts w:hint="eastAsia"/>
                <w:color w:val="auto"/>
                <w:kern w:val="0"/>
                <w:sz w:val="24"/>
                <w:szCs w:val="24"/>
                <w:highlight w:val="none"/>
                <w:u w:val="none"/>
                <w:lang w:val="en-US" w:eastAsia="zh-CN"/>
              </w:rPr>
              <w:t>1</w:t>
            </w:r>
            <w:r>
              <w:rPr>
                <w:color w:val="auto"/>
                <w:kern w:val="0"/>
                <w:sz w:val="24"/>
                <w:szCs w:val="24"/>
                <w:highlight w:val="none"/>
                <w:u w:val="none"/>
              </w:rPr>
              <w:t>m</w:t>
            </w:r>
            <w:r>
              <w:rPr>
                <w:color w:val="auto"/>
                <w:kern w:val="0"/>
                <w:sz w:val="24"/>
                <w:szCs w:val="24"/>
                <w:highlight w:val="none"/>
                <w:u w:val="none"/>
                <w:vertAlign w:val="superscript"/>
              </w:rPr>
              <w:t>3</w:t>
            </w:r>
            <w:r>
              <w:rPr>
                <w:color w:val="auto"/>
                <w:kern w:val="0"/>
                <w:sz w:val="24"/>
                <w:szCs w:val="24"/>
                <w:highlight w:val="none"/>
                <w:u w:val="none"/>
              </w:rPr>
              <w:t>/h</w:t>
            </w:r>
            <w:r>
              <w:rPr>
                <w:rFonts w:hint="eastAsia"/>
                <w:color w:val="auto"/>
                <w:kern w:val="0"/>
                <w:sz w:val="24"/>
                <w:szCs w:val="24"/>
                <w:highlight w:val="none"/>
                <w:u w:val="none"/>
              </w:rPr>
              <w:t>，冷却水箱</w:t>
            </w:r>
            <w:r>
              <w:rPr>
                <w:color w:val="auto"/>
                <w:kern w:val="0"/>
                <w:sz w:val="24"/>
                <w:szCs w:val="24"/>
                <w:highlight w:val="none"/>
                <w:u w:val="none"/>
              </w:rPr>
              <w:t>每天工作</w:t>
            </w:r>
            <w:r>
              <w:rPr>
                <w:rFonts w:hint="eastAsia"/>
                <w:color w:val="auto"/>
                <w:kern w:val="0"/>
                <w:sz w:val="24"/>
                <w:szCs w:val="24"/>
                <w:highlight w:val="none"/>
                <w:u w:val="none"/>
                <w:lang w:val="en-US" w:eastAsia="zh-CN"/>
              </w:rPr>
              <w:t>8</w:t>
            </w:r>
            <w:r>
              <w:rPr>
                <w:color w:val="auto"/>
                <w:kern w:val="0"/>
                <w:sz w:val="24"/>
                <w:szCs w:val="24"/>
                <w:highlight w:val="none"/>
                <w:u w:val="none"/>
              </w:rPr>
              <w:t>个小时，则每天的总循环水量约为</w:t>
            </w:r>
            <w:r>
              <w:rPr>
                <w:rFonts w:hint="eastAsia"/>
                <w:color w:val="auto"/>
                <w:kern w:val="0"/>
                <w:sz w:val="24"/>
                <w:szCs w:val="24"/>
                <w:highlight w:val="none"/>
                <w:u w:val="none"/>
                <w:lang w:val="en-US" w:eastAsia="zh-CN"/>
              </w:rPr>
              <w:t>0.8</w:t>
            </w:r>
            <w:r>
              <w:rPr>
                <w:color w:val="auto"/>
                <w:kern w:val="0"/>
                <w:sz w:val="24"/>
                <w:szCs w:val="24"/>
                <w:highlight w:val="none"/>
                <w:u w:val="none"/>
              </w:rPr>
              <w:t>m</w:t>
            </w:r>
            <w:r>
              <w:rPr>
                <w:color w:val="auto"/>
                <w:kern w:val="0"/>
                <w:sz w:val="24"/>
                <w:szCs w:val="24"/>
                <w:highlight w:val="none"/>
                <w:u w:val="none"/>
                <w:vertAlign w:val="superscript"/>
              </w:rPr>
              <w:t>3</w:t>
            </w:r>
            <w:r>
              <w:rPr>
                <w:color w:val="auto"/>
                <w:kern w:val="0"/>
                <w:sz w:val="24"/>
                <w:szCs w:val="24"/>
                <w:highlight w:val="none"/>
                <w:u w:val="none"/>
              </w:rPr>
              <w:t>/d，循环过程中会有少量水因受热、蒸发等因素损失，需定期补充冷却水，根据企业负责人核实，冷却</w:t>
            </w:r>
            <w:r>
              <w:rPr>
                <w:rFonts w:hint="eastAsia"/>
                <w:color w:val="auto"/>
                <w:kern w:val="0"/>
                <w:sz w:val="24"/>
                <w:szCs w:val="24"/>
                <w:highlight w:val="none"/>
                <w:u w:val="none"/>
              </w:rPr>
              <w:t>水塔</w:t>
            </w:r>
            <w:r>
              <w:rPr>
                <w:color w:val="auto"/>
                <w:kern w:val="0"/>
                <w:sz w:val="24"/>
                <w:szCs w:val="24"/>
                <w:highlight w:val="none"/>
                <w:u w:val="none"/>
              </w:rPr>
              <w:t>每天的补水量约为</w:t>
            </w:r>
            <w:r>
              <w:rPr>
                <w:rFonts w:hint="eastAsia"/>
                <w:color w:val="auto"/>
                <w:kern w:val="0"/>
                <w:sz w:val="24"/>
                <w:szCs w:val="24"/>
                <w:highlight w:val="none"/>
                <w:u w:val="none"/>
              </w:rPr>
              <w:t>0.</w:t>
            </w:r>
            <w:r>
              <w:rPr>
                <w:rFonts w:hint="eastAsia"/>
                <w:color w:val="auto"/>
                <w:kern w:val="0"/>
                <w:sz w:val="24"/>
                <w:szCs w:val="24"/>
                <w:highlight w:val="none"/>
                <w:u w:val="none"/>
                <w:lang w:val="en-US" w:eastAsia="zh-CN"/>
              </w:rPr>
              <w:t>28</w:t>
            </w:r>
            <w:r>
              <w:rPr>
                <w:color w:val="auto"/>
                <w:kern w:val="0"/>
                <w:sz w:val="24"/>
                <w:szCs w:val="24"/>
                <w:highlight w:val="none"/>
                <w:u w:val="none"/>
              </w:rPr>
              <w:t>m</w:t>
            </w:r>
            <w:r>
              <w:rPr>
                <w:color w:val="auto"/>
                <w:kern w:val="0"/>
                <w:sz w:val="24"/>
                <w:szCs w:val="24"/>
                <w:highlight w:val="none"/>
                <w:u w:val="none"/>
                <w:vertAlign w:val="superscript"/>
              </w:rPr>
              <w:t>3</w:t>
            </w:r>
            <w:r>
              <w:rPr>
                <w:color w:val="auto"/>
                <w:kern w:val="0"/>
                <w:sz w:val="24"/>
                <w:szCs w:val="24"/>
                <w:highlight w:val="none"/>
                <w:u w:val="none"/>
              </w:rPr>
              <w:t>/d，全部来源于自来水</w:t>
            </w:r>
            <w:r>
              <w:rPr>
                <w:rFonts w:hint="eastAsia"/>
                <w:color w:val="auto"/>
                <w:kern w:val="0"/>
                <w:sz w:val="24"/>
                <w:szCs w:val="24"/>
                <w:highlight w:val="none"/>
                <w:u w:val="none"/>
              </w:rPr>
              <w:t>。</w:t>
            </w:r>
            <w:r>
              <w:rPr>
                <w:color w:val="auto"/>
                <w:kern w:val="0"/>
                <w:sz w:val="24"/>
                <w:szCs w:val="24"/>
                <w:highlight w:val="none"/>
                <w:u w:val="none"/>
              </w:rPr>
              <w:t>冷却水循环使用，不外排。</w:t>
            </w:r>
          </w:p>
          <w:p w14:paraId="1A9F599E">
            <w:pPr>
              <w:widowControl/>
              <w:ind w:firstLine="413" w:firstLineChars="196"/>
              <w:jc w:val="center"/>
              <w:rPr>
                <w:b/>
                <w:color w:val="auto"/>
                <w:highlight w:val="none"/>
                <w:u w:val="none"/>
              </w:rPr>
            </w:pPr>
            <w:r>
              <w:rPr>
                <w:b/>
                <w:color w:val="auto"/>
                <w:highlight w:val="none"/>
                <w:u w:val="none"/>
              </w:rPr>
              <w:t>表</w:t>
            </w:r>
            <w:r>
              <w:rPr>
                <w:rFonts w:hint="eastAsia"/>
                <w:b/>
                <w:color w:val="auto"/>
                <w:highlight w:val="none"/>
                <w:u w:val="none"/>
              </w:rPr>
              <w:t>4-</w:t>
            </w:r>
            <w:r>
              <w:rPr>
                <w:rFonts w:hint="eastAsia"/>
                <w:b/>
                <w:color w:val="auto"/>
                <w:highlight w:val="none"/>
                <w:u w:val="none"/>
                <w:lang w:val="en-US" w:eastAsia="zh-CN"/>
              </w:rPr>
              <w:t>1</w:t>
            </w:r>
            <w:r>
              <w:rPr>
                <w:b/>
                <w:color w:val="auto"/>
                <w:highlight w:val="none"/>
                <w:u w:val="none"/>
              </w:rPr>
              <w:t xml:space="preserve">   本项目废水产生、消减及排放情况</w:t>
            </w:r>
          </w:p>
          <w:tbl>
            <w:tblPr>
              <w:tblStyle w:val="35"/>
              <w:tblW w:w="490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851"/>
              <w:gridCol w:w="636"/>
              <w:gridCol w:w="1178"/>
              <w:gridCol w:w="945"/>
              <w:gridCol w:w="957"/>
              <w:gridCol w:w="901"/>
              <w:gridCol w:w="1208"/>
              <w:gridCol w:w="984"/>
              <w:gridCol w:w="494"/>
            </w:tblGrid>
            <w:tr w14:paraId="35CE09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4" w:type="pct"/>
                  <w:vMerge w:val="restart"/>
                  <w:tcBorders>
                    <w:tl2br w:val="nil"/>
                    <w:tr2bl w:val="nil"/>
                  </w:tcBorders>
                  <w:noWrap w:val="0"/>
                  <w:vAlign w:val="center"/>
                </w:tcPr>
                <w:p w14:paraId="2759AAC2">
                  <w:pPr>
                    <w:widowControl/>
                    <w:spacing w:line="240" w:lineRule="auto"/>
                    <w:jc w:val="center"/>
                    <w:rPr>
                      <w:rFonts w:ascii="Times New Roman" w:hAnsi="Times New Roman" w:eastAsia="宋体" w:cs="Times New Roman"/>
                      <w:b/>
                      <w:bCs/>
                      <w:color w:val="auto"/>
                      <w:kern w:val="0"/>
                      <w:sz w:val="21"/>
                      <w:szCs w:val="21"/>
                      <w:u w:val="none"/>
                    </w:rPr>
                  </w:pPr>
                  <w:r>
                    <w:rPr>
                      <w:rFonts w:ascii="Times New Roman" w:hAnsi="Times New Roman" w:eastAsia="宋体" w:cs="Times New Roman"/>
                      <w:b/>
                      <w:bCs/>
                      <w:color w:val="auto"/>
                      <w:kern w:val="0"/>
                      <w:sz w:val="21"/>
                      <w:szCs w:val="21"/>
                      <w:u w:val="none"/>
                    </w:rPr>
                    <w:t>工序</w:t>
                  </w:r>
                </w:p>
              </w:tc>
              <w:tc>
                <w:tcPr>
                  <w:tcW w:w="488" w:type="pct"/>
                  <w:vMerge w:val="restart"/>
                  <w:tcBorders>
                    <w:tl2br w:val="nil"/>
                    <w:tr2bl w:val="nil"/>
                  </w:tcBorders>
                  <w:noWrap w:val="0"/>
                  <w:vAlign w:val="center"/>
                </w:tcPr>
                <w:p w14:paraId="0507AD4D">
                  <w:pPr>
                    <w:widowControl/>
                    <w:spacing w:line="240" w:lineRule="auto"/>
                    <w:jc w:val="center"/>
                    <w:rPr>
                      <w:rFonts w:ascii="Times New Roman" w:hAnsi="Times New Roman" w:eastAsia="宋体" w:cs="Times New Roman"/>
                      <w:b/>
                      <w:bCs/>
                      <w:color w:val="auto"/>
                      <w:kern w:val="0"/>
                      <w:sz w:val="21"/>
                      <w:szCs w:val="21"/>
                      <w:u w:val="none"/>
                    </w:rPr>
                  </w:pPr>
                  <w:r>
                    <w:rPr>
                      <w:rFonts w:ascii="Times New Roman" w:hAnsi="Times New Roman" w:eastAsia="宋体" w:cs="Times New Roman"/>
                      <w:b/>
                      <w:bCs/>
                      <w:color w:val="auto"/>
                      <w:kern w:val="0"/>
                      <w:sz w:val="21"/>
                      <w:szCs w:val="21"/>
                      <w:u w:val="none"/>
                    </w:rPr>
                    <w:t>污染物</w:t>
                  </w:r>
                </w:p>
              </w:tc>
              <w:tc>
                <w:tcPr>
                  <w:tcW w:w="340" w:type="pct"/>
                  <w:vMerge w:val="restart"/>
                  <w:tcBorders>
                    <w:tl2br w:val="nil"/>
                    <w:tr2bl w:val="nil"/>
                  </w:tcBorders>
                  <w:noWrap w:val="0"/>
                  <w:vAlign w:val="center"/>
                </w:tcPr>
                <w:p w14:paraId="0011D817">
                  <w:pPr>
                    <w:widowControl/>
                    <w:spacing w:line="240" w:lineRule="auto"/>
                    <w:jc w:val="center"/>
                    <w:rPr>
                      <w:rFonts w:hint="default" w:ascii="Times New Roman" w:hAnsi="Times New Roman" w:eastAsia="宋体" w:cs="Times New Roman"/>
                      <w:b/>
                      <w:bCs/>
                      <w:color w:val="auto"/>
                      <w:kern w:val="0"/>
                      <w:sz w:val="21"/>
                      <w:szCs w:val="21"/>
                      <w:u w:val="none"/>
                      <w:lang w:val="en-US" w:eastAsia="zh-CN"/>
                    </w:rPr>
                  </w:pPr>
                  <w:r>
                    <w:rPr>
                      <w:rFonts w:hint="eastAsia" w:ascii="Times New Roman" w:hAnsi="Times New Roman" w:eastAsia="宋体" w:cs="Times New Roman"/>
                      <w:b/>
                      <w:bCs/>
                      <w:color w:val="auto"/>
                      <w:kern w:val="0"/>
                      <w:sz w:val="21"/>
                      <w:szCs w:val="21"/>
                      <w:u w:val="none"/>
                      <w:lang w:val="en-US" w:eastAsia="zh-CN"/>
                    </w:rPr>
                    <w:t>废水量</w:t>
                  </w:r>
                </w:p>
              </w:tc>
              <w:tc>
                <w:tcPr>
                  <w:tcW w:w="1215" w:type="pct"/>
                  <w:gridSpan w:val="2"/>
                  <w:tcBorders>
                    <w:tl2br w:val="nil"/>
                    <w:tr2bl w:val="nil"/>
                  </w:tcBorders>
                  <w:noWrap w:val="0"/>
                  <w:vAlign w:val="center"/>
                </w:tcPr>
                <w:p w14:paraId="56CA8B6A">
                  <w:pPr>
                    <w:widowControl/>
                    <w:spacing w:line="240" w:lineRule="auto"/>
                    <w:jc w:val="center"/>
                    <w:rPr>
                      <w:rFonts w:hint="eastAsia" w:ascii="Times New Roman" w:hAnsi="Times New Roman" w:eastAsia="宋体" w:cs="Times New Roman"/>
                      <w:b/>
                      <w:bCs/>
                      <w:color w:val="auto"/>
                      <w:kern w:val="0"/>
                      <w:sz w:val="21"/>
                      <w:szCs w:val="21"/>
                      <w:u w:val="none"/>
                      <w:lang w:val="en-US" w:eastAsia="zh-CN"/>
                    </w:rPr>
                  </w:pPr>
                  <w:r>
                    <w:rPr>
                      <w:rFonts w:hint="eastAsia" w:ascii="Times New Roman" w:hAnsi="Times New Roman" w:eastAsia="宋体" w:cs="Times New Roman"/>
                      <w:b/>
                      <w:bCs/>
                      <w:color w:val="auto"/>
                      <w:kern w:val="0"/>
                      <w:sz w:val="21"/>
                      <w:szCs w:val="21"/>
                      <w:u w:val="none"/>
                      <w:lang w:val="en-US" w:eastAsia="zh-CN"/>
                    </w:rPr>
                    <w:t>污染物产生情况</w:t>
                  </w:r>
                </w:p>
              </w:tc>
              <w:tc>
                <w:tcPr>
                  <w:tcW w:w="1064" w:type="pct"/>
                  <w:gridSpan w:val="2"/>
                  <w:tcBorders>
                    <w:tl2br w:val="nil"/>
                    <w:tr2bl w:val="nil"/>
                  </w:tcBorders>
                  <w:noWrap w:val="0"/>
                  <w:vAlign w:val="center"/>
                </w:tcPr>
                <w:p w14:paraId="6EBD8CC8">
                  <w:pPr>
                    <w:widowControl/>
                    <w:spacing w:line="240" w:lineRule="auto"/>
                    <w:jc w:val="center"/>
                    <w:rPr>
                      <w:rFonts w:ascii="Times New Roman" w:hAnsi="Times New Roman" w:eastAsia="宋体" w:cs="Times New Roman"/>
                      <w:b/>
                      <w:bCs/>
                      <w:color w:val="auto"/>
                      <w:kern w:val="0"/>
                      <w:sz w:val="21"/>
                      <w:szCs w:val="21"/>
                      <w:u w:val="none"/>
                    </w:rPr>
                  </w:pPr>
                  <w:r>
                    <w:rPr>
                      <w:rFonts w:ascii="Times New Roman" w:hAnsi="Times New Roman" w:eastAsia="宋体" w:cs="Times New Roman"/>
                      <w:b/>
                      <w:bCs/>
                      <w:color w:val="auto"/>
                      <w:kern w:val="0"/>
                      <w:sz w:val="21"/>
                      <w:szCs w:val="21"/>
                      <w:u w:val="none"/>
                    </w:rPr>
                    <w:t>治理措施</w:t>
                  </w:r>
                </w:p>
              </w:tc>
              <w:tc>
                <w:tcPr>
                  <w:tcW w:w="1538" w:type="pct"/>
                  <w:gridSpan w:val="3"/>
                  <w:tcBorders>
                    <w:tl2br w:val="nil"/>
                    <w:tr2bl w:val="nil"/>
                  </w:tcBorders>
                  <w:noWrap w:val="0"/>
                  <w:vAlign w:val="center"/>
                </w:tcPr>
                <w:p w14:paraId="5124D355">
                  <w:pPr>
                    <w:widowControl/>
                    <w:spacing w:line="240" w:lineRule="auto"/>
                    <w:jc w:val="center"/>
                    <w:rPr>
                      <w:rFonts w:ascii="Times New Roman" w:hAnsi="Times New Roman" w:eastAsia="宋体" w:cs="Times New Roman"/>
                      <w:b/>
                      <w:bCs/>
                      <w:color w:val="auto"/>
                      <w:kern w:val="0"/>
                      <w:sz w:val="21"/>
                      <w:szCs w:val="21"/>
                      <w:u w:val="none"/>
                    </w:rPr>
                  </w:pPr>
                  <w:r>
                    <w:rPr>
                      <w:rFonts w:ascii="Times New Roman" w:hAnsi="Times New Roman" w:eastAsia="宋体" w:cs="Times New Roman"/>
                      <w:b/>
                      <w:bCs/>
                      <w:color w:val="auto"/>
                      <w:kern w:val="0"/>
                      <w:sz w:val="21"/>
                      <w:szCs w:val="21"/>
                      <w:u w:val="none"/>
                    </w:rPr>
                    <w:t>污染物排放</w:t>
                  </w:r>
                </w:p>
              </w:tc>
            </w:tr>
            <w:tr w14:paraId="22A17A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4" w:type="pct"/>
                  <w:vMerge w:val="continue"/>
                  <w:tcBorders>
                    <w:tl2br w:val="nil"/>
                    <w:tr2bl w:val="nil"/>
                  </w:tcBorders>
                  <w:noWrap w:val="0"/>
                  <w:vAlign w:val="center"/>
                </w:tcPr>
                <w:p w14:paraId="66B6D3B0">
                  <w:pPr>
                    <w:widowControl/>
                    <w:spacing w:line="240" w:lineRule="auto"/>
                    <w:jc w:val="center"/>
                    <w:rPr>
                      <w:rFonts w:ascii="Times New Roman" w:hAnsi="Times New Roman" w:eastAsia="宋体" w:cs="Times New Roman"/>
                      <w:b/>
                      <w:bCs/>
                      <w:color w:val="auto"/>
                      <w:kern w:val="0"/>
                      <w:sz w:val="21"/>
                      <w:szCs w:val="21"/>
                      <w:u w:val="none"/>
                    </w:rPr>
                  </w:pPr>
                </w:p>
              </w:tc>
              <w:tc>
                <w:tcPr>
                  <w:tcW w:w="488" w:type="pct"/>
                  <w:vMerge w:val="continue"/>
                  <w:tcBorders>
                    <w:tl2br w:val="nil"/>
                    <w:tr2bl w:val="nil"/>
                  </w:tcBorders>
                  <w:noWrap w:val="0"/>
                  <w:vAlign w:val="center"/>
                </w:tcPr>
                <w:p w14:paraId="141D2FCD">
                  <w:pPr>
                    <w:widowControl/>
                    <w:spacing w:line="240" w:lineRule="auto"/>
                    <w:jc w:val="center"/>
                    <w:rPr>
                      <w:rFonts w:ascii="Times New Roman" w:hAnsi="Times New Roman" w:eastAsia="宋体" w:cs="Times New Roman"/>
                      <w:b/>
                      <w:bCs/>
                      <w:color w:val="auto"/>
                      <w:kern w:val="0"/>
                      <w:sz w:val="21"/>
                      <w:szCs w:val="21"/>
                      <w:u w:val="none"/>
                    </w:rPr>
                  </w:pPr>
                </w:p>
              </w:tc>
              <w:tc>
                <w:tcPr>
                  <w:tcW w:w="340" w:type="pct"/>
                  <w:vMerge w:val="continue"/>
                  <w:tcBorders>
                    <w:tl2br w:val="nil"/>
                    <w:tr2bl w:val="nil"/>
                  </w:tcBorders>
                  <w:noWrap w:val="0"/>
                  <w:vAlign w:val="center"/>
                </w:tcPr>
                <w:p w14:paraId="36C4F1E8">
                  <w:pPr>
                    <w:widowControl/>
                    <w:spacing w:line="240" w:lineRule="auto"/>
                    <w:jc w:val="center"/>
                    <w:rPr>
                      <w:rFonts w:hint="default" w:ascii="Times New Roman" w:hAnsi="Times New Roman" w:eastAsia="宋体" w:cs="Times New Roman"/>
                      <w:b/>
                      <w:bCs/>
                      <w:color w:val="auto"/>
                      <w:kern w:val="0"/>
                      <w:sz w:val="21"/>
                      <w:szCs w:val="21"/>
                      <w:u w:val="none"/>
                      <w:lang w:val="en-US" w:eastAsia="zh-CN"/>
                    </w:rPr>
                  </w:pPr>
                </w:p>
              </w:tc>
              <w:tc>
                <w:tcPr>
                  <w:tcW w:w="674" w:type="pct"/>
                  <w:tcBorders>
                    <w:tl2br w:val="nil"/>
                    <w:tr2bl w:val="nil"/>
                  </w:tcBorders>
                  <w:noWrap w:val="0"/>
                  <w:vAlign w:val="center"/>
                </w:tcPr>
                <w:p w14:paraId="2C1118EF">
                  <w:pPr>
                    <w:widowControl/>
                    <w:spacing w:line="240" w:lineRule="auto"/>
                    <w:jc w:val="center"/>
                    <w:rPr>
                      <w:rFonts w:ascii="Times New Roman" w:hAnsi="Times New Roman" w:eastAsia="宋体" w:cs="Times New Roman"/>
                      <w:b/>
                      <w:bCs/>
                      <w:color w:val="auto"/>
                      <w:kern w:val="0"/>
                      <w:sz w:val="21"/>
                      <w:szCs w:val="21"/>
                      <w:u w:val="none"/>
                      <w:lang w:val="en-US" w:eastAsia="zh-CN" w:bidi="ar-SA"/>
                    </w:rPr>
                  </w:pPr>
                  <w:r>
                    <w:rPr>
                      <w:rFonts w:ascii="Times New Roman" w:hAnsi="Times New Roman" w:eastAsia="宋体" w:cs="Times New Roman"/>
                      <w:b/>
                      <w:bCs/>
                      <w:color w:val="auto"/>
                      <w:kern w:val="0"/>
                      <w:sz w:val="21"/>
                      <w:szCs w:val="21"/>
                      <w:u w:val="none"/>
                    </w:rPr>
                    <w:t>产生浓度（mg/L）</w:t>
                  </w:r>
                </w:p>
              </w:tc>
              <w:tc>
                <w:tcPr>
                  <w:tcW w:w="540" w:type="pct"/>
                  <w:tcBorders>
                    <w:tl2br w:val="nil"/>
                    <w:tr2bl w:val="nil"/>
                  </w:tcBorders>
                  <w:noWrap w:val="0"/>
                  <w:vAlign w:val="center"/>
                </w:tcPr>
                <w:p w14:paraId="51DAB3C5">
                  <w:pPr>
                    <w:widowControl/>
                    <w:spacing w:line="240" w:lineRule="auto"/>
                    <w:jc w:val="center"/>
                    <w:rPr>
                      <w:rFonts w:ascii="Times New Roman" w:hAnsi="Times New Roman" w:eastAsia="宋体" w:cs="Times New Roman"/>
                      <w:b/>
                      <w:bCs/>
                      <w:color w:val="auto"/>
                      <w:kern w:val="0"/>
                      <w:sz w:val="21"/>
                      <w:szCs w:val="21"/>
                      <w:u w:val="none"/>
                      <w:lang w:val="en-US" w:eastAsia="zh-CN" w:bidi="ar-SA"/>
                    </w:rPr>
                  </w:pPr>
                  <w:r>
                    <w:rPr>
                      <w:rFonts w:ascii="Times New Roman" w:hAnsi="Times New Roman" w:eastAsia="宋体" w:cs="Times New Roman"/>
                      <w:b/>
                      <w:bCs/>
                      <w:color w:val="auto"/>
                      <w:kern w:val="0"/>
                      <w:sz w:val="21"/>
                      <w:szCs w:val="21"/>
                      <w:u w:val="none"/>
                    </w:rPr>
                    <w:t>产生量（</w:t>
                  </w:r>
                  <w:r>
                    <w:rPr>
                      <w:rFonts w:hint="eastAsia" w:ascii="Times New Roman" w:hAnsi="Times New Roman" w:eastAsia="宋体" w:cs="Times New Roman"/>
                      <w:b/>
                      <w:bCs/>
                      <w:color w:val="auto"/>
                      <w:kern w:val="0"/>
                      <w:sz w:val="21"/>
                      <w:szCs w:val="21"/>
                      <w:u w:val="none"/>
                      <w:lang w:val="en-US" w:eastAsia="zh-CN"/>
                    </w:rPr>
                    <w:t>t/a</w:t>
                  </w:r>
                  <w:r>
                    <w:rPr>
                      <w:rFonts w:ascii="Times New Roman" w:hAnsi="Times New Roman" w:eastAsia="宋体" w:cs="Times New Roman"/>
                      <w:b/>
                      <w:bCs/>
                      <w:color w:val="auto"/>
                      <w:kern w:val="0"/>
                      <w:sz w:val="21"/>
                      <w:szCs w:val="21"/>
                      <w:u w:val="none"/>
                    </w:rPr>
                    <w:t>）</w:t>
                  </w:r>
                </w:p>
              </w:tc>
              <w:tc>
                <w:tcPr>
                  <w:tcW w:w="548" w:type="pct"/>
                  <w:tcBorders>
                    <w:tl2br w:val="nil"/>
                    <w:tr2bl w:val="nil"/>
                  </w:tcBorders>
                  <w:noWrap w:val="0"/>
                  <w:vAlign w:val="center"/>
                </w:tcPr>
                <w:p w14:paraId="112C5BC1">
                  <w:pPr>
                    <w:widowControl/>
                    <w:spacing w:line="240" w:lineRule="auto"/>
                    <w:jc w:val="center"/>
                    <w:rPr>
                      <w:rFonts w:ascii="Times New Roman" w:hAnsi="Times New Roman" w:eastAsia="宋体" w:cs="Times New Roman"/>
                      <w:b/>
                      <w:bCs/>
                      <w:color w:val="auto"/>
                      <w:kern w:val="0"/>
                      <w:sz w:val="21"/>
                      <w:szCs w:val="21"/>
                      <w:u w:val="none"/>
                    </w:rPr>
                  </w:pPr>
                  <w:r>
                    <w:rPr>
                      <w:rFonts w:ascii="Times New Roman" w:hAnsi="Times New Roman" w:eastAsia="宋体" w:cs="Times New Roman"/>
                      <w:b/>
                      <w:bCs/>
                      <w:color w:val="auto"/>
                      <w:kern w:val="0"/>
                      <w:sz w:val="21"/>
                      <w:szCs w:val="21"/>
                      <w:u w:val="none"/>
                    </w:rPr>
                    <w:t>工艺</w:t>
                  </w:r>
                </w:p>
              </w:tc>
              <w:tc>
                <w:tcPr>
                  <w:tcW w:w="515" w:type="pct"/>
                  <w:tcBorders>
                    <w:tl2br w:val="nil"/>
                    <w:tr2bl w:val="nil"/>
                  </w:tcBorders>
                  <w:noWrap w:val="0"/>
                  <w:vAlign w:val="center"/>
                </w:tcPr>
                <w:p w14:paraId="11F546C1">
                  <w:pPr>
                    <w:widowControl/>
                    <w:spacing w:line="240" w:lineRule="auto"/>
                    <w:jc w:val="center"/>
                    <w:rPr>
                      <w:rFonts w:ascii="Times New Roman" w:hAnsi="Times New Roman" w:eastAsia="宋体" w:cs="Times New Roman"/>
                      <w:b/>
                      <w:bCs/>
                      <w:color w:val="auto"/>
                      <w:kern w:val="0"/>
                      <w:sz w:val="21"/>
                      <w:szCs w:val="21"/>
                      <w:u w:val="none"/>
                    </w:rPr>
                  </w:pPr>
                  <w:r>
                    <w:rPr>
                      <w:rFonts w:ascii="Times New Roman" w:hAnsi="Times New Roman" w:eastAsia="宋体" w:cs="Times New Roman"/>
                      <w:b/>
                      <w:bCs/>
                      <w:color w:val="auto"/>
                      <w:kern w:val="0"/>
                      <w:sz w:val="21"/>
                      <w:szCs w:val="21"/>
                      <w:u w:val="none"/>
                    </w:rPr>
                    <w:t>综合处理效率/%</w:t>
                  </w:r>
                </w:p>
              </w:tc>
              <w:tc>
                <w:tcPr>
                  <w:tcW w:w="691" w:type="pct"/>
                  <w:tcBorders>
                    <w:tl2br w:val="nil"/>
                    <w:tr2bl w:val="nil"/>
                  </w:tcBorders>
                  <w:noWrap w:val="0"/>
                  <w:vAlign w:val="center"/>
                </w:tcPr>
                <w:p w14:paraId="41877AAA">
                  <w:pPr>
                    <w:widowControl/>
                    <w:spacing w:line="240" w:lineRule="auto"/>
                    <w:jc w:val="center"/>
                    <w:rPr>
                      <w:rFonts w:ascii="Times New Roman" w:hAnsi="Times New Roman" w:eastAsia="宋体" w:cs="Times New Roman"/>
                      <w:b/>
                      <w:bCs/>
                      <w:color w:val="auto"/>
                      <w:kern w:val="0"/>
                      <w:sz w:val="21"/>
                      <w:szCs w:val="21"/>
                      <w:u w:val="none"/>
                      <w:lang w:val="en-US" w:eastAsia="zh-CN" w:bidi="ar-SA"/>
                    </w:rPr>
                  </w:pPr>
                  <w:r>
                    <w:rPr>
                      <w:rFonts w:hint="eastAsia" w:ascii="Times New Roman" w:hAnsi="Times New Roman" w:eastAsia="宋体" w:cs="Times New Roman"/>
                      <w:b/>
                      <w:bCs/>
                      <w:color w:val="auto"/>
                      <w:kern w:val="0"/>
                      <w:sz w:val="21"/>
                      <w:szCs w:val="21"/>
                      <w:u w:val="none"/>
                      <w:lang w:val="en-US" w:eastAsia="zh-CN"/>
                    </w:rPr>
                    <w:t>处理后</w:t>
                  </w:r>
                  <w:r>
                    <w:rPr>
                      <w:rFonts w:ascii="Times New Roman" w:hAnsi="Times New Roman" w:eastAsia="宋体" w:cs="Times New Roman"/>
                      <w:b/>
                      <w:bCs/>
                      <w:color w:val="auto"/>
                      <w:kern w:val="0"/>
                      <w:sz w:val="21"/>
                      <w:szCs w:val="21"/>
                      <w:u w:val="none"/>
                    </w:rPr>
                    <w:t>浓度（mg/L）</w:t>
                  </w:r>
                </w:p>
              </w:tc>
              <w:tc>
                <w:tcPr>
                  <w:tcW w:w="563" w:type="pct"/>
                  <w:tcBorders>
                    <w:tl2br w:val="nil"/>
                    <w:tr2bl w:val="nil"/>
                  </w:tcBorders>
                  <w:noWrap w:val="0"/>
                  <w:vAlign w:val="center"/>
                </w:tcPr>
                <w:p w14:paraId="752AEDFB">
                  <w:pPr>
                    <w:widowControl/>
                    <w:spacing w:line="240" w:lineRule="auto"/>
                    <w:jc w:val="center"/>
                    <w:rPr>
                      <w:rFonts w:ascii="Times New Roman" w:hAnsi="Times New Roman" w:eastAsia="宋体" w:cs="Times New Roman"/>
                      <w:b/>
                      <w:bCs/>
                      <w:color w:val="auto"/>
                      <w:kern w:val="0"/>
                      <w:sz w:val="21"/>
                      <w:szCs w:val="21"/>
                      <w:u w:val="none"/>
                      <w:lang w:val="en-US" w:eastAsia="zh-CN" w:bidi="ar-SA"/>
                    </w:rPr>
                  </w:pPr>
                  <w:r>
                    <w:rPr>
                      <w:rFonts w:hint="eastAsia" w:ascii="Times New Roman" w:hAnsi="Times New Roman" w:eastAsia="宋体" w:cs="Times New Roman"/>
                      <w:b/>
                      <w:bCs/>
                      <w:color w:val="auto"/>
                      <w:kern w:val="0"/>
                      <w:sz w:val="21"/>
                      <w:szCs w:val="21"/>
                      <w:u w:val="none"/>
                      <w:lang w:val="en-US" w:eastAsia="zh-CN"/>
                    </w:rPr>
                    <w:t>处理后</w:t>
                  </w:r>
                  <w:r>
                    <w:rPr>
                      <w:rFonts w:ascii="Times New Roman" w:hAnsi="Times New Roman" w:eastAsia="宋体" w:cs="Times New Roman"/>
                      <w:b/>
                      <w:bCs/>
                      <w:color w:val="auto"/>
                      <w:kern w:val="0"/>
                      <w:sz w:val="21"/>
                      <w:szCs w:val="21"/>
                      <w:u w:val="none"/>
                    </w:rPr>
                    <w:t>量（</w:t>
                  </w:r>
                  <w:r>
                    <w:rPr>
                      <w:rFonts w:hint="eastAsia" w:ascii="Times New Roman" w:hAnsi="Times New Roman" w:eastAsia="宋体" w:cs="Times New Roman"/>
                      <w:b/>
                      <w:bCs/>
                      <w:color w:val="auto"/>
                      <w:kern w:val="0"/>
                      <w:sz w:val="21"/>
                      <w:szCs w:val="21"/>
                      <w:u w:val="none"/>
                      <w:lang w:val="en-US" w:eastAsia="zh-CN"/>
                    </w:rPr>
                    <w:t>t/a</w:t>
                  </w:r>
                  <w:r>
                    <w:rPr>
                      <w:rFonts w:ascii="Times New Roman" w:hAnsi="Times New Roman" w:eastAsia="宋体" w:cs="Times New Roman"/>
                      <w:b/>
                      <w:bCs/>
                      <w:color w:val="auto"/>
                      <w:kern w:val="0"/>
                      <w:sz w:val="21"/>
                      <w:szCs w:val="21"/>
                      <w:u w:val="none"/>
                    </w:rPr>
                    <w:t>）</w:t>
                  </w:r>
                </w:p>
              </w:tc>
              <w:tc>
                <w:tcPr>
                  <w:tcW w:w="283" w:type="pct"/>
                  <w:tcBorders>
                    <w:tl2br w:val="nil"/>
                    <w:tr2bl w:val="nil"/>
                  </w:tcBorders>
                  <w:noWrap w:val="0"/>
                  <w:vAlign w:val="center"/>
                </w:tcPr>
                <w:p w14:paraId="5F623CD2">
                  <w:pPr>
                    <w:widowControl/>
                    <w:spacing w:line="240" w:lineRule="auto"/>
                    <w:jc w:val="center"/>
                    <w:rPr>
                      <w:rFonts w:hint="eastAsia" w:ascii="Times New Roman" w:hAnsi="Times New Roman" w:eastAsia="宋体" w:cs="Times New Roman"/>
                      <w:b/>
                      <w:bCs/>
                      <w:color w:val="auto"/>
                      <w:kern w:val="0"/>
                      <w:sz w:val="21"/>
                      <w:szCs w:val="21"/>
                      <w:u w:val="none"/>
                      <w:lang w:val="en-US" w:eastAsia="zh-CN"/>
                    </w:rPr>
                  </w:pPr>
                  <w:r>
                    <w:rPr>
                      <w:rFonts w:hint="eastAsia" w:ascii="Times New Roman" w:hAnsi="Times New Roman" w:eastAsia="宋体" w:cs="Times New Roman"/>
                      <w:b/>
                      <w:bCs/>
                      <w:color w:val="auto"/>
                      <w:kern w:val="0"/>
                      <w:sz w:val="21"/>
                      <w:szCs w:val="21"/>
                      <w:u w:val="none"/>
                      <w:lang w:val="en-US" w:eastAsia="zh-CN"/>
                    </w:rPr>
                    <w:t>去向</w:t>
                  </w:r>
                </w:p>
              </w:tc>
            </w:tr>
            <w:tr w14:paraId="3D7200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4" w:type="pct"/>
                  <w:vMerge w:val="restart"/>
                  <w:tcBorders>
                    <w:tl2br w:val="nil"/>
                    <w:tr2bl w:val="nil"/>
                  </w:tcBorders>
                  <w:noWrap w:val="0"/>
                  <w:vAlign w:val="center"/>
                </w:tcPr>
                <w:p w14:paraId="5CBC205F">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员工生活</w:t>
                  </w:r>
                </w:p>
              </w:tc>
              <w:tc>
                <w:tcPr>
                  <w:tcW w:w="488" w:type="pct"/>
                  <w:tcBorders>
                    <w:tl2br w:val="nil"/>
                    <w:tr2bl w:val="nil"/>
                  </w:tcBorders>
                  <w:noWrap w:val="0"/>
                  <w:vAlign w:val="center"/>
                </w:tcPr>
                <w:p w14:paraId="4F785A0E">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BOD</w:t>
                  </w:r>
                  <w:r>
                    <w:rPr>
                      <w:rFonts w:hint="eastAsia" w:ascii="Times New Roman" w:hAnsi="Times New Roman" w:eastAsia="宋体" w:cs="Times New Roman"/>
                      <w:color w:val="auto"/>
                      <w:kern w:val="0"/>
                      <w:sz w:val="21"/>
                      <w:szCs w:val="21"/>
                      <w:u w:val="none"/>
                      <w:vertAlign w:val="subscript"/>
                      <w:lang w:val="en-US" w:eastAsia="zh-CN"/>
                    </w:rPr>
                    <w:t>5</w:t>
                  </w:r>
                </w:p>
              </w:tc>
              <w:tc>
                <w:tcPr>
                  <w:tcW w:w="340" w:type="pct"/>
                  <w:vMerge w:val="restart"/>
                  <w:tcBorders>
                    <w:tl2br w:val="nil"/>
                    <w:tr2bl w:val="nil"/>
                  </w:tcBorders>
                  <w:noWrap w:val="0"/>
                  <w:vAlign w:val="center"/>
                </w:tcPr>
                <w:p w14:paraId="4323D02E">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cs="Times New Roman"/>
                      <w:color w:val="auto"/>
                      <w:kern w:val="0"/>
                      <w:sz w:val="21"/>
                      <w:szCs w:val="21"/>
                      <w:u w:val="none"/>
                      <w:lang w:val="en-US" w:eastAsia="zh-CN"/>
                    </w:rPr>
                    <w:t>1200</w:t>
                  </w:r>
                </w:p>
              </w:tc>
              <w:tc>
                <w:tcPr>
                  <w:tcW w:w="674" w:type="pct"/>
                  <w:tcBorders>
                    <w:tl2br w:val="nil"/>
                    <w:tr2bl w:val="nil"/>
                  </w:tcBorders>
                  <w:noWrap w:val="0"/>
                  <w:vAlign w:val="center"/>
                </w:tcPr>
                <w:p w14:paraId="7B5581FE">
                  <w:pPr>
                    <w:widowControl/>
                    <w:spacing w:line="240" w:lineRule="auto"/>
                    <w:jc w:val="center"/>
                    <w:rPr>
                      <w:rFonts w:hint="default" w:ascii="Times New Roman" w:hAnsi="Times New Roman" w:eastAsia="宋体" w:cs="Times New Roman"/>
                      <w:color w:val="auto"/>
                      <w:kern w:val="0"/>
                      <w:sz w:val="21"/>
                      <w:szCs w:val="21"/>
                      <w:u w:val="none"/>
                      <w:lang w:val="en-US" w:eastAsia="zh-CN" w:bidi="ar-SA"/>
                    </w:rPr>
                  </w:pPr>
                  <w:r>
                    <w:rPr>
                      <w:rFonts w:hint="eastAsia" w:cs="Times New Roman"/>
                      <w:color w:val="auto"/>
                      <w:kern w:val="0"/>
                      <w:sz w:val="21"/>
                      <w:szCs w:val="21"/>
                      <w:u w:val="none"/>
                      <w:lang w:val="en-US" w:eastAsia="zh-CN"/>
                    </w:rPr>
                    <w:t>20</w:t>
                  </w:r>
                  <w:r>
                    <w:rPr>
                      <w:rFonts w:hint="eastAsia" w:ascii="Times New Roman" w:hAnsi="Times New Roman" w:eastAsia="宋体" w:cs="Times New Roman"/>
                      <w:color w:val="auto"/>
                      <w:kern w:val="0"/>
                      <w:sz w:val="21"/>
                      <w:szCs w:val="21"/>
                      <w:u w:val="none"/>
                      <w:lang w:val="en-US" w:eastAsia="zh-CN"/>
                    </w:rPr>
                    <w:t>0</w:t>
                  </w:r>
                </w:p>
              </w:tc>
              <w:tc>
                <w:tcPr>
                  <w:tcW w:w="864" w:type="dxa"/>
                  <w:tcBorders>
                    <w:tl2br w:val="nil"/>
                    <w:tr2bl w:val="nil"/>
                  </w:tcBorders>
                  <w:noWrap w:val="0"/>
                  <w:vAlign w:val="center"/>
                </w:tcPr>
                <w:p w14:paraId="3D123569">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0.240 </w:t>
                  </w:r>
                </w:p>
              </w:tc>
              <w:tc>
                <w:tcPr>
                  <w:tcW w:w="548" w:type="pct"/>
                  <w:vMerge w:val="restart"/>
                  <w:tcBorders>
                    <w:tl2br w:val="nil"/>
                    <w:tr2bl w:val="nil"/>
                  </w:tcBorders>
                  <w:noWrap w:val="0"/>
                  <w:vAlign w:val="center"/>
                </w:tcPr>
                <w:p w14:paraId="5405C92A">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化粪池</w:t>
                  </w:r>
                </w:p>
              </w:tc>
              <w:tc>
                <w:tcPr>
                  <w:tcW w:w="515" w:type="pct"/>
                  <w:tcBorders>
                    <w:tl2br w:val="nil"/>
                    <w:tr2bl w:val="nil"/>
                  </w:tcBorders>
                  <w:noWrap w:val="0"/>
                  <w:vAlign w:val="center"/>
                </w:tcPr>
                <w:p w14:paraId="3F9DB8BE">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40</w:t>
                  </w:r>
                </w:p>
              </w:tc>
              <w:tc>
                <w:tcPr>
                  <w:tcW w:w="1208" w:type="dxa"/>
                  <w:tcBorders>
                    <w:tl2br w:val="nil"/>
                    <w:tr2bl w:val="nil"/>
                  </w:tcBorders>
                  <w:noWrap w:val="0"/>
                  <w:vAlign w:val="center"/>
                </w:tcPr>
                <w:p w14:paraId="7E7D869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120</w:t>
                  </w:r>
                </w:p>
              </w:tc>
              <w:tc>
                <w:tcPr>
                  <w:tcW w:w="901" w:type="dxa"/>
                  <w:tcBorders>
                    <w:tl2br w:val="nil"/>
                    <w:tr2bl w:val="nil"/>
                  </w:tcBorders>
                  <w:noWrap w:val="0"/>
                  <w:vAlign w:val="center"/>
                </w:tcPr>
                <w:p w14:paraId="6551EFB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0.144 </w:t>
                  </w:r>
                </w:p>
              </w:tc>
              <w:tc>
                <w:tcPr>
                  <w:tcW w:w="283" w:type="pct"/>
                  <w:vMerge w:val="restart"/>
                  <w:tcBorders>
                    <w:tl2br w:val="nil"/>
                    <w:tr2bl w:val="nil"/>
                  </w:tcBorders>
                  <w:noWrap w:val="0"/>
                  <w:vAlign w:val="center"/>
                </w:tcPr>
                <w:p w14:paraId="6983A18F">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cs="Times New Roman"/>
                      <w:color w:val="auto"/>
                      <w:kern w:val="0"/>
                      <w:sz w:val="21"/>
                      <w:szCs w:val="21"/>
                      <w:u w:val="none"/>
                      <w:lang w:val="en-US" w:eastAsia="zh-CN"/>
                    </w:rPr>
                    <w:t>市政污水管网</w:t>
                  </w:r>
                </w:p>
              </w:tc>
            </w:tr>
            <w:tr w14:paraId="724484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4" w:type="pct"/>
                  <w:vMerge w:val="continue"/>
                  <w:tcBorders>
                    <w:tl2br w:val="nil"/>
                    <w:tr2bl w:val="nil"/>
                  </w:tcBorders>
                  <w:noWrap w:val="0"/>
                  <w:vAlign w:val="center"/>
                </w:tcPr>
                <w:p w14:paraId="036236F1">
                  <w:pPr>
                    <w:widowControl/>
                    <w:spacing w:line="240" w:lineRule="auto"/>
                    <w:jc w:val="center"/>
                    <w:rPr>
                      <w:rFonts w:hint="eastAsia" w:ascii="Times New Roman" w:hAnsi="Times New Roman" w:eastAsia="宋体" w:cs="Times New Roman"/>
                      <w:color w:val="auto"/>
                      <w:kern w:val="0"/>
                      <w:sz w:val="21"/>
                      <w:szCs w:val="21"/>
                      <w:u w:val="none"/>
                      <w:lang w:val="en-US" w:eastAsia="zh-CN"/>
                    </w:rPr>
                  </w:pPr>
                </w:p>
              </w:tc>
              <w:tc>
                <w:tcPr>
                  <w:tcW w:w="488" w:type="pct"/>
                  <w:tcBorders>
                    <w:tl2br w:val="nil"/>
                    <w:tr2bl w:val="nil"/>
                  </w:tcBorders>
                  <w:noWrap w:val="0"/>
                  <w:vAlign w:val="center"/>
                </w:tcPr>
                <w:p w14:paraId="2F579140">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SS</w:t>
                  </w:r>
                </w:p>
              </w:tc>
              <w:tc>
                <w:tcPr>
                  <w:tcW w:w="340" w:type="pct"/>
                  <w:vMerge w:val="continue"/>
                  <w:tcBorders>
                    <w:tl2br w:val="nil"/>
                    <w:tr2bl w:val="nil"/>
                  </w:tcBorders>
                  <w:noWrap w:val="0"/>
                  <w:vAlign w:val="center"/>
                </w:tcPr>
                <w:p w14:paraId="4766637E">
                  <w:pPr>
                    <w:widowControl/>
                    <w:spacing w:line="240" w:lineRule="auto"/>
                    <w:jc w:val="center"/>
                    <w:rPr>
                      <w:rFonts w:ascii="Times New Roman" w:hAnsi="Times New Roman" w:eastAsia="宋体" w:cs="Times New Roman"/>
                      <w:color w:val="auto"/>
                      <w:kern w:val="0"/>
                      <w:sz w:val="21"/>
                      <w:szCs w:val="21"/>
                      <w:u w:val="none"/>
                    </w:rPr>
                  </w:pPr>
                </w:p>
              </w:tc>
              <w:tc>
                <w:tcPr>
                  <w:tcW w:w="674" w:type="pct"/>
                  <w:tcBorders>
                    <w:tl2br w:val="nil"/>
                    <w:tr2bl w:val="nil"/>
                  </w:tcBorders>
                  <w:noWrap w:val="0"/>
                  <w:vAlign w:val="center"/>
                </w:tcPr>
                <w:p w14:paraId="05132FB4">
                  <w:pPr>
                    <w:widowControl/>
                    <w:spacing w:line="240" w:lineRule="auto"/>
                    <w:jc w:val="center"/>
                    <w:rPr>
                      <w:rFonts w:hint="default" w:ascii="Times New Roman" w:hAnsi="Times New Roman" w:eastAsia="宋体" w:cs="Times New Roman"/>
                      <w:color w:val="auto"/>
                      <w:kern w:val="0"/>
                      <w:sz w:val="21"/>
                      <w:szCs w:val="21"/>
                      <w:u w:val="none"/>
                      <w:lang w:val="en-US" w:eastAsia="zh-CN" w:bidi="ar-SA"/>
                    </w:rPr>
                  </w:pPr>
                  <w:r>
                    <w:rPr>
                      <w:rFonts w:hint="eastAsia" w:ascii="Times New Roman" w:hAnsi="Times New Roman" w:eastAsia="宋体" w:cs="Times New Roman"/>
                      <w:color w:val="auto"/>
                      <w:kern w:val="0"/>
                      <w:sz w:val="21"/>
                      <w:szCs w:val="21"/>
                      <w:u w:val="none"/>
                      <w:lang w:val="en-US" w:eastAsia="zh-CN"/>
                    </w:rPr>
                    <w:t>200</w:t>
                  </w:r>
                </w:p>
              </w:tc>
              <w:tc>
                <w:tcPr>
                  <w:tcW w:w="864" w:type="dxa"/>
                  <w:tcBorders>
                    <w:tl2br w:val="nil"/>
                    <w:tr2bl w:val="nil"/>
                  </w:tcBorders>
                  <w:noWrap w:val="0"/>
                  <w:vAlign w:val="center"/>
                </w:tcPr>
                <w:p w14:paraId="0A33D67E">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0.240 </w:t>
                  </w:r>
                </w:p>
              </w:tc>
              <w:tc>
                <w:tcPr>
                  <w:tcW w:w="548" w:type="pct"/>
                  <w:vMerge w:val="continue"/>
                  <w:tcBorders>
                    <w:tl2br w:val="nil"/>
                    <w:tr2bl w:val="nil"/>
                  </w:tcBorders>
                  <w:noWrap w:val="0"/>
                  <w:vAlign w:val="center"/>
                </w:tcPr>
                <w:p w14:paraId="293D7605">
                  <w:pPr>
                    <w:widowControl/>
                    <w:spacing w:line="240" w:lineRule="auto"/>
                    <w:jc w:val="center"/>
                    <w:rPr>
                      <w:rFonts w:ascii="Times New Roman" w:hAnsi="Times New Roman" w:eastAsia="宋体" w:cs="Times New Roman"/>
                      <w:color w:val="auto"/>
                      <w:kern w:val="0"/>
                      <w:sz w:val="21"/>
                      <w:szCs w:val="21"/>
                      <w:u w:val="none"/>
                    </w:rPr>
                  </w:pPr>
                </w:p>
              </w:tc>
              <w:tc>
                <w:tcPr>
                  <w:tcW w:w="515" w:type="pct"/>
                  <w:tcBorders>
                    <w:tl2br w:val="nil"/>
                    <w:tr2bl w:val="nil"/>
                  </w:tcBorders>
                  <w:noWrap w:val="0"/>
                  <w:vAlign w:val="center"/>
                </w:tcPr>
                <w:p w14:paraId="74BF5C2D">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65</w:t>
                  </w:r>
                </w:p>
              </w:tc>
              <w:tc>
                <w:tcPr>
                  <w:tcW w:w="1208" w:type="dxa"/>
                  <w:tcBorders>
                    <w:tl2br w:val="nil"/>
                    <w:tr2bl w:val="nil"/>
                  </w:tcBorders>
                  <w:noWrap w:val="0"/>
                  <w:vAlign w:val="center"/>
                </w:tcPr>
                <w:p w14:paraId="6F5ABEA5">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901" w:type="dxa"/>
                  <w:tcBorders>
                    <w:tl2br w:val="nil"/>
                    <w:tr2bl w:val="nil"/>
                  </w:tcBorders>
                  <w:noWrap w:val="0"/>
                  <w:vAlign w:val="center"/>
                </w:tcPr>
                <w:p w14:paraId="5C82FB43">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0.084 </w:t>
                  </w:r>
                </w:p>
              </w:tc>
              <w:tc>
                <w:tcPr>
                  <w:tcW w:w="283" w:type="pct"/>
                  <w:vMerge w:val="continue"/>
                  <w:tcBorders>
                    <w:tl2br w:val="nil"/>
                    <w:tr2bl w:val="nil"/>
                  </w:tcBorders>
                  <w:noWrap w:val="0"/>
                  <w:vAlign w:val="center"/>
                </w:tcPr>
                <w:p w14:paraId="0A0BA6D0">
                  <w:pPr>
                    <w:widowControl/>
                    <w:spacing w:line="240" w:lineRule="auto"/>
                    <w:jc w:val="center"/>
                    <w:rPr>
                      <w:rFonts w:hint="eastAsia" w:ascii="Times New Roman" w:hAnsi="Times New Roman" w:eastAsia="宋体" w:cs="Times New Roman"/>
                      <w:color w:val="auto"/>
                      <w:kern w:val="0"/>
                      <w:sz w:val="21"/>
                      <w:szCs w:val="21"/>
                      <w:u w:val="none"/>
                      <w:lang w:val="en-US" w:eastAsia="zh-CN"/>
                    </w:rPr>
                  </w:pPr>
                </w:p>
              </w:tc>
            </w:tr>
            <w:tr w14:paraId="0E33EB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4" w:type="pct"/>
                  <w:vMerge w:val="continue"/>
                  <w:tcBorders>
                    <w:tl2br w:val="nil"/>
                    <w:tr2bl w:val="nil"/>
                  </w:tcBorders>
                  <w:noWrap w:val="0"/>
                  <w:vAlign w:val="center"/>
                </w:tcPr>
                <w:p w14:paraId="75633700">
                  <w:pPr>
                    <w:widowControl/>
                    <w:spacing w:line="240" w:lineRule="auto"/>
                    <w:jc w:val="center"/>
                    <w:rPr>
                      <w:rFonts w:ascii="Times New Roman" w:hAnsi="Times New Roman" w:eastAsia="宋体" w:cs="Times New Roman"/>
                      <w:color w:val="auto"/>
                      <w:kern w:val="0"/>
                      <w:sz w:val="21"/>
                      <w:szCs w:val="21"/>
                      <w:u w:val="none"/>
                    </w:rPr>
                  </w:pPr>
                </w:p>
              </w:tc>
              <w:tc>
                <w:tcPr>
                  <w:tcW w:w="488" w:type="pct"/>
                  <w:tcBorders>
                    <w:tl2br w:val="nil"/>
                    <w:tr2bl w:val="nil"/>
                  </w:tcBorders>
                  <w:noWrap w:val="0"/>
                  <w:vAlign w:val="center"/>
                </w:tcPr>
                <w:p w14:paraId="02E3635E">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COD</w:t>
                  </w:r>
                </w:p>
              </w:tc>
              <w:tc>
                <w:tcPr>
                  <w:tcW w:w="340" w:type="pct"/>
                  <w:vMerge w:val="continue"/>
                  <w:tcBorders>
                    <w:tl2br w:val="nil"/>
                    <w:tr2bl w:val="nil"/>
                  </w:tcBorders>
                  <w:noWrap w:val="0"/>
                  <w:vAlign w:val="center"/>
                </w:tcPr>
                <w:p w14:paraId="33AB3097">
                  <w:pPr>
                    <w:widowControl/>
                    <w:spacing w:line="240" w:lineRule="auto"/>
                    <w:jc w:val="center"/>
                    <w:rPr>
                      <w:rFonts w:ascii="Times New Roman" w:hAnsi="Times New Roman" w:eastAsia="宋体" w:cs="Times New Roman"/>
                      <w:color w:val="auto"/>
                      <w:kern w:val="0"/>
                      <w:sz w:val="21"/>
                      <w:szCs w:val="21"/>
                      <w:u w:val="none"/>
                    </w:rPr>
                  </w:pPr>
                </w:p>
              </w:tc>
              <w:tc>
                <w:tcPr>
                  <w:tcW w:w="674" w:type="pct"/>
                  <w:tcBorders>
                    <w:tl2br w:val="nil"/>
                    <w:tr2bl w:val="nil"/>
                  </w:tcBorders>
                  <w:noWrap w:val="0"/>
                  <w:vAlign w:val="center"/>
                </w:tcPr>
                <w:p w14:paraId="71515B9B">
                  <w:pPr>
                    <w:widowControl/>
                    <w:spacing w:line="240" w:lineRule="auto"/>
                    <w:jc w:val="center"/>
                    <w:rPr>
                      <w:rFonts w:hint="default" w:ascii="Times New Roman" w:hAnsi="Times New Roman" w:eastAsia="宋体" w:cs="Times New Roman"/>
                      <w:color w:val="auto"/>
                      <w:kern w:val="0"/>
                      <w:sz w:val="21"/>
                      <w:szCs w:val="21"/>
                      <w:u w:val="none"/>
                      <w:lang w:val="en-US" w:eastAsia="zh-CN" w:bidi="ar-SA"/>
                    </w:rPr>
                  </w:pPr>
                  <w:r>
                    <w:rPr>
                      <w:rFonts w:hint="eastAsia" w:cs="Times New Roman"/>
                      <w:color w:val="auto"/>
                      <w:kern w:val="0"/>
                      <w:sz w:val="21"/>
                      <w:szCs w:val="21"/>
                      <w:u w:val="none"/>
                      <w:lang w:val="en-US" w:eastAsia="zh-CN"/>
                    </w:rPr>
                    <w:t>30</w:t>
                  </w:r>
                  <w:r>
                    <w:rPr>
                      <w:rFonts w:hint="eastAsia" w:ascii="Times New Roman" w:hAnsi="Times New Roman" w:eastAsia="宋体" w:cs="Times New Roman"/>
                      <w:color w:val="auto"/>
                      <w:kern w:val="0"/>
                      <w:sz w:val="21"/>
                      <w:szCs w:val="21"/>
                      <w:u w:val="none"/>
                      <w:lang w:val="en-US" w:eastAsia="zh-CN"/>
                    </w:rPr>
                    <w:t>0</w:t>
                  </w:r>
                </w:p>
              </w:tc>
              <w:tc>
                <w:tcPr>
                  <w:tcW w:w="864" w:type="dxa"/>
                  <w:tcBorders>
                    <w:tl2br w:val="nil"/>
                    <w:tr2bl w:val="nil"/>
                  </w:tcBorders>
                  <w:noWrap w:val="0"/>
                  <w:vAlign w:val="center"/>
                </w:tcPr>
                <w:p w14:paraId="18CF9F1E">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0.360 </w:t>
                  </w:r>
                </w:p>
              </w:tc>
              <w:tc>
                <w:tcPr>
                  <w:tcW w:w="548" w:type="pct"/>
                  <w:vMerge w:val="continue"/>
                  <w:tcBorders>
                    <w:tl2br w:val="nil"/>
                    <w:tr2bl w:val="nil"/>
                  </w:tcBorders>
                  <w:noWrap w:val="0"/>
                  <w:vAlign w:val="center"/>
                </w:tcPr>
                <w:p w14:paraId="531D2F11">
                  <w:pPr>
                    <w:widowControl/>
                    <w:spacing w:line="240" w:lineRule="auto"/>
                    <w:jc w:val="center"/>
                    <w:rPr>
                      <w:rFonts w:ascii="Times New Roman" w:hAnsi="Times New Roman" w:eastAsia="宋体" w:cs="Times New Roman"/>
                      <w:color w:val="auto"/>
                      <w:kern w:val="0"/>
                      <w:sz w:val="21"/>
                      <w:szCs w:val="21"/>
                      <w:u w:val="none"/>
                    </w:rPr>
                  </w:pPr>
                </w:p>
              </w:tc>
              <w:tc>
                <w:tcPr>
                  <w:tcW w:w="515" w:type="pct"/>
                  <w:tcBorders>
                    <w:tl2br w:val="nil"/>
                    <w:tr2bl w:val="nil"/>
                  </w:tcBorders>
                  <w:noWrap w:val="0"/>
                  <w:vAlign w:val="center"/>
                </w:tcPr>
                <w:p w14:paraId="164F2DAF">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40</w:t>
                  </w:r>
                </w:p>
              </w:tc>
              <w:tc>
                <w:tcPr>
                  <w:tcW w:w="1208" w:type="dxa"/>
                  <w:tcBorders>
                    <w:tl2br w:val="nil"/>
                    <w:tr2bl w:val="nil"/>
                  </w:tcBorders>
                  <w:noWrap w:val="0"/>
                  <w:vAlign w:val="center"/>
                </w:tcPr>
                <w:p w14:paraId="7CEEB4B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180</w:t>
                  </w:r>
                </w:p>
              </w:tc>
              <w:tc>
                <w:tcPr>
                  <w:tcW w:w="901" w:type="dxa"/>
                  <w:tcBorders>
                    <w:tl2br w:val="nil"/>
                    <w:tr2bl w:val="nil"/>
                  </w:tcBorders>
                  <w:noWrap w:val="0"/>
                  <w:vAlign w:val="center"/>
                </w:tcPr>
                <w:p w14:paraId="0A523B9F">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0.216 </w:t>
                  </w:r>
                </w:p>
              </w:tc>
              <w:tc>
                <w:tcPr>
                  <w:tcW w:w="283" w:type="pct"/>
                  <w:vMerge w:val="continue"/>
                  <w:tcBorders>
                    <w:tl2br w:val="nil"/>
                    <w:tr2bl w:val="nil"/>
                  </w:tcBorders>
                  <w:noWrap w:val="0"/>
                  <w:vAlign w:val="center"/>
                </w:tcPr>
                <w:p w14:paraId="77DCF257">
                  <w:pPr>
                    <w:widowControl/>
                    <w:spacing w:line="240" w:lineRule="auto"/>
                    <w:jc w:val="center"/>
                    <w:rPr>
                      <w:rFonts w:hint="eastAsia" w:ascii="Times New Roman" w:hAnsi="Times New Roman" w:eastAsia="宋体" w:cs="Times New Roman"/>
                      <w:color w:val="auto"/>
                      <w:kern w:val="0"/>
                      <w:sz w:val="21"/>
                      <w:szCs w:val="21"/>
                      <w:u w:val="none"/>
                      <w:lang w:val="en-US" w:eastAsia="zh-CN"/>
                    </w:rPr>
                  </w:pPr>
                </w:p>
              </w:tc>
            </w:tr>
            <w:tr w14:paraId="598CC5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4" w:type="pct"/>
                  <w:vMerge w:val="continue"/>
                  <w:tcBorders>
                    <w:tl2br w:val="nil"/>
                    <w:tr2bl w:val="nil"/>
                  </w:tcBorders>
                  <w:noWrap w:val="0"/>
                  <w:vAlign w:val="center"/>
                </w:tcPr>
                <w:p w14:paraId="2EFCDDA8">
                  <w:pPr>
                    <w:widowControl/>
                    <w:spacing w:line="240" w:lineRule="auto"/>
                    <w:jc w:val="center"/>
                    <w:rPr>
                      <w:rFonts w:ascii="Times New Roman" w:hAnsi="Times New Roman" w:eastAsia="宋体" w:cs="Times New Roman"/>
                      <w:color w:val="auto"/>
                      <w:kern w:val="0"/>
                      <w:sz w:val="21"/>
                      <w:szCs w:val="21"/>
                      <w:u w:val="none"/>
                    </w:rPr>
                  </w:pPr>
                </w:p>
              </w:tc>
              <w:tc>
                <w:tcPr>
                  <w:tcW w:w="488" w:type="pct"/>
                  <w:tcBorders>
                    <w:tl2br w:val="nil"/>
                    <w:tr2bl w:val="nil"/>
                  </w:tcBorders>
                  <w:noWrap w:val="0"/>
                  <w:vAlign w:val="center"/>
                </w:tcPr>
                <w:p w14:paraId="39E7F58D">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氨氮</w:t>
                  </w:r>
                </w:p>
              </w:tc>
              <w:tc>
                <w:tcPr>
                  <w:tcW w:w="340" w:type="pct"/>
                  <w:vMerge w:val="continue"/>
                  <w:tcBorders>
                    <w:tl2br w:val="nil"/>
                    <w:tr2bl w:val="nil"/>
                  </w:tcBorders>
                  <w:noWrap w:val="0"/>
                  <w:vAlign w:val="center"/>
                </w:tcPr>
                <w:p w14:paraId="027BFF4C">
                  <w:pPr>
                    <w:widowControl/>
                    <w:spacing w:line="240" w:lineRule="auto"/>
                    <w:jc w:val="center"/>
                    <w:rPr>
                      <w:rFonts w:ascii="Times New Roman" w:hAnsi="Times New Roman" w:eastAsia="宋体" w:cs="Times New Roman"/>
                      <w:color w:val="auto"/>
                      <w:kern w:val="0"/>
                      <w:sz w:val="21"/>
                      <w:szCs w:val="21"/>
                      <w:u w:val="none"/>
                    </w:rPr>
                  </w:pPr>
                </w:p>
              </w:tc>
              <w:tc>
                <w:tcPr>
                  <w:tcW w:w="674" w:type="pct"/>
                  <w:tcBorders>
                    <w:tl2br w:val="nil"/>
                    <w:tr2bl w:val="nil"/>
                  </w:tcBorders>
                  <w:noWrap w:val="0"/>
                  <w:vAlign w:val="center"/>
                </w:tcPr>
                <w:p w14:paraId="497884FE">
                  <w:pPr>
                    <w:widowControl/>
                    <w:spacing w:line="240" w:lineRule="auto"/>
                    <w:jc w:val="center"/>
                    <w:rPr>
                      <w:rFonts w:hint="default" w:ascii="Times New Roman" w:hAnsi="Times New Roman" w:eastAsia="宋体" w:cs="Times New Roman"/>
                      <w:color w:val="auto"/>
                      <w:kern w:val="0"/>
                      <w:sz w:val="21"/>
                      <w:szCs w:val="21"/>
                      <w:u w:val="none"/>
                      <w:lang w:val="en-US" w:eastAsia="zh-CN" w:bidi="ar-SA"/>
                    </w:rPr>
                  </w:pPr>
                  <w:r>
                    <w:rPr>
                      <w:rFonts w:hint="eastAsia" w:cs="Times New Roman"/>
                      <w:color w:val="auto"/>
                      <w:kern w:val="0"/>
                      <w:sz w:val="21"/>
                      <w:szCs w:val="21"/>
                      <w:u w:val="none"/>
                      <w:lang w:val="en-US" w:eastAsia="zh-CN"/>
                    </w:rPr>
                    <w:t>3</w:t>
                  </w:r>
                  <w:r>
                    <w:rPr>
                      <w:rFonts w:hint="eastAsia" w:ascii="Times New Roman" w:hAnsi="Times New Roman" w:eastAsia="宋体" w:cs="Times New Roman"/>
                      <w:color w:val="auto"/>
                      <w:kern w:val="0"/>
                      <w:sz w:val="21"/>
                      <w:szCs w:val="21"/>
                      <w:u w:val="none"/>
                      <w:lang w:val="en-US" w:eastAsia="zh-CN"/>
                    </w:rPr>
                    <w:t>5</w:t>
                  </w:r>
                </w:p>
              </w:tc>
              <w:tc>
                <w:tcPr>
                  <w:tcW w:w="864" w:type="dxa"/>
                  <w:tcBorders>
                    <w:tl2br w:val="nil"/>
                    <w:tr2bl w:val="nil"/>
                  </w:tcBorders>
                  <w:noWrap w:val="0"/>
                  <w:vAlign w:val="center"/>
                </w:tcPr>
                <w:p w14:paraId="39C61E02">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0.042 </w:t>
                  </w:r>
                </w:p>
              </w:tc>
              <w:tc>
                <w:tcPr>
                  <w:tcW w:w="548" w:type="pct"/>
                  <w:vMerge w:val="continue"/>
                  <w:tcBorders>
                    <w:tl2br w:val="nil"/>
                    <w:tr2bl w:val="nil"/>
                  </w:tcBorders>
                  <w:noWrap w:val="0"/>
                  <w:vAlign w:val="center"/>
                </w:tcPr>
                <w:p w14:paraId="3CAC1902">
                  <w:pPr>
                    <w:widowControl/>
                    <w:spacing w:line="240" w:lineRule="auto"/>
                    <w:jc w:val="center"/>
                    <w:rPr>
                      <w:rFonts w:ascii="Times New Roman" w:hAnsi="Times New Roman" w:eastAsia="宋体" w:cs="Times New Roman"/>
                      <w:color w:val="auto"/>
                      <w:kern w:val="0"/>
                      <w:sz w:val="21"/>
                      <w:szCs w:val="21"/>
                      <w:u w:val="none"/>
                    </w:rPr>
                  </w:pPr>
                </w:p>
              </w:tc>
              <w:tc>
                <w:tcPr>
                  <w:tcW w:w="515" w:type="pct"/>
                  <w:tcBorders>
                    <w:tl2br w:val="nil"/>
                    <w:tr2bl w:val="nil"/>
                  </w:tcBorders>
                  <w:noWrap w:val="0"/>
                  <w:vAlign w:val="center"/>
                </w:tcPr>
                <w:p w14:paraId="3700587E">
                  <w:pPr>
                    <w:widowControl/>
                    <w:spacing w:line="240" w:lineRule="auto"/>
                    <w:jc w:val="center"/>
                    <w:rPr>
                      <w:rFonts w:hint="default" w:ascii="Times New Roman" w:hAnsi="Times New Roman" w:eastAsia="宋体" w:cs="Times New Roman"/>
                      <w:color w:val="auto"/>
                      <w:kern w:val="0"/>
                      <w:sz w:val="21"/>
                      <w:szCs w:val="21"/>
                      <w:u w:val="none"/>
                      <w:lang w:val="en-US" w:eastAsia="zh-CN"/>
                    </w:rPr>
                  </w:pPr>
                  <w:r>
                    <w:rPr>
                      <w:rFonts w:hint="eastAsia" w:ascii="Times New Roman" w:hAnsi="Times New Roman" w:eastAsia="宋体" w:cs="Times New Roman"/>
                      <w:color w:val="auto"/>
                      <w:kern w:val="0"/>
                      <w:sz w:val="21"/>
                      <w:szCs w:val="21"/>
                      <w:u w:val="none"/>
                      <w:lang w:val="en-US" w:eastAsia="zh-CN"/>
                    </w:rPr>
                    <w:t>40</w:t>
                  </w:r>
                </w:p>
              </w:tc>
              <w:tc>
                <w:tcPr>
                  <w:tcW w:w="1208" w:type="dxa"/>
                  <w:tcBorders>
                    <w:tl2br w:val="nil"/>
                    <w:tr2bl w:val="nil"/>
                  </w:tcBorders>
                  <w:noWrap w:val="0"/>
                  <w:vAlign w:val="center"/>
                </w:tcPr>
                <w:p w14:paraId="3FA50BF3">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901" w:type="dxa"/>
                  <w:tcBorders>
                    <w:tl2br w:val="nil"/>
                    <w:tr2bl w:val="nil"/>
                  </w:tcBorders>
                  <w:noWrap w:val="0"/>
                  <w:vAlign w:val="center"/>
                </w:tcPr>
                <w:p w14:paraId="010184EF">
                  <w:pPr>
                    <w:keepNext w:val="0"/>
                    <w:keepLines w:val="0"/>
                    <w:widowControl/>
                    <w:suppressLineNumbers w:val="0"/>
                    <w:jc w:val="center"/>
                    <w:textAlignment w:val="center"/>
                    <w:rPr>
                      <w:rFonts w:hint="default" w:ascii="Times New Roman" w:hAnsi="Times New Roman" w:eastAsia="宋体" w:cs="Times New Roman"/>
                      <w:color w:val="auto"/>
                      <w:kern w:val="0"/>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 xml:space="preserve">0.025 </w:t>
                  </w:r>
                </w:p>
              </w:tc>
              <w:tc>
                <w:tcPr>
                  <w:tcW w:w="283" w:type="pct"/>
                  <w:vMerge w:val="continue"/>
                  <w:tcBorders>
                    <w:tl2br w:val="nil"/>
                    <w:tr2bl w:val="nil"/>
                  </w:tcBorders>
                  <w:noWrap w:val="0"/>
                  <w:vAlign w:val="center"/>
                </w:tcPr>
                <w:p w14:paraId="0593231E">
                  <w:pPr>
                    <w:widowControl/>
                    <w:spacing w:line="240" w:lineRule="auto"/>
                    <w:jc w:val="center"/>
                    <w:rPr>
                      <w:rFonts w:hint="eastAsia" w:ascii="Times New Roman" w:hAnsi="Times New Roman" w:eastAsia="宋体" w:cs="Times New Roman"/>
                      <w:color w:val="auto"/>
                      <w:kern w:val="0"/>
                      <w:sz w:val="21"/>
                      <w:szCs w:val="21"/>
                      <w:u w:val="none"/>
                      <w:lang w:val="en-US" w:eastAsia="zh-CN"/>
                    </w:rPr>
                  </w:pPr>
                </w:p>
              </w:tc>
            </w:tr>
          </w:tbl>
          <w:p w14:paraId="7399FCC1">
            <w:pPr>
              <w:pStyle w:val="64"/>
              <w:ind w:left="420"/>
              <w:rPr>
                <w:color w:val="auto"/>
                <w:highlight w:val="none"/>
                <w:u w:val="none"/>
              </w:rPr>
            </w:pPr>
            <w:r>
              <w:rPr>
                <w:color w:val="auto"/>
                <w:highlight w:val="none"/>
                <w:u w:val="none"/>
              </w:rPr>
              <w:t>表4-</w:t>
            </w:r>
            <w:r>
              <w:rPr>
                <w:rFonts w:hint="eastAsia"/>
                <w:color w:val="auto"/>
                <w:highlight w:val="none"/>
                <w:u w:val="none"/>
                <w:lang w:val="en-US" w:eastAsia="zh-CN"/>
              </w:rPr>
              <w:t>2</w:t>
            </w:r>
            <w:r>
              <w:rPr>
                <w:rFonts w:hint="eastAsia"/>
                <w:color w:val="auto"/>
                <w:highlight w:val="none"/>
                <w:u w:val="none"/>
              </w:rPr>
              <w:t xml:space="preserve"> </w:t>
            </w:r>
            <w:r>
              <w:rPr>
                <w:color w:val="auto"/>
                <w:highlight w:val="none"/>
                <w:u w:val="none"/>
              </w:rPr>
              <w:t xml:space="preserve"> 废水间接排放口基本情况表</w:t>
            </w:r>
          </w:p>
          <w:tbl>
            <w:tblPr>
              <w:tblStyle w:val="3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855"/>
              <w:gridCol w:w="1726"/>
              <w:gridCol w:w="694"/>
              <w:gridCol w:w="776"/>
              <w:gridCol w:w="1096"/>
              <w:gridCol w:w="667"/>
              <w:gridCol w:w="2143"/>
            </w:tblGrid>
            <w:tr w14:paraId="2DC097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576F4BB9">
                  <w:pPr>
                    <w:pStyle w:val="56"/>
                    <w:spacing w:line="240" w:lineRule="auto"/>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排放口编号</w:t>
                  </w:r>
                </w:p>
              </w:tc>
              <w:tc>
                <w:tcPr>
                  <w:tcW w:w="478" w:type="pct"/>
                  <w:vAlign w:val="center"/>
                </w:tcPr>
                <w:p w14:paraId="5B6795AC">
                  <w:pPr>
                    <w:pStyle w:val="56"/>
                    <w:spacing w:line="240" w:lineRule="auto"/>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排放口名称</w:t>
                  </w:r>
                </w:p>
              </w:tc>
              <w:tc>
                <w:tcPr>
                  <w:tcW w:w="965" w:type="pct"/>
                  <w:vAlign w:val="center"/>
                </w:tcPr>
                <w:p w14:paraId="404752C7">
                  <w:pPr>
                    <w:pStyle w:val="56"/>
                    <w:spacing w:line="240" w:lineRule="auto"/>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地理坐标</w:t>
                  </w:r>
                </w:p>
              </w:tc>
              <w:tc>
                <w:tcPr>
                  <w:tcW w:w="388" w:type="pct"/>
                  <w:vAlign w:val="center"/>
                </w:tcPr>
                <w:p w14:paraId="48B7C616">
                  <w:pPr>
                    <w:pStyle w:val="56"/>
                    <w:spacing w:line="240" w:lineRule="auto"/>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排放方式</w:t>
                  </w:r>
                </w:p>
              </w:tc>
              <w:tc>
                <w:tcPr>
                  <w:tcW w:w="434" w:type="pct"/>
                  <w:vAlign w:val="center"/>
                </w:tcPr>
                <w:p w14:paraId="66F0421A">
                  <w:pPr>
                    <w:pStyle w:val="56"/>
                    <w:spacing w:line="240" w:lineRule="auto"/>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排放规律</w:t>
                  </w:r>
                </w:p>
              </w:tc>
              <w:tc>
                <w:tcPr>
                  <w:tcW w:w="613" w:type="pct"/>
                  <w:vAlign w:val="center"/>
                </w:tcPr>
                <w:p w14:paraId="6578CE57">
                  <w:pPr>
                    <w:pStyle w:val="56"/>
                    <w:spacing w:line="240" w:lineRule="auto"/>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排放去向</w:t>
                  </w:r>
                </w:p>
              </w:tc>
              <w:tc>
                <w:tcPr>
                  <w:tcW w:w="373" w:type="pct"/>
                  <w:vAlign w:val="center"/>
                </w:tcPr>
                <w:p w14:paraId="7D6F03D2">
                  <w:pPr>
                    <w:pStyle w:val="56"/>
                    <w:spacing w:line="240" w:lineRule="auto"/>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排放口类型</w:t>
                  </w:r>
                </w:p>
              </w:tc>
              <w:tc>
                <w:tcPr>
                  <w:tcW w:w="1198" w:type="pct"/>
                  <w:vAlign w:val="center"/>
                </w:tcPr>
                <w:p w14:paraId="583AC8CA">
                  <w:pPr>
                    <w:pStyle w:val="56"/>
                    <w:spacing w:line="240" w:lineRule="auto"/>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排放标准</w:t>
                  </w:r>
                </w:p>
              </w:tc>
            </w:tr>
            <w:tr w14:paraId="69154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8" w:type="pct"/>
                  <w:vAlign w:val="center"/>
                </w:tcPr>
                <w:p w14:paraId="74788619">
                  <w:pPr>
                    <w:pStyle w:val="56"/>
                    <w:spacing w:line="240" w:lineRule="auto"/>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DW001</w:t>
                  </w:r>
                </w:p>
              </w:tc>
              <w:tc>
                <w:tcPr>
                  <w:tcW w:w="478" w:type="pct"/>
                  <w:vAlign w:val="center"/>
                </w:tcPr>
                <w:p w14:paraId="391DD480">
                  <w:pPr>
                    <w:pStyle w:val="56"/>
                    <w:spacing w:line="240" w:lineRule="auto"/>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厂区</w:t>
                  </w:r>
                  <w:r>
                    <w:rPr>
                      <w:rFonts w:hint="eastAsia" w:ascii="Times New Roman" w:hAnsi="Times New Roman" w:eastAsia="宋体" w:cs="Times New Roman"/>
                      <w:color w:val="auto"/>
                      <w:sz w:val="21"/>
                      <w:szCs w:val="21"/>
                      <w:highlight w:val="none"/>
                      <w:u w:val="none"/>
                      <w:lang w:val="en-US" w:eastAsia="zh-CN"/>
                    </w:rPr>
                    <w:t>总</w:t>
                  </w:r>
                  <w:r>
                    <w:rPr>
                      <w:rFonts w:ascii="Times New Roman" w:hAnsi="Times New Roman" w:eastAsia="宋体" w:cs="Times New Roman"/>
                      <w:color w:val="auto"/>
                      <w:sz w:val="21"/>
                      <w:szCs w:val="21"/>
                      <w:highlight w:val="none"/>
                      <w:u w:val="none"/>
                    </w:rPr>
                    <w:t>排口</w:t>
                  </w:r>
                </w:p>
              </w:tc>
              <w:tc>
                <w:tcPr>
                  <w:tcW w:w="965" w:type="pct"/>
                  <w:vAlign w:val="center"/>
                </w:tcPr>
                <w:p w14:paraId="2C958443">
                  <w:pPr>
                    <w:pStyle w:val="56"/>
                    <w:spacing w:line="240" w:lineRule="auto"/>
                    <w:rPr>
                      <w:rFonts w:hint="default" w:ascii="Times New Roman" w:hAnsi="Times New Roman" w:eastAsia="宋体" w:cs="Times New Roman"/>
                      <w:color w:val="auto"/>
                      <w:sz w:val="21"/>
                      <w:szCs w:val="21"/>
                      <w:highlight w:val="none"/>
                      <w:u w:val="none"/>
                      <w:lang w:val="en-US" w:eastAsia="zh-CN"/>
                    </w:rPr>
                  </w:pPr>
                  <w:r>
                    <w:rPr>
                      <w:rFonts w:hint="eastAsia" w:ascii="Times New Roman" w:hAnsi="Times New Roman" w:eastAsia="宋体" w:cs="Times New Roman"/>
                      <w:color w:val="auto"/>
                      <w:sz w:val="21"/>
                      <w:szCs w:val="21"/>
                      <w:highlight w:val="none"/>
                      <w:u w:val="none"/>
                    </w:rPr>
                    <w:t>E</w:t>
                  </w:r>
                  <w:r>
                    <w:rPr>
                      <w:rFonts w:hint="eastAsia" w:ascii="Times New Roman" w:hAnsi="Times New Roman" w:eastAsia="宋体" w:cs="Times New Roman"/>
                      <w:color w:val="auto"/>
                      <w:sz w:val="21"/>
                      <w:szCs w:val="21"/>
                      <w:highlight w:val="none"/>
                      <w:u w:val="none"/>
                      <w:lang w:val="en-US" w:eastAsia="zh-CN"/>
                    </w:rPr>
                    <w:t>111.572661</w:t>
                  </w:r>
                  <w:r>
                    <w:rPr>
                      <w:rFonts w:hint="eastAsia" w:ascii="Times New Roman" w:hAnsi="Times New Roman" w:eastAsia="宋体" w:cs="Times New Roman"/>
                      <w:color w:val="auto"/>
                      <w:sz w:val="21"/>
                      <w:szCs w:val="21"/>
                      <w:highlight w:val="none"/>
                      <w:u w:val="none"/>
                    </w:rPr>
                    <w:t>，N26.</w:t>
                  </w:r>
                  <w:r>
                    <w:rPr>
                      <w:rFonts w:hint="eastAsia" w:ascii="Times New Roman" w:hAnsi="Times New Roman" w:eastAsia="宋体" w:cs="Times New Roman"/>
                      <w:color w:val="auto"/>
                      <w:sz w:val="21"/>
                      <w:szCs w:val="21"/>
                      <w:highlight w:val="none"/>
                      <w:u w:val="none"/>
                      <w:lang w:val="en-US" w:eastAsia="zh-CN"/>
                    </w:rPr>
                    <w:t>406777</w:t>
                  </w:r>
                </w:p>
              </w:tc>
              <w:tc>
                <w:tcPr>
                  <w:tcW w:w="388" w:type="pct"/>
                  <w:vAlign w:val="center"/>
                </w:tcPr>
                <w:p w14:paraId="27DAE1C9">
                  <w:pPr>
                    <w:pStyle w:val="56"/>
                    <w:spacing w:line="240" w:lineRule="auto"/>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间接排放</w:t>
                  </w:r>
                </w:p>
              </w:tc>
              <w:tc>
                <w:tcPr>
                  <w:tcW w:w="434" w:type="pct"/>
                  <w:vAlign w:val="center"/>
                </w:tcPr>
                <w:p w14:paraId="7BE8D3AD">
                  <w:pPr>
                    <w:pStyle w:val="56"/>
                    <w:spacing w:line="240" w:lineRule="auto"/>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连续排放，流量不稳定，但有周期性规律</w:t>
                  </w:r>
                </w:p>
              </w:tc>
              <w:tc>
                <w:tcPr>
                  <w:tcW w:w="613" w:type="pct"/>
                  <w:vAlign w:val="center"/>
                </w:tcPr>
                <w:p w14:paraId="70C29AE3">
                  <w:pPr>
                    <w:pStyle w:val="56"/>
                    <w:spacing w:line="240" w:lineRule="auto"/>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color="auto"/>
                      <w:lang w:val="en-US" w:eastAsia="zh-CN"/>
                    </w:rPr>
                    <w:t>近期：</w:t>
                  </w:r>
                  <w:r>
                    <w:rPr>
                      <w:rFonts w:hint="eastAsia" w:ascii="Times New Roman" w:hAnsi="Times New Roman" w:eastAsia="宋体" w:cs="Times New Roman"/>
                      <w:color w:val="auto"/>
                      <w:sz w:val="21"/>
                      <w:szCs w:val="21"/>
                      <w:highlight w:val="none"/>
                      <w:u w:val="none" w:color="auto"/>
                    </w:rPr>
                    <w:t>下河线污水处理厂</w:t>
                  </w:r>
                  <w:r>
                    <w:rPr>
                      <w:rFonts w:hint="eastAsia" w:ascii="Times New Roman" w:hAnsi="Times New Roman" w:eastAsia="宋体" w:cs="Times New Roman"/>
                      <w:color w:val="auto"/>
                      <w:sz w:val="21"/>
                      <w:szCs w:val="21"/>
                      <w:highlight w:val="none"/>
                      <w:u w:val="none" w:color="auto"/>
                      <w:lang w:eastAsia="zh-CN"/>
                    </w:rPr>
                    <w:t>；</w:t>
                  </w:r>
                  <w:r>
                    <w:rPr>
                      <w:rFonts w:hint="eastAsia" w:ascii="Times New Roman" w:hAnsi="Times New Roman" w:eastAsia="宋体" w:cs="Times New Roman"/>
                      <w:color w:val="auto"/>
                      <w:sz w:val="21"/>
                      <w:szCs w:val="21"/>
                      <w:highlight w:val="none"/>
                      <w:u w:val="none" w:color="auto"/>
                      <w:lang w:val="en-US" w:eastAsia="zh-CN"/>
                    </w:rPr>
                    <w:t>远期：</w:t>
                  </w:r>
                  <w:r>
                    <w:rPr>
                      <w:rFonts w:hint="eastAsia" w:ascii="Times New Roman" w:hAnsi="Times New Roman" w:eastAsia="宋体" w:cs="Times New Roman"/>
                      <w:color w:val="auto"/>
                      <w:sz w:val="21"/>
                      <w:szCs w:val="21"/>
                      <w:highlight w:val="none"/>
                      <w:u w:val="none" w:color="auto"/>
                    </w:rPr>
                    <w:t>永州经开区工业污水处理厂</w:t>
                  </w:r>
                </w:p>
              </w:tc>
              <w:tc>
                <w:tcPr>
                  <w:tcW w:w="373" w:type="pct"/>
                  <w:vAlign w:val="center"/>
                </w:tcPr>
                <w:p w14:paraId="0F4D6175">
                  <w:pPr>
                    <w:pStyle w:val="56"/>
                    <w:spacing w:line="240" w:lineRule="auto"/>
                    <w:rPr>
                      <w:rFonts w:ascii="Times New Roman" w:hAnsi="Times New Roman" w:eastAsia="宋体" w:cs="Times New Roman"/>
                      <w:color w:val="auto"/>
                      <w:sz w:val="21"/>
                      <w:szCs w:val="21"/>
                      <w:highlight w:val="none"/>
                      <w:u w:val="none"/>
                    </w:rPr>
                  </w:pPr>
                  <w:r>
                    <w:rPr>
                      <w:rFonts w:ascii="Times New Roman" w:hAnsi="Times New Roman" w:eastAsia="宋体" w:cs="Times New Roman"/>
                      <w:color w:val="auto"/>
                      <w:sz w:val="21"/>
                      <w:szCs w:val="21"/>
                      <w:highlight w:val="none"/>
                      <w:u w:val="none"/>
                    </w:rPr>
                    <w:t>一般排放口</w:t>
                  </w:r>
                </w:p>
              </w:tc>
              <w:tc>
                <w:tcPr>
                  <w:tcW w:w="1198" w:type="pct"/>
                  <w:vAlign w:val="center"/>
                </w:tcPr>
                <w:p w14:paraId="1490C993">
                  <w:pPr>
                    <w:pStyle w:val="56"/>
                    <w:spacing w:line="240" w:lineRule="auto"/>
                    <w:rPr>
                      <w:rFonts w:ascii="Times New Roman" w:hAnsi="Times New Roman" w:eastAsia="宋体" w:cs="Times New Roman"/>
                      <w:color w:val="auto"/>
                      <w:sz w:val="21"/>
                      <w:szCs w:val="21"/>
                      <w:highlight w:val="none"/>
                      <w:u w:val="none"/>
                    </w:rPr>
                  </w:pPr>
                  <w:r>
                    <w:rPr>
                      <w:rFonts w:hint="eastAsia" w:ascii="Times New Roman" w:hAnsi="Times New Roman" w:eastAsia="宋体" w:cs="Times New Roman"/>
                      <w:color w:val="auto"/>
                      <w:sz w:val="21"/>
                      <w:szCs w:val="21"/>
                      <w:highlight w:val="none"/>
                      <w:u w:val="none"/>
                    </w:rPr>
                    <w:t>《电子工业水污染物排放标准》（GB 39731-2020）表1和《污水综合排放标准》（GB8978-1996）三级排放标准中较严值后</w:t>
                  </w:r>
                </w:p>
              </w:tc>
            </w:tr>
          </w:tbl>
          <w:p w14:paraId="14144367">
            <w:pPr>
              <w:spacing w:line="360" w:lineRule="auto"/>
              <w:ind w:firstLine="482" w:firstLineChars="200"/>
              <w:jc w:val="left"/>
              <w:rPr>
                <w:rFonts w:hint="eastAsia"/>
                <w:b/>
                <w:bCs/>
                <w:color w:val="000000" w:themeColor="text1"/>
                <w:sz w:val="24"/>
                <w:u w:val="none"/>
                <w14:textFill>
                  <w14:solidFill>
                    <w14:schemeClr w14:val="tx1"/>
                  </w14:solidFill>
                </w14:textFill>
              </w:rPr>
            </w:pPr>
            <w:r>
              <w:rPr>
                <w:rFonts w:hint="eastAsia"/>
                <w:b/>
                <w:bCs/>
                <w:color w:val="auto"/>
                <w:sz w:val="24"/>
                <w:highlight w:val="none"/>
                <w:u w:val="none"/>
              </w:rPr>
              <w:t>（2）</w:t>
            </w:r>
            <w:r>
              <w:rPr>
                <w:rFonts w:hint="eastAsia"/>
                <w:b/>
                <w:bCs/>
                <w:color w:val="000000" w:themeColor="text1"/>
                <w:sz w:val="24"/>
                <w:u w:val="none"/>
                <w14:textFill>
                  <w14:solidFill>
                    <w14:schemeClr w14:val="tx1"/>
                  </w14:solidFill>
                </w14:textFill>
              </w:rPr>
              <w:t>废水治理设施技术可行性分析</w:t>
            </w:r>
          </w:p>
          <w:p w14:paraId="2F6BEB3D">
            <w:pPr>
              <w:spacing w:line="360" w:lineRule="auto"/>
              <w:ind w:firstLine="480" w:firstLineChars="200"/>
              <w:rPr>
                <w:rFonts w:hint="eastAsia"/>
                <w:color w:val="000000" w:themeColor="text1"/>
                <w:sz w:val="24"/>
                <w:u w:val="none"/>
                <w14:textFill>
                  <w14:solidFill>
                    <w14:schemeClr w14:val="tx1"/>
                  </w14:solidFill>
                </w14:textFill>
              </w:rPr>
            </w:pPr>
            <w:r>
              <w:rPr>
                <w:rFonts w:hint="eastAsia"/>
                <w:color w:val="000000" w:themeColor="text1"/>
                <w:sz w:val="24"/>
                <w:u w:val="none"/>
                <w14:textFill>
                  <w14:solidFill>
                    <w14:schemeClr w14:val="tx1"/>
                  </w14:solidFill>
                </w14:textFill>
              </w:rPr>
              <w:t>根据“《排污许可证申请与核发技术规范 总则》（HJ942-2018）中4.5.3.1”，生活污水防治工艺为“过滤、沉淀-活性污泥法、生物接触氧化、其他”等处理技术或其他。</w:t>
            </w:r>
          </w:p>
          <w:p w14:paraId="02DF9C9F">
            <w:pPr>
              <w:spacing w:line="360" w:lineRule="auto"/>
              <w:ind w:firstLine="480" w:firstLineChars="200"/>
              <w:rPr>
                <w:rFonts w:hint="eastAsia" w:eastAsia="宋体"/>
                <w:color w:val="000000" w:themeColor="text1"/>
                <w:sz w:val="24"/>
                <w:u w:val="none"/>
                <w:lang w:val="en-US" w:eastAsia="zh-CN"/>
                <w14:textFill>
                  <w14:solidFill>
                    <w14:schemeClr w14:val="tx1"/>
                  </w14:solidFill>
                </w14:textFill>
              </w:rPr>
            </w:pPr>
            <w:r>
              <w:rPr>
                <w:rFonts w:hint="eastAsia"/>
                <w:color w:val="000000" w:themeColor="text1"/>
                <w:sz w:val="24"/>
                <w:u w:val="none"/>
                <w14:textFill>
                  <w14:solidFill>
                    <w14:schemeClr w14:val="tx1"/>
                  </w14:solidFill>
                </w14:textFill>
              </w:rPr>
              <w:t>生活污水处理工艺为化粪池（过滤、沉淀、生物接触氧化），属于可行技术。化粪池是一种利用沉淀和厌氧发酵的原理，去除生活污水中悬浮性有机物的处理设施，属于初级的过渡性生活处理构筑物，可有效处理粪便等，属于可行性技术</w:t>
            </w:r>
            <w:r>
              <w:rPr>
                <w:rFonts w:hint="eastAsia"/>
                <w:color w:val="000000" w:themeColor="text1"/>
                <w:sz w:val="24"/>
                <w:u w:val="none"/>
                <w:lang w:eastAsia="zh-CN"/>
                <w14:textFill>
                  <w14:solidFill>
                    <w14:schemeClr w14:val="tx1"/>
                  </w14:solidFill>
                </w14:textFill>
              </w:rPr>
              <w:t>。</w:t>
            </w:r>
          </w:p>
          <w:p w14:paraId="11AB9823">
            <w:pPr>
              <w:pStyle w:val="2"/>
              <w:spacing w:line="360" w:lineRule="auto"/>
              <w:ind w:firstLine="480"/>
              <w:rPr>
                <w:rFonts w:hint="eastAsia"/>
                <w:b/>
                <w:bCs/>
                <w:color w:val="auto"/>
                <w:sz w:val="24"/>
                <w:highlight w:val="none"/>
                <w:u w:val="none"/>
              </w:rPr>
            </w:pPr>
            <w:r>
              <w:rPr>
                <w:rFonts w:hint="eastAsia"/>
                <w:color w:val="000000" w:themeColor="text1"/>
                <w:sz w:val="24"/>
                <w:u w:val="none"/>
                <w14:textFill>
                  <w14:solidFill>
                    <w14:schemeClr w14:val="tx1"/>
                  </w14:solidFill>
                </w14:textFill>
              </w:rPr>
              <w:t>综上所述，生活污水</w:t>
            </w:r>
            <w:r>
              <w:rPr>
                <w:rFonts w:hint="eastAsia"/>
                <w:color w:val="000000" w:themeColor="text1"/>
                <w:sz w:val="24"/>
                <w:u w:val="none"/>
                <w:lang w:val="en-US" w:eastAsia="zh-CN"/>
                <w14:textFill>
                  <w14:solidFill>
                    <w14:schemeClr w14:val="tx1"/>
                  </w14:solidFill>
                </w14:textFill>
              </w:rPr>
              <w:t>经预处理后，</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废水排放浓度可满足《电子工业水污染物排放标准》（GB 39731-2020）表1和《污水综合排放标准》（GB8978-1996）表4中三级标准</w:t>
            </w:r>
            <w:r>
              <w:rPr>
                <w:rFonts w:hint="eastAsia" w:ascii="Times New Roman" w:hAnsi="Times New Roman" w:eastAsia="宋体" w:cs="Times New Roman"/>
                <w:color w:val="auto"/>
                <w:sz w:val="21"/>
                <w:szCs w:val="21"/>
                <w:highlight w:val="none"/>
                <w:u w:val="none"/>
              </w:rPr>
              <w:t>中较严值</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，处理措施可行。</w:t>
            </w:r>
          </w:p>
          <w:p w14:paraId="6DEF8B96">
            <w:pPr>
              <w:spacing w:line="360" w:lineRule="auto"/>
              <w:ind w:firstLine="482" w:firstLineChars="200"/>
              <w:jc w:val="left"/>
              <w:rPr>
                <w:b/>
                <w:bCs/>
                <w:color w:val="auto"/>
                <w:sz w:val="24"/>
                <w:highlight w:val="none"/>
                <w:u w:val="none"/>
              </w:rPr>
            </w:pPr>
            <w:r>
              <w:rPr>
                <w:rFonts w:hint="eastAsia"/>
                <w:b/>
                <w:bCs/>
                <w:color w:val="auto"/>
                <w:sz w:val="24"/>
                <w:highlight w:val="none"/>
                <w:u w:val="none"/>
                <w:lang w:eastAsia="zh-CN"/>
              </w:rPr>
              <w:t>（</w:t>
            </w:r>
            <w:r>
              <w:rPr>
                <w:rFonts w:hint="eastAsia"/>
                <w:b/>
                <w:bCs/>
                <w:color w:val="auto"/>
                <w:sz w:val="24"/>
                <w:highlight w:val="none"/>
                <w:u w:val="none"/>
                <w:lang w:val="en-US" w:eastAsia="zh-CN"/>
              </w:rPr>
              <w:t>3</w:t>
            </w:r>
            <w:r>
              <w:rPr>
                <w:rFonts w:hint="eastAsia"/>
                <w:b/>
                <w:bCs/>
                <w:color w:val="auto"/>
                <w:sz w:val="24"/>
                <w:highlight w:val="none"/>
                <w:u w:val="none"/>
                <w:lang w:eastAsia="zh-CN"/>
              </w:rPr>
              <w:t>）</w:t>
            </w:r>
            <w:r>
              <w:rPr>
                <w:b/>
                <w:bCs/>
                <w:color w:val="auto"/>
                <w:sz w:val="24"/>
                <w:highlight w:val="none"/>
                <w:u w:val="none"/>
              </w:rPr>
              <w:t>本项目污水进入污水处理厂可行性</w:t>
            </w:r>
          </w:p>
          <w:p w14:paraId="78332498">
            <w:pPr>
              <w:spacing w:line="360" w:lineRule="auto"/>
              <w:ind w:firstLine="480" w:firstLineChars="200"/>
              <w:rPr>
                <w:rFonts w:hint="eastAsia"/>
                <w:color w:val="auto"/>
                <w:sz w:val="24"/>
                <w:highlight w:val="none"/>
                <w:u w:val="none" w:color="auto"/>
              </w:rPr>
            </w:pPr>
            <w:r>
              <w:rPr>
                <w:rFonts w:hint="eastAsia"/>
                <w:color w:val="auto"/>
                <w:sz w:val="24"/>
                <w:highlight w:val="none"/>
                <w:u w:val="none" w:color="auto"/>
                <w:lang w:val="en-US" w:eastAsia="zh-CN"/>
              </w:rPr>
              <w:t>1）近期进入</w:t>
            </w:r>
            <w:r>
              <w:rPr>
                <w:rFonts w:hint="eastAsia"/>
                <w:color w:val="auto"/>
                <w:sz w:val="24"/>
                <w:highlight w:val="none"/>
                <w:u w:val="none" w:color="auto"/>
              </w:rPr>
              <w:t>永州市下河线污水处理厂</w:t>
            </w:r>
            <w:r>
              <w:rPr>
                <w:rFonts w:hint="eastAsia"/>
                <w:color w:val="auto"/>
                <w:sz w:val="24"/>
                <w:highlight w:val="none"/>
                <w:u w:val="none" w:color="auto"/>
                <w:lang w:val="en-US" w:eastAsia="zh-CN"/>
              </w:rPr>
              <w:t>可行性分析</w:t>
            </w:r>
          </w:p>
          <w:p w14:paraId="0689A572">
            <w:pPr>
              <w:spacing w:line="360" w:lineRule="auto"/>
              <w:ind w:firstLine="480" w:firstLineChars="200"/>
              <w:rPr>
                <w:color w:val="auto"/>
                <w:sz w:val="24"/>
                <w:highlight w:val="none"/>
                <w:u w:val="none" w:color="auto"/>
                <w:lang w:bidi="ar"/>
              </w:rPr>
            </w:pPr>
            <w:r>
              <w:rPr>
                <w:rFonts w:hint="eastAsia"/>
                <w:color w:val="auto"/>
                <w:sz w:val="24"/>
                <w:highlight w:val="none"/>
                <w:u w:val="none" w:color="auto"/>
              </w:rPr>
              <w:t>永州市下河线污水处理厂位于永州市冷水滩区零陵北路896号。永州市下河线污水处理厂已经于2017年正式投入运行，设计规模20万m</w:t>
            </w:r>
            <w:r>
              <w:rPr>
                <w:rFonts w:hint="eastAsia"/>
                <w:color w:val="auto"/>
                <w:sz w:val="24"/>
                <w:highlight w:val="none"/>
                <w:u w:val="none" w:color="auto"/>
                <w:vertAlign w:val="superscript"/>
                <w:lang w:val="en-US" w:eastAsia="zh-CN"/>
              </w:rPr>
              <w:t>3</w:t>
            </w:r>
            <w:r>
              <w:rPr>
                <w:rFonts w:hint="eastAsia"/>
                <w:color w:val="auto"/>
                <w:sz w:val="24"/>
                <w:highlight w:val="none"/>
                <w:u w:val="none" w:color="auto"/>
              </w:rPr>
              <w:t>/d。主要承担冷水滩区生活污水、工业废水的处理任务。</w:t>
            </w:r>
            <w:r>
              <w:rPr>
                <w:color w:val="auto"/>
                <w:sz w:val="24"/>
                <w:highlight w:val="none"/>
                <w:u w:val="none" w:color="auto"/>
              </w:rPr>
              <w:t>本项目位于</w:t>
            </w:r>
            <w:r>
              <w:rPr>
                <w:rFonts w:hint="eastAsia"/>
                <w:color w:val="auto"/>
                <w:sz w:val="24"/>
                <w:szCs w:val="24"/>
                <w:highlight w:val="none"/>
                <w:u w:val="none" w:color="auto"/>
                <w:shd w:val="clear" w:color="auto" w:fill="FFFFFF"/>
              </w:rPr>
              <w:t>永州经济技术开发区智能装备产业园标准厂11栋</w:t>
            </w:r>
            <w:r>
              <w:rPr>
                <w:color w:val="auto"/>
                <w:sz w:val="24"/>
                <w:highlight w:val="none"/>
                <w:u w:val="none" w:color="auto"/>
              </w:rPr>
              <w:t>，属于永州市污水处理厂纳污范围内，且项目排放的废水主要为生活污水，废水水质简单，</w:t>
            </w:r>
            <w:r>
              <w:rPr>
                <w:color w:val="auto"/>
                <w:sz w:val="24"/>
                <w:szCs w:val="24"/>
                <w:highlight w:val="none"/>
                <w:u w:val="none" w:color="auto"/>
              </w:rPr>
              <w:t>废水量为</w:t>
            </w:r>
            <w:r>
              <w:rPr>
                <w:rFonts w:hint="eastAsia" w:ascii="Times New Roman" w:hAnsi="宋体" w:eastAsia="宋体" w:cs="Times New Roman"/>
                <w:color w:val="auto"/>
                <w:sz w:val="24"/>
                <w:szCs w:val="24"/>
                <w:highlight w:val="none"/>
                <w:u w:val="none" w:color="auto"/>
                <w:lang w:val="en-US" w:eastAsia="zh-CN"/>
              </w:rPr>
              <w:t>1</w:t>
            </w:r>
            <w:r>
              <w:rPr>
                <w:rFonts w:hint="eastAsia" w:hAnsi="宋体" w:cs="Times New Roman"/>
                <w:color w:val="auto"/>
                <w:sz w:val="24"/>
                <w:szCs w:val="24"/>
                <w:highlight w:val="none"/>
                <w:u w:val="none" w:color="auto"/>
                <w:lang w:val="en-US" w:eastAsia="zh-CN"/>
              </w:rPr>
              <w:t>200</w:t>
            </w:r>
            <w:r>
              <w:rPr>
                <w:color w:val="auto"/>
                <w:sz w:val="24"/>
                <w:szCs w:val="24"/>
                <w:highlight w:val="none"/>
                <w:u w:val="none" w:color="auto"/>
              </w:rPr>
              <w:t>m</w:t>
            </w:r>
            <w:r>
              <w:rPr>
                <w:color w:val="auto"/>
                <w:sz w:val="24"/>
                <w:szCs w:val="24"/>
                <w:highlight w:val="none"/>
                <w:u w:val="none" w:color="auto"/>
                <w:vertAlign w:val="superscript"/>
              </w:rPr>
              <w:t>3</w:t>
            </w:r>
            <w:r>
              <w:rPr>
                <w:color w:val="auto"/>
                <w:sz w:val="24"/>
                <w:szCs w:val="24"/>
                <w:highlight w:val="none"/>
                <w:u w:val="none" w:color="auto"/>
              </w:rPr>
              <w:t>/a，</w:t>
            </w:r>
            <w:r>
              <w:rPr>
                <w:color w:val="auto"/>
                <w:sz w:val="24"/>
                <w:highlight w:val="none"/>
                <w:u w:val="none" w:color="auto"/>
              </w:rPr>
              <w:t>所占比例较小，生活废水经厂区</w:t>
            </w:r>
            <w:r>
              <w:rPr>
                <w:rFonts w:hint="eastAsia"/>
                <w:color w:val="auto"/>
                <w:sz w:val="24"/>
                <w:highlight w:val="none"/>
                <w:u w:val="none" w:color="auto"/>
              </w:rPr>
              <w:t>化粪池</w:t>
            </w:r>
            <w:r>
              <w:rPr>
                <w:color w:val="auto"/>
                <w:sz w:val="24"/>
                <w:highlight w:val="none"/>
                <w:u w:val="none" w:color="auto"/>
              </w:rPr>
              <w:t>处理设施处理；生活污水经化粪池预处理后可达到</w:t>
            </w:r>
            <w:r>
              <w:rPr>
                <w:rFonts w:hint="eastAsia"/>
                <w:color w:val="auto"/>
                <w:sz w:val="24"/>
                <w:highlight w:val="none"/>
                <w:u w:val="none" w:color="auto"/>
                <w:lang w:val="en-US" w:eastAsia="zh-CN"/>
              </w:rPr>
              <w:t>排放标准</w:t>
            </w:r>
            <w:r>
              <w:rPr>
                <w:color w:val="auto"/>
                <w:sz w:val="24"/>
                <w:highlight w:val="none"/>
                <w:u w:val="none" w:color="auto"/>
              </w:rPr>
              <w:t>，可就近排市政污水管网，进入下河线污水处理厂，因此本项目外排废水进入永州下河线污水厂处理可行，且对永州下河线污水处理厂的水质和水量不会产生冲击影响。</w:t>
            </w:r>
            <w:r>
              <w:rPr>
                <w:color w:val="auto"/>
                <w:sz w:val="24"/>
                <w:highlight w:val="none"/>
                <w:u w:val="none" w:color="auto"/>
                <w:lang w:bidi="ar"/>
              </w:rPr>
              <w:t>下河线污水处理厂是用于处理城市生活污水和工业污水的，其处理工艺能有效处理本项目</w:t>
            </w:r>
            <w:r>
              <w:rPr>
                <w:rFonts w:hint="eastAsia" w:ascii="Times New Roman" w:hAnsi="Times New Roman" w:eastAsia="宋体" w:cs="Times New Roman"/>
                <w:color w:val="auto"/>
                <w:sz w:val="24"/>
                <w:highlight w:val="none"/>
                <w:u w:val="none" w:color="auto"/>
              </w:rPr>
              <w:t>产生的废水。</w:t>
            </w:r>
          </w:p>
          <w:p w14:paraId="710239DB">
            <w:pPr>
              <w:spacing w:line="360" w:lineRule="auto"/>
              <w:ind w:firstLine="480" w:firstLineChars="200"/>
              <w:rPr>
                <w:rFonts w:hint="eastAsia"/>
                <w:color w:val="auto"/>
                <w:sz w:val="24"/>
                <w:highlight w:val="none"/>
                <w:u w:val="none" w:color="auto"/>
              </w:rPr>
            </w:pPr>
            <w:r>
              <w:rPr>
                <w:rFonts w:hint="eastAsia"/>
                <w:color w:val="auto"/>
                <w:sz w:val="24"/>
                <w:highlight w:val="none"/>
                <w:u w:val="none" w:color="auto"/>
                <w:lang w:val="en-US" w:eastAsia="zh-CN"/>
              </w:rPr>
              <w:t>2）远期进</w:t>
            </w:r>
            <w:r>
              <w:rPr>
                <w:rFonts w:hint="eastAsia" w:eastAsia="宋体"/>
                <w:color w:val="auto"/>
                <w:sz w:val="24"/>
                <w:highlight w:val="none"/>
                <w:u w:val="none" w:color="auto"/>
                <w:lang w:val="en-US" w:eastAsia="zh-CN"/>
              </w:rPr>
              <w:t>入永州经开区工业污水处理厂可行性</w:t>
            </w:r>
            <w:r>
              <w:rPr>
                <w:rFonts w:hint="eastAsia"/>
                <w:color w:val="auto"/>
                <w:sz w:val="24"/>
                <w:highlight w:val="none"/>
                <w:u w:val="none" w:color="auto"/>
                <w:lang w:val="en-US" w:eastAsia="zh-CN"/>
              </w:rPr>
              <w:t>分析</w:t>
            </w:r>
          </w:p>
          <w:p w14:paraId="7DBDFD9A">
            <w:pPr>
              <w:spacing w:line="360" w:lineRule="auto"/>
              <w:ind w:firstLine="480" w:firstLineChars="200"/>
              <w:rPr>
                <w:color w:val="auto"/>
                <w:sz w:val="24"/>
                <w:highlight w:val="none"/>
                <w:u w:val="none" w:color="auto"/>
                <w:lang w:bidi="ar"/>
              </w:rPr>
            </w:pPr>
            <w:r>
              <w:rPr>
                <w:rFonts w:hint="eastAsia" w:eastAsia="宋体"/>
                <w:color w:val="auto"/>
                <w:sz w:val="24"/>
                <w:highlight w:val="none"/>
                <w:u w:val="none" w:color="auto"/>
              </w:rPr>
              <w:t>永州经开区工业污水处理厂位于永州经开区长丰工业园城南大道以北兴盛路以东，由永州天然植物高技术开发投资有限公司承建并运营，一期规划用地面积为10.8亩。采用“格栅+事故池+初沉池+横向多级AO-竖向AAO的生态组合处理系统（含沉淀区）+臭氧池+BAF+转盘滤池+接触消毒”工艺处理永州植物提取产业基地（长丰C片区）内的工业废水及一般生活用水。工业污水厂一期工程设计规模5000吨/日，出水水质执行</w:t>
            </w:r>
            <w:r>
              <w:rPr>
                <w:rFonts w:eastAsia="宋体"/>
                <w:color w:val="auto"/>
                <w:sz w:val="24"/>
                <w:highlight w:val="none"/>
                <w:u w:val="none" w:color="auto"/>
              </w:rPr>
              <w:t>《中药类制药工业水污染物排放标准》（GB 21906 2008）新建企业排放限值、《提取类制药工业水污染物排放标准》（GB 21905 2008）新建企业排放限值、《城镇污水处理厂污染物排放标准》（GB18918- 2002）一级A排放标准中的较严者控制</w:t>
            </w:r>
            <w:r>
              <w:rPr>
                <w:rFonts w:hint="eastAsia" w:eastAsia="宋体"/>
                <w:color w:val="auto"/>
                <w:sz w:val="24"/>
                <w:highlight w:val="none"/>
                <w:u w:val="none" w:color="auto"/>
              </w:rPr>
              <w:t>。</w:t>
            </w:r>
            <w:r>
              <w:rPr>
                <w:color w:val="auto"/>
                <w:sz w:val="24"/>
                <w:highlight w:val="none"/>
                <w:u w:val="none" w:color="auto"/>
              </w:rPr>
              <w:t>本项目位于</w:t>
            </w:r>
            <w:r>
              <w:rPr>
                <w:rFonts w:hint="eastAsia"/>
                <w:color w:val="auto"/>
                <w:sz w:val="24"/>
                <w:szCs w:val="24"/>
                <w:highlight w:val="none"/>
                <w:u w:val="none" w:color="auto"/>
                <w:shd w:val="clear" w:color="auto" w:fill="FFFFFF"/>
              </w:rPr>
              <w:t>永州经济技术开发区智能装备产业园标准厂11栋</w:t>
            </w:r>
            <w:r>
              <w:rPr>
                <w:color w:val="auto"/>
                <w:sz w:val="24"/>
                <w:highlight w:val="none"/>
                <w:u w:val="none" w:color="auto"/>
              </w:rPr>
              <w:t>，属于永州市</w:t>
            </w:r>
            <w:r>
              <w:rPr>
                <w:rFonts w:hint="eastAsia"/>
                <w:color w:val="auto"/>
                <w:sz w:val="24"/>
                <w:highlight w:val="none"/>
                <w:u w:val="none" w:color="auto"/>
                <w:lang w:val="en-US" w:eastAsia="zh-CN"/>
              </w:rPr>
              <w:t>经开区工业</w:t>
            </w:r>
            <w:r>
              <w:rPr>
                <w:color w:val="auto"/>
                <w:sz w:val="24"/>
                <w:highlight w:val="none"/>
                <w:u w:val="none" w:color="auto"/>
              </w:rPr>
              <w:t>污水处理厂纳污范围内，且项目排放的废水主要为生活污水，废水水质简单，</w:t>
            </w:r>
            <w:r>
              <w:rPr>
                <w:color w:val="auto"/>
                <w:sz w:val="24"/>
                <w:szCs w:val="24"/>
                <w:highlight w:val="none"/>
                <w:u w:val="none" w:color="auto"/>
              </w:rPr>
              <w:t>废水量为</w:t>
            </w:r>
            <w:r>
              <w:rPr>
                <w:rFonts w:hint="eastAsia" w:ascii="Times New Roman" w:hAnsi="宋体" w:eastAsia="宋体" w:cs="Times New Roman"/>
                <w:color w:val="auto"/>
                <w:sz w:val="24"/>
                <w:szCs w:val="24"/>
                <w:highlight w:val="none"/>
                <w:u w:val="none" w:color="auto"/>
                <w:lang w:val="en-US" w:eastAsia="zh-CN"/>
              </w:rPr>
              <w:t>1</w:t>
            </w:r>
            <w:r>
              <w:rPr>
                <w:rFonts w:hint="eastAsia" w:hAnsi="宋体" w:cs="Times New Roman"/>
                <w:color w:val="auto"/>
                <w:sz w:val="24"/>
                <w:szCs w:val="24"/>
                <w:highlight w:val="none"/>
                <w:u w:val="none" w:color="auto"/>
                <w:lang w:val="en-US" w:eastAsia="zh-CN"/>
              </w:rPr>
              <w:t>200</w:t>
            </w:r>
            <w:r>
              <w:rPr>
                <w:color w:val="auto"/>
                <w:sz w:val="24"/>
                <w:szCs w:val="24"/>
                <w:highlight w:val="none"/>
                <w:u w:val="none" w:color="auto"/>
              </w:rPr>
              <w:t>m</w:t>
            </w:r>
            <w:r>
              <w:rPr>
                <w:color w:val="auto"/>
                <w:sz w:val="24"/>
                <w:szCs w:val="24"/>
                <w:highlight w:val="none"/>
                <w:u w:val="none" w:color="auto"/>
                <w:vertAlign w:val="superscript"/>
              </w:rPr>
              <w:t>3</w:t>
            </w:r>
            <w:r>
              <w:rPr>
                <w:color w:val="auto"/>
                <w:sz w:val="24"/>
                <w:szCs w:val="24"/>
                <w:highlight w:val="none"/>
                <w:u w:val="none" w:color="auto"/>
              </w:rPr>
              <w:t>/a，</w:t>
            </w:r>
            <w:r>
              <w:rPr>
                <w:color w:val="auto"/>
                <w:sz w:val="24"/>
                <w:highlight w:val="none"/>
                <w:u w:val="none" w:color="auto"/>
              </w:rPr>
              <w:t>所占比例较小</w:t>
            </w:r>
            <w:r>
              <w:rPr>
                <w:rFonts w:hint="eastAsia"/>
                <w:color w:val="auto"/>
                <w:sz w:val="24"/>
                <w:highlight w:val="none"/>
                <w:u w:val="none" w:color="auto"/>
                <w:lang w:eastAsia="zh-CN"/>
              </w:rPr>
              <w:t>。</w:t>
            </w:r>
            <w:r>
              <w:rPr>
                <w:color w:val="auto"/>
                <w:sz w:val="24"/>
                <w:highlight w:val="none"/>
                <w:u w:val="none" w:color="auto"/>
              </w:rPr>
              <w:t>生活废水经厂区</w:t>
            </w:r>
            <w:r>
              <w:rPr>
                <w:rFonts w:hint="eastAsia"/>
                <w:color w:val="auto"/>
                <w:sz w:val="24"/>
                <w:highlight w:val="none"/>
                <w:u w:val="none" w:color="auto"/>
              </w:rPr>
              <w:t>化粪池</w:t>
            </w:r>
            <w:r>
              <w:rPr>
                <w:color w:val="auto"/>
                <w:sz w:val="24"/>
                <w:highlight w:val="none"/>
                <w:u w:val="none" w:color="auto"/>
              </w:rPr>
              <w:t>处理设施处理后可达到</w:t>
            </w:r>
            <w:r>
              <w:rPr>
                <w:rFonts w:hint="eastAsia"/>
                <w:color w:val="auto"/>
                <w:sz w:val="24"/>
                <w:highlight w:val="none"/>
                <w:u w:val="none" w:color="auto"/>
                <w:lang w:val="en-US" w:eastAsia="zh-CN"/>
              </w:rPr>
              <w:t>排放标准</w:t>
            </w:r>
            <w:r>
              <w:rPr>
                <w:color w:val="auto"/>
                <w:sz w:val="24"/>
                <w:highlight w:val="none"/>
                <w:u w:val="none" w:color="auto"/>
              </w:rPr>
              <w:t>，可就近排市政污水管网，进入</w:t>
            </w:r>
            <w:r>
              <w:rPr>
                <w:rFonts w:hint="eastAsia" w:eastAsia="宋体"/>
                <w:color w:val="auto"/>
                <w:sz w:val="24"/>
                <w:highlight w:val="none"/>
                <w:u w:val="none" w:color="auto"/>
              </w:rPr>
              <w:t>永州经开区工业污水处理厂</w:t>
            </w:r>
            <w:r>
              <w:rPr>
                <w:color w:val="auto"/>
                <w:sz w:val="24"/>
                <w:highlight w:val="none"/>
                <w:u w:val="none" w:color="auto"/>
              </w:rPr>
              <w:t>，因此本项目外排废水进入</w:t>
            </w:r>
            <w:r>
              <w:rPr>
                <w:rFonts w:hint="eastAsia" w:eastAsia="宋体"/>
                <w:color w:val="auto"/>
                <w:sz w:val="24"/>
                <w:highlight w:val="none"/>
                <w:u w:val="none" w:color="auto"/>
              </w:rPr>
              <w:t>永州经开区工业污水处理厂</w:t>
            </w:r>
            <w:r>
              <w:rPr>
                <w:color w:val="auto"/>
                <w:sz w:val="24"/>
                <w:highlight w:val="none"/>
                <w:u w:val="none" w:color="auto"/>
              </w:rPr>
              <w:t>可行，且对</w:t>
            </w:r>
            <w:r>
              <w:rPr>
                <w:rFonts w:hint="eastAsia" w:eastAsia="宋体"/>
                <w:color w:val="auto"/>
                <w:sz w:val="24"/>
                <w:highlight w:val="none"/>
                <w:u w:val="none" w:color="auto"/>
              </w:rPr>
              <w:t>永州经开区工业污水处理厂</w:t>
            </w:r>
            <w:r>
              <w:rPr>
                <w:color w:val="auto"/>
                <w:sz w:val="24"/>
                <w:highlight w:val="none"/>
                <w:u w:val="none" w:color="auto"/>
              </w:rPr>
              <w:t>的水质和水量不会产生冲击影响。</w:t>
            </w:r>
            <w:r>
              <w:rPr>
                <w:rFonts w:hint="eastAsia" w:eastAsia="宋体"/>
                <w:color w:val="auto"/>
                <w:sz w:val="24"/>
                <w:highlight w:val="none"/>
                <w:u w:val="none" w:color="auto"/>
              </w:rPr>
              <w:t>永州经开区工业污水处理厂</w:t>
            </w:r>
            <w:r>
              <w:rPr>
                <w:color w:val="auto"/>
                <w:sz w:val="24"/>
                <w:highlight w:val="none"/>
                <w:u w:val="none" w:color="auto"/>
                <w:lang w:bidi="ar"/>
              </w:rPr>
              <w:t>是用于处理城市生活污水和工业污水的，其处理工艺能有效处理本项目产生的废水。</w:t>
            </w:r>
          </w:p>
          <w:p w14:paraId="212499F9">
            <w:pPr>
              <w:pStyle w:val="10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val="0"/>
                <w:color w:val="auto"/>
                <w:kern w:val="0"/>
                <w:lang w:val="en-US" w:eastAsia="zh-CN"/>
              </w:rPr>
            </w:pPr>
            <w:r>
              <w:rPr>
                <w:rFonts w:hint="eastAsia" w:ascii="Times New Roman" w:hAnsi="Times New Roman" w:eastAsia="宋体" w:cs="Times New Roman"/>
                <w:b/>
                <w:bCs w:val="0"/>
                <w:color w:val="auto"/>
                <w:kern w:val="0"/>
                <w:lang w:val="en-US" w:eastAsia="zh-CN"/>
              </w:rPr>
              <w:t>（4）废水污染源监测计划</w:t>
            </w:r>
          </w:p>
          <w:p w14:paraId="6CEF8304">
            <w:pPr>
              <w:pStyle w:val="10"/>
              <w:ind w:firstLine="480" w:firstLineChars="200"/>
              <w:rPr>
                <w:rFonts w:hint="default"/>
                <w:lang w:val="en-US"/>
              </w:rPr>
            </w:pPr>
            <w:r>
              <w:rPr>
                <w:rFonts w:hint="eastAsia" w:ascii="Times New Roman" w:hAnsi="Times New Roman" w:eastAsia="宋体" w:cs="Times New Roman"/>
                <w:b w:val="0"/>
                <w:bCs/>
                <w:color w:val="auto"/>
                <w:kern w:val="0"/>
                <w:lang w:val="en-US" w:eastAsia="zh-CN"/>
              </w:rPr>
              <w:t>根据《排污单位自行监测技术指南 总则》（HJ819-2017）、《排污许可证申请与核发技术规范 电子工业》（HJ 1031-2019）中规定监测内容和频次，其中单独排入城镇集中污水处理设施的生活污水无需监测。</w:t>
            </w:r>
          </w:p>
          <w:p w14:paraId="1CD0C8EA">
            <w:pPr>
              <w:keepNext w:val="0"/>
              <w:keepLines w:val="0"/>
              <w:pageBreakBefore w:val="0"/>
              <w:widowControl w:val="0"/>
              <w:suppressLineNumbers w:val="0"/>
              <w:tabs>
                <w:tab w:val="left" w:pos="1440"/>
                <w:tab w:val="left" w:pos="1800"/>
              </w:tabs>
              <w:kinsoku/>
              <w:wordWrap/>
              <w:overflowPunct/>
              <w:topLinePunct w:val="0"/>
              <w:autoSpaceDE/>
              <w:autoSpaceDN/>
              <w:bidi w:val="0"/>
              <w:adjustRightInd w:val="0"/>
              <w:snapToGrid/>
              <w:spacing w:before="0" w:beforeAutospacing="0" w:after="0" w:afterAutospacing="0" w:line="360" w:lineRule="auto"/>
              <w:ind w:right="0" w:firstLine="562" w:firstLineChars="200"/>
              <w:textAlignment w:val="auto"/>
              <w:rPr>
                <w:rFonts w:hint="default" w:ascii="Times New Roman" w:hAnsi="Times New Roman" w:cs="Times New Roman"/>
                <w:b/>
                <w:bCs/>
                <w:color w:val="auto"/>
                <w:sz w:val="24"/>
                <w:highlight w:val="none"/>
                <w:u w:val="none" w:color="auto"/>
              </w:rPr>
            </w:pPr>
            <w:r>
              <w:rPr>
                <w:rFonts w:hint="eastAsia"/>
                <w:b/>
                <w:bCs/>
                <w:color w:val="auto"/>
                <w:sz w:val="28"/>
                <w:szCs w:val="28"/>
                <w:highlight w:val="none"/>
                <w:u w:val="none" w:color="auto"/>
                <w:lang w:val="en-US" w:eastAsia="zh-CN"/>
              </w:rPr>
              <w:t>3</w:t>
            </w:r>
            <w:r>
              <w:rPr>
                <w:rFonts w:hint="eastAsia"/>
                <w:b/>
                <w:bCs/>
                <w:color w:val="auto"/>
                <w:sz w:val="28"/>
                <w:szCs w:val="28"/>
                <w:highlight w:val="none"/>
                <w:u w:val="none" w:color="auto"/>
              </w:rPr>
              <w:t>、</w:t>
            </w:r>
            <w:r>
              <w:rPr>
                <w:rFonts w:hint="default" w:ascii="Times New Roman" w:hAnsi="Times New Roman" w:cs="Times New Roman"/>
                <w:b/>
                <w:bCs/>
                <w:color w:val="auto"/>
                <w:sz w:val="24"/>
                <w:highlight w:val="none"/>
                <w:u w:val="none" w:color="auto"/>
              </w:rPr>
              <w:t>地下水、土壤</w:t>
            </w:r>
          </w:p>
          <w:p w14:paraId="130FB7AB">
            <w:pPr>
              <w:snapToGrid w:val="0"/>
              <w:spacing w:line="360" w:lineRule="auto"/>
              <w:ind w:firstLine="480" w:firstLineChars="200"/>
              <w:rPr>
                <w:rFonts w:ascii="Times New Roman" w:hAnsi="Times New Roman" w:cs="Times New Roman"/>
                <w:bCs/>
                <w:color w:val="auto"/>
                <w:sz w:val="24"/>
                <w:highlight w:val="none"/>
                <w:u w:val="none" w:color="auto"/>
              </w:rPr>
            </w:pPr>
            <w:r>
              <w:rPr>
                <w:rFonts w:ascii="Times New Roman" w:hAnsi="Times New Roman" w:cs="Times New Roman"/>
                <w:bCs/>
                <w:color w:val="auto"/>
                <w:sz w:val="24"/>
                <w:highlight w:val="none"/>
                <w:u w:val="none" w:color="auto"/>
              </w:rPr>
              <w:t>本项目污染物环境影响途径</w:t>
            </w:r>
            <w:r>
              <w:rPr>
                <w:rFonts w:hint="eastAsia" w:ascii="Times New Roman" w:hAnsi="Times New Roman" w:eastAsia="宋体" w:cs="Times New Roman"/>
                <w:bCs/>
                <w:color w:val="auto"/>
                <w:sz w:val="24"/>
                <w:highlight w:val="none"/>
                <w:u w:val="none" w:color="auto"/>
                <w:lang w:val="en-US" w:eastAsia="zh-CN"/>
              </w:rPr>
              <w:t>主要包括脱模剂、润滑剂、离型剂、空压机油、液压油等原辅材料存放区</w:t>
            </w:r>
            <w:r>
              <w:rPr>
                <w:rFonts w:hint="default" w:ascii="Times New Roman" w:hAnsi="Times New Roman" w:eastAsia="宋体" w:cs="Times New Roman"/>
                <w:bCs/>
                <w:color w:val="auto"/>
                <w:sz w:val="24"/>
                <w:highlight w:val="none"/>
                <w:u w:val="none" w:color="auto"/>
                <w:lang w:val="en-US" w:eastAsia="zh-CN"/>
              </w:rPr>
              <w:t>、</w:t>
            </w:r>
            <w:r>
              <w:rPr>
                <w:rFonts w:hint="eastAsia" w:ascii="Times New Roman" w:hAnsi="Times New Roman" w:eastAsia="宋体" w:cs="Times New Roman"/>
                <w:bCs/>
                <w:color w:val="auto"/>
                <w:sz w:val="24"/>
                <w:highlight w:val="none"/>
                <w:u w:val="none" w:color="auto"/>
                <w:lang w:val="en-US" w:eastAsia="zh-CN"/>
              </w:rPr>
              <w:t>危废</w:t>
            </w:r>
            <w:r>
              <w:rPr>
                <w:rFonts w:hint="default" w:ascii="Times New Roman" w:hAnsi="Times New Roman" w:eastAsia="宋体" w:cs="Times New Roman"/>
                <w:bCs/>
                <w:color w:val="auto"/>
                <w:sz w:val="24"/>
                <w:highlight w:val="none"/>
                <w:u w:val="none" w:color="auto"/>
                <w:lang w:val="en-US" w:eastAsia="zh-CN"/>
              </w:rPr>
              <w:t>暂</w:t>
            </w:r>
            <w:r>
              <w:rPr>
                <w:rFonts w:hint="default" w:ascii="Times New Roman" w:hAnsi="Times New Roman" w:cs="Times New Roman"/>
                <w:bCs/>
                <w:color w:val="auto"/>
                <w:sz w:val="24"/>
                <w:highlight w:val="none"/>
                <w:u w:val="none" w:color="auto"/>
                <w:lang w:val="en-US" w:eastAsia="zh-CN"/>
              </w:rPr>
              <w:t>存</w:t>
            </w:r>
            <w:r>
              <w:rPr>
                <w:rFonts w:ascii="Times New Roman" w:hAnsi="Times New Roman" w:cs="Times New Roman"/>
                <w:bCs/>
                <w:color w:val="auto"/>
                <w:sz w:val="24"/>
                <w:highlight w:val="none"/>
                <w:u w:val="none" w:color="auto"/>
              </w:rPr>
              <w:t>间防渗措施不到位，发生事故泄漏时可能直接渗入到泄漏区域附近的土壤中，进而污染地下水</w:t>
            </w:r>
            <w:r>
              <w:rPr>
                <w:rFonts w:hint="default" w:ascii="Times New Roman" w:hAnsi="Times New Roman" w:cs="Times New Roman"/>
                <w:bCs/>
                <w:color w:val="auto"/>
                <w:sz w:val="24"/>
                <w:highlight w:val="none"/>
                <w:u w:val="none" w:color="auto"/>
                <w:lang w:eastAsia="zh-CN"/>
              </w:rPr>
              <w:t>，</w:t>
            </w:r>
            <w:r>
              <w:rPr>
                <w:rFonts w:ascii="Times New Roman" w:hAnsi="Times New Roman" w:cs="Times New Roman"/>
                <w:bCs/>
                <w:color w:val="auto"/>
                <w:sz w:val="24"/>
                <w:highlight w:val="none"/>
                <w:u w:val="none" w:color="auto"/>
              </w:rPr>
              <w:t>因此将厂区进行分区防渗。</w:t>
            </w:r>
          </w:p>
          <w:p w14:paraId="72385594">
            <w:pPr>
              <w:snapToGrid w:val="0"/>
              <w:spacing w:line="360" w:lineRule="auto"/>
              <w:ind w:firstLine="480" w:firstLineChars="200"/>
              <w:rPr>
                <w:rFonts w:ascii="Times New Roman" w:hAnsi="Times New Roman" w:cs="Times New Roman"/>
                <w:bCs/>
                <w:color w:val="auto"/>
                <w:sz w:val="24"/>
                <w:highlight w:val="none"/>
                <w:u w:val="none" w:color="auto"/>
              </w:rPr>
            </w:pPr>
            <w:r>
              <w:rPr>
                <w:rFonts w:ascii="Times New Roman" w:hAnsi="Times New Roman" w:cs="Times New Roman"/>
                <w:bCs/>
                <w:color w:val="auto"/>
                <w:sz w:val="24"/>
                <w:highlight w:val="none"/>
                <w:u w:val="none" w:color="auto"/>
              </w:rPr>
              <w:t>将</w:t>
            </w:r>
            <w:r>
              <w:rPr>
                <w:rFonts w:hint="default" w:ascii="Times New Roman" w:hAnsi="Times New Roman" w:cs="Times New Roman"/>
                <w:bCs/>
                <w:color w:val="auto"/>
                <w:sz w:val="24"/>
                <w:highlight w:val="none"/>
                <w:u w:val="none" w:color="auto"/>
                <w:lang w:val="en-US" w:eastAsia="zh-CN"/>
              </w:rPr>
              <w:t>标准</w:t>
            </w:r>
            <w:r>
              <w:rPr>
                <w:rFonts w:ascii="Times New Roman" w:hAnsi="Times New Roman" w:cs="Times New Roman"/>
                <w:bCs/>
                <w:color w:val="auto"/>
                <w:sz w:val="24"/>
                <w:highlight w:val="none"/>
                <w:u w:val="none" w:color="auto"/>
              </w:rPr>
              <w:t>厂</w:t>
            </w:r>
            <w:r>
              <w:rPr>
                <w:rFonts w:hint="default" w:ascii="Times New Roman" w:hAnsi="Times New Roman" w:cs="Times New Roman"/>
                <w:bCs/>
                <w:color w:val="auto"/>
                <w:sz w:val="24"/>
                <w:highlight w:val="none"/>
                <w:u w:val="none" w:color="auto"/>
                <w:lang w:val="en-US" w:eastAsia="zh-CN"/>
              </w:rPr>
              <w:t>房</w:t>
            </w:r>
            <w:r>
              <w:rPr>
                <w:rFonts w:ascii="Times New Roman" w:hAnsi="Times New Roman" w:cs="Times New Roman"/>
                <w:bCs/>
                <w:color w:val="auto"/>
                <w:sz w:val="24"/>
                <w:highlight w:val="none"/>
                <w:u w:val="none" w:color="auto"/>
              </w:rPr>
              <w:t>内</w:t>
            </w:r>
            <w:r>
              <w:rPr>
                <w:rFonts w:hint="eastAsia" w:ascii="Times New Roman" w:hAnsi="Times New Roman" w:eastAsia="宋体" w:cs="Times New Roman"/>
                <w:bCs/>
                <w:color w:val="auto"/>
                <w:sz w:val="24"/>
                <w:highlight w:val="none"/>
                <w:u w:val="none" w:color="auto"/>
                <w:lang w:val="en-US" w:eastAsia="zh-CN"/>
              </w:rPr>
              <w:t>脱模剂、润滑剂、离型剂、空压机油、液压油</w:t>
            </w:r>
            <w:r>
              <w:rPr>
                <w:rFonts w:hint="eastAsia" w:ascii="Times New Roman" w:hAnsi="Times New Roman" w:cs="Times New Roman"/>
                <w:bCs/>
                <w:color w:val="auto"/>
                <w:sz w:val="24"/>
                <w:highlight w:val="none"/>
                <w:u w:val="none" w:color="auto"/>
                <w:lang w:val="en-US" w:eastAsia="zh-CN"/>
              </w:rPr>
              <w:t>等原辅材料</w:t>
            </w:r>
            <w:r>
              <w:rPr>
                <w:rFonts w:hint="default" w:ascii="Times New Roman" w:hAnsi="Times New Roman" w:cs="Times New Roman"/>
                <w:bCs/>
                <w:color w:val="auto"/>
                <w:sz w:val="24"/>
                <w:highlight w:val="none"/>
                <w:u w:val="none" w:color="auto"/>
                <w:lang w:val="en-US" w:eastAsia="zh-CN"/>
              </w:rPr>
              <w:t>存放区、</w:t>
            </w:r>
            <w:r>
              <w:rPr>
                <w:rFonts w:ascii="Times New Roman" w:hAnsi="Times New Roman" w:cs="Times New Roman"/>
                <w:bCs/>
                <w:color w:val="auto"/>
                <w:sz w:val="24"/>
                <w:highlight w:val="none"/>
                <w:u w:val="none" w:color="auto"/>
              </w:rPr>
              <w:t>危废</w:t>
            </w:r>
            <w:r>
              <w:rPr>
                <w:rFonts w:hint="default" w:ascii="Times New Roman" w:hAnsi="Times New Roman" w:cs="Times New Roman"/>
                <w:bCs/>
                <w:color w:val="auto"/>
                <w:sz w:val="24"/>
                <w:highlight w:val="none"/>
                <w:u w:val="none" w:color="auto"/>
                <w:lang w:val="en-US" w:eastAsia="zh-CN"/>
              </w:rPr>
              <w:t>暂存</w:t>
            </w:r>
            <w:r>
              <w:rPr>
                <w:rFonts w:ascii="Times New Roman" w:hAnsi="Times New Roman" w:cs="Times New Roman"/>
                <w:bCs/>
                <w:color w:val="auto"/>
                <w:sz w:val="24"/>
                <w:highlight w:val="none"/>
                <w:u w:val="none" w:color="auto"/>
              </w:rPr>
              <w:t>间根据重点防渗的路面进行涂层及水泥混合防渗。同时应将各种物料和废料贮存在可以防风、防雨、防渗透、防泄漏的设施内，避免雨水直接接触物料</w:t>
            </w:r>
            <w:r>
              <w:rPr>
                <w:rFonts w:hint="default" w:ascii="Times New Roman" w:hAnsi="Times New Roman" w:cs="Times New Roman"/>
                <w:bCs/>
                <w:color w:val="auto"/>
                <w:sz w:val="24"/>
                <w:highlight w:val="none"/>
                <w:u w:val="none" w:color="auto"/>
                <w:lang w:eastAsia="zh-CN"/>
              </w:rPr>
              <w:t>，</w:t>
            </w:r>
            <w:r>
              <w:rPr>
                <w:rFonts w:ascii="Times New Roman" w:hAnsi="Times New Roman" w:cs="Times New Roman"/>
                <w:bCs/>
                <w:color w:val="auto"/>
                <w:sz w:val="24"/>
                <w:highlight w:val="none"/>
                <w:u w:val="none" w:color="auto"/>
              </w:rPr>
              <w:t>避免污染物的跑、冒、滴、漏污染地下水及土壤。</w:t>
            </w:r>
          </w:p>
          <w:p w14:paraId="2E9494A6">
            <w:pPr>
              <w:snapToGrid w:val="0"/>
              <w:spacing w:line="360" w:lineRule="auto"/>
              <w:ind w:firstLine="480" w:firstLineChars="200"/>
              <w:rPr>
                <w:rFonts w:ascii="Times New Roman" w:hAnsi="Times New Roman" w:cs="Times New Roman"/>
                <w:bCs/>
                <w:color w:val="auto"/>
                <w:sz w:val="24"/>
                <w:highlight w:val="none"/>
                <w:u w:val="none" w:color="auto"/>
              </w:rPr>
            </w:pPr>
            <w:r>
              <w:rPr>
                <w:rFonts w:ascii="Times New Roman" w:hAnsi="Times New Roman" w:cs="Times New Roman"/>
                <w:bCs/>
                <w:color w:val="auto"/>
                <w:sz w:val="24"/>
                <w:highlight w:val="none"/>
                <w:u w:val="none" w:color="auto"/>
              </w:rPr>
              <w:t>建设单位需做好</w:t>
            </w:r>
            <w:r>
              <w:rPr>
                <w:rFonts w:hint="default" w:ascii="Times New Roman" w:hAnsi="Times New Roman" w:cs="Times New Roman"/>
                <w:bCs/>
                <w:color w:val="auto"/>
                <w:sz w:val="24"/>
                <w:highlight w:val="none"/>
                <w:u w:val="none" w:color="auto"/>
                <w:lang w:val="en-US" w:eastAsia="zh-CN"/>
              </w:rPr>
              <w:t>标准</w:t>
            </w:r>
            <w:r>
              <w:rPr>
                <w:rFonts w:ascii="Times New Roman" w:hAnsi="Times New Roman" w:cs="Times New Roman"/>
                <w:bCs/>
                <w:color w:val="auto"/>
                <w:sz w:val="24"/>
                <w:highlight w:val="none"/>
                <w:u w:val="none" w:color="auto"/>
              </w:rPr>
              <w:t>厂</w:t>
            </w:r>
            <w:r>
              <w:rPr>
                <w:rFonts w:hint="default" w:ascii="Times New Roman" w:hAnsi="Times New Roman" w:cs="Times New Roman"/>
                <w:bCs/>
                <w:color w:val="auto"/>
                <w:sz w:val="24"/>
                <w:highlight w:val="none"/>
                <w:u w:val="none" w:color="auto"/>
                <w:lang w:val="en-US" w:eastAsia="zh-CN"/>
              </w:rPr>
              <w:t>房</w:t>
            </w:r>
            <w:r>
              <w:rPr>
                <w:rFonts w:ascii="Times New Roman" w:hAnsi="Times New Roman" w:cs="Times New Roman"/>
                <w:bCs/>
                <w:color w:val="auto"/>
                <w:sz w:val="24"/>
                <w:highlight w:val="none"/>
                <w:u w:val="none" w:color="auto"/>
              </w:rPr>
              <w:t>内</w:t>
            </w:r>
            <w:r>
              <w:rPr>
                <w:rFonts w:hint="eastAsia" w:ascii="Times New Roman" w:hAnsi="Times New Roman" w:eastAsia="宋体" w:cs="Times New Roman"/>
                <w:bCs/>
                <w:color w:val="auto"/>
                <w:sz w:val="24"/>
                <w:highlight w:val="none"/>
                <w:u w:val="none" w:color="auto"/>
                <w:lang w:val="en-US" w:eastAsia="zh-CN"/>
              </w:rPr>
              <w:t>脱模剂、润滑剂、离型剂、空压机油、液压油</w:t>
            </w:r>
            <w:r>
              <w:rPr>
                <w:rFonts w:hint="eastAsia" w:ascii="Times New Roman" w:hAnsi="Times New Roman" w:cs="Times New Roman"/>
                <w:bCs/>
                <w:color w:val="auto"/>
                <w:sz w:val="24"/>
                <w:highlight w:val="none"/>
                <w:u w:val="none" w:color="auto"/>
                <w:lang w:val="en-US" w:eastAsia="zh-CN"/>
              </w:rPr>
              <w:t>等原辅材料</w:t>
            </w:r>
            <w:r>
              <w:rPr>
                <w:rFonts w:hint="default" w:ascii="Times New Roman" w:hAnsi="Times New Roman" w:cs="Times New Roman"/>
                <w:bCs/>
                <w:color w:val="auto"/>
                <w:sz w:val="24"/>
                <w:highlight w:val="none"/>
                <w:u w:val="none" w:color="auto"/>
                <w:lang w:val="en-US" w:eastAsia="zh-CN"/>
              </w:rPr>
              <w:t>存放区、</w:t>
            </w:r>
            <w:r>
              <w:rPr>
                <w:rFonts w:ascii="Times New Roman" w:hAnsi="Times New Roman" w:cs="Times New Roman"/>
                <w:bCs/>
                <w:color w:val="auto"/>
                <w:sz w:val="24"/>
                <w:highlight w:val="none"/>
                <w:u w:val="none" w:color="auto"/>
              </w:rPr>
              <w:t>危废</w:t>
            </w:r>
            <w:r>
              <w:rPr>
                <w:rFonts w:hint="default" w:ascii="Times New Roman" w:hAnsi="Times New Roman" w:cs="Times New Roman"/>
                <w:bCs/>
                <w:color w:val="auto"/>
                <w:sz w:val="24"/>
                <w:highlight w:val="none"/>
                <w:u w:val="none" w:color="auto"/>
                <w:lang w:val="en-US" w:eastAsia="zh-CN"/>
              </w:rPr>
              <w:t>暂存</w:t>
            </w:r>
            <w:r>
              <w:rPr>
                <w:rFonts w:ascii="Times New Roman" w:hAnsi="Times New Roman" w:cs="Times New Roman"/>
                <w:bCs/>
                <w:color w:val="auto"/>
                <w:sz w:val="24"/>
                <w:highlight w:val="none"/>
                <w:u w:val="none" w:color="auto"/>
              </w:rPr>
              <w:t>间的防渗工作，有效防止</w:t>
            </w:r>
            <w:r>
              <w:rPr>
                <w:rFonts w:hint="default" w:ascii="Times New Roman" w:hAnsi="Times New Roman" w:cs="Times New Roman"/>
                <w:bCs/>
                <w:color w:val="auto"/>
                <w:sz w:val="24"/>
                <w:highlight w:val="none"/>
                <w:u w:val="none" w:color="auto"/>
                <w:lang w:val="en-US" w:eastAsia="zh-CN"/>
              </w:rPr>
              <w:t>化学品、</w:t>
            </w:r>
            <w:r>
              <w:rPr>
                <w:rFonts w:hint="default" w:ascii="Times New Roman" w:hAnsi="Times New Roman" w:cs="Times New Roman"/>
                <w:bCs/>
                <w:color w:val="auto"/>
                <w:sz w:val="24"/>
                <w:highlight w:val="none"/>
                <w:u w:val="none" w:color="auto"/>
              </w:rPr>
              <w:t>危险废物</w:t>
            </w:r>
            <w:r>
              <w:rPr>
                <w:rFonts w:hint="eastAsia" w:cs="Times New Roman"/>
                <w:bCs/>
                <w:color w:val="auto"/>
                <w:sz w:val="24"/>
                <w:highlight w:val="none"/>
                <w:u w:val="none" w:color="auto"/>
                <w:lang w:eastAsia="zh-CN"/>
              </w:rPr>
              <w:t>泄漏</w:t>
            </w:r>
            <w:r>
              <w:rPr>
                <w:rFonts w:ascii="Times New Roman" w:hAnsi="Times New Roman" w:cs="Times New Roman"/>
                <w:bCs/>
                <w:color w:val="auto"/>
                <w:sz w:val="24"/>
                <w:highlight w:val="none"/>
                <w:u w:val="none" w:color="auto"/>
              </w:rPr>
              <w:t>污染，降低本项目对地下水环境的影响。</w:t>
            </w:r>
          </w:p>
          <w:p w14:paraId="0CD1C91E">
            <w:pPr>
              <w:pStyle w:val="3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ascii="Times New Roman" w:hAnsi="Times New Roman" w:cs="Times New Roman"/>
                <w:bCs/>
                <w:color w:val="auto"/>
                <w:sz w:val="24"/>
                <w:highlight w:val="none"/>
                <w:u w:val="none" w:color="auto"/>
              </w:rPr>
            </w:pPr>
            <w:r>
              <w:rPr>
                <w:rFonts w:ascii="Times New Roman" w:hAnsi="Times New Roman" w:cs="Times New Roman"/>
                <w:bCs/>
                <w:color w:val="auto"/>
                <w:sz w:val="24"/>
                <w:highlight w:val="none"/>
                <w:u w:val="none" w:color="auto"/>
              </w:rPr>
              <w:t>按照分区防渗的要求，本项目提出以下分区防渗要求见表4-</w:t>
            </w:r>
            <w:r>
              <w:rPr>
                <w:rFonts w:hint="eastAsia" w:cs="Times New Roman"/>
                <w:bCs/>
                <w:color w:val="auto"/>
                <w:sz w:val="24"/>
                <w:highlight w:val="none"/>
                <w:u w:val="none" w:color="auto"/>
                <w:lang w:val="en-US" w:eastAsia="zh-CN"/>
              </w:rPr>
              <w:t>3</w:t>
            </w:r>
            <w:r>
              <w:rPr>
                <w:rFonts w:ascii="Times New Roman" w:hAnsi="Times New Roman" w:cs="Times New Roman"/>
                <w:bCs/>
                <w:color w:val="auto"/>
                <w:sz w:val="24"/>
                <w:highlight w:val="none"/>
                <w:u w:val="none" w:color="auto"/>
              </w:rPr>
              <w:t>。</w:t>
            </w:r>
          </w:p>
          <w:p w14:paraId="030EA285">
            <w:pPr>
              <w:jc w:val="center"/>
              <w:rPr>
                <w:rFonts w:ascii="Times New Roman" w:hAnsi="Times New Roman" w:cs="Times New Roman"/>
                <w:b/>
                <w:color w:val="auto"/>
                <w:sz w:val="21"/>
                <w:szCs w:val="21"/>
                <w:highlight w:val="none"/>
                <w:u w:val="none" w:color="auto"/>
                <w:lang w:bidi="ar"/>
              </w:rPr>
            </w:pPr>
            <w:r>
              <w:rPr>
                <w:rFonts w:ascii="Times New Roman" w:hAnsi="Times New Roman" w:cs="Times New Roman"/>
                <w:b/>
                <w:color w:val="auto"/>
                <w:sz w:val="21"/>
                <w:szCs w:val="21"/>
                <w:highlight w:val="none"/>
                <w:u w:val="none" w:color="auto"/>
                <w:lang w:bidi="ar"/>
              </w:rPr>
              <w:t>表4-</w:t>
            </w:r>
            <w:r>
              <w:rPr>
                <w:rFonts w:hint="eastAsia" w:cs="Times New Roman"/>
                <w:b/>
                <w:color w:val="auto"/>
                <w:sz w:val="21"/>
                <w:szCs w:val="21"/>
                <w:highlight w:val="none"/>
                <w:u w:val="none" w:color="auto"/>
                <w:lang w:val="en-US" w:eastAsia="zh-CN" w:bidi="ar"/>
              </w:rPr>
              <w:t>3</w:t>
            </w:r>
            <w:r>
              <w:rPr>
                <w:rFonts w:ascii="Times New Roman" w:hAnsi="Times New Roman" w:cs="Times New Roman"/>
                <w:b/>
                <w:color w:val="auto"/>
                <w:sz w:val="21"/>
                <w:szCs w:val="21"/>
                <w:highlight w:val="none"/>
                <w:u w:val="none" w:color="auto"/>
                <w:lang w:bidi="ar"/>
              </w:rPr>
              <w:t xml:space="preserve"> </w:t>
            </w:r>
            <w:r>
              <w:rPr>
                <w:rFonts w:hint="default" w:ascii="Times New Roman" w:hAnsi="Times New Roman" w:cs="Times New Roman"/>
                <w:b/>
                <w:color w:val="auto"/>
                <w:sz w:val="21"/>
                <w:szCs w:val="21"/>
                <w:highlight w:val="none"/>
                <w:u w:val="none" w:color="auto"/>
                <w:lang w:bidi="ar"/>
              </w:rPr>
              <w:t xml:space="preserve"> </w:t>
            </w:r>
            <w:r>
              <w:rPr>
                <w:rFonts w:ascii="Times New Roman" w:hAnsi="Times New Roman" w:cs="Times New Roman"/>
                <w:b/>
                <w:color w:val="auto"/>
                <w:sz w:val="21"/>
                <w:szCs w:val="21"/>
                <w:highlight w:val="none"/>
                <w:u w:val="none" w:color="auto"/>
                <w:lang w:bidi="ar"/>
              </w:rPr>
              <w:t>项目污染区划分及防渗等级表</w:t>
            </w:r>
          </w:p>
          <w:tbl>
            <w:tblPr>
              <w:tblStyle w:val="35"/>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205"/>
              <w:gridCol w:w="1398"/>
              <w:gridCol w:w="1272"/>
              <w:gridCol w:w="1377"/>
              <w:gridCol w:w="2093"/>
              <w:gridCol w:w="1597"/>
            </w:tblGrid>
            <w:tr w14:paraId="3B7D56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4" w:hRule="atLeast"/>
                <w:jc w:val="center"/>
              </w:trPr>
              <w:tc>
                <w:tcPr>
                  <w:tcW w:w="1071" w:type="dxa"/>
                  <w:tcBorders>
                    <w:tl2br w:val="nil"/>
                    <w:tr2bl w:val="nil"/>
                  </w:tcBorders>
                  <w:noWrap w:val="0"/>
                  <w:vAlign w:val="center"/>
                </w:tcPr>
                <w:p w14:paraId="3D2A9810">
                  <w:pPr>
                    <w:keepNext w:val="0"/>
                    <w:keepLines w:val="0"/>
                    <w:pageBreakBefore w:val="0"/>
                    <w:widowControl w:val="0"/>
                    <w:kinsoku w:val="0"/>
                    <w:wordWrap/>
                    <w:overflowPunct w:val="0"/>
                    <w:topLinePunct w:val="0"/>
                    <w:autoSpaceDE w:val="0"/>
                    <w:autoSpaceDN w:val="0"/>
                    <w:bidi w:val="0"/>
                    <w:adjustRightInd w:val="0"/>
                    <w:snapToGrid w:val="0"/>
                    <w:jc w:val="center"/>
                    <w:textAlignment w:val="auto"/>
                    <w:outlineLvl w:val="9"/>
                    <w:rPr>
                      <w:rFonts w:ascii="Times New Roman" w:hAnsi="Times New Roman" w:cs="Times New Roman"/>
                      <w:b/>
                      <w:bCs/>
                      <w:color w:val="auto"/>
                      <w:kern w:val="0"/>
                      <w:szCs w:val="21"/>
                      <w:highlight w:val="none"/>
                      <w:u w:val="none" w:color="auto"/>
                    </w:rPr>
                  </w:pPr>
                  <w:r>
                    <w:rPr>
                      <w:rFonts w:hint="default" w:ascii="Times New Roman" w:hAnsi="Times New Roman" w:cs="Times New Roman"/>
                      <w:b/>
                      <w:bCs/>
                      <w:color w:val="auto"/>
                      <w:kern w:val="0"/>
                      <w:szCs w:val="21"/>
                      <w:highlight w:val="none"/>
                      <w:u w:val="none" w:color="auto"/>
                      <w:lang w:eastAsia="zh-CN"/>
                    </w:rPr>
                    <w:t>防渗分区</w:t>
                  </w:r>
                </w:p>
              </w:tc>
              <w:tc>
                <w:tcPr>
                  <w:tcW w:w="1242" w:type="dxa"/>
                  <w:tcBorders>
                    <w:tl2br w:val="nil"/>
                    <w:tr2bl w:val="nil"/>
                  </w:tcBorders>
                  <w:noWrap w:val="0"/>
                  <w:vAlign w:val="center"/>
                </w:tcPr>
                <w:p w14:paraId="3BB9AE9A">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lang w:eastAsia="zh-CN"/>
                    </w:rPr>
                    <w:t>天然包气带防污性能</w:t>
                  </w:r>
                </w:p>
              </w:tc>
              <w:tc>
                <w:tcPr>
                  <w:tcW w:w="1130" w:type="dxa"/>
                  <w:tcBorders>
                    <w:tl2br w:val="nil"/>
                    <w:tr2bl w:val="nil"/>
                  </w:tcBorders>
                  <w:noWrap w:val="0"/>
                  <w:vAlign w:val="center"/>
                </w:tcPr>
                <w:p w14:paraId="06696F25">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lang w:eastAsia="zh-CN"/>
                    </w:rPr>
                    <w:t>污染控制难易程度</w:t>
                  </w:r>
                </w:p>
              </w:tc>
              <w:tc>
                <w:tcPr>
                  <w:tcW w:w="1224" w:type="dxa"/>
                  <w:tcBorders>
                    <w:tl2br w:val="nil"/>
                    <w:tr2bl w:val="nil"/>
                  </w:tcBorders>
                  <w:noWrap w:val="0"/>
                  <w:vAlign w:val="center"/>
                </w:tcPr>
                <w:p w14:paraId="29AF740F">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lang w:val="en-US" w:eastAsia="zh-CN"/>
                    </w:rPr>
                    <w:t>污染物类型</w:t>
                  </w:r>
                </w:p>
              </w:tc>
              <w:tc>
                <w:tcPr>
                  <w:tcW w:w="1860" w:type="dxa"/>
                  <w:tcBorders>
                    <w:tl2br w:val="nil"/>
                    <w:tr2bl w:val="nil"/>
                  </w:tcBorders>
                  <w:noWrap w:val="0"/>
                  <w:vAlign w:val="center"/>
                </w:tcPr>
                <w:p w14:paraId="6370BAB4">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lang w:eastAsia="zh-CN"/>
                    </w:rPr>
                    <w:t>防渗技术要求</w:t>
                  </w:r>
                </w:p>
              </w:tc>
              <w:tc>
                <w:tcPr>
                  <w:tcW w:w="1419" w:type="dxa"/>
                  <w:tcBorders>
                    <w:tl2br w:val="nil"/>
                    <w:tr2bl w:val="nil"/>
                  </w:tcBorders>
                  <w:noWrap w:val="0"/>
                  <w:vAlign w:val="center"/>
                </w:tcPr>
                <w:p w14:paraId="43D03BA0">
                  <w:pPr>
                    <w:adjustRightInd w:val="0"/>
                    <w:snapToGrid w:val="0"/>
                    <w:jc w:val="center"/>
                    <w:rPr>
                      <w:rFonts w:ascii="Times New Roman" w:hAnsi="Times New Roman" w:cs="Times New Roman"/>
                      <w:b/>
                      <w:bCs/>
                      <w:color w:val="auto"/>
                      <w:szCs w:val="21"/>
                      <w:highlight w:val="none"/>
                      <w:u w:val="none" w:color="auto"/>
                    </w:rPr>
                  </w:pPr>
                  <w:r>
                    <w:rPr>
                      <w:rFonts w:ascii="Times New Roman" w:hAnsi="Times New Roman" w:cs="Times New Roman"/>
                      <w:b/>
                      <w:bCs/>
                      <w:color w:val="auto"/>
                      <w:szCs w:val="21"/>
                      <w:highlight w:val="none"/>
                      <w:u w:val="none" w:color="auto"/>
                    </w:rPr>
                    <w:t>项目分区要求</w:t>
                  </w:r>
                </w:p>
              </w:tc>
            </w:tr>
            <w:tr w14:paraId="571530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071" w:type="dxa"/>
                  <w:vMerge w:val="restart"/>
                  <w:tcBorders>
                    <w:tl2br w:val="nil"/>
                    <w:tr2bl w:val="nil"/>
                  </w:tcBorders>
                  <w:noWrap w:val="0"/>
                  <w:vAlign w:val="center"/>
                </w:tcPr>
                <w:p w14:paraId="20FDF7B7">
                  <w:pPr>
                    <w:keepNext w:val="0"/>
                    <w:keepLines w:val="0"/>
                    <w:pageBreakBefore w:val="0"/>
                    <w:widowControl w:val="0"/>
                    <w:kinsoku w:val="0"/>
                    <w:wordWrap/>
                    <w:overflowPunct w:val="0"/>
                    <w:topLinePunct w:val="0"/>
                    <w:autoSpaceDE w:val="0"/>
                    <w:autoSpaceDN w:val="0"/>
                    <w:bidi w:val="0"/>
                    <w:adjustRightInd w:val="0"/>
                    <w:snapToGrid w:val="0"/>
                    <w:jc w:val="center"/>
                    <w:textAlignment w:val="auto"/>
                    <w:outlineLvl w:val="9"/>
                    <w:rPr>
                      <w:rFonts w:ascii="Times New Roman" w:hAnsi="Times New Roman" w:cs="Times New Roman"/>
                      <w:color w:val="auto"/>
                      <w:kern w:val="0"/>
                      <w:szCs w:val="21"/>
                      <w:highlight w:val="none"/>
                      <w:u w:val="none" w:color="auto"/>
                    </w:rPr>
                  </w:pPr>
                  <w:r>
                    <w:rPr>
                      <w:rFonts w:hint="default" w:ascii="Times New Roman" w:hAnsi="Times New Roman" w:cs="Times New Roman"/>
                      <w:b w:val="0"/>
                      <w:bCs w:val="0"/>
                      <w:color w:val="auto"/>
                      <w:kern w:val="0"/>
                      <w:szCs w:val="21"/>
                      <w:highlight w:val="none"/>
                      <w:u w:val="none" w:color="auto"/>
                      <w:lang w:eastAsia="zh-CN"/>
                    </w:rPr>
                    <w:t>重点防渗区</w:t>
                  </w:r>
                </w:p>
              </w:tc>
              <w:tc>
                <w:tcPr>
                  <w:tcW w:w="1242" w:type="dxa"/>
                  <w:tcBorders>
                    <w:tl2br w:val="nil"/>
                    <w:tr2bl w:val="nil"/>
                  </w:tcBorders>
                  <w:noWrap w:val="0"/>
                  <w:vAlign w:val="center"/>
                </w:tcPr>
                <w:p w14:paraId="4EEF3F83">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弱</w:t>
                  </w:r>
                </w:p>
              </w:tc>
              <w:tc>
                <w:tcPr>
                  <w:tcW w:w="1130" w:type="dxa"/>
                  <w:tcBorders>
                    <w:tl2br w:val="nil"/>
                    <w:tr2bl w:val="nil"/>
                  </w:tcBorders>
                  <w:noWrap w:val="0"/>
                  <w:vAlign w:val="center"/>
                </w:tcPr>
                <w:p w14:paraId="7979EBED">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易</w:t>
                  </w:r>
                  <w:r>
                    <w:rPr>
                      <w:rFonts w:hint="default" w:ascii="Times New Roman" w:hAnsi="Times New Roman" w:cs="Times New Roman"/>
                      <w:b w:val="0"/>
                      <w:bCs w:val="0"/>
                      <w:color w:val="auto"/>
                      <w:szCs w:val="21"/>
                      <w:highlight w:val="none"/>
                      <w:u w:val="none" w:color="auto"/>
                      <w:lang w:val="en-US" w:eastAsia="zh-CN"/>
                    </w:rPr>
                    <w:t>-</w:t>
                  </w:r>
                  <w:r>
                    <w:rPr>
                      <w:rFonts w:hint="default" w:ascii="Times New Roman" w:hAnsi="Times New Roman" w:cs="Times New Roman"/>
                      <w:b w:val="0"/>
                      <w:bCs w:val="0"/>
                      <w:color w:val="auto"/>
                      <w:szCs w:val="21"/>
                      <w:highlight w:val="none"/>
                      <w:u w:val="none" w:color="auto"/>
                      <w:lang w:eastAsia="zh-CN"/>
                    </w:rPr>
                    <w:t>难</w:t>
                  </w:r>
                </w:p>
              </w:tc>
              <w:tc>
                <w:tcPr>
                  <w:tcW w:w="1224" w:type="dxa"/>
                  <w:vMerge w:val="restart"/>
                  <w:tcBorders>
                    <w:tl2br w:val="nil"/>
                    <w:tr2bl w:val="nil"/>
                  </w:tcBorders>
                  <w:noWrap w:val="0"/>
                  <w:vAlign w:val="center"/>
                </w:tcPr>
                <w:p w14:paraId="509C88B0">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lang w:val="en-US" w:eastAsia="zh-CN"/>
                    </w:rPr>
                    <w:t>持久性有机污染物</w:t>
                  </w:r>
                </w:p>
              </w:tc>
              <w:tc>
                <w:tcPr>
                  <w:tcW w:w="1860" w:type="dxa"/>
                  <w:vMerge w:val="restart"/>
                  <w:tcBorders>
                    <w:tl2br w:val="nil"/>
                    <w:tr2bl w:val="nil"/>
                  </w:tcBorders>
                  <w:noWrap w:val="0"/>
                  <w:vAlign w:val="center"/>
                </w:tcPr>
                <w:p w14:paraId="5C224872">
                  <w:pPr>
                    <w:adjustRightInd w:val="0"/>
                    <w:snapToGrid w:val="0"/>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等效黏土防渗层Mb≥6m，渗透系数K≤1.0×10-7cm/s</w:t>
                  </w:r>
                </w:p>
              </w:tc>
              <w:tc>
                <w:tcPr>
                  <w:tcW w:w="1419" w:type="dxa"/>
                  <w:vMerge w:val="restart"/>
                  <w:tcBorders>
                    <w:tl2br w:val="nil"/>
                    <w:tr2bl w:val="nil"/>
                  </w:tcBorders>
                  <w:noWrap w:val="0"/>
                  <w:vAlign w:val="center"/>
                </w:tcPr>
                <w:p w14:paraId="73160523">
                  <w:pPr>
                    <w:adjustRightInd w:val="0"/>
                    <w:snapToGrid w:val="0"/>
                    <w:jc w:val="center"/>
                    <w:rPr>
                      <w:rFonts w:hint="default" w:ascii="Times New Roman" w:hAnsi="Times New Roman" w:eastAsia="宋体" w:cs="Times New Roman"/>
                      <w:color w:val="auto"/>
                      <w:szCs w:val="21"/>
                      <w:highlight w:val="none"/>
                      <w:u w:val="none" w:color="auto"/>
                      <w:lang w:val="en-US" w:eastAsia="zh-CN"/>
                    </w:rPr>
                  </w:pPr>
                  <w:r>
                    <w:rPr>
                      <w:rFonts w:hint="eastAsia" w:ascii="Times New Roman" w:hAnsi="Times New Roman" w:eastAsia="宋体" w:cs="Times New Roman"/>
                      <w:color w:val="auto"/>
                      <w:szCs w:val="21"/>
                      <w:highlight w:val="none"/>
                      <w:u w:val="none" w:color="auto"/>
                      <w:lang w:val="en-US" w:eastAsia="zh-CN"/>
                    </w:rPr>
                    <w:t>脱模剂、润滑剂、离型剂、空压机油、液压油</w:t>
                  </w:r>
                  <w:r>
                    <w:rPr>
                      <w:rFonts w:hint="default" w:ascii="Times New Roman" w:hAnsi="Times New Roman" w:eastAsia="宋体" w:cs="Times New Roman"/>
                      <w:color w:val="auto"/>
                      <w:szCs w:val="21"/>
                      <w:highlight w:val="none"/>
                      <w:u w:val="none" w:color="auto"/>
                      <w:lang w:val="en-US" w:eastAsia="zh-CN"/>
                    </w:rPr>
                    <w:t>存放区、危废暂存间</w:t>
                  </w:r>
                </w:p>
              </w:tc>
            </w:tr>
            <w:tr w14:paraId="16E943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071" w:type="dxa"/>
                  <w:vMerge w:val="continue"/>
                  <w:tcBorders>
                    <w:tl2br w:val="nil"/>
                    <w:tr2bl w:val="nil"/>
                  </w:tcBorders>
                  <w:noWrap w:val="0"/>
                  <w:vAlign w:val="center"/>
                </w:tcPr>
                <w:p w14:paraId="0FC43FA3">
                  <w:pPr>
                    <w:keepNext w:val="0"/>
                    <w:keepLines w:val="0"/>
                    <w:pageBreakBefore w:val="0"/>
                    <w:widowControl w:val="0"/>
                    <w:kinsoku w:val="0"/>
                    <w:wordWrap/>
                    <w:overflowPunct w:val="0"/>
                    <w:topLinePunct w:val="0"/>
                    <w:autoSpaceDE w:val="0"/>
                    <w:autoSpaceDN w:val="0"/>
                    <w:bidi w:val="0"/>
                    <w:adjustRightInd w:val="0"/>
                    <w:snapToGrid w:val="0"/>
                    <w:jc w:val="center"/>
                    <w:textAlignment w:val="auto"/>
                    <w:outlineLvl w:val="9"/>
                    <w:rPr>
                      <w:rFonts w:ascii="Times New Roman" w:hAnsi="Times New Roman" w:cs="Times New Roman"/>
                      <w:color w:val="auto"/>
                      <w:kern w:val="0"/>
                      <w:szCs w:val="21"/>
                      <w:highlight w:val="none"/>
                      <w:u w:val="none" w:color="auto"/>
                    </w:rPr>
                  </w:pPr>
                </w:p>
              </w:tc>
              <w:tc>
                <w:tcPr>
                  <w:tcW w:w="1242" w:type="dxa"/>
                  <w:tcBorders>
                    <w:tl2br w:val="nil"/>
                    <w:tr2bl w:val="nil"/>
                  </w:tcBorders>
                  <w:noWrap w:val="0"/>
                  <w:vAlign w:val="center"/>
                </w:tcPr>
                <w:p w14:paraId="3B9C65A2">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中</w:t>
                  </w:r>
                  <w:r>
                    <w:rPr>
                      <w:rFonts w:hint="default" w:ascii="Times New Roman" w:hAnsi="Times New Roman" w:cs="Times New Roman"/>
                      <w:b w:val="0"/>
                      <w:bCs w:val="0"/>
                      <w:color w:val="auto"/>
                      <w:szCs w:val="21"/>
                      <w:highlight w:val="none"/>
                      <w:u w:val="none" w:color="auto"/>
                      <w:lang w:val="en-US" w:eastAsia="zh-CN"/>
                    </w:rPr>
                    <w:t>-强</w:t>
                  </w:r>
                </w:p>
              </w:tc>
              <w:tc>
                <w:tcPr>
                  <w:tcW w:w="1130" w:type="dxa"/>
                  <w:tcBorders>
                    <w:tl2br w:val="nil"/>
                    <w:tr2bl w:val="nil"/>
                  </w:tcBorders>
                  <w:noWrap w:val="0"/>
                  <w:vAlign w:val="center"/>
                </w:tcPr>
                <w:p w14:paraId="1E6807F7">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难</w:t>
                  </w:r>
                </w:p>
              </w:tc>
              <w:tc>
                <w:tcPr>
                  <w:tcW w:w="1224" w:type="dxa"/>
                  <w:vMerge w:val="continue"/>
                  <w:tcBorders>
                    <w:tl2br w:val="nil"/>
                    <w:tr2bl w:val="nil"/>
                  </w:tcBorders>
                  <w:noWrap w:val="0"/>
                  <w:vAlign w:val="center"/>
                </w:tcPr>
                <w:p w14:paraId="496BD8D0">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p>
              </w:tc>
              <w:tc>
                <w:tcPr>
                  <w:tcW w:w="1860" w:type="dxa"/>
                  <w:vMerge w:val="continue"/>
                  <w:tcBorders>
                    <w:tl2br w:val="nil"/>
                    <w:tr2bl w:val="nil"/>
                  </w:tcBorders>
                  <w:noWrap w:val="0"/>
                  <w:vAlign w:val="center"/>
                </w:tcPr>
                <w:p w14:paraId="5AAD2E2C">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p>
              </w:tc>
              <w:tc>
                <w:tcPr>
                  <w:tcW w:w="1419" w:type="dxa"/>
                  <w:vMerge w:val="continue"/>
                  <w:tcBorders>
                    <w:tl2br w:val="nil"/>
                    <w:tr2bl w:val="nil"/>
                  </w:tcBorders>
                  <w:noWrap w:val="0"/>
                  <w:vAlign w:val="center"/>
                </w:tcPr>
                <w:p w14:paraId="7B1649F9">
                  <w:pPr>
                    <w:adjustRightInd w:val="0"/>
                    <w:snapToGrid w:val="0"/>
                    <w:jc w:val="center"/>
                    <w:rPr>
                      <w:rFonts w:ascii="Times New Roman" w:hAnsi="Times New Roman" w:cs="Times New Roman"/>
                      <w:color w:val="auto"/>
                      <w:szCs w:val="21"/>
                      <w:highlight w:val="none"/>
                      <w:u w:val="none" w:color="auto"/>
                    </w:rPr>
                  </w:pPr>
                </w:p>
              </w:tc>
            </w:tr>
            <w:tr w14:paraId="68CD12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1" w:type="dxa"/>
                  <w:vMerge w:val="restart"/>
                  <w:tcBorders>
                    <w:tl2br w:val="nil"/>
                    <w:tr2bl w:val="nil"/>
                  </w:tcBorders>
                  <w:noWrap w:val="0"/>
                  <w:vAlign w:val="center"/>
                </w:tcPr>
                <w:p w14:paraId="4DE63B6C">
                  <w:pPr>
                    <w:keepNext w:val="0"/>
                    <w:keepLines w:val="0"/>
                    <w:pageBreakBefore w:val="0"/>
                    <w:widowControl w:val="0"/>
                    <w:kinsoku w:val="0"/>
                    <w:wordWrap/>
                    <w:overflowPunct w:val="0"/>
                    <w:topLinePunct w:val="0"/>
                    <w:autoSpaceDE w:val="0"/>
                    <w:autoSpaceDN w:val="0"/>
                    <w:bidi w:val="0"/>
                    <w:adjustRightInd w:val="0"/>
                    <w:snapToGrid w:val="0"/>
                    <w:jc w:val="center"/>
                    <w:textAlignment w:val="auto"/>
                    <w:outlineLvl w:val="9"/>
                    <w:rPr>
                      <w:rFonts w:ascii="Times New Roman" w:hAnsi="Times New Roman" w:cs="Times New Roman"/>
                      <w:color w:val="auto"/>
                      <w:kern w:val="0"/>
                      <w:szCs w:val="21"/>
                      <w:highlight w:val="none"/>
                      <w:u w:val="none" w:color="auto"/>
                    </w:rPr>
                  </w:pPr>
                  <w:r>
                    <w:rPr>
                      <w:rFonts w:hint="default" w:ascii="Times New Roman" w:hAnsi="Times New Roman" w:cs="Times New Roman"/>
                      <w:b w:val="0"/>
                      <w:bCs w:val="0"/>
                      <w:color w:val="auto"/>
                      <w:kern w:val="0"/>
                      <w:szCs w:val="21"/>
                      <w:highlight w:val="none"/>
                      <w:u w:val="none" w:color="auto"/>
                      <w:lang w:eastAsia="zh-CN"/>
                    </w:rPr>
                    <w:t>一般防渗区</w:t>
                  </w:r>
                </w:p>
              </w:tc>
              <w:tc>
                <w:tcPr>
                  <w:tcW w:w="1242" w:type="dxa"/>
                  <w:tcBorders>
                    <w:tl2br w:val="nil"/>
                    <w:tr2bl w:val="nil"/>
                  </w:tcBorders>
                  <w:noWrap w:val="0"/>
                  <w:vAlign w:val="center"/>
                </w:tcPr>
                <w:p w14:paraId="08022CFF">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中</w:t>
                  </w:r>
                  <w:r>
                    <w:rPr>
                      <w:rFonts w:hint="default" w:ascii="Times New Roman" w:hAnsi="Times New Roman" w:cs="Times New Roman"/>
                      <w:b w:val="0"/>
                      <w:bCs w:val="0"/>
                      <w:color w:val="auto"/>
                      <w:szCs w:val="21"/>
                      <w:highlight w:val="none"/>
                      <w:u w:val="none" w:color="auto"/>
                      <w:lang w:val="en-US" w:eastAsia="zh-CN"/>
                    </w:rPr>
                    <w:t>-强</w:t>
                  </w:r>
                </w:p>
              </w:tc>
              <w:tc>
                <w:tcPr>
                  <w:tcW w:w="1130" w:type="dxa"/>
                  <w:tcBorders>
                    <w:tl2br w:val="nil"/>
                    <w:tr2bl w:val="nil"/>
                  </w:tcBorders>
                  <w:noWrap w:val="0"/>
                  <w:vAlign w:val="center"/>
                </w:tcPr>
                <w:p w14:paraId="7FAC92DA">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易</w:t>
                  </w:r>
                </w:p>
              </w:tc>
              <w:tc>
                <w:tcPr>
                  <w:tcW w:w="1224" w:type="dxa"/>
                  <w:tcBorders>
                    <w:tl2br w:val="nil"/>
                    <w:tr2bl w:val="nil"/>
                  </w:tcBorders>
                  <w:noWrap w:val="0"/>
                  <w:vAlign w:val="center"/>
                </w:tcPr>
                <w:p w14:paraId="257D06C1">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lang w:val="en-US" w:eastAsia="zh-CN"/>
                    </w:rPr>
                    <w:t>持久性有机污染物</w:t>
                  </w:r>
                </w:p>
              </w:tc>
              <w:tc>
                <w:tcPr>
                  <w:tcW w:w="1860" w:type="dxa"/>
                  <w:vMerge w:val="restart"/>
                  <w:tcBorders>
                    <w:tl2br w:val="nil"/>
                    <w:tr2bl w:val="nil"/>
                  </w:tcBorders>
                  <w:noWrap w:val="0"/>
                  <w:vAlign w:val="center"/>
                </w:tcPr>
                <w:p w14:paraId="28770B2F">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rPr>
                    <w:t>等效黏土防渗层Mb≥</w:t>
                  </w:r>
                  <w:r>
                    <w:rPr>
                      <w:rFonts w:hint="default" w:ascii="Times New Roman" w:hAnsi="Times New Roman" w:cs="Times New Roman"/>
                      <w:b w:val="0"/>
                      <w:bCs w:val="0"/>
                      <w:color w:val="auto"/>
                      <w:szCs w:val="21"/>
                      <w:highlight w:val="none"/>
                      <w:u w:val="none" w:color="auto"/>
                      <w:lang w:val="en-US" w:eastAsia="zh-CN"/>
                    </w:rPr>
                    <w:t>1.5</w:t>
                  </w:r>
                  <w:r>
                    <w:rPr>
                      <w:rFonts w:hint="default" w:ascii="Times New Roman" w:hAnsi="Times New Roman" w:eastAsia="宋体" w:cs="Times New Roman"/>
                      <w:b w:val="0"/>
                      <w:bCs w:val="0"/>
                      <w:color w:val="auto"/>
                      <w:szCs w:val="21"/>
                      <w:highlight w:val="none"/>
                      <w:u w:val="none" w:color="auto"/>
                    </w:rPr>
                    <w:t>m，渗透系数</w:t>
                  </w:r>
                  <w:r>
                    <w:rPr>
                      <w:rFonts w:hint="default" w:ascii="Times New Roman" w:hAnsi="Times New Roman" w:eastAsia="宋体" w:cs="Times New Roman"/>
                      <w:b w:val="0"/>
                      <w:bCs w:val="0"/>
                      <w:color w:val="auto"/>
                      <w:szCs w:val="21"/>
                      <w:highlight w:val="none"/>
                      <w:u w:val="none" w:color="auto"/>
                      <w:lang w:val="en-US" w:eastAsia="zh-CN"/>
                    </w:rPr>
                    <w:t>K</w:t>
                  </w:r>
                  <w:r>
                    <w:rPr>
                      <w:rFonts w:hint="default" w:ascii="Times New Roman" w:hAnsi="Times New Roman" w:eastAsia="宋体" w:cs="Times New Roman"/>
                      <w:b w:val="0"/>
                      <w:bCs w:val="0"/>
                      <w:color w:val="auto"/>
                      <w:szCs w:val="21"/>
                      <w:highlight w:val="none"/>
                      <w:u w:val="none" w:color="auto"/>
                    </w:rPr>
                    <w:t>≤1.0×10</w:t>
                  </w:r>
                  <w:r>
                    <w:rPr>
                      <w:rFonts w:hint="default" w:ascii="Times New Roman" w:hAnsi="Times New Roman" w:eastAsia="宋体" w:cs="Times New Roman"/>
                      <w:b w:val="0"/>
                      <w:bCs w:val="0"/>
                      <w:color w:val="auto"/>
                      <w:szCs w:val="21"/>
                      <w:highlight w:val="none"/>
                      <w:u w:val="none" w:color="auto"/>
                      <w:vertAlign w:val="superscript"/>
                    </w:rPr>
                    <w:t>-7</w:t>
                  </w:r>
                  <w:r>
                    <w:rPr>
                      <w:rFonts w:hint="default" w:ascii="Times New Roman" w:hAnsi="Times New Roman" w:eastAsia="宋体" w:cs="Times New Roman"/>
                      <w:b w:val="0"/>
                      <w:bCs w:val="0"/>
                      <w:color w:val="auto"/>
                      <w:szCs w:val="21"/>
                      <w:highlight w:val="none"/>
                      <w:u w:val="none" w:color="auto"/>
                    </w:rPr>
                    <w:t>cm/s</w:t>
                  </w:r>
                </w:p>
              </w:tc>
              <w:tc>
                <w:tcPr>
                  <w:tcW w:w="1419" w:type="dxa"/>
                  <w:vMerge w:val="restart"/>
                  <w:tcBorders>
                    <w:tl2br w:val="nil"/>
                    <w:tr2bl w:val="nil"/>
                  </w:tcBorders>
                  <w:noWrap w:val="0"/>
                  <w:vAlign w:val="center"/>
                </w:tcPr>
                <w:p w14:paraId="39233679">
                  <w:pPr>
                    <w:adjustRightInd w:val="0"/>
                    <w:snapToGrid w:val="0"/>
                    <w:jc w:val="center"/>
                    <w:rPr>
                      <w:rFonts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其他生产区域</w:t>
                  </w:r>
                </w:p>
              </w:tc>
            </w:tr>
            <w:tr w14:paraId="3E938C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071" w:type="dxa"/>
                  <w:vMerge w:val="continue"/>
                  <w:tcBorders>
                    <w:tl2br w:val="nil"/>
                    <w:tr2bl w:val="nil"/>
                  </w:tcBorders>
                  <w:noWrap w:val="0"/>
                  <w:vAlign w:val="center"/>
                </w:tcPr>
                <w:p w14:paraId="65CE71DF">
                  <w:pPr>
                    <w:keepNext w:val="0"/>
                    <w:keepLines w:val="0"/>
                    <w:pageBreakBefore w:val="0"/>
                    <w:widowControl w:val="0"/>
                    <w:kinsoku w:val="0"/>
                    <w:wordWrap/>
                    <w:overflowPunct w:val="0"/>
                    <w:topLinePunct w:val="0"/>
                    <w:autoSpaceDE w:val="0"/>
                    <w:autoSpaceDN w:val="0"/>
                    <w:bidi w:val="0"/>
                    <w:adjustRightInd w:val="0"/>
                    <w:snapToGrid w:val="0"/>
                    <w:jc w:val="center"/>
                    <w:textAlignment w:val="auto"/>
                    <w:outlineLvl w:val="9"/>
                    <w:rPr>
                      <w:rFonts w:ascii="Times New Roman" w:hAnsi="Times New Roman" w:cs="Times New Roman"/>
                      <w:color w:val="auto"/>
                      <w:kern w:val="0"/>
                      <w:szCs w:val="21"/>
                      <w:highlight w:val="none"/>
                      <w:u w:val="none" w:color="auto"/>
                    </w:rPr>
                  </w:pPr>
                </w:p>
              </w:tc>
              <w:tc>
                <w:tcPr>
                  <w:tcW w:w="1242" w:type="dxa"/>
                  <w:tcBorders>
                    <w:tl2br w:val="nil"/>
                    <w:tr2bl w:val="nil"/>
                  </w:tcBorders>
                  <w:noWrap w:val="0"/>
                  <w:vAlign w:val="center"/>
                </w:tcPr>
                <w:p w14:paraId="414A407E">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弱</w:t>
                  </w:r>
                </w:p>
              </w:tc>
              <w:tc>
                <w:tcPr>
                  <w:tcW w:w="1130" w:type="dxa"/>
                  <w:tcBorders>
                    <w:tl2br w:val="nil"/>
                    <w:tr2bl w:val="nil"/>
                  </w:tcBorders>
                  <w:noWrap w:val="0"/>
                  <w:vAlign w:val="center"/>
                </w:tcPr>
                <w:p w14:paraId="2B8C5C7B">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易</w:t>
                  </w:r>
                  <w:r>
                    <w:rPr>
                      <w:rFonts w:hint="default" w:ascii="Times New Roman" w:hAnsi="Times New Roman" w:cs="Times New Roman"/>
                      <w:b w:val="0"/>
                      <w:bCs w:val="0"/>
                      <w:color w:val="auto"/>
                      <w:szCs w:val="21"/>
                      <w:highlight w:val="none"/>
                      <w:u w:val="none" w:color="auto"/>
                      <w:lang w:val="en-US" w:eastAsia="zh-CN"/>
                    </w:rPr>
                    <w:t>-</w:t>
                  </w:r>
                  <w:r>
                    <w:rPr>
                      <w:rFonts w:hint="default" w:ascii="Times New Roman" w:hAnsi="Times New Roman" w:cs="Times New Roman"/>
                      <w:b w:val="0"/>
                      <w:bCs w:val="0"/>
                      <w:color w:val="auto"/>
                      <w:szCs w:val="21"/>
                      <w:highlight w:val="none"/>
                      <w:u w:val="none" w:color="auto"/>
                      <w:lang w:eastAsia="zh-CN"/>
                    </w:rPr>
                    <w:t>难</w:t>
                  </w:r>
                </w:p>
              </w:tc>
              <w:tc>
                <w:tcPr>
                  <w:tcW w:w="1224" w:type="dxa"/>
                  <w:vMerge w:val="restart"/>
                  <w:tcBorders>
                    <w:tl2br w:val="nil"/>
                    <w:tr2bl w:val="nil"/>
                  </w:tcBorders>
                  <w:noWrap w:val="0"/>
                  <w:vAlign w:val="center"/>
                </w:tcPr>
                <w:p w14:paraId="2EADAA96">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lang w:val="en-US" w:eastAsia="zh-CN"/>
                    </w:rPr>
                    <w:t>其他类型</w:t>
                  </w:r>
                </w:p>
              </w:tc>
              <w:tc>
                <w:tcPr>
                  <w:tcW w:w="1860" w:type="dxa"/>
                  <w:vMerge w:val="continue"/>
                  <w:tcBorders>
                    <w:tl2br w:val="nil"/>
                    <w:tr2bl w:val="nil"/>
                  </w:tcBorders>
                  <w:noWrap w:val="0"/>
                  <w:vAlign w:val="center"/>
                </w:tcPr>
                <w:p w14:paraId="5403E4D1">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p>
              </w:tc>
              <w:tc>
                <w:tcPr>
                  <w:tcW w:w="1419" w:type="dxa"/>
                  <w:vMerge w:val="continue"/>
                  <w:tcBorders>
                    <w:tl2br w:val="nil"/>
                    <w:tr2bl w:val="nil"/>
                  </w:tcBorders>
                  <w:noWrap w:val="0"/>
                  <w:vAlign w:val="center"/>
                </w:tcPr>
                <w:p w14:paraId="29E93443">
                  <w:pPr>
                    <w:adjustRightInd w:val="0"/>
                    <w:snapToGrid w:val="0"/>
                    <w:jc w:val="center"/>
                    <w:rPr>
                      <w:rFonts w:ascii="Times New Roman" w:hAnsi="Times New Roman" w:cs="Times New Roman"/>
                      <w:color w:val="auto"/>
                      <w:szCs w:val="21"/>
                      <w:highlight w:val="none"/>
                      <w:u w:val="none" w:color="auto"/>
                    </w:rPr>
                  </w:pPr>
                </w:p>
              </w:tc>
            </w:tr>
            <w:tr w14:paraId="6906C0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071" w:type="dxa"/>
                  <w:vMerge w:val="continue"/>
                  <w:tcBorders>
                    <w:tl2br w:val="nil"/>
                    <w:tr2bl w:val="nil"/>
                  </w:tcBorders>
                  <w:noWrap w:val="0"/>
                  <w:vAlign w:val="center"/>
                </w:tcPr>
                <w:p w14:paraId="1790797F">
                  <w:pPr>
                    <w:keepNext w:val="0"/>
                    <w:keepLines w:val="0"/>
                    <w:pageBreakBefore w:val="0"/>
                    <w:widowControl w:val="0"/>
                    <w:kinsoku w:val="0"/>
                    <w:wordWrap/>
                    <w:overflowPunct w:val="0"/>
                    <w:topLinePunct w:val="0"/>
                    <w:autoSpaceDE w:val="0"/>
                    <w:autoSpaceDN w:val="0"/>
                    <w:bidi w:val="0"/>
                    <w:adjustRightInd w:val="0"/>
                    <w:snapToGrid w:val="0"/>
                    <w:jc w:val="center"/>
                    <w:textAlignment w:val="auto"/>
                    <w:outlineLvl w:val="9"/>
                    <w:rPr>
                      <w:rFonts w:ascii="Times New Roman" w:hAnsi="Times New Roman" w:cs="Times New Roman"/>
                      <w:color w:val="auto"/>
                      <w:kern w:val="0"/>
                      <w:szCs w:val="21"/>
                      <w:highlight w:val="none"/>
                      <w:u w:val="none" w:color="auto"/>
                    </w:rPr>
                  </w:pPr>
                </w:p>
              </w:tc>
              <w:tc>
                <w:tcPr>
                  <w:tcW w:w="1242" w:type="dxa"/>
                  <w:tcBorders>
                    <w:tl2br w:val="nil"/>
                    <w:tr2bl w:val="nil"/>
                  </w:tcBorders>
                  <w:noWrap w:val="0"/>
                  <w:vAlign w:val="center"/>
                </w:tcPr>
                <w:p w14:paraId="2AC2E6B3">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中</w:t>
                  </w:r>
                  <w:r>
                    <w:rPr>
                      <w:rFonts w:hint="default" w:ascii="Times New Roman" w:hAnsi="Times New Roman" w:cs="Times New Roman"/>
                      <w:b w:val="0"/>
                      <w:bCs w:val="0"/>
                      <w:color w:val="auto"/>
                      <w:szCs w:val="21"/>
                      <w:highlight w:val="none"/>
                      <w:u w:val="none" w:color="auto"/>
                      <w:lang w:val="en-US" w:eastAsia="zh-CN"/>
                    </w:rPr>
                    <w:t>-强</w:t>
                  </w:r>
                </w:p>
              </w:tc>
              <w:tc>
                <w:tcPr>
                  <w:tcW w:w="1130" w:type="dxa"/>
                  <w:tcBorders>
                    <w:tl2br w:val="nil"/>
                    <w:tr2bl w:val="nil"/>
                  </w:tcBorders>
                  <w:noWrap w:val="0"/>
                  <w:vAlign w:val="center"/>
                </w:tcPr>
                <w:p w14:paraId="197BB40E">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难</w:t>
                  </w:r>
                </w:p>
              </w:tc>
              <w:tc>
                <w:tcPr>
                  <w:tcW w:w="1224" w:type="dxa"/>
                  <w:vMerge w:val="continue"/>
                  <w:tcBorders>
                    <w:tl2br w:val="nil"/>
                    <w:tr2bl w:val="nil"/>
                  </w:tcBorders>
                  <w:noWrap w:val="0"/>
                  <w:vAlign w:val="center"/>
                </w:tcPr>
                <w:p w14:paraId="035FA6BF">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p>
              </w:tc>
              <w:tc>
                <w:tcPr>
                  <w:tcW w:w="1860" w:type="dxa"/>
                  <w:vMerge w:val="continue"/>
                  <w:tcBorders>
                    <w:tl2br w:val="nil"/>
                    <w:tr2bl w:val="nil"/>
                  </w:tcBorders>
                  <w:noWrap w:val="0"/>
                  <w:vAlign w:val="center"/>
                </w:tcPr>
                <w:p w14:paraId="621EDD63">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p>
              </w:tc>
              <w:tc>
                <w:tcPr>
                  <w:tcW w:w="1419" w:type="dxa"/>
                  <w:vMerge w:val="continue"/>
                  <w:tcBorders>
                    <w:tl2br w:val="nil"/>
                    <w:tr2bl w:val="nil"/>
                  </w:tcBorders>
                  <w:noWrap w:val="0"/>
                  <w:vAlign w:val="center"/>
                </w:tcPr>
                <w:p w14:paraId="7AFA4D2F">
                  <w:pPr>
                    <w:adjustRightInd w:val="0"/>
                    <w:snapToGrid w:val="0"/>
                    <w:jc w:val="center"/>
                    <w:rPr>
                      <w:rFonts w:ascii="Times New Roman" w:hAnsi="Times New Roman" w:cs="Times New Roman"/>
                      <w:color w:val="auto"/>
                      <w:szCs w:val="21"/>
                      <w:highlight w:val="none"/>
                      <w:u w:val="none" w:color="auto"/>
                    </w:rPr>
                  </w:pPr>
                </w:p>
              </w:tc>
            </w:tr>
            <w:tr w14:paraId="5F2D5B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071" w:type="dxa"/>
                  <w:tcBorders>
                    <w:tl2br w:val="nil"/>
                    <w:tr2bl w:val="nil"/>
                  </w:tcBorders>
                  <w:noWrap w:val="0"/>
                  <w:vAlign w:val="center"/>
                </w:tcPr>
                <w:p w14:paraId="1C37ED22">
                  <w:pPr>
                    <w:keepNext w:val="0"/>
                    <w:keepLines w:val="0"/>
                    <w:pageBreakBefore w:val="0"/>
                    <w:widowControl w:val="0"/>
                    <w:kinsoku w:val="0"/>
                    <w:wordWrap/>
                    <w:overflowPunct w:val="0"/>
                    <w:topLinePunct w:val="0"/>
                    <w:autoSpaceDE w:val="0"/>
                    <w:autoSpaceDN w:val="0"/>
                    <w:bidi w:val="0"/>
                    <w:adjustRightInd w:val="0"/>
                    <w:snapToGrid w:val="0"/>
                    <w:jc w:val="center"/>
                    <w:textAlignment w:val="auto"/>
                    <w:outlineLvl w:val="9"/>
                    <w:rPr>
                      <w:rFonts w:ascii="Times New Roman" w:hAnsi="Times New Roman" w:cs="Times New Roman"/>
                      <w:color w:val="auto"/>
                      <w:kern w:val="0"/>
                      <w:szCs w:val="21"/>
                      <w:highlight w:val="none"/>
                      <w:u w:val="none" w:color="auto"/>
                    </w:rPr>
                  </w:pPr>
                  <w:r>
                    <w:rPr>
                      <w:rFonts w:hint="default" w:ascii="Times New Roman" w:hAnsi="Times New Roman" w:cs="Times New Roman"/>
                      <w:b w:val="0"/>
                      <w:bCs w:val="0"/>
                      <w:color w:val="auto"/>
                      <w:kern w:val="0"/>
                      <w:szCs w:val="21"/>
                      <w:highlight w:val="none"/>
                      <w:u w:val="none" w:color="auto"/>
                      <w:lang w:eastAsia="zh-CN"/>
                    </w:rPr>
                    <w:t>简单防渗区</w:t>
                  </w:r>
                </w:p>
              </w:tc>
              <w:tc>
                <w:tcPr>
                  <w:tcW w:w="1242" w:type="dxa"/>
                  <w:tcBorders>
                    <w:tl2br w:val="nil"/>
                    <w:tr2bl w:val="nil"/>
                  </w:tcBorders>
                  <w:noWrap w:val="0"/>
                  <w:vAlign w:val="center"/>
                </w:tcPr>
                <w:p w14:paraId="14E5437C">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中</w:t>
                  </w:r>
                  <w:r>
                    <w:rPr>
                      <w:rFonts w:hint="default" w:ascii="Times New Roman" w:hAnsi="Times New Roman" w:cs="Times New Roman"/>
                      <w:b w:val="0"/>
                      <w:bCs w:val="0"/>
                      <w:color w:val="auto"/>
                      <w:szCs w:val="21"/>
                      <w:highlight w:val="none"/>
                      <w:u w:val="none" w:color="auto"/>
                      <w:lang w:val="en-US" w:eastAsia="zh-CN"/>
                    </w:rPr>
                    <w:t>-强</w:t>
                  </w:r>
                </w:p>
              </w:tc>
              <w:tc>
                <w:tcPr>
                  <w:tcW w:w="1130" w:type="dxa"/>
                  <w:tcBorders>
                    <w:tl2br w:val="nil"/>
                    <w:tr2bl w:val="nil"/>
                  </w:tcBorders>
                  <w:noWrap w:val="0"/>
                  <w:vAlign w:val="center"/>
                </w:tcPr>
                <w:p w14:paraId="27F1032B">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易</w:t>
                  </w:r>
                </w:p>
              </w:tc>
              <w:tc>
                <w:tcPr>
                  <w:tcW w:w="1224" w:type="dxa"/>
                  <w:tcBorders>
                    <w:tl2br w:val="nil"/>
                    <w:tr2bl w:val="nil"/>
                  </w:tcBorders>
                  <w:noWrap w:val="0"/>
                  <w:vAlign w:val="center"/>
                </w:tcPr>
                <w:p w14:paraId="59D76E6E">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eastAsia="宋体" w:cs="Times New Roman"/>
                      <w:b w:val="0"/>
                      <w:bCs w:val="0"/>
                      <w:color w:val="auto"/>
                      <w:szCs w:val="21"/>
                      <w:highlight w:val="none"/>
                      <w:u w:val="none" w:color="auto"/>
                      <w:lang w:val="en-US" w:eastAsia="zh-CN"/>
                    </w:rPr>
                    <w:t>其他类型</w:t>
                  </w:r>
                </w:p>
              </w:tc>
              <w:tc>
                <w:tcPr>
                  <w:tcW w:w="1860" w:type="dxa"/>
                  <w:tcBorders>
                    <w:tl2br w:val="nil"/>
                    <w:tr2bl w:val="nil"/>
                  </w:tcBorders>
                  <w:noWrap w:val="0"/>
                  <w:vAlign w:val="center"/>
                </w:tcPr>
                <w:p w14:paraId="19A521E1">
                  <w:pPr>
                    <w:keepNext w:val="0"/>
                    <w:keepLines w:val="0"/>
                    <w:pageBreakBefore w:val="0"/>
                    <w:widowControl w:val="0"/>
                    <w:wordWrap/>
                    <w:topLinePunct w:val="0"/>
                    <w:bidi w:val="0"/>
                    <w:adjustRightInd w:val="0"/>
                    <w:snapToGrid w:val="0"/>
                    <w:jc w:val="center"/>
                    <w:textAlignment w:val="auto"/>
                    <w:outlineLvl w:val="9"/>
                    <w:rPr>
                      <w:rFonts w:ascii="Times New Roman" w:hAnsi="Times New Roman" w:cs="Times New Roman"/>
                      <w:color w:val="auto"/>
                      <w:szCs w:val="21"/>
                      <w:highlight w:val="none"/>
                      <w:u w:val="none" w:color="auto"/>
                    </w:rPr>
                  </w:pPr>
                  <w:r>
                    <w:rPr>
                      <w:rFonts w:hint="default" w:ascii="Times New Roman" w:hAnsi="Times New Roman" w:cs="Times New Roman"/>
                      <w:b w:val="0"/>
                      <w:bCs w:val="0"/>
                      <w:color w:val="auto"/>
                      <w:szCs w:val="21"/>
                      <w:highlight w:val="none"/>
                      <w:u w:val="none" w:color="auto"/>
                      <w:lang w:eastAsia="zh-CN"/>
                    </w:rPr>
                    <w:t>一</w:t>
                  </w:r>
                  <w:r>
                    <w:rPr>
                      <w:rFonts w:hint="default" w:ascii="Times New Roman" w:hAnsi="Times New Roman" w:eastAsia="宋体" w:cs="Times New Roman"/>
                      <w:b w:val="0"/>
                      <w:bCs w:val="0"/>
                      <w:color w:val="auto"/>
                      <w:szCs w:val="21"/>
                      <w:highlight w:val="none"/>
                      <w:u w:val="none" w:color="auto"/>
                    </w:rPr>
                    <w:t>般地面硬化</w:t>
                  </w:r>
                </w:p>
              </w:tc>
              <w:tc>
                <w:tcPr>
                  <w:tcW w:w="1419" w:type="dxa"/>
                  <w:tcBorders>
                    <w:tl2br w:val="nil"/>
                    <w:tr2bl w:val="nil"/>
                  </w:tcBorders>
                  <w:noWrap w:val="0"/>
                  <w:vAlign w:val="center"/>
                </w:tcPr>
                <w:p w14:paraId="4D79D127">
                  <w:pPr>
                    <w:adjustRightInd w:val="0"/>
                    <w:snapToGrid w:val="0"/>
                    <w:jc w:val="center"/>
                    <w:rPr>
                      <w:rFonts w:ascii="Times New Roman" w:hAnsi="Times New Roman" w:cs="Times New Roman"/>
                      <w:color w:val="auto"/>
                      <w:szCs w:val="21"/>
                      <w:highlight w:val="none"/>
                      <w:u w:val="none" w:color="auto"/>
                    </w:rPr>
                  </w:pPr>
                  <w:r>
                    <w:rPr>
                      <w:rFonts w:ascii="Times New Roman" w:hAnsi="Times New Roman" w:cs="Times New Roman"/>
                      <w:color w:val="auto"/>
                      <w:szCs w:val="21"/>
                      <w:highlight w:val="none"/>
                      <w:u w:val="none" w:color="auto"/>
                    </w:rPr>
                    <w:t>项目其余场地</w:t>
                  </w:r>
                </w:p>
              </w:tc>
            </w:tr>
          </w:tbl>
          <w:p w14:paraId="617CD750">
            <w:pPr>
              <w:spacing w:line="360" w:lineRule="auto"/>
              <w:ind w:firstLine="480" w:firstLineChars="200"/>
              <w:jc w:val="left"/>
              <w:rPr>
                <w:color w:val="auto"/>
                <w:sz w:val="24"/>
                <w:szCs w:val="24"/>
                <w:highlight w:val="none"/>
                <w:u w:val="none"/>
              </w:rPr>
            </w:pPr>
            <w:r>
              <w:rPr>
                <w:rFonts w:hint="default" w:ascii="Times New Roman" w:hAnsi="Times New Roman" w:cs="Times New Roman"/>
                <w:bCs/>
                <w:color w:val="auto"/>
                <w:sz w:val="24"/>
                <w:highlight w:val="none"/>
                <w:u w:val="none" w:color="auto"/>
              </w:rPr>
              <w:t>本项目周边无集中式地下水源开采及保护区，地下水开发利用活动较少，周边区域均已接通自来水。因此，建设单位在落实好环评提出的各项污染防治措施后，基本不会对区域地下水环境及土壤环境产生不利影响</w:t>
            </w:r>
            <w:r>
              <w:rPr>
                <w:rFonts w:hint="eastAsia"/>
                <w:color w:val="auto"/>
                <w:sz w:val="24"/>
                <w:szCs w:val="24"/>
                <w:highlight w:val="none"/>
                <w:u w:val="none" w:color="auto"/>
              </w:rPr>
              <w:t>。</w:t>
            </w:r>
          </w:p>
          <w:p w14:paraId="5B921BAF">
            <w:pPr>
              <w:spacing w:line="360" w:lineRule="auto"/>
              <w:ind w:firstLine="482" w:firstLineChars="200"/>
              <w:jc w:val="left"/>
              <w:rPr>
                <w:b/>
                <w:color w:val="auto"/>
                <w:sz w:val="24"/>
                <w:highlight w:val="none"/>
                <w:u w:val="none"/>
              </w:rPr>
            </w:pPr>
            <w:r>
              <w:rPr>
                <w:rFonts w:hint="eastAsia"/>
                <w:b/>
                <w:color w:val="auto"/>
                <w:sz w:val="24"/>
                <w:highlight w:val="none"/>
                <w:u w:val="none"/>
                <w:lang w:val="en-US" w:eastAsia="zh-CN"/>
              </w:rPr>
              <w:t>4</w:t>
            </w:r>
            <w:r>
              <w:rPr>
                <w:rFonts w:hint="eastAsia"/>
                <w:b/>
                <w:color w:val="auto"/>
                <w:sz w:val="24"/>
                <w:highlight w:val="none"/>
                <w:u w:val="none"/>
              </w:rPr>
              <w:t>、噪声</w:t>
            </w:r>
          </w:p>
          <w:p w14:paraId="0494E789">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u w:val="none" w:color="auto"/>
                <w:lang w:val="en-US" w:eastAsia="zh-CN"/>
              </w:rPr>
            </w:pPr>
            <w:r>
              <w:rPr>
                <w:rFonts w:hint="eastAsia"/>
                <w:color w:val="auto"/>
                <w:highlight w:val="none"/>
                <w:u w:val="none" w:color="auto"/>
                <w:lang w:val="en-US" w:eastAsia="zh-CN"/>
              </w:rPr>
              <w:t>本项目主要产生的噪声</w:t>
            </w:r>
            <w:r>
              <w:rPr>
                <w:rFonts w:hint="eastAsia" w:ascii="Times New Roman" w:hAnsi="Times New Roman" w:eastAsia="宋体" w:cs="Times New Roman"/>
                <w:color w:val="auto"/>
                <w:highlight w:val="none"/>
                <w:u w:val="none" w:color="auto"/>
                <w:lang w:val="en-US" w:eastAsia="zh-CN"/>
              </w:rPr>
              <w:t>为：空压机、耐压测试机、自动切脚机、自动裁线机、自动插针机、注塑机、喷砂机、自动焊接机、风机</w:t>
            </w:r>
            <w:r>
              <w:rPr>
                <w:rFonts w:hint="eastAsia" w:cs="Times New Roman"/>
                <w:color w:val="auto"/>
                <w:highlight w:val="none"/>
                <w:u w:val="none" w:color="auto"/>
                <w:lang w:val="en-US" w:eastAsia="zh-CN"/>
              </w:rPr>
              <w:t>等等</w:t>
            </w:r>
            <w:r>
              <w:rPr>
                <w:rFonts w:hint="eastAsia"/>
                <w:color w:val="auto"/>
                <w:highlight w:val="none"/>
                <w:u w:val="none" w:color="auto"/>
                <w:lang w:val="en-US" w:eastAsia="zh-CN"/>
              </w:rPr>
              <w:t>。</w:t>
            </w:r>
          </w:p>
          <w:p w14:paraId="5A475F24">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u w:val="none" w:color="auto"/>
                <w:lang w:val="en-US" w:eastAsia="zh-CN"/>
              </w:rPr>
            </w:pPr>
            <w:r>
              <w:rPr>
                <w:rFonts w:hint="eastAsia"/>
                <w:color w:val="auto"/>
                <w:highlight w:val="none"/>
                <w:u w:val="none" w:color="auto"/>
                <w:lang w:val="en-US" w:eastAsia="zh-CN"/>
              </w:rPr>
              <w:t>本项目在营运期各类噪声产生源强见下表，</w:t>
            </w:r>
            <w:r>
              <w:rPr>
                <w:rFonts w:hint="eastAsia"/>
                <w:color w:val="000000" w:themeColor="text1"/>
                <w:sz w:val="24"/>
                <w:lang w:val="en-US" w:eastAsia="zh-CN"/>
                <w14:textFill>
                  <w14:solidFill>
                    <w14:schemeClr w14:val="tx1"/>
                  </w14:solidFill>
                </w14:textFill>
              </w:rPr>
              <w:t>相同设备噪声源强已经过叠加</w:t>
            </w:r>
            <w:r>
              <w:rPr>
                <w:rFonts w:hint="eastAsia"/>
                <w:color w:val="auto"/>
                <w:highlight w:val="none"/>
                <w:u w:val="none" w:color="auto"/>
                <w:lang w:val="en-US" w:eastAsia="zh-CN"/>
              </w:rPr>
              <w:t>。</w:t>
            </w:r>
          </w:p>
          <w:p w14:paraId="223792D0">
            <w:pPr>
              <w:spacing w:line="240" w:lineRule="auto"/>
              <w:ind w:firstLine="422"/>
              <w:jc w:val="center"/>
              <w:rPr>
                <w:rFonts w:hint="default" w:ascii="Times New Roman" w:hAnsi="Times New Roman" w:eastAsia="宋体" w:cs="Times New Roman"/>
                <w:b/>
                <w:bCs/>
                <w:color w:val="auto"/>
                <w:sz w:val="21"/>
                <w:szCs w:val="21"/>
                <w:highlight w:val="none"/>
                <w:u w:val="none" w:color="auto"/>
                <w:lang w:val="en-US" w:eastAsia="zh-CN"/>
              </w:rPr>
            </w:pPr>
            <w:r>
              <w:rPr>
                <w:rFonts w:hint="eastAsia" w:ascii="Times New Roman" w:hAnsi="Times New Roman" w:eastAsia="宋体" w:cs="Times New Roman"/>
                <w:b/>
                <w:bCs/>
                <w:color w:val="auto"/>
                <w:sz w:val="21"/>
                <w:szCs w:val="21"/>
                <w:highlight w:val="none"/>
                <w:u w:val="none" w:color="auto"/>
                <w:lang w:val="en-US" w:eastAsia="zh-CN"/>
              </w:rPr>
              <w:t>表</w:t>
            </w:r>
            <w:r>
              <w:rPr>
                <w:rFonts w:hint="eastAsia" w:cs="Times New Roman"/>
                <w:b/>
                <w:bCs/>
                <w:color w:val="auto"/>
                <w:sz w:val="21"/>
                <w:szCs w:val="21"/>
                <w:highlight w:val="none"/>
                <w:u w:val="none" w:color="auto"/>
                <w:lang w:val="en-US" w:eastAsia="zh-CN"/>
              </w:rPr>
              <w:t xml:space="preserve">4-4  </w:t>
            </w:r>
            <w:r>
              <w:rPr>
                <w:rFonts w:hint="eastAsia" w:ascii="Times New Roman" w:hAnsi="Times New Roman" w:eastAsia="宋体" w:cs="Times New Roman"/>
                <w:b/>
                <w:bCs/>
                <w:color w:val="auto"/>
                <w:sz w:val="21"/>
                <w:szCs w:val="21"/>
                <w:highlight w:val="none"/>
                <w:u w:val="none" w:color="auto"/>
                <w:lang w:val="en-US" w:eastAsia="zh-CN"/>
              </w:rPr>
              <w:t>噪声源强清单</w:t>
            </w:r>
            <w:r>
              <w:rPr>
                <w:rFonts w:hint="eastAsia" w:cs="Times New Roman"/>
                <w:b/>
                <w:bCs/>
                <w:color w:val="auto"/>
                <w:sz w:val="21"/>
                <w:szCs w:val="21"/>
                <w:highlight w:val="none"/>
                <w:u w:val="none" w:color="auto"/>
                <w:lang w:val="en-US" w:eastAsia="zh-CN"/>
              </w:rPr>
              <w:t>（室外声源）</w:t>
            </w:r>
          </w:p>
          <w:tbl>
            <w:tblPr>
              <w:tblStyle w:val="35"/>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1" w:type="dxa"/>
                <w:bottom w:w="0" w:type="dxa"/>
                <w:right w:w="11" w:type="dxa"/>
              </w:tblCellMar>
            </w:tblPr>
            <w:tblGrid>
              <w:gridCol w:w="368"/>
              <w:gridCol w:w="1327"/>
              <w:gridCol w:w="1429"/>
              <w:gridCol w:w="1763"/>
              <w:gridCol w:w="1232"/>
              <w:gridCol w:w="1576"/>
              <w:gridCol w:w="1243"/>
            </w:tblGrid>
            <w:tr w14:paraId="73E196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562" w:hRule="atLeast"/>
                <w:tblHeader/>
                <w:jc w:val="center"/>
              </w:trPr>
              <w:tc>
                <w:tcPr>
                  <w:tcW w:w="206" w:type="pct"/>
                  <w:tcBorders>
                    <w:tl2br w:val="nil"/>
                    <w:tr2bl w:val="nil"/>
                  </w:tcBorders>
                  <w:vAlign w:val="center"/>
                </w:tcPr>
                <w:p w14:paraId="1DA36DF7">
                  <w:pPr>
                    <w:spacing w:line="240" w:lineRule="auto"/>
                    <w:ind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序号</w:t>
                  </w:r>
                </w:p>
              </w:tc>
              <w:tc>
                <w:tcPr>
                  <w:tcW w:w="742" w:type="pct"/>
                  <w:tcBorders>
                    <w:tl2br w:val="nil"/>
                    <w:tr2bl w:val="nil"/>
                  </w:tcBorders>
                  <w:vAlign w:val="center"/>
                </w:tcPr>
                <w:p w14:paraId="6149B6D6">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声源名称</w:t>
                  </w:r>
                </w:p>
              </w:tc>
              <w:tc>
                <w:tcPr>
                  <w:tcW w:w="799" w:type="pct"/>
                  <w:tcBorders>
                    <w:tl2br w:val="nil"/>
                    <w:tr2bl w:val="nil"/>
                  </w:tcBorders>
                  <w:vAlign w:val="center"/>
                </w:tcPr>
                <w:p w14:paraId="5DEACFC5">
                  <w:pPr>
                    <w:spacing w:line="240" w:lineRule="auto"/>
                    <w:ind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kern w:val="2"/>
                      <w:sz w:val="21"/>
                      <w:szCs w:val="21"/>
                      <w:highlight w:val="none"/>
                      <w:u w:val="none" w:color="auto"/>
                      <w:lang w:val="en-US" w:eastAsia="zh-CN" w:bidi="ar-SA"/>
                    </w:rPr>
                    <w:t>数量</w:t>
                  </w:r>
                  <w:r>
                    <w:rPr>
                      <w:rFonts w:hint="eastAsia" w:cs="Times New Roman"/>
                      <w:color w:val="auto"/>
                      <w:kern w:val="2"/>
                      <w:sz w:val="21"/>
                      <w:szCs w:val="21"/>
                      <w:highlight w:val="none"/>
                      <w:u w:val="none" w:color="auto"/>
                      <w:lang w:val="en-US" w:eastAsia="zh-CN" w:bidi="ar-SA"/>
                    </w:rPr>
                    <w:t>（</w:t>
                  </w:r>
                  <w:r>
                    <w:rPr>
                      <w:rFonts w:hint="default" w:ascii="Times New Roman" w:hAnsi="Times New Roman" w:eastAsia="宋体" w:cs="Times New Roman"/>
                      <w:color w:val="auto"/>
                      <w:kern w:val="2"/>
                      <w:sz w:val="21"/>
                      <w:szCs w:val="21"/>
                      <w:highlight w:val="none"/>
                      <w:u w:val="none" w:color="auto"/>
                      <w:lang w:val="en-US" w:eastAsia="zh-CN" w:bidi="ar-SA"/>
                    </w:rPr>
                    <w:t>台/套</w:t>
                  </w:r>
                  <w:r>
                    <w:rPr>
                      <w:rFonts w:hint="eastAsia" w:cs="Times New Roman"/>
                      <w:color w:val="auto"/>
                      <w:kern w:val="2"/>
                      <w:sz w:val="21"/>
                      <w:szCs w:val="21"/>
                      <w:highlight w:val="none"/>
                      <w:u w:val="none" w:color="auto"/>
                      <w:lang w:val="en-US" w:eastAsia="zh-CN" w:bidi="ar-SA"/>
                    </w:rPr>
                    <w:t>）</w:t>
                  </w:r>
                </w:p>
              </w:tc>
              <w:tc>
                <w:tcPr>
                  <w:tcW w:w="986" w:type="pct"/>
                  <w:tcBorders>
                    <w:tl2br w:val="nil"/>
                    <w:tr2bl w:val="nil"/>
                  </w:tcBorders>
                  <w:vAlign w:val="center"/>
                </w:tcPr>
                <w:p w14:paraId="10BAF9A8">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空间相对位置（X/Y/Z）</w:t>
                  </w:r>
                </w:p>
              </w:tc>
              <w:tc>
                <w:tcPr>
                  <w:tcW w:w="689" w:type="pct"/>
                  <w:tcBorders>
                    <w:tl2br w:val="nil"/>
                    <w:tr2bl w:val="nil"/>
                  </w:tcBorders>
                  <w:vAlign w:val="center"/>
                </w:tcPr>
                <w:p w14:paraId="0173892A">
                  <w:pPr>
                    <w:spacing w:line="240" w:lineRule="auto"/>
                    <w:ind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降噪后声源源强dB(A)</w:t>
                  </w:r>
                </w:p>
              </w:tc>
              <w:tc>
                <w:tcPr>
                  <w:tcW w:w="881" w:type="pct"/>
                  <w:tcBorders>
                    <w:tl2br w:val="nil"/>
                    <w:tr2bl w:val="nil"/>
                  </w:tcBorders>
                  <w:vAlign w:val="center"/>
                </w:tcPr>
                <w:p w14:paraId="66DFEF70">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声源控制措施</w:t>
                  </w:r>
                </w:p>
              </w:tc>
              <w:tc>
                <w:tcPr>
                  <w:tcW w:w="695" w:type="pct"/>
                  <w:tcBorders>
                    <w:tl2br w:val="nil"/>
                    <w:tr2bl w:val="nil"/>
                  </w:tcBorders>
                  <w:vAlign w:val="center"/>
                </w:tcPr>
                <w:p w14:paraId="1390F415">
                  <w:pPr>
                    <w:spacing w:line="240" w:lineRule="auto"/>
                    <w:ind w:firstLine="0" w:firstLineChars="0"/>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sz w:val="21"/>
                      <w:szCs w:val="21"/>
                      <w:highlight w:val="none"/>
                      <w:u w:val="none" w:color="auto"/>
                      <w:lang w:val="en-US" w:eastAsia="zh-CN"/>
                    </w:rPr>
                    <w:t>运行时段</w:t>
                  </w:r>
                </w:p>
              </w:tc>
            </w:tr>
            <w:tr w14:paraId="18242D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53" w:hRule="atLeast"/>
                <w:jc w:val="center"/>
              </w:trPr>
              <w:tc>
                <w:tcPr>
                  <w:tcW w:w="206" w:type="pct"/>
                  <w:tcBorders>
                    <w:tl2br w:val="nil"/>
                    <w:tr2bl w:val="nil"/>
                  </w:tcBorders>
                  <w:vAlign w:val="center"/>
                </w:tcPr>
                <w:p w14:paraId="4978AF5B">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w:t>
                  </w:r>
                </w:p>
              </w:tc>
              <w:tc>
                <w:tcPr>
                  <w:tcW w:w="742" w:type="pct"/>
                  <w:tcBorders>
                    <w:tl2br w:val="nil"/>
                    <w:tr2bl w:val="nil"/>
                  </w:tcBorders>
                  <w:vAlign w:val="center"/>
                </w:tcPr>
                <w:p w14:paraId="4CA30A38">
                  <w:pPr>
                    <w:spacing w:line="240" w:lineRule="auto"/>
                    <w:ind w:firstLine="0" w:firstLineChars="0"/>
                    <w:jc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eastAsia" w:ascii="Times New Roman" w:hAnsi="Times New Roman" w:eastAsia="宋体" w:cs="Times New Roman"/>
                      <w:color w:val="auto"/>
                      <w:sz w:val="21"/>
                      <w:szCs w:val="21"/>
                      <w:highlight w:val="none"/>
                      <w:u w:val="none" w:color="auto"/>
                      <w:lang w:val="en-US" w:eastAsia="zh-CN"/>
                    </w:rPr>
                    <w:t>风机</w:t>
                  </w:r>
                </w:p>
              </w:tc>
              <w:tc>
                <w:tcPr>
                  <w:tcW w:w="799" w:type="pct"/>
                  <w:tcBorders>
                    <w:tl2br w:val="nil"/>
                    <w:tr2bl w:val="nil"/>
                  </w:tcBorders>
                  <w:vAlign w:val="center"/>
                </w:tcPr>
                <w:p w14:paraId="5F10AFD1">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w:t>
                  </w:r>
                </w:p>
              </w:tc>
              <w:tc>
                <w:tcPr>
                  <w:tcW w:w="986" w:type="pct"/>
                  <w:tcBorders>
                    <w:tl2br w:val="nil"/>
                    <w:tr2bl w:val="nil"/>
                  </w:tcBorders>
                  <w:vAlign w:val="center"/>
                </w:tcPr>
                <w:p w14:paraId="1C686489">
                  <w:pPr>
                    <w:spacing w:line="240" w:lineRule="auto"/>
                    <w:ind w:firstLine="0" w:firstLineChars="0"/>
                    <w:jc w:val="center"/>
                    <w:rPr>
                      <w:rFonts w:hint="eastAsia" w:ascii="Times New Roman" w:hAnsi="Times New Roman" w:eastAsia="宋体" w:cs="Times New Roman"/>
                      <w:color w:val="auto"/>
                      <w:sz w:val="21"/>
                      <w:szCs w:val="21"/>
                      <w:highlight w:val="none"/>
                      <w:u w:val="none" w:color="auto"/>
                    </w:rPr>
                  </w:pPr>
                  <w:r>
                    <w:rPr>
                      <w:rFonts w:hint="eastAsia" w:ascii="Times New Roman" w:hAnsi="Times New Roman" w:eastAsia="宋体" w:cs="Times New Roman"/>
                      <w:color w:val="auto"/>
                      <w:sz w:val="21"/>
                      <w:szCs w:val="21"/>
                      <w:highlight w:val="none"/>
                      <w:u w:val="none" w:color="auto"/>
                      <w:lang w:val="en-US" w:eastAsia="zh-CN"/>
                    </w:rPr>
                    <w:t>（</w:t>
                  </w:r>
                  <w:r>
                    <w:rPr>
                      <w:rFonts w:hint="eastAsia" w:cs="Times New Roman"/>
                      <w:color w:val="auto"/>
                      <w:sz w:val="21"/>
                      <w:szCs w:val="21"/>
                      <w:highlight w:val="none"/>
                      <w:u w:val="none" w:color="auto"/>
                      <w:lang w:val="en-US" w:eastAsia="zh-CN"/>
                    </w:rPr>
                    <w:t>1</w:t>
                  </w:r>
                  <w:r>
                    <w:rPr>
                      <w:rFonts w:hint="eastAsia" w:ascii="Times New Roman" w:hAnsi="Times New Roman" w:eastAsia="宋体" w:cs="Times New Roman"/>
                      <w:color w:val="auto"/>
                      <w:sz w:val="21"/>
                      <w:szCs w:val="21"/>
                      <w:highlight w:val="none"/>
                      <w:u w:val="none" w:color="auto"/>
                      <w:lang w:val="en-US" w:eastAsia="zh-CN"/>
                    </w:rPr>
                    <w:t>0</w:t>
                  </w:r>
                  <w:r>
                    <w:rPr>
                      <w:rFonts w:hint="eastAsia" w:ascii="Times New Roman" w:hAnsi="Times New Roman" w:eastAsia="宋体" w:cs="Times New Roman"/>
                      <w:color w:val="auto"/>
                      <w:sz w:val="21"/>
                      <w:szCs w:val="21"/>
                      <w:highlight w:val="none"/>
                      <w:u w:val="none" w:color="auto"/>
                    </w:rPr>
                    <w:t>，</w:t>
                  </w:r>
                  <w:r>
                    <w:rPr>
                      <w:rFonts w:hint="eastAsia" w:ascii="Times New Roman" w:hAnsi="Times New Roman" w:eastAsia="宋体" w:cs="Times New Roman"/>
                      <w:color w:val="auto"/>
                      <w:sz w:val="21"/>
                      <w:szCs w:val="21"/>
                      <w:highlight w:val="none"/>
                      <w:u w:val="none" w:color="auto"/>
                      <w:lang w:val="en-US" w:eastAsia="zh-CN"/>
                    </w:rPr>
                    <w:t>6</w:t>
                  </w:r>
                  <w:r>
                    <w:rPr>
                      <w:rFonts w:hint="eastAsia" w:ascii="Times New Roman" w:hAnsi="Times New Roman" w:eastAsia="宋体" w:cs="Times New Roman"/>
                      <w:color w:val="auto"/>
                      <w:sz w:val="21"/>
                      <w:szCs w:val="21"/>
                      <w:highlight w:val="none"/>
                      <w:u w:val="none" w:color="auto"/>
                    </w:rPr>
                    <w:t>，</w:t>
                  </w:r>
                  <w:r>
                    <w:rPr>
                      <w:rFonts w:hint="eastAsia" w:ascii="Times New Roman" w:hAnsi="Times New Roman" w:eastAsia="宋体" w:cs="Times New Roman"/>
                      <w:color w:val="auto"/>
                      <w:sz w:val="21"/>
                      <w:szCs w:val="21"/>
                      <w:highlight w:val="none"/>
                      <w:u w:val="none" w:color="auto"/>
                      <w:lang w:val="en-US" w:eastAsia="zh-CN"/>
                    </w:rPr>
                    <w:t>23</w:t>
                  </w:r>
                  <w:r>
                    <w:rPr>
                      <w:rFonts w:hint="eastAsia" w:ascii="Times New Roman" w:hAnsi="Times New Roman" w:eastAsia="宋体" w:cs="Times New Roman"/>
                      <w:color w:val="auto"/>
                      <w:sz w:val="21"/>
                      <w:szCs w:val="21"/>
                      <w:highlight w:val="none"/>
                      <w:u w:val="none" w:color="auto"/>
                    </w:rPr>
                    <w:t>)</w:t>
                  </w:r>
                </w:p>
              </w:tc>
              <w:tc>
                <w:tcPr>
                  <w:tcW w:w="689" w:type="pct"/>
                  <w:tcBorders>
                    <w:tl2br w:val="nil"/>
                    <w:tr2bl w:val="nil"/>
                  </w:tcBorders>
                  <w:vAlign w:val="center"/>
                </w:tcPr>
                <w:p w14:paraId="211C4420">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65</w:t>
                  </w:r>
                </w:p>
              </w:tc>
              <w:tc>
                <w:tcPr>
                  <w:tcW w:w="881" w:type="pct"/>
                  <w:tcBorders>
                    <w:tl2br w:val="nil"/>
                    <w:tr2bl w:val="nil"/>
                  </w:tcBorders>
                  <w:vAlign w:val="center"/>
                </w:tcPr>
                <w:p w14:paraId="3BF8A3A3">
                  <w:pPr>
                    <w:spacing w:line="240" w:lineRule="auto"/>
                    <w:ind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减震隔声</w:t>
                  </w:r>
                </w:p>
              </w:tc>
              <w:tc>
                <w:tcPr>
                  <w:tcW w:w="695" w:type="pct"/>
                  <w:tcBorders>
                    <w:tl2br w:val="nil"/>
                    <w:tr2bl w:val="nil"/>
                  </w:tcBorders>
                  <w:vAlign w:val="center"/>
                </w:tcPr>
                <w:p w14:paraId="0F7FC218">
                  <w:pPr>
                    <w:spacing w:line="240" w:lineRule="auto"/>
                    <w:ind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昼间</w:t>
                  </w:r>
                </w:p>
              </w:tc>
            </w:tr>
            <w:tr w14:paraId="13C1D2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1" w:type="dxa"/>
                  <w:bottom w:w="0" w:type="dxa"/>
                  <w:right w:w="11" w:type="dxa"/>
                </w:tblCellMar>
              </w:tblPrEx>
              <w:trPr>
                <w:trHeight w:val="353" w:hRule="atLeast"/>
                <w:jc w:val="center"/>
              </w:trPr>
              <w:tc>
                <w:tcPr>
                  <w:tcW w:w="206" w:type="pct"/>
                  <w:tcBorders>
                    <w:tl2br w:val="nil"/>
                    <w:tr2bl w:val="nil"/>
                  </w:tcBorders>
                  <w:vAlign w:val="center"/>
                </w:tcPr>
                <w:p w14:paraId="01F5E971">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2</w:t>
                  </w:r>
                </w:p>
              </w:tc>
              <w:tc>
                <w:tcPr>
                  <w:tcW w:w="742" w:type="pct"/>
                  <w:tcBorders>
                    <w:tl2br w:val="nil"/>
                    <w:tr2bl w:val="nil"/>
                  </w:tcBorders>
                  <w:vAlign w:val="center"/>
                </w:tcPr>
                <w:p w14:paraId="1FA03816">
                  <w:pPr>
                    <w:spacing w:line="240" w:lineRule="auto"/>
                    <w:ind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风机</w:t>
                  </w:r>
                </w:p>
              </w:tc>
              <w:tc>
                <w:tcPr>
                  <w:tcW w:w="799" w:type="pct"/>
                  <w:tcBorders>
                    <w:tl2br w:val="nil"/>
                    <w:tr2bl w:val="nil"/>
                  </w:tcBorders>
                  <w:vAlign w:val="center"/>
                </w:tcPr>
                <w:p w14:paraId="1BCCB564">
                  <w:pPr>
                    <w:spacing w:line="240" w:lineRule="auto"/>
                    <w:ind w:firstLine="0" w:firstLineChars="0"/>
                    <w:jc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w:t>
                  </w:r>
                </w:p>
              </w:tc>
              <w:tc>
                <w:tcPr>
                  <w:tcW w:w="986" w:type="pct"/>
                  <w:tcBorders>
                    <w:tl2br w:val="nil"/>
                    <w:tr2bl w:val="nil"/>
                  </w:tcBorders>
                  <w:vAlign w:val="center"/>
                </w:tcPr>
                <w:p w14:paraId="52EC5C0F">
                  <w:pPr>
                    <w:spacing w:line="240" w:lineRule="auto"/>
                    <w:ind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w:t>
                  </w:r>
                  <w:r>
                    <w:rPr>
                      <w:rFonts w:hint="eastAsia" w:cs="Times New Roman"/>
                      <w:color w:val="auto"/>
                      <w:sz w:val="21"/>
                      <w:szCs w:val="21"/>
                      <w:highlight w:val="none"/>
                      <w:u w:val="none" w:color="auto"/>
                      <w:lang w:val="en-US" w:eastAsia="zh-CN"/>
                    </w:rPr>
                    <w:t>10</w:t>
                  </w:r>
                  <w:r>
                    <w:rPr>
                      <w:rFonts w:hint="eastAsia" w:ascii="Times New Roman" w:hAnsi="Times New Roman" w:eastAsia="宋体" w:cs="Times New Roman"/>
                      <w:color w:val="auto"/>
                      <w:sz w:val="21"/>
                      <w:szCs w:val="21"/>
                      <w:highlight w:val="none"/>
                      <w:u w:val="none" w:color="auto"/>
                    </w:rPr>
                    <w:t>，</w:t>
                  </w:r>
                  <w:r>
                    <w:rPr>
                      <w:rFonts w:hint="eastAsia" w:cs="Times New Roman"/>
                      <w:color w:val="auto"/>
                      <w:sz w:val="21"/>
                      <w:szCs w:val="21"/>
                      <w:highlight w:val="none"/>
                      <w:u w:val="none" w:color="auto"/>
                      <w:lang w:val="en-US" w:eastAsia="zh-CN"/>
                    </w:rPr>
                    <w:t>-6</w:t>
                  </w:r>
                  <w:r>
                    <w:rPr>
                      <w:rFonts w:hint="eastAsia" w:ascii="Times New Roman" w:hAnsi="Times New Roman" w:eastAsia="宋体" w:cs="Times New Roman"/>
                      <w:color w:val="auto"/>
                      <w:sz w:val="21"/>
                      <w:szCs w:val="21"/>
                      <w:highlight w:val="none"/>
                      <w:u w:val="none" w:color="auto"/>
                    </w:rPr>
                    <w:t>，</w:t>
                  </w:r>
                  <w:r>
                    <w:rPr>
                      <w:rFonts w:hint="eastAsia" w:ascii="Times New Roman" w:hAnsi="Times New Roman" w:eastAsia="宋体" w:cs="Times New Roman"/>
                      <w:color w:val="auto"/>
                      <w:sz w:val="21"/>
                      <w:szCs w:val="21"/>
                      <w:highlight w:val="none"/>
                      <w:u w:val="none" w:color="auto"/>
                      <w:lang w:val="en-US" w:eastAsia="zh-CN"/>
                    </w:rPr>
                    <w:t>23</w:t>
                  </w:r>
                  <w:r>
                    <w:rPr>
                      <w:rFonts w:hint="eastAsia" w:ascii="Times New Roman" w:hAnsi="Times New Roman" w:eastAsia="宋体" w:cs="Times New Roman"/>
                      <w:color w:val="auto"/>
                      <w:sz w:val="21"/>
                      <w:szCs w:val="21"/>
                      <w:highlight w:val="none"/>
                      <w:u w:val="none" w:color="auto"/>
                    </w:rPr>
                    <w:t>)</w:t>
                  </w:r>
                </w:p>
              </w:tc>
              <w:tc>
                <w:tcPr>
                  <w:tcW w:w="689" w:type="pct"/>
                  <w:tcBorders>
                    <w:tl2br w:val="nil"/>
                    <w:tr2bl w:val="nil"/>
                  </w:tcBorders>
                  <w:vAlign w:val="center"/>
                </w:tcPr>
                <w:p w14:paraId="3B77D1F8">
                  <w:pPr>
                    <w:spacing w:line="240" w:lineRule="auto"/>
                    <w:ind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65</w:t>
                  </w:r>
                </w:p>
              </w:tc>
              <w:tc>
                <w:tcPr>
                  <w:tcW w:w="881" w:type="pct"/>
                  <w:tcBorders>
                    <w:tl2br w:val="nil"/>
                    <w:tr2bl w:val="nil"/>
                  </w:tcBorders>
                  <w:vAlign w:val="center"/>
                </w:tcPr>
                <w:p w14:paraId="73A3B480">
                  <w:pPr>
                    <w:spacing w:line="240" w:lineRule="auto"/>
                    <w:ind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减震隔声</w:t>
                  </w:r>
                </w:p>
              </w:tc>
              <w:tc>
                <w:tcPr>
                  <w:tcW w:w="695" w:type="pct"/>
                  <w:tcBorders>
                    <w:tl2br w:val="nil"/>
                    <w:tr2bl w:val="nil"/>
                  </w:tcBorders>
                  <w:vAlign w:val="center"/>
                </w:tcPr>
                <w:p w14:paraId="5640F399">
                  <w:pPr>
                    <w:spacing w:line="240" w:lineRule="auto"/>
                    <w:ind w:firstLine="0" w:firstLineChars="0"/>
                    <w:jc w:val="center"/>
                    <w:rPr>
                      <w:rFonts w:hint="eastAsia"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昼间</w:t>
                  </w:r>
                </w:p>
              </w:tc>
            </w:tr>
          </w:tbl>
          <w:p w14:paraId="798F2E4A">
            <w:pPr>
              <w:spacing w:line="240" w:lineRule="auto"/>
              <w:ind w:firstLine="422"/>
              <w:jc w:val="center"/>
              <w:rPr>
                <w:rFonts w:hint="default" w:ascii="Times New Roman" w:hAnsi="Times New Roman" w:eastAsia="宋体" w:cs="Times New Roman"/>
                <w:b/>
                <w:bCs/>
                <w:color w:val="auto"/>
                <w:sz w:val="21"/>
                <w:szCs w:val="21"/>
                <w:highlight w:val="none"/>
                <w:u w:val="none" w:color="auto"/>
                <w:lang w:val="en-US" w:eastAsia="zh-CN"/>
              </w:rPr>
            </w:pPr>
            <w:r>
              <w:rPr>
                <w:rFonts w:hint="eastAsia" w:ascii="Times New Roman" w:hAnsi="Times New Roman" w:eastAsia="宋体" w:cs="Times New Roman"/>
                <w:b/>
                <w:bCs/>
                <w:color w:val="auto"/>
                <w:sz w:val="21"/>
                <w:szCs w:val="21"/>
                <w:highlight w:val="none"/>
                <w:u w:val="none" w:color="auto"/>
                <w:lang w:val="en-US" w:eastAsia="zh-CN"/>
              </w:rPr>
              <w:t>表</w:t>
            </w:r>
            <w:r>
              <w:rPr>
                <w:rFonts w:hint="eastAsia" w:cs="Times New Roman"/>
                <w:b/>
                <w:bCs/>
                <w:color w:val="auto"/>
                <w:sz w:val="21"/>
                <w:szCs w:val="21"/>
                <w:highlight w:val="none"/>
                <w:u w:val="none" w:color="auto"/>
                <w:lang w:val="en-US" w:eastAsia="zh-CN"/>
              </w:rPr>
              <w:t xml:space="preserve">4-5  </w:t>
            </w:r>
            <w:r>
              <w:rPr>
                <w:rFonts w:hint="eastAsia" w:ascii="Times New Roman" w:hAnsi="Times New Roman" w:eastAsia="宋体" w:cs="Times New Roman"/>
                <w:b/>
                <w:bCs/>
                <w:color w:val="auto"/>
                <w:sz w:val="21"/>
                <w:szCs w:val="21"/>
                <w:highlight w:val="none"/>
                <w:u w:val="none" w:color="auto"/>
                <w:lang w:val="en-US" w:eastAsia="zh-CN"/>
              </w:rPr>
              <w:t>噪声源强清单</w:t>
            </w:r>
            <w:r>
              <w:rPr>
                <w:rFonts w:hint="eastAsia" w:cs="Times New Roman"/>
                <w:b/>
                <w:bCs/>
                <w:color w:val="auto"/>
                <w:sz w:val="21"/>
                <w:szCs w:val="21"/>
                <w:highlight w:val="none"/>
                <w:u w:val="none" w:color="auto"/>
                <w:lang w:val="en-US" w:eastAsia="zh-CN"/>
              </w:rPr>
              <w:t>（室内声源）</w:t>
            </w:r>
          </w:p>
          <w:tbl>
            <w:tblPr>
              <w:tblStyle w:val="107"/>
              <w:tblW w:w="4945" w:type="pct"/>
              <w:tblInd w:w="-15"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0" w:type="dxa"/>
                <w:bottom w:w="0" w:type="dxa"/>
                <w:right w:w="0" w:type="dxa"/>
              </w:tblCellMar>
            </w:tblPr>
            <w:tblGrid>
              <w:gridCol w:w="332"/>
              <w:gridCol w:w="447"/>
              <w:gridCol w:w="480"/>
              <w:gridCol w:w="1043"/>
              <w:gridCol w:w="455"/>
              <w:gridCol w:w="302"/>
              <w:gridCol w:w="416"/>
              <w:gridCol w:w="258"/>
              <w:gridCol w:w="285"/>
              <w:gridCol w:w="398"/>
              <w:gridCol w:w="1107"/>
              <w:gridCol w:w="635"/>
              <w:gridCol w:w="1107"/>
              <w:gridCol w:w="1107"/>
              <w:gridCol w:w="472"/>
            </w:tblGrid>
            <w:tr w14:paraId="35814A8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3" w:hRule="atLeast"/>
              </w:trPr>
              <w:tc>
                <w:tcPr>
                  <w:tcW w:w="187" w:type="pct"/>
                  <w:vMerge w:val="restart"/>
                  <w:tcBorders>
                    <w:tl2br w:val="nil"/>
                    <w:tr2bl w:val="nil"/>
                  </w:tcBorders>
                  <w:noWrap w:val="0"/>
                  <w:textDirection w:val="tbRlV"/>
                  <w:vAlign w:val="center"/>
                </w:tcPr>
                <w:p w14:paraId="2DB11E17">
                  <w:pPr>
                    <w:jc w:val="center"/>
                  </w:pPr>
                  <w:r>
                    <w:t>序号</w:t>
                  </w:r>
                </w:p>
              </w:tc>
              <w:tc>
                <w:tcPr>
                  <w:tcW w:w="260" w:type="pct"/>
                  <w:vMerge w:val="restart"/>
                  <w:tcBorders>
                    <w:tl2br w:val="nil"/>
                    <w:tr2bl w:val="nil"/>
                  </w:tcBorders>
                  <w:noWrap w:val="0"/>
                  <w:vAlign w:val="center"/>
                </w:tcPr>
                <w:p w14:paraId="5FADA2AD">
                  <w:pPr>
                    <w:jc w:val="center"/>
                  </w:pPr>
                </w:p>
                <w:p w14:paraId="04E616DF">
                  <w:pPr>
                    <w:jc w:val="center"/>
                  </w:pPr>
                  <w:r>
                    <w:t>建筑物名 称</w:t>
                  </w:r>
                </w:p>
              </w:tc>
              <w:tc>
                <w:tcPr>
                  <w:tcW w:w="279" w:type="pct"/>
                  <w:vMerge w:val="restart"/>
                  <w:tcBorders>
                    <w:tl2br w:val="nil"/>
                    <w:tr2bl w:val="nil"/>
                  </w:tcBorders>
                  <w:noWrap w:val="0"/>
                  <w:vAlign w:val="center"/>
                </w:tcPr>
                <w:p w14:paraId="733A504D">
                  <w:pPr>
                    <w:jc w:val="center"/>
                  </w:pPr>
                </w:p>
                <w:p w14:paraId="716EB620">
                  <w:pPr>
                    <w:jc w:val="center"/>
                  </w:pPr>
                </w:p>
                <w:p w14:paraId="6079D20A">
                  <w:pPr>
                    <w:jc w:val="center"/>
                  </w:pPr>
                  <w:r>
                    <w:t>声源名称</w:t>
                  </w:r>
                </w:p>
              </w:tc>
              <w:tc>
                <w:tcPr>
                  <w:tcW w:w="597" w:type="pct"/>
                  <w:tcBorders>
                    <w:tl2br w:val="nil"/>
                    <w:tr2bl w:val="nil"/>
                  </w:tcBorders>
                  <w:noWrap w:val="0"/>
                  <w:vAlign w:val="center"/>
                </w:tcPr>
                <w:p w14:paraId="08A86D86">
                  <w:pPr>
                    <w:jc w:val="center"/>
                  </w:pPr>
                  <w:r>
                    <w:t>声源源强</w:t>
                  </w:r>
                </w:p>
              </w:tc>
              <w:tc>
                <w:tcPr>
                  <w:tcW w:w="264" w:type="pct"/>
                  <w:vMerge w:val="restart"/>
                  <w:tcBorders>
                    <w:tl2br w:val="nil"/>
                    <w:tr2bl w:val="nil"/>
                  </w:tcBorders>
                  <w:noWrap w:val="0"/>
                  <w:vAlign w:val="center"/>
                </w:tcPr>
                <w:p w14:paraId="01E4B135">
                  <w:pPr>
                    <w:jc w:val="center"/>
                  </w:pPr>
                  <w:r>
                    <w:t>声源控制措施</w:t>
                  </w:r>
                </w:p>
              </w:tc>
              <w:tc>
                <w:tcPr>
                  <w:tcW w:w="573" w:type="pct"/>
                  <w:gridSpan w:val="3"/>
                  <w:tcBorders>
                    <w:tl2br w:val="nil"/>
                    <w:tr2bl w:val="nil"/>
                  </w:tcBorders>
                  <w:noWrap w:val="0"/>
                  <w:vAlign w:val="center"/>
                </w:tcPr>
                <w:p w14:paraId="3C4934CA">
                  <w:pPr>
                    <w:jc w:val="center"/>
                  </w:pPr>
                  <w:r>
                    <w:t>空间相对位置/m</w:t>
                  </w:r>
                </w:p>
              </w:tc>
              <w:tc>
                <w:tcPr>
                  <w:tcW w:w="400" w:type="pct"/>
                  <w:gridSpan w:val="2"/>
                  <w:vMerge w:val="restart"/>
                  <w:tcBorders>
                    <w:tl2br w:val="nil"/>
                    <w:tr2bl w:val="nil"/>
                  </w:tcBorders>
                  <w:noWrap w:val="0"/>
                  <w:vAlign w:val="center"/>
                </w:tcPr>
                <w:p w14:paraId="6B4977FC">
                  <w:pPr>
                    <w:jc w:val="center"/>
                  </w:pPr>
                </w:p>
                <w:p w14:paraId="6A7D7B17">
                  <w:pPr>
                    <w:jc w:val="center"/>
                  </w:pPr>
                  <w:r>
                    <w:t>距室内边界距离/m</w:t>
                  </w:r>
                </w:p>
              </w:tc>
              <w:tc>
                <w:tcPr>
                  <w:tcW w:w="597" w:type="pct"/>
                  <w:vMerge w:val="restart"/>
                  <w:tcBorders>
                    <w:tl2br w:val="nil"/>
                    <w:tr2bl w:val="nil"/>
                  </w:tcBorders>
                  <w:noWrap w:val="0"/>
                  <w:vAlign w:val="center"/>
                </w:tcPr>
                <w:p w14:paraId="25A3BEC5">
                  <w:pPr>
                    <w:jc w:val="center"/>
                    <w:rPr>
                      <w:rFonts w:hint="default" w:ascii="Times New Roman" w:hAnsi="Times New Roman" w:cs="Times New Roman"/>
                      <w:sz w:val="21"/>
                      <w:szCs w:val="21"/>
                    </w:rPr>
                  </w:pPr>
                </w:p>
                <w:p w14:paraId="7340240C">
                  <w:pPr>
                    <w:jc w:val="center"/>
                    <w:rPr>
                      <w:rFonts w:hint="default" w:ascii="Times New Roman" w:hAnsi="Times New Roman" w:cs="Times New Roman"/>
                      <w:sz w:val="21"/>
                      <w:szCs w:val="21"/>
                    </w:rPr>
                  </w:pPr>
                  <w:r>
                    <w:rPr>
                      <w:rFonts w:hint="default" w:ascii="Times New Roman" w:hAnsi="Times New Roman" w:cs="Times New Roman"/>
                      <w:sz w:val="21"/>
                      <w:szCs w:val="21"/>
                    </w:rPr>
                    <w:t>室内边界声级/（dB(A</w:t>
                  </w:r>
                  <w:r>
                    <w:rPr>
                      <w:rFonts w:hint="eastAsia" w:cs="Times New Roman"/>
                      <w:sz w:val="21"/>
                      <w:szCs w:val="21"/>
                      <w:lang w:eastAsia="zh-CN"/>
                    </w:rPr>
                    <w:t>）</w:t>
                  </w:r>
                  <w:r>
                    <w:rPr>
                      <w:rFonts w:hint="default" w:ascii="Times New Roman" w:hAnsi="Times New Roman" w:cs="Times New Roman"/>
                      <w:sz w:val="21"/>
                      <w:szCs w:val="21"/>
                    </w:rPr>
                    <w:t>）</w:t>
                  </w:r>
                </w:p>
              </w:tc>
              <w:tc>
                <w:tcPr>
                  <w:tcW w:w="366" w:type="pct"/>
                  <w:vMerge w:val="restart"/>
                  <w:tcBorders>
                    <w:tl2br w:val="nil"/>
                    <w:tr2bl w:val="nil"/>
                  </w:tcBorders>
                  <w:noWrap w:val="0"/>
                  <w:vAlign w:val="center"/>
                </w:tcPr>
                <w:p w14:paraId="28EDF3A5">
                  <w:pPr>
                    <w:jc w:val="center"/>
                  </w:pPr>
                </w:p>
                <w:p w14:paraId="0812EA63">
                  <w:pPr>
                    <w:jc w:val="center"/>
                  </w:pPr>
                </w:p>
                <w:p w14:paraId="4AB9F2C0">
                  <w:pPr>
                    <w:jc w:val="center"/>
                  </w:pPr>
                  <w:r>
                    <w:t>运行时段</w:t>
                  </w:r>
                </w:p>
              </w:tc>
              <w:tc>
                <w:tcPr>
                  <w:tcW w:w="598" w:type="pct"/>
                  <w:vMerge w:val="restart"/>
                  <w:tcBorders>
                    <w:tl2br w:val="nil"/>
                    <w:tr2bl w:val="nil"/>
                  </w:tcBorders>
                  <w:noWrap w:val="0"/>
                  <w:vAlign w:val="center"/>
                </w:tcPr>
                <w:p w14:paraId="283B6792">
                  <w:pPr>
                    <w:jc w:val="center"/>
                  </w:pPr>
                </w:p>
                <w:p w14:paraId="3637CAF3">
                  <w:pPr>
                    <w:jc w:val="center"/>
                  </w:pPr>
                  <w:r>
                    <w:t>建筑物插入损失/（dB(A</w:t>
                  </w:r>
                  <w:r>
                    <w:rPr>
                      <w:rFonts w:hint="eastAsia"/>
                      <w:lang w:eastAsia="zh-CN"/>
                    </w:rPr>
                    <w:t>）</w:t>
                  </w:r>
                  <w:r>
                    <w:t>）</w:t>
                  </w:r>
                </w:p>
              </w:tc>
              <w:tc>
                <w:tcPr>
                  <w:tcW w:w="872" w:type="pct"/>
                  <w:gridSpan w:val="2"/>
                  <w:tcBorders>
                    <w:tl2br w:val="nil"/>
                    <w:tr2bl w:val="nil"/>
                  </w:tcBorders>
                  <w:noWrap w:val="0"/>
                  <w:vAlign w:val="center"/>
                </w:tcPr>
                <w:p w14:paraId="554FCD09">
                  <w:pPr>
                    <w:jc w:val="center"/>
                  </w:pPr>
                  <w:r>
                    <w:t>建筑物外噪声</w:t>
                  </w:r>
                </w:p>
              </w:tc>
            </w:tr>
            <w:tr w14:paraId="468EC06B">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028" w:hRule="atLeast"/>
              </w:trPr>
              <w:tc>
                <w:tcPr>
                  <w:tcW w:w="187" w:type="pct"/>
                  <w:vMerge w:val="continue"/>
                  <w:tcBorders>
                    <w:tl2br w:val="nil"/>
                    <w:tr2bl w:val="nil"/>
                  </w:tcBorders>
                  <w:noWrap w:val="0"/>
                  <w:textDirection w:val="tbRlV"/>
                  <w:vAlign w:val="center"/>
                </w:tcPr>
                <w:p w14:paraId="2D6D8908">
                  <w:pPr>
                    <w:jc w:val="center"/>
                  </w:pPr>
                </w:p>
              </w:tc>
              <w:tc>
                <w:tcPr>
                  <w:tcW w:w="260" w:type="pct"/>
                  <w:vMerge w:val="continue"/>
                  <w:tcBorders>
                    <w:tl2br w:val="nil"/>
                    <w:tr2bl w:val="nil"/>
                  </w:tcBorders>
                  <w:noWrap w:val="0"/>
                  <w:vAlign w:val="center"/>
                </w:tcPr>
                <w:p w14:paraId="1E28CAD9">
                  <w:pPr>
                    <w:jc w:val="center"/>
                  </w:pPr>
                </w:p>
              </w:tc>
              <w:tc>
                <w:tcPr>
                  <w:tcW w:w="279" w:type="pct"/>
                  <w:vMerge w:val="continue"/>
                  <w:tcBorders>
                    <w:tl2br w:val="nil"/>
                    <w:tr2bl w:val="nil"/>
                  </w:tcBorders>
                  <w:noWrap w:val="0"/>
                  <w:vAlign w:val="center"/>
                </w:tcPr>
                <w:p w14:paraId="6EDA14BF">
                  <w:pPr>
                    <w:jc w:val="center"/>
                  </w:pPr>
                </w:p>
              </w:tc>
              <w:tc>
                <w:tcPr>
                  <w:tcW w:w="597" w:type="pct"/>
                  <w:tcBorders>
                    <w:tl2br w:val="nil"/>
                    <w:tr2bl w:val="nil"/>
                  </w:tcBorders>
                  <w:noWrap w:val="0"/>
                  <w:vAlign w:val="center"/>
                </w:tcPr>
                <w:p w14:paraId="2B86B5E6">
                  <w:pPr>
                    <w:jc w:val="center"/>
                  </w:pPr>
                  <w:r>
                    <w:t>声压级/距 声源距离 /(dB(A))/m</w:t>
                  </w:r>
                </w:p>
              </w:tc>
              <w:tc>
                <w:tcPr>
                  <w:tcW w:w="264" w:type="pct"/>
                  <w:vMerge w:val="continue"/>
                  <w:tcBorders>
                    <w:tl2br w:val="nil"/>
                    <w:tr2bl w:val="nil"/>
                  </w:tcBorders>
                  <w:noWrap w:val="0"/>
                  <w:textDirection w:val="tbRlV"/>
                  <w:vAlign w:val="center"/>
                </w:tcPr>
                <w:p w14:paraId="7DC33D34">
                  <w:pPr>
                    <w:jc w:val="center"/>
                  </w:pPr>
                </w:p>
              </w:tc>
              <w:tc>
                <w:tcPr>
                  <w:tcW w:w="178" w:type="pct"/>
                  <w:tcBorders>
                    <w:tl2br w:val="nil"/>
                    <w:tr2bl w:val="nil"/>
                  </w:tcBorders>
                  <w:noWrap w:val="0"/>
                  <w:vAlign w:val="center"/>
                </w:tcPr>
                <w:p w14:paraId="2A948D5C">
                  <w:pPr>
                    <w:jc w:val="center"/>
                  </w:pPr>
                </w:p>
                <w:p w14:paraId="5595D133">
                  <w:pPr>
                    <w:jc w:val="center"/>
                  </w:pPr>
                  <w:r>
                    <w:t>X</w:t>
                  </w:r>
                </w:p>
              </w:tc>
              <w:tc>
                <w:tcPr>
                  <w:tcW w:w="242" w:type="pct"/>
                  <w:tcBorders>
                    <w:tl2br w:val="nil"/>
                    <w:tr2bl w:val="nil"/>
                  </w:tcBorders>
                  <w:noWrap w:val="0"/>
                  <w:vAlign w:val="center"/>
                </w:tcPr>
                <w:p w14:paraId="1F287CBC">
                  <w:pPr>
                    <w:jc w:val="center"/>
                  </w:pPr>
                </w:p>
                <w:p w14:paraId="284EECDF">
                  <w:pPr>
                    <w:jc w:val="center"/>
                  </w:pPr>
                  <w:r>
                    <w:t>Y</w:t>
                  </w:r>
                </w:p>
              </w:tc>
              <w:tc>
                <w:tcPr>
                  <w:tcW w:w="153" w:type="pct"/>
                  <w:tcBorders>
                    <w:tl2br w:val="nil"/>
                    <w:tr2bl w:val="nil"/>
                  </w:tcBorders>
                  <w:noWrap w:val="0"/>
                  <w:vAlign w:val="center"/>
                </w:tcPr>
                <w:p w14:paraId="0EC03D7C">
                  <w:pPr>
                    <w:jc w:val="center"/>
                  </w:pPr>
                </w:p>
                <w:p w14:paraId="08A5B574">
                  <w:pPr>
                    <w:jc w:val="center"/>
                  </w:pPr>
                  <w:r>
                    <w:t>Z</w:t>
                  </w:r>
                </w:p>
              </w:tc>
              <w:tc>
                <w:tcPr>
                  <w:tcW w:w="400" w:type="pct"/>
                  <w:gridSpan w:val="2"/>
                  <w:vMerge w:val="continue"/>
                  <w:tcBorders>
                    <w:tl2br w:val="nil"/>
                    <w:tr2bl w:val="nil"/>
                  </w:tcBorders>
                  <w:noWrap w:val="0"/>
                  <w:vAlign w:val="center"/>
                </w:tcPr>
                <w:p w14:paraId="6679EE6D">
                  <w:pPr>
                    <w:jc w:val="center"/>
                  </w:pPr>
                </w:p>
              </w:tc>
              <w:tc>
                <w:tcPr>
                  <w:tcW w:w="597" w:type="pct"/>
                  <w:vMerge w:val="continue"/>
                  <w:tcBorders>
                    <w:tl2br w:val="nil"/>
                    <w:tr2bl w:val="nil"/>
                  </w:tcBorders>
                  <w:noWrap w:val="0"/>
                  <w:vAlign w:val="center"/>
                </w:tcPr>
                <w:p w14:paraId="238258B4">
                  <w:pPr>
                    <w:jc w:val="center"/>
                    <w:rPr>
                      <w:rFonts w:hint="default" w:ascii="Times New Roman" w:hAnsi="Times New Roman" w:cs="Times New Roman"/>
                      <w:sz w:val="21"/>
                      <w:szCs w:val="21"/>
                    </w:rPr>
                  </w:pPr>
                </w:p>
              </w:tc>
              <w:tc>
                <w:tcPr>
                  <w:tcW w:w="366" w:type="pct"/>
                  <w:vMerge w:val="continue"/>
                  <w:tcBorders>
                    <w:tl2br w:val="nil"/>
                    <w:tr2bl w:val="nil"/>
                  </w:tcBorders>
                  <w:noWrap w:val="0"/>
                  <w:vAlign w:val="center"/>
                </w:tcPr>
                <w:p w14:paraId="08126BFC">
                  <w:pPr>
                    <w:jc w:val="center"/>
                  </w:pPr>
                </w:p>
              </w:tc>
              <w:tc>
                <w:tcPr>
                  <w:tcW w:w="598" w:type="pct"/>
                  <w:vMerge w:val="continue"/>
                  <w:tcBorders>
                    <w:tl2br w:val="nil"/>
                    <w:tr2bl w:val="nil"/>
                  </w:tcBorders>
                  <w:noWrap w:val="0"/>
                  <w:vAlign w:val="center"/>
                </w:tcPr>
                <w:p w14:paraId="262FFCA9">
                  <w:pPr>
                    <w:jc w:val="center"/>
                  </w:pPr>
                </w:p>
              </w:tc>
              <w:tc>
                <w:tcPr>
                  <w:tcW w:w="598" w:type="pct"/>
                  <w:tcBorders>
                    <w:tl2br w:val="nil"/>
                    <w:tr2bl w:val="nil"/>
                  </w:tcBorders>
                  <w:noWrap w:val="0"/>
                  <w:vAlign w:val="center"/>
                </w:tcPr>
                <w:p w14:paraId="5FFB66C6">
                  <w:pPr>
                    <w:jc w:val="center"/>
                  </w:pPr>
                  <w:r>
                    <w:t>声压级/   （dB(A</w:t>
                  </w:r>
                  <w:r>
                    <w:rPr>
                      <w:rFonts w:hint="eastAsia"/>
                      <w:lang w:eastAsia="zh-CN"/>
                    </w:rPr>
                    <w:t>）</w:t>
                  </w:r>
                  <w:r>
                    <w:t>）</w:t>
                  </w:r>
                </w:p>
              </w:tc>
              <w:tc>
                <w:tcPr>
                  <w:tcW w:w="274" w:type="pct"/>
                  <w:tcBorders>
                    <w:tl2br w:val="nil"/>
                    <w:tr2bl w:val="nil"/>
                  </w:tcBorders>
                  <w:noWrap w:val="0"/>
                  <w:vAlign w:val="center"/>
                </w:tcPr>
                <w:p w14:paraId="1EEB94E5">
                  <w:pPr>
                    <w:jc w:val="center"/>
                  </w:pPr>
                  <w:r>
                    <w:t>建筑物外距离</w:t>
                  </w:r>
                </w:p>
              </w:tc>
            </w:tr>
            <w:tr w14:paraId="5DF028B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87" w:type="pct"/>
                  <w:vMerge w:val="restart"/>
                  <w:tcBorders>
                    <w:tl2br w:val="nil"/>
                    <w:tr2bl w:val="nil"/>
                  </w:tcBorders>
                  <w:noWrap w:val="0"/>
                  <w:vAlign w:val="center"/>
                </w:tcPr>
                <w:p w14:paraId="295C5D74">
                  <w:pPr>
                    <w:jc w:val="center"/>
                  </w:pPr>
                  <w:r>
                    <w:t>1</w:t>
                  </w:r>
                </w:p>
              </w:tc>
              <w:tc>
                <w:tcPr>
                  <w:tcW w:w="260" w:type="pct"/>
                  <w:vMerge w:val="restart"/>
                  <w:tcBorders>
                    <w:tl2br w:val="nil"/>
                    <w:tr2bl w:val="nil"/>
                  </w:tcBorders>
                  <w:noWrap w:val="0"/>
                  <w:vAlign w:val="center"/>
                </w:tcPr>
                <w:p w14:paraId="4FB2C81E">
                  <w:pPr>
                    <w:jc w:val="center"/>
                    <w:rPr>
                      <w:rFonts w:hint="default" w:eastAsia="宋体"/>
                      <w:lang w:val="en-US" w:eastAsia="zh-CN"/>
                    </w:rPr>
                  </w:pPr>
                  <w:r>
                    <w:rPr>
                      <w:rFonts w:hint="eastAsia"/>
                      <w:lang w:val="en-US" w:eastAsia="zh-CN"/>
                    </w:rPr>
                    <w:t>11栋1F</w:t>
                  </w:r>
                </w:p>
              </w:tc>
              <w:tc>
                <w:tcPr>
                  <w:tcW w:w="279" w:type="pct"/>
                  <w:vMerge w:val="restart"/>
                  <w:tcBorders>
                    <w:tl2br w:val="nil"/>
                    <w:tr2bl w:val="nil"/>
                  </w:tcBorders>
                  <w:noWrap w:val="0"/>
                  <w:vAlign w:val="center"/>
                </w:tcPr>
                <w:p w14:paraId="29548B58">
                  <w:pPr>
                    <w:jc w:val="center"/>
                  </w:pPr>
                  <w:r>
                    <w:rPr>
                      <w:rFonts w:hint="eastAsia"/>
                      <w:color w:val="000000"/>
                      <w:szCs w:val="21"/>
                      <w:lang w:val="en-US" w:eastAsia="zh-CN"/>
                    </w:rPr>
                    <w:t>空压机</w:t>
                  </w:r>
                </w:p>
              </w:tc>
              <w:tc>
                <w:tcPr>
                  <w:tcW w:w="597" w:type="pct"/>
                  <w:vMerge w:val="restart"/>
                  <w:tcBorders>
                    <w:tl2br w:val="nil"/>
                    <w:tr2bl w:val="nil"/>
                  </w:tcBorders>
                  <w:noWrap w:val="0"/>
                  <w:vAlign w:val="center"/>
                </w:tcPr>
                <w:p w14:paraId="3893A948">
                  <w:pPr>
                    <w:jc w:val="center"/>
                  </w:pPr>
                  <w:r>
                    <w:rPr>
                      <w:rFonts w:hint="eastAsia"/>
                      <w:lang w:val="en-US" w:eastAsia="zh-CN"/>
                    </w:rPr>
                    <w:t>78</w:t>
                  </w:r>
                  <w:r>
                    <w:t>/1</w:t>
                  </w:r>
                </w:p>
              </w:tc>
              <w:tc>
                <w:tcPr>
                  <w:tcW w:w="264" w:type="pct"/>
                  <w:vMerge w:val="restart"/>
                  <w:tcBorders>
                    <w:tl2br w:val="nil"/>
                    <w:tr2bl w:val="nil"/>
                  </w:tcBorders>
                  <w:noWrap w:val="0"/>
                  <w:vAlign w:val="center"/>
                </w:tcPr>
                <w:p w14:paraId="343B12B9">
                  <w:pPr>
                    <w:jc w:val="center"/>
                    <w:rPr>
                      <w:rFonts w:hint="eastAsia" w:eastAsia="宋体"/>
                      <w:lang w:eastAsia="zh-CN"/>
                    </w:rPr>
                  </w:pPr>
                  <w:r>
                    <w:t>墙体隔声</w:t>
                  </w:r>
                  <w:r>
                    <w:rPr>
                      <w:rFonts w:hint="eastAsia"/>
                      <w:lang w:eastAsia="zh-CN"/>
                    </w:rPr>
                    <w:t>，基础减震</w:t>
                  </w:r>
                </w:p>
              </w:tc>
              <w:tc>
                <w:tcPr>
                  <w:tcW w:w="178" w:type="pct"/>
                  <w:vMerge w:val="restart"/>
                  <w:tcBorders>
                    <w:tl2br w:val="nil"/>
                    <w:tr2bl w:val="nil"/>
                  </w:tcBorders>
                  <w:noWrap w:val="0"/>
                  <w:vAlign w:val="center"/>
                </w:tcPr>
                <w:p w14:paraId="2820A23E">
                  <w:pPr>
                    <w:jc w:val="center"/>
                    <w:rPr>
                      <w:rFonts w:hint="default"/>
                      <w:lang w:val="en-US"/>
                    </w:rPr>
                  </w:pPr>
                  <w:r>
                    <w:rPr>
                      <w:rFonts w:hint="eastAsia" w:cs="Times New Roman"/>
                      <w:color w:val="000000"/>
                      <w:kern w:val="2"/>
                      <w:sz w:val="21"/>
                      <w:szCs w:val="21"/>
                      <w:lang w:val="en-US" w:eastAsia="zh-CN" w:bidi="ar-SA"/>
                    </w:rPr>
                    <w:t>14</w:t>
                  </w:r>
                </w:p>
              </w:tc>
              <w:tc>
                <w:tcPr>
                  <w:tcW w:w="242" w:type="pct"/>
                  <w:vMerge w:val="restart"/>
                  <w:tcBorders>
                    <w:tl2br w:val="nil"/>
                    <w:tr2bl w:val="nil"/>
                  </w:tcBorders>
                  <w:noWrap w:val="0"/>
                  <w:vAlign w:val="center"/>
                </w:tcPr>
                <w:p w14:paraId="0EBC67B7">
                  <w:pPr>
                    <w:jc w:val="center"/>
                    <w:rPr>
                      <w:rFonts w:hint="default" w:eastAsia="宋体"/>
                      <w:lang w:val="en-US" w:eastAsia="zh-CN"/>
                    </w:rPr>
                  </w:pPr>
                  <w:r>
                    <w:rPr>
                      <w:rFonts w:hint="eastAsia" w:cs="Times New Roman"/>
                      <w:color w:val="000000"/>
                      <w:kern w:val="2"/>
                      <w:sz w:val="21"/>
                      <w:szCs w:val="21"/>
                      <w:lang w:val="en-US" w:eastAsia="zh-CN" w:bidi="ar-SA"/>
                    </w:rPr>
                    <w:t>-4</w:t>
                  </w:r>
                </w:p>
              </w:tc>
              <w:tc>
                <w:tcPr>
                  <w:tcW w:w="153" w:type="pct"/>
                  <w:vMerge w:val="restart"/>
                  <w:tcBorders>
                    <w:tl2br w:val="nil"/>
                    <w:tr2bl w:val="nil"/>
                  </w:tcBorders>
                  <w:noWrap w:val="0"/>
                  <w:vAlign w:val="center"/>
                </w:tcPr>
                <w:p w14:paraId="16E9BF21">
                  <w:pPr>
                    <w:jc w:val="center"/>
                    <w:rPr>
                      <w:rFonts w:hint="eastAsia" w:eastAsia="宋体"/>
                      <w:lang w:eastAsia="zh-CN"/>
                    </w:rPr>
                  </w:pPr>
                  <w:r>
                    <w:rPr>
                      <w:rFonts w:hint="eastAsia" w:cs="Times New Roman"/>
                      <w:color w:val="000000"/>
                      <w:kern w:val="2"/>
                      <w:sz w:val="21"/>
                      <w:szCs w:val="21"/>
                      <w:lang w:val="en-US" w:eastAsia="zh-CN" w:bidi="ar-SA"/>
                    </w:rPr>
                    <w:t>1</w:t>
                  </w:r>
                </w:p>
              </w:tc>
              <w:tc>
                <w:tcPr>
                  <w:tcW w:w="168" w:type="pct"/>
                  <w:tcBorders>
                    <w:tl2br w:val="nil"/>
                    <w:tr2bl w:val="nil"/>
                  </w:tcBorders>
                  <w:noWrap w:val="0"/>
                  <w:vAlign w:val="center"/>
                </w:tcPr>
                <w:p w14:paraId="51ADBCD0">
                  <w:pPr>
                    <w:jc w:val="center"/>
                  </w:pPr>
                  <w:r>
                    <w:t>东</w:t>
                  </w:r>
                </w:p>
              </w:tc>
              <w:tc>
                <w:tcPr>
                  <w:tcW w:w="232" w:type="pct"/>
                  <w:tcBorders>
                    <w:tl2br w:val="nil"/>
                    <w:tr2bl w:val="nil"/>
                  </w:tcBorders>
                  <w:noWrap w:val="0"/>
                  <w:vAlign w:val="center"/>
                </w:tcPr>
                <w:p w14:paraId="33E2FBB1">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10</w:t>
                  </w:r>
                </w:p>
              </w:tc>
              <w:tc>
                <w:tcPr>
                  <w:tcW w:w="597" w:type="pct"/>
                  <w:tcBorders>
                    <w:tl2br w:val="nil"/>
                    <w:tr2bl w:val="nil"/>
                  </w:tcBorders>
                  <w:noWrap w:val="0"/>
                  <w:vAlign w:val="center"/>
                </w:tcPr>
                <w:p w14:paraId="632AC7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58.0 </w:t>
                  </w:r>
                </w:p>
              </w:tc>
              <w:tc>
                <w:tcPr>
                  <w:tcW w:w="366" w:type="pct"/>
                  <w:vMerge w:val="restart"/>
                  <w:tcBorders>
                    <w:tl2br w:val="nil"/>
                    <w:tr2bl w:val="nil"/>
                  </w:tcBorders>
                  <w:noWrap w:val="0"/>
                  <w:vAlign w:val="center"/>
                </w:tcPr>
                <w:p w14:paraId="6BC164AD">
                  <w:pPr>
                    <w:jc w:val="center"/>
                    <w:rPr>
                      <w:rFonts w:hint="default" w:eastAsia="宋体"/>
                      <w:lang w:val="en-US" w:eastAsia="zh-CN"/>
                    </w:rPr>
                  </w:pPr>
                  <w:r>
                    <w:rPr>
                      <w:rFonts w:hint="eastAsia"/>
                      <w:lang w:val="en-US" w:eastAsia="zh-CN"/>
                    </w:rPr>
                    <w:t>生产时</w:t>
                  </w:r>
                </w:p>
              </w:tc>
              <w:tc>
                <w:tcPr>
                  <w:tcW w:w="598" w:type="pct"/>
                  <w:tcBorders>
                    <w:tl2br w:val="nil"/>
                    <w:tr2bl w:val="nil"/>
                  </w:tcBorders>
                  <w:noWrap w:val="0"/>
                  <w:vAlign w:val="center"/>
                </w:tcPr>
                <w:p w14:paraId="00E6B9FF">
                  <w:pPr>
                    <w:keepNext w:val="0"/>
                    <w:keepLines w:val="0"/>
                    <w:widowControl/>
                    <w:suppressLineNumbers w:val="0"/>
                    <w:jc w:val="center"/>
                    <w:textAlignment w:val="center"/>
                    <w:rPr>
                      <w:rFonts w:hint="default" w:eastAsia="宋体"/>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7E9792A4">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38.0 </w:t>
                  </w:r>
                </w:p>
              </w:tc>
              <w:tc>
                <w:tcPr>
                  <w:tcW w:w="274" w:type="pct"/>
                  <w:tcBorders>
                    <w:tl2br w:val="nil"/>
                    <w:tr2bl w:val="nil"/>
                  </w:tcBorders>
                  <w:noWrap w:val="0"/>
                  <w:vAlign w:val="center"/>
                </w:tcPr>
                <w:p w14:paraId="737F1C5B">
                  <w:pPr>
                    <w:jc w:val="center"/>
                  </w:pPr>
                  <w:r>
                    <w:t>1m</w:t>
                  </w:r>
                </w:p>
              </w:tc>
            </w:tr>
            <w:tr w14:paraId="6CB6742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87" w:type="pct"/>
                  <w:vMerge w:val="continue"/>
                  <w:tcBorders>
                    <w:tl2br w:val="nil"/>
                    <w:tr2bl w:val="nil"/>
                  </w:tcBorders>
                  <w:noWrap w:val="0"/>
                  <w:vAlign w:val="center"/>
                </w:tcPr>
                <w:p w14:paraId="185D1DBB">
                  <w:pPr>
                    <w:jc w:val="center"/>
                  </w:pPr>
                </w:p>
              </w:tc>
              <w:tc>
                <w:tcPr>
                  <w:tcW w:w="260" w:type="pct"/>
                  <w:vMerge w:val="continue"/>
                  <w:tcBorders>
                    <w:tl2br w:val="nil"/>
                    <w:tr2bl w:val="nil"/>
                  </w:tcBorders>
                  <w:noWrap w:val="0"/>
                  <w:vAlign w:val="center"/>
                </w:tcPr>
                <w:p w14:paraId="7B59686B">
                  <w:pPr>
                    <w:jc w:val="center"/>
                  </w:pPr>
                </w:p>
              </w:tc>
              <w:tc>
                <w:tcPr>
                  <w:tcW w:w="279" w:type="pct"/>
                  <w:vMerge w:val="continue"/>
                  <w:tcBorders>
                    <w:tl2br w:val="nil"/>
                    <w:tr2bl w:val="nil"/>
                  </w:tcBorders>
                  <w:noWrap w:val="0"/>
                  <w:vAlign w:val="center"/>
                </w:tcPr>
                <w:p w14:paraId="0A968783">
                  <w:pPr>
                    <w:jc w:val="center"/>
                  </w:pPr>
                </w:p>
              </w:tc>
              <w:tc>
                <w:tcPr>
                  <w:tcW w:w="597" w:type="pct"/>
                  <w:vMerge w:val="continue"/>
                  <w:tcBorders>
                    <w:tl2br w:val="nil"/>
                    <w:tr2bl w:val="nil"/>
                  </w:tcBorders>
                  <w:noWrap w:val="0"/>
                  <w:vAlign w:val="center"/>
                </w:tcPr>
                <w:p w14:paraId="02852D7F">
                  <w:pPr>
                    <w:jc w:val="center"/>
                  </w:pPr>
                </w:p>
              </w:tc>
              <w:tc>
                <w:tcPr>
                  <w:tcW w:w="264" w:type="pct"/>
                  <w:vMerge w:val="continue"/>
                  <w:tcBorders>
                    <w:tl2br w:val="nil"/>
                    <w:tr2bl w:val="nil"/>
                  </w:tcBorders>
                  <w:noWrap w:val="0"/>
                  <w:textDirection w:val="tbRlV"/>
                  <w:vAlign w:val="center"/>
                </w:tcPr>
                <w:p w14:paraId="5D7E5D71">
                  <w:pPr>
                    <w:jc w:val="center"/>
                  </w:pPr>
                </w:p>
              </w:tc>
              <w:tc>
                <w:tcPr>
                  <w:tcW w:w="178" w:type="pct"/>
                  <w:vMerge w:val="continue"/>
                  <w:tcBorders>
                    <w:tl2br w:val="nil"/>
                    <w:tr2bl w:val="nil"/>
                  </w:tcBorders>
                  <w:noWrap w:val="0"/>
                  <w:vAlign w:val="center"/>
                </w:tcPr>
                <w:p w14:paraId="6F5B5503">
                  <w:pPr>
                    <w:jc w:val="center"/>
                  </w:pPr>
                </w:p>
              </w:tc>
              <w:tc>
                <w:tcPr>
                  <w:tcW w:w="242" w:type="pct"/>
                  <w:vMerge w:val="continue"/>
                  <w:tcBorders>
                    <w:tl2br w:val="nil"/>
                    <w:tr2bl w:val="nil"/>
                  </w:tcBorders>
                  <w:noWrap w:val="0"/>
                  <w:vAlign w:val="center"/>
                </w:tcPr>
                <w:p w14:paraId="2617C229">
                  <w:pPr>
                    <w:jc w:val="center"/>
                  </w:pPr>
                </w:p>
              </w:tc>
              <w:tc>
                <w:tcPr>
                  <w:tcW w:w="153" w:type="pct"/>
                  <w:vMerge w:val="continue"/>
                  <w:tcBorders>
                    <w:tl2br w:val="nil"/>
                    <w:tr2bl w:val="nil"/>
                  </w:tcBorders>
                  <w:noWrap w:val="0"/>
                  <w:vAlign w:val="center"/>
                </w:tcPr>
                <w:p w14:paraId="5FF52026">
                  <w:pPr>
                    <w:jc w:val="center"/>
                  </w:pPr>
                </w:p>
              </w:tc>
              <w:tc>
                <w:tcPr>
                  <w:tcW w:w="168" w:type="pct"/>
                  <w:tcBorders>
                    <w:tl2br w:val="nil"/>
                    <w:tr2bl w:val="nil"/>
                  </w:tcBorders>
                  <w:noWrap w:val="0"/>
                  <w:vAlign w:val="center"/>
                </w:tcPr>
                <w:p w14:paraId="2C59EB69">
                  <w:pPr>
                    <w:jc w:val="center"/>
                  </w:pPr>
                  <w:r>
                    <w:t>南</w:t>
                  </w:r>
                </w:p>
              </w:tc>
              <w:tc>
                <w:tcPr>
                  <w:tcW w:w="232" w:type="pct"/>
                  <w:tcBorders>
                    <w:tl2br w:val="nil"/>
                    <w:tr2bl w:val="nil"/>
                  </w:tcBorders>
                  <w:noWrap w:val="0"/>
                  <w:vAlign w:val="center"/>
                </w:tcPr>
                <w:p w14:paraId="00947CF1">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5</w:t>
                  </w:r>
                </w:p>
              </w:tc>
              <w:tc>
                <w:tcPr>
                  <w:tcW w:w="597" w:type="pct"/>
                  <w:tcBorders>
                    <w:tl2br w:val="nil"/>
                    <w:tr2bl w:val="nil"/>
                  </w:tcBorders>
                  <w:noWrap w:val="0"/>
                  <w:vAlign w:val="center"/>
                </w:tcPr>
                <w:p w14:paraId="648E90C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64.0 </w:t>
                  </w:r>
                </w:p>
              </w:tc>
              <w:tc>
                <w:tcPr>
                  <w:tcW w:w="366" w:type="pct"/>
                  <w:vMerge w:val="continue"/>
                  <w:tcBorders>
                    <w:tl2br w:val="nil"/>
                    <w:tr2bl w:val="nil"/>
                  </w:tcBorders>
                  <w:noWrap w:val="0"/>
                  <w:vAlign w:val="center"/>
                </w:tcPr>
                <w:p w14:paraId="59DB48F6">
                  <w:pPr>
                    <w:jc w:val="center"/>
                  </w:pPr>
                </w:p>
              </w:tc>
              <w:tc>
                <w:tcPr>
                  <w:tcW w:w="598" w:type="pct"/>
                  <w:tcBorders>
                    <w:tl2br w:val="nil"/>
                    <w:tr2bl w:val="nil"/>
                  </w:tcBorders>
                  <w:noWrap w:val="0"/>
                  <w:vAlign w:val="center"/>
                </w:tcPr>
                <w:p w14:paraId="3E8A935F">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790E1798">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44.0 </w:t>
                  </w:r>
                </w:p>
              </w:tc>
              <w:tc>
                <w:tcPr>
                  <w:tcW w:w="274" w:type="pct"/>
                  <w:tcBorders>
                    <w:tl2br w:val="nil"/>
                    <w:tr2bl w:val="nil"/>
                  </w:tcBorders>
                  <w:noWrap w:val="0"/>
                  <w:vAlign w:val="center"/>
                </w:tcPr>
                <w:p w14:paraId="775182F2">
                  <w:pPr>
                    <w:jc w:val="center"/>
                  </w:pPr>
                  <w:r>
                    <w:t>1m</w:t>
                  </w:r>
                </w:p>
              </w:tc>
            </w:tr>
            <w:tr w14:paraId="7D019AB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87" w:type="pct"/>
                  <w:vMerge w:val="continue"/>
                  <w:tcBorders>
                    <w:tl2br w:val="nil"/>
                    <w:tr2bl w:val="nil"/>
                  </w:tcBorders>
                  <w:noWrap w:val="0"/>
                  <w:vAlign w:val="center"/>
                </w:tcPr>
                <w:p w14:paraId="094637A0">
                  <w:pPr>
                    <w:jc w:val="center"/>
                  </w:pPr>
                </w:p>
              </w:tc>
              <w:tc>
                <w:tcPr>
                  <w:tcW w:w="260" w:type="pct"/>
                  <w:vMerge w:val="continue"/>
                  <w:tcBorders>
                    <w:tl2br w:val="nil"/>
                    <w:tr2bl w:val="nil"/>
                  </w:tcBorders>
                  <w:noWrap w:val="0"/>
                  <w:vAlign w:val="center"/>
                </w:tcPr>
                <w:p w14:paraId="6EBDC96C">
                  <w:pPr>
                    <w:jc w:val="center"/>
                  </w:pPr>
                </w:p>
              </w:tc>
              <w:tc>
                <w:tcPr>
                  <w:tcW w:w="279" w:type="pct"/>
                  <w:vMerge w:val="continue"/>
                  <w:tcBorders>
                    <w:tl2br w:val="nil"/>
                    <w:tr2bl w:val="nil"/>
                  </w:tcBorders>
                  <w:noWrap w:val="0"/>
                  <w:vAlign w:val="center"/>
                </w:tcPr>
                <w:p w14:paraId="0BC5458F">
                  <w:pPr>
                    <w:jc w:val="center"/>
                  </w:pPr>
                </w:p>
              </w:tc>
              <w:tc>
                <w:tcPr>
                  <w:tcW w:w="597" w:type="pct"/>
                  <w:vMerge w:val="continue"/>
                  <w:tcBorders>
                    <w:tl2br w:val="nil"/>
                    <w:tr2bl w:val="nil"/>
                  </w:tcBorders>
                  <w:noWrap w:val="0"/>
                  <w:vAlign w:val="center"/>
                </w:tcPr>
                <w:p w14:paraId="0A4DE7C7">
                  <w:pPr>
                    <w:jc w:val="center"/>
                  </w:pPr>
                </w:p>
              </w:tc>
              <w:tc>
                <w:tcPr>
                  <w:tcW w:w="264" w:type="pct"/>
                  <w:vMerge w:val="continue"/>
                  <w:tcBorders>
                    <w:tl2br w:val="nil"/>
                    <w:tr2bl w:val="nil"/>
                  </w:tcBorders>
                  <w:noWrap w:val="0"/>
                  <w:textDirection w:val="tbRlV"/>
                  <w:vAlign w:val="center"/>
                </w:tcPr>
                <w:p w14:paraId="6DB4B27E">
                  <w:pPr>
                    <w:jc w:val="center"/>
                  </w:pPr>
                </w:p>
              </w:tc>
              <w:tc>
                <w:tcPr>
                  <w:tcW w:w="178" w:type="pct"/>
                  <w:vMerge w:val="continue"/>
                  <w:tcBorders>
                    <w:tl2br w:val="nil"/>
                    <w:tr2bl w:val="nil"/>
                  </w:tcBorders>
                  <w:noWrap w:val="0"/>
                  <w:vAlign w:val="center"/>
                </w:tcPr>
                <w:p w14:paraId="60152D46">
                  <w:pPr>
                    <w:jc w:val="center"/>
                  </w:pPr>
                </w:p>
              </w:tc>
              <w:tc>
                <w:tcPr>
                  <w:tcW w:w="242" w:type="pct"/>
                  <w:vMerge w:val="continue"/>
                  <w:tcBorders>
                    <w:tl2br w:val="nil"/>
                    <w:tr2bl w:val="nil"/>
                  </w:tcBorders>
                  <w:noWrap w:val="0"/>
                  <w:vAlign w:val="center"/>
                </w:tcPr>
                <w:p w14:paraId="64A6B752">
                  <w:pPr>
                    <w:jc w:val="center"/>
                  </w:pPr>
                </w:p>
              </w:tc>
              <w:tc>
                <w:tcPr>
                  <w:tcW w:w="153" w:type="pct"/>
                  <w:vMerge w:val="continue"/>
                  <w:tcBorders>
                    <w:tl2br w:val="nil"/>
                    <w:tr2bl w:val="nil"/>
                  </w:tcBorders>
                  <w:noWrap w:val="0"/>
                  <w:vAlign w:val="center"/>
                </w:tcPr>
                <w:p w14:paraId="2969EF39">
                  <w:pPr>
                    <w:jc w:val="center"/>
                  </w:pPr>
                </w:p>
              </w:tc>
              <w:tc>
                <w:tcPr>
                  <w:tcW w:w="168" w:type="pct"/>
                  <w:tcBorders>
                    <w:tl2br w:val="nil"/>
                    <w:tr2bl w:val="nil"/>
                  </w:tcBorders>
                  <w:noWrap w:val="0"/>
                  <w:vAlign w:val="center"/>
                </w:tcPr>
                <w:p w14:paraId="1D3E437B">
                  <w:pPr>
                    <w:jc w:val="center"/>
                  </w:pPr>
                  <w:r>
                    <w:t>西</w:t>
                  </w:r>
                </w:p>
              </w:tc>
              <w:tc>
                <w:tcPr>
                  <w:tcW w:w="232" w:type="pct"/>
                  <w:tcBorders>
                    <w:tl2br w:val="nil"/>
                    <w:tr2bl w:val="nil"/>
                  </w:tcBorders>
                  <w:noWrap w:val="0"/>
                  <w:vAlign w:val="center"/>
                </w:tcPr>
                <w:p w14:paraId="201F99A4">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70</w:t>
                  </w:r>
                </w:p>
              </w:tc>
              <w:tc>
                <w:tcPr>
                  <w:tcW w:w="597" w:type="pct"/>
                  <w:tcBorders>
                    <w:tl2br w:val="nil"/>
                    <w:tr2bl w:val="nil"/>
                  </w:tcBorders>
                  <w:noWrap w:val="0"/>
                  <w:vAlign w:val="center"/>
                </w:tcPr>
                <w:p w14:paraId="160ED8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41.1 </w:t>
                  </w:r>
                </w:p>
              </w:tc>
              <w:tc>
                <w:tcPr>
                  <w:tcW w:w="366" w:type="pct"/>
                  <w:vMerge w:val="continue"/>
                  <w:tcBorders>
                    <w:tl2br w:val="nil"/>
                    <w:tr2bl w:val="nil"/>
                  </w:tcBorders>
                  <w:noWrap w:val="0"/>
                  <w:vAlign w:val="center"/>
                </w:tcPr>
                <w:p w14:paraId="3A8A6FFB">
                  <w:pPr>
                    <w:jc w:val="center"/>
                  </w:pPr>
                </w:p>
              </w:tc>
              <w:tc>
                <w:tcPr>
                  <w:tcW w:w="598" w:type="pct"/>
                  <w:tcBorders>
                    <w:tl2br w:val="nil"/>
                    <w:tr2bl w:val="nil"/>
                  </w:tcBorders>
                  <w:noWrap w:val="0"/>
                  <w:vAlign w:val="center"/>
                </w:tcPr>
                <w:p w14:paraId="5D8FAB58">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2C92B906">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21.1 </w:t>
                  </w:r>
                </w:p>
              </w:tc>
              <w:tc>
                <w:tcPr>
                  <w:tcW w:w="274" w:type="pct"/>
                  <w:tcBorders>
                    <w:tl2br w:val="nil"/>
                    <w:tr2bl w:val="nil"/>
                  </w:tcBorders>
                  <w:noWrap w:val="0"/>
                  <w:vAlign w:val="center"/>
                </w:tcPr>
                <w:p w14:paraId="6CFB18B0">
                  <w:pPr>
                    <w:jc w:val="center"/>
                  </w:pPr>
                  <w:r>
                    <w:t>1m</w:t>
                  </w:r>
                </w:p>
              </w:tc>
            </w:tr>
            <w:tr w14:paraId="684C35E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87" w:type="pct"/>
                  <w:vMerge w:val="continue"/>
                  <w:tcBorders>
                    <w:tl2br w:val="nil"/>
                    <w:tr2bl w:val="nil"/>
                  </w:tcBorders>
                  <w:noWrap w:val="0"/>
                  <w:vAlign w:val="center"/>
                </w:tcPr>
                <w:p w14:paraId="73DB6B3F">
                  <w:pPr>
                    <w:jc w:val="center"/>
                  </w:pPr>
                </w:p>
              </w:tc>
              <w:tc>
                <w:tcPr>
                  <w:tcW w:w="260" w:type="pct"/>
                  <w:vMerge w:val="continue"/>
                  <w:tcBorders>
                    <w:tl2br w:val="nil"/>
                    <w:tr2bl w:val="nil"/>
                  </w:tcBorders>
                  <w:noWrap w:val="0"/>
                  <w:vAlign w:val="center"/>
                </w:tcPr>
                <w:p w14:paraId="14C6134B">
                  <w:pPr>
                    <w:jc w:val="center"/>
                  </w:pPr>
                </w:p>
              </w:tc>
              <w:tc>
                <w:tcPr>
                  <w:tcW w:w="279" w:type="pct"/>
                  <w:vMerge w:val="continue"/>
                  <w:tcBorders>
                    <w:tl2br w:val="nil"/>
                    <w:tr2bl w:val="nil"/>
                  </w:tcBorders>
                  <w:noWrap w:val="0"/>
                  <w:vAlign w:val="center"/>
                </w:tcPr>
                <w:p w14:paraId="32B7CE8D">
                  <w:pPr>
                    <w:jc w:val="center"/>
                  </w:pPr>
                </w:p>
              </w:tc>
              <w:tc>
                <w:tcPr>
                  <w:tcW w:w="597" w:type="pct"/>
                  <w:vMerge w:val="continue"/>
                  <w:tcBorders>
                    <w:tl2br w:val="nil"/>
                    <w:tr2bl w:val="nil"/>
                  </w:tcBorders>
                  <w:noWrap w:val="0"/>
                  <w:vAlign w:val="center"/>
                </w:tcPr>
                <w:p w14:paraId="4A506B08">
                  <w:pPr>
                    <w:jc w:val="center"/>
                  </w:pPr>
                </w:p>
              </w:tc>
              <w:tc>
                <w:tcPr>
                  <w:tcW w:w="264" w:type="pct"/>
                  <w:vMerge w:val="continue"/>
                  <w:tcBorders>
                    <w:tl2br w:val="nil"/>
                    <w:tr2bl w:val="nil"/>
                  </w:tcBorders>
                  <w:noWrap w:val="0"/>
                  <w:textDirection w:val="tbRlV"/>
                  <w:vAlign w:val="center"/>
                </w:tcPr>
                <w:p w14:paraId="53D56DEA">
                  <w:pPr>
                    <w:jc w:val="center"/>
                  </w:pPr>
                </w:p>
              </w:tc>
              <w:tc>
                <w:tcPr>
                  <w:tcW w:w="178" w:type="pct"/>
                  <w:vMerge w:val="continue"/>
                  <w:tcBorders>
                    <w:tl2br w:val="nil"/>
                    <w:tr2bl w:val="nil"/>
                  </w:tcBorders>
                  <w:noWrap w:val="0"/>
                  <w:vAlign w:val="center"/>
                </w:tcPr>
                <w:p w14:paraId="1669C802">
                  <w:pPr>
                    <w:jc w:val="center"/>
                  </w:pPr>
                </w:p>
              </w:tc>
              <w:tc>
                <w:tcPr>
                  <w:tcW w:w="242" w:type="pct"/>
                  <w:vMerge w:val="continue"/>
                  <w:tcBorders>
                    <w:tl2br w:val="nil"/>
                    <w:tr2bl w:val="nil"/>
                  </w:tcBorders>
                  <w:noWrap w:val="0"/>
                  <w:vAlign w:val="center"/>
                </w:tcPr>
                <w:p w14:paraId="2D161814">
                  <w:pPr>
                    <w:jc w:val="center"/>
                  </w:pPr>
                </w:p>
              </w:tc>
              <w:tc>
                <w:tcPr>
                  <w:tcW w:w="153" w:type="pct"/>
                  <w:vMerge w:val="continue"/>
                  <w:tcBorders>
                    <w:tl2br w:val="nil"/>
                    <w:tr2bl w:val="nil"/>
                  </w:tcBorders>
                  <w:noWrap w:val="0"/>
                  <w:vAlign w:val="center"/>
                </w:tcPr>
                <w:p w14:paraId="7D115242">
                  <w:pPr>
                    <w:jc w:val="center"/>
                  </w:pPr>
                </w:p>
              </w:tc>
              <w:tc>
                <w:tcPr>
                  <w:tcW w:w="168" w:type="pct"/>
                  <w:tcBorders>
                    <w:tl2br w:val="nil"/>
                    <w:tr2bl w:val="nil"/>
                  </w:tcBorders>
                  <w:noWrap w:val="0"/>
                  <w:vAlign w:val="center"/>
                </w:tcPr>
                <w:p w14:paraId="71A1BA03">
                  <w:pPr>
                    <w:jc w:val="center"/>
                  </w:pPr>
                  <w:r>
                    <w:t>北</w:t>
                  </w:r>
                </w:p>
              </w:tc>
              <w:tc>
                <w:tcPr>
                  <w:tcW w:w="232" w:type="pct"/>
                  <w:tcBorders>
                    <w:tl2br w:val="nil"/>
                    <w:tr2bl w:val="nil"/>
                  </w:tcBorders>
                  <w:noWrap w:val="0"/>
                  <w:vAlign w:val="center"/>
                </w:tcPr>
                <w:p w14:paraId="377CF8AC">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13</w:t>
                  </w:r>
                </w:p>
              </w:tc>
              <w:tc>
                <w:tcPr>
                  <w:tcW w:w="597" w:type="pct"/>
                  <w:tcBorders>
                    <w:tl2br w:val="nil"/>
                    <w:tr2bl w:val="nil"/>
                  </w:tcBorders>
                  <w:noWrap w:val="0"/>
                  <w:vAlign w:val="center"/>
                </w:tcPr>
                <w:p w14:paraId="1D3889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55.7 </w:t>
                  </w:r>
                </w:p>
              </w:tc>
              <w:tc>
                <w:tcPr>
                  <w:tcW w:w="366" w:type="pct"/>
                  <w:vMerge w:val="continue"/>
                  <w:tcBorders>
                    <w:tl2br w:val="nil"/>
                    <w:tr2bl w:val="nil"/>
                  </w:tcBorders>
                  <w:noWrap w:val="0"/>
                  <w:vAlign w:val="center"/>
                </w:tcPr>
                <w:p w14:paraId="69AB7465">
                  <w:pPr>
                    <w:jc w:val="center"/>
                  </w:pPr>
                </w:p>
              </w:tc>
              <w:tc>
                <w:tcPr>
                  <w:tcW w:w="598" w:type="pct"/>
                  <w:tcBorders>
                    <w:tl2br w:val="nil"/>
                    <w:tr2bl w:val="nil"/>
                  </w:tcBorders>
                  <w:noWrap w:val="0"/>
                  <w:vAlign w:val="center"/>
                </w:tcPr>
                <w:p w14:paraId="5764E3A5">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4B3FA6AB">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35.7 </w:t>
                  </w:r>
                </w:p>
              </w:tc>
              <w:tc>
                <w:tcPr>
                  <w:tcW w:w="274" w:type="pct"/>
                  <w:tcBorders>
                    <w:tl2br w:val="nil"/>
                    <w:tr2bl w:val="nil"/>
                  </w:tcBorders>
                  <w:noWrap w:val="0"/>
                  <w:vAlign w:val="center"/>
                </w:tcPr>
                <w:p w14:paraId="4B3BEEE4">
                  <w:pPr>
                    <w:jc w:val="center"/>
                  </w:pPr>
                  <w:r>
                    <w:t>1m</w:t>
                  </w:r>
                </w:p>
              </w:tc>
            </w:tr>
            <w:tr w14:paraId="476852A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87" w:type="pct"/>
                  <w:vMerge w:val="restart"/>
                  <w:tcBorders>
                    <w:tl2br w:val="nil"/>
                    <w:tr2bl w:val="nil"/>
                  </w:tcBorders>
                  <w:noWrap w:val="0"/>
                  <w:vAlign w:val="center"/>
                </w:tcPr>
                <w:p w14:paraId="5554BD58">
                  <w:pPr>
                    <w:jc w:val="center"/>
                  </w:pPr>
                  <w:r>
                    <w:t>2</w:t>
                  </w:r>
                </w:p>
              </w:tc>
              <w:tc>
                <w:tcPr>
                  <w:tcW w:w="260" w:type="pct"/>
                  <w:vMerge w:val="restart"/>
                  <w:tcBorders>
                    <w:tl2br w:val="nil"/>
                    <w:tr2bl w:val="nil"/>
                  </w:tcBorders>
                  <w:noWrap w:val="0"/>
                  <w:vAlign w:val="center"/>
                </w:tcPr>
                <w:p w14:paraId="54C913B9">
                  <w:pPr>
                    <w:jc w:val="center"/>
                  </w:pPr>
                  <w:r>
                    <w:rPr>
                      <w:rFonts w:hint="eastAsia"/>
                      <w:lang w:val="en-US" w:eastAsia="zh-CN"/>
                    </w:rPr>
                    <w:t>11栋1F</w:t>
                  </w:r>
                </w:p>
              </w:tc>
              <w:tc>
                <w:tcPr>
                  <w:tcW w:w="279" w:type="pct"/>
                  <w:vMerge w:val="restart"/>
                  <w:tcBorders>
                    <w:tl2br w:val="nil"/>
                    <w:tr2bl w:val="nil"/>
                  </w:tcBorders>
                  <w:noWrap w:val="0"/>
                  <w:vAlign w:val="center"/>
                </w:tcPr>
                <w:p w14:paraId="77769F92">
                  <w:pPr>
                    <w:jc w:val="center"/>
                    <w:rPr>
                      <w:rFonts w:hint="default"/>
                      <w:lang w:val="en-US" w:eastAsia="zh-CN"/>
                    </w:rPr>
                  </w:pPr>
                  <w:r>
                    <w:rPr>
                      <w:rFonts w:hint="eastAsia" w:hAnsi="Calibri" w:eastAsia="宋体"/>
                      <w:color w:val="000000"/>
                      <w:szCs w:val="21"/>
                      <w:lang w:val="en-US" w:eastAsia="zh-CN"/>
                    </w:rPr>
                    <w:t>混料机</w:t>
                  </w:r>
                </w:p>
              </w:tc>
              <w:tc>
                <w:tcPr>
                  <w:tcW w:w="597" w:type="pct"/>
                  <w:vMerge w:val="restart"/>
                  <w:tcBorders>
                    <w:tl2br w:val="nil"/>
                    <w:tr2bl w:val="nil"/>
                  </w:tcBorders>
                  <w:noWrap w:val="0"/>
                  <w:vAlign w:val="center"/>
                </w:tcPr>
                <w:p w14:paraId="5938C40D">
                  <w:pPr>
                    <w:jc w:val="center"/>
                  </w:pPr>
                  <w:r>
                    <w:rPr>
                      <w:rFonts w:hint="eastAsia"/>
                      <w:lang w:val="en-US" w:eastAsia="zh-CN"/>
                    </w:rPr>
                    <w:t>80</w:t>
                  </w:r>
                  <w:r>
                    <w:t>/1</w:t>
                  </w:r>
                </w:p>
              </w:tc>
              <w:tc>
                <w:tcPr>
                  <w:tcW w:w="264" w:type="pct"/>
                  <w:vMerge w:val="continue"/>
                  <w:tcBorders>
                    <w:tl2br w:val="nil"/>
                    <w:tr2bl w:val="nil"/>
                  </w:tcBorders>
                  <w:noWrap w:val="0"/>
                  <w:textDirection w:val="tbRlV"/>
                  <w:vAlign w:val="center"/>
                </w:tcPr>
                <w:p w14:paraId="455BD3D7">
                  <w:pPr>
                    <w:jc w:val="center"/>
                  </w:pPr>
                </w:p>
              </w:tc>
              <w:tc>
                <w:tcPr>
                  <w:tcW w:w="178" w:type="pct"/>
                  <w:vMerge w:val="restart"/>
                  <w:tcBorders>
                    <w:tl2br w:val="nil"/>
                    <w:tr2bl w:val="nil"/>
                  </w:tcBorders>
                  <w:noWrap w:val="0"/>
                  <w:vAlign w:val="center"/>
                </w:tcPr>
                <w:p w14:paraId="09EAB89B">
                  <w:pPr>
                    <w:jc w:val="center"/>
                    <w:rPr>
                      <w:rFonts w:hint="default" w:eastAsia="宋体"/>
                      <w:lang w:val="en-US" w:eastAsia="zh-CN"/>
                    </w:rPr>
                  </w:pPr>
                  <w:r>
                    <w:rPr>
                      <w:rFonts w:hint="eastAsia" w:cs="Times New Roman"/>
                      <w:color w:val="000000"/>
                      <w:kern w:val="2"/>
                      <w:sz w:val="21"/>
                      <w:szCs w:val="21"/>
                      <w:lang w:val="en-US" w:eastAsia="zh-CN" w:bidi="ar-SA"/>
                    </w:rPr>
                    <w:t>0</w:t>
                  </w:r>
                </w:p>
              </w:tc>
              <w:tc>
                <w:tcPr>
                  <w:tcW w:w="242" w:type="pct"/>
                  <w:vMerge w:val="restart"/>
                  <w:tcBorders>
                    <w:tl2br w:val="nil"/>
                    <w:tr2bl w:val="nil"/>
                  </w:tcBorders>
                  <w:noWrap w:val="0"/>
                  <w:vAlign w:val="center"/>
                </w:tcPr>
                <w:p w14:paraId="26786D49">
                  <w:pPr>
                    <w:jc w:val="center"/>
                    <w:rPr>
                      <w:rFonts w:hint="default" w:eastAsia="宋体"/>
                      <w:lang w:val="en-US" w:eastAsia="zh-CN"/>
                    </w:rPr>
                  </w:pPr>
                  <w:r>
                    <w:rPr>
                      <w:rFonts w:hint="eastAsia" w:cs="Times New Roman"/>
                      <w:color w:val="000000"/>
                      <w:kern w:val="2"/>
                      <w:sz w:val="21"/>
                      <w:szCs w:val="21"/>
                      <w:lang w:val="en-US" w:eastAsia="zh-CN" w:bidi="ar-SA"/>
                    </w:rPr>
                    <w:t>-29</w:t>
                  </w:r>
                </w:p>
              </w:tc>
              <w:tc>
                <w:tcPr>
                  <w:tcW w:w="153" w:type="pct"/>
                  <w:vMerge w:val="restart"/>
                  <w:tcBorders>
                    <w:tl2br w:val="nil"/>
                    <w:tr2bl w:val="nil"/>
                  </w:tcBorders>
                  <w:noWrap w:val="0"/>
                  <w:vAlign w:val="center"/>
                </w:tcPr>
                <w:p w14:paraId="5F91B427">
                  <w:pPr>
                    <w:jc w:val="center"/>
                    <w:rPr>
                      <w:rFonts w:hint="eastAsia" w:eastAsia="宋体"/>
                      <w:lang w:eastAsia="zh-CN"/>
                    </w:rPr>
                  </w:pPr>
                  <w:r>
                    <w:rPr>
                      <w:rFonts w:hint="eastAsia" w:cs="Times New Roman"/>
                      <w:color w:val="000000"/>
                      <w:kern w:val="2"/>
                      <w:sz w:val="21"/>
                      <w:szCs w:val="21"/>
                      <w:lang w:val="en-US" w:eastAsia="zh-CN" w:bidi="ar-SA"/>
                    </w:rPr>
                    <w:t>1</w:t>
                  </w:r>
                </w:p>
              </w:tc>
              <w:tc>
                <w:tcPr>
                  <w:tcW w:w="168" w:type="pct"/>
                  <w:tcBorders>
                    <w:tl2br w:val="nil"/>
                    <w:tr2bl w:val="nil"/>
                  </w:tcBorders>
                  <w:noWrap w:val="0"/>
                  <w:vAlign w:val="center"/>
                </w:tcPr>
                <w:p w14:paraId="5C5161B0">
                  <w:pPr>
                    <w:jc w:val="center"/>
                  </w:pPr>
                  <w:r>
                    <w:t>东</w:t>
                  </w:r>
                </w:p>
              </w:tc>
              <w:tc>
                <w:tcPr>
                  <w:tcW w:w="232" w:type="pct"/>
                  <w:tcBorders>
                    <w:tl2br w:val="nil"/>
                    <w:tr2bl w:val="nil"/>
                  </w:tcBorders>
                  <w:noWrap w:val="0"/>
                  <w:vAlign w:val="center"/>
                </w:tcPr>
                <w:p w14:paraId="11329249">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35</w:t>
                  </w:r>
                </w:p>
              </w:tc>
              <w:tc>
                <w:tcPr>
                  <w:tcW w:w="597" w:type="pct"/>
                  <w:tcBorders>
                    <w:tl2br w:val="nil"/>
                    <w:tr2bl w:val="nil"/>
                  </w:tcBorders>
                  <w:noWrap w:val="0"/>
                  <w:vAlign w:val="center"/>
                </w:tcPr>
                <w:p w14:paraId="2EB52A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49.1 </w:t>
                  </w:r>
                </w:p>
              </w:tc>
              <w:tc>
                <w:tcPr>
                  <w:tcW w:w="366" w:type="pct"/>
                  <w:vMerge w:val="continue"/>
                  <w:tcBorders>
                    <w:tl2br w:val="nil"/>
                    <w:tr2bl w:val="nil"/>
                  </w:tcBorders>
                  <w:noWrap w:val="0"/>
                  <w:vAlign w:val="center"/>
                </w:tcPr>
                <w:p w14:paraId="3149CEA6">
                  <w:pPr>
                    <w:jc w:val="center"/>
                  </w:pPr>
                </w:p>
              </w:tc>
              <w:tc>
                <w:tcPr>
                  <w:tcW w:w="598" w:type="pct"/>
                  <w:tcBorders>
                    <w:tl2br w:val="nil"/>
                    <w:tr2bl w:val="nil"/>
                  </w:tcBorders>
                  <w:noWrap w:val="0"/>
                  <w:vAlign w:val="center"/>
                </w:tcPr>
                <w:p w14:paraId="32FE1D9E">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588A5507">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29.1 </w:t>
                  </w:r>
                </w:p>
              </w:tc>
              <w:tc>
                <w:tcPr>
                  <w:tcW w:w="274" w:type="pct"/>
                  <w:tcBorders>
                    <w:tl2br w:val="nil"/>
                    <w:tr2bl w:val="nil"/>
                  </w:tcBorders>
                  <w:noWrap w:val="0"/>
                  <w:vAlign w:val="center"/>
                </w:tcPr>
                <w:p w14:paraId="6B298B2E">
                  <w:pPr>
                    <w:jc w:val="center"/>
                  </w:pPr>
                  <w:r>
                    <w:t>1m</w:t>
                  </w:r>
                </w:p>
              </w:tc>
            </w:tr>
            <w:tr w14:paraId="47BF238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87" w:type="pct"/>
                  <w:vMerge w:val="continue"/>
                  <w:tcBorders>
                    <w:tl2br w:val="nil"/>
                    <w:tr2bl w:val="nil"/>
                  </w:tcBorders>
                  <w:noWrap w:val="0"/>
                  <w:vAlign w:val="center"/>
                </w:tcPr>
                <w:p w14:paraId="3AAFC083">
                  <w:pPr>
                    <w:jc w:val="center"/>
                  </w:pPr>
                </w:p>
              </w:tc>
              <w:tc>
                <w:tcPr>
                  <w:tcW w:w="260" w:type="pct"/>
                  <w:vMerge w:val="continue"/>
                  <w:tcBorders>
                    <w:tl2br w:val="nil"/>
                    <w:tr2bl w:val="nil"/>
                  </w:tcBorders>
                  <w:noWrap w:val="0"/>
                  <w:vAlign w:val="center"/>
                </w:tcPr>
                <w:p w14:paraId="225EAD3D">
                  <w:pPr>
                    <w:jc w:val="center"/>
                  </w:pPr>
                </w:p>
              </w:tc>
              <w:tc>
                <w:tcPr>
                  <w:tcW w:w="279" w:type="pct"/>
                  <w:vMerge w:val="continue"/>
                  <w:tcBorders>
                    <w:tl2br w:val="nil"/>
                    <w:tr2bl w:val="nil"/>
                  </w:tcBorders>
                  <w:noWrap w:val="0"/>
                  <w:vAlign w:val="center"/>
                </w:tcPr>
                <w:p w14:paraId="52483D63">
                  <w:pPr>
                    <w:jc w:val="center"/>
                  </w:pPr>
                </w:p>
              </w:tc>
              <w:tc>
                <w:tcPr>
                  <w:tcW w:w="597" w:type="pct"/>
                  <w:vMerge w:val="continue"/>
                  <w:tcBorders>
                    <w:tl2br w:val="nil"/>
                    <w:tr2bl w:val="nil"/>
                  </w:tcBorders>
                  <w:noWrap w:val="0"/>
                  <w:vAlign w:val="center"/>
                </w:tcPr>
                <w:p w14:paraId="6FCD1191">
                  <w:pPr>
                    <w:jc w:val="center"/>
                  </w:pPr>
                </w:p>
              </w:tc>
              <w:tc>
                <w:tcPr>
                  <w:tcW w:w="264" w:type="pct"/>
                  <w:vMerge w:val="continue"/>
                  <w:tcBorders>
                    <w:tl2br w:val="nil"/>
                    <w:tr2bl w:val="nil"/>
                  </w:tcBorders>
                  <w:noWrap w:val="0"/>
                  <w:textDirection w:val="tbRlV"/>
                  <w:vAlign w:val="center"/>
                </w:tcPr>
                <w:p w14:paraId="0B4835DB">
                  <w:pPr>
                    <w:jc w:val="center"/>
                  </w:pPr>
                </w:p>
              </w:tc>
              <w:tc>
                <w:tcPr>
                  <w:tcW w:w="178" w:type="pct"/>
                  <w:vMerge w:val="continue"/>
                  <w:tcBorders>
                    <w:tl2br w:val="nil"/>
                    <w:tr2bl w:val="nil"/>
                  </w:tcBorders>
                  <w:noWrap w:val="0"/>
                  <w:vAlign w:val="center"/>
                </w:tcPr>
                <w:p w14:paraId="1C409151">
                  <w:pPr>
                    <w:jc w:val="center"/>
                  </w:pPr>
                </w:p>
              </w:tc>
              <w:tc>
                <w:tcPr>
                  <w:tcW w:w="242" w:type="pct"/>
                  <w:vMerge w:val="continue"/>
                  <w:tcBorders>
                    <w:tl2br w:val="nil"/>
                    <w:tr2bl w:val="nil"/>
                  </w:tcBorders>
                  <w:noWrap w:val="0"/>
                  <w:vAlign w:val="center"/>
                </w:tcPr>
                <w:p w14:paraId="695D135B">
                  <w:pPr>
                    <w:jc w:val="center"/>
                  </w:pPr>
                </w:p>
              </w:tc>
              <w:tc>
                <w:tcPr>
                  <w:tcW w:w="153" w:type="pct"/>
                  <w:vMerge w:val="continue"/>
                  <w:tcBorders>
                    <w:tl2br w:val="nil"/>
                    <w:tr2bl w:val="nil"/>
                  </w:tcBorders>
                  <w:noWrap w:val="0"/>
                  <w:vAlign w:val="center"/>
                </w:tcPr>
                <w:p w14:paraId="72A2951D">
                  <w:pPr>
                    <w:jc w:val="center"/>
                  </w:pPr>
                </w:p>
              </w:tc>
              <w:tc>
                <w:tcPr>
                  <w:tcW w:w="168" w:type="pct"/>
                  <w:tcBorders>
                    <w:tl2br w:val="nil"/>
                    <w:tr2bl w:val="nil"/>
                  </w:tcBorders>
                  <w:noWrap w:val="0"/>
                  <w:vAlign w:val="center"/>
                </w:tcPr>
                <w:p w14:paraId="43035D5F">
                  <w:pPr>
                    <w:jc w:val="center"/>
                  </w:pPr>
                  <w:r>
                    <w:t>南</w:t>
                  </w:r>
                </w:p>
              </w:tc>
              <w:tc>
                <w:tcPr>
                  <w:tcW w:w="232" w:type="pct"/>
                  <w:tcBorders>
                    <w:tl2br w:val="nil"/>
                    <w:tr2bl w:val="nil"/>
                  </w:tcBorders>
                  <w:noWrap w:val="0"/>
                  <w:vAlign w:val="center"/>
                </w:tcPr>
                <w:p w14:paraId="63930347">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2</w:t>
                  </w:r>
                </w:p>
              </w:tc>
              <w:tc>
                <w:tcPr>
                  <w:tcW w:w="597" w:type="pct"/>
                  <w:tcBorders>
                    <w:tl2br w:val="nil"/>
                    <w:tr2bl w:val="nil"/>
                  </w:tcBorders>
                  <w:noWrap w:val="0"/>
                  <w:vAlign w:val="center"/>
                </w:tcPr>
                <w:p w14:paraId="2A1D83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74.0 </w:t>
                  </w:r>
                </w:p>
              </w:tc>
              <w:tc>
                <w:tcPr>
                  <w:tcW w:w="366" w:type="pct"/>
                  <w:vMerge w:val="continue"/>
                  <w:tcBorders>
                    <w:tl2br w:val="nil"/>
                    <w:tr2bl w:val="nil"/>
                  </w:tcBorders>
                  <w:noWrap w:val="0"/>
                  <w:vAlign w:val="center"/>
                </w:tcPr>
                <w:p w14:paraId="67FF50F5">
                  <w:pPr>
                    <w:jc w:val="center"/>
                  </w:pPr>
                </w:p>
              </w:tc>
              <w:tc>
                <w:tcPr>
                  <w:tcW w:w="598" w:type="pct"/>
                  <w:tcBorders>
                    <w:tl2br w:val="nil"/>
                    <w:tr2bl w:val="nil"/>
                  </w:tcBorders>
                  <w:noWrap w:val="0"/>
                  <w:vAlign w:val="center"/>
                </w:tcPr>
                <w:p w14:paraId="703AE549">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5E03F90A">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54.0 </w:t>
                  </w:r>
                </w:p>
              </w:tc>
              <w:tc>
                <w:tcPr>
                  <w:tcW w:w="274" w:type="pct"/>
                  <w:tcBorders>
                    <w:tl2br w:val="nil"/>
                    <w:tr2bl w:val="nil"/>
                  </w:tcBorders>
                  <w:noWrap w:val="0"/>
                  <w:vAlign w:val="center"/>
                </w:tcPr>
                <w:p w14:paraId="20C3288E">
                  <w:pPr>
                    <w:jc w:val="center"/>
                  </w:pPr>
                  <w:r>
                    <w:t>1m</w:t>
                  </w:r>
                </w:p>
              </w:tc>
            </w:tr>
            <w:tr w14:paraId="25E0B85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87" w:type="pct"/>
                  <w:vMerge w:val="continue"/>
                  <w:tcBorders>
                    <w:tl2br w:val="nil"/>
                    <w:tr2bl w:val="nil"/>
                  </w:tcBorders>
                  <w:noWrap w:val="0"/>
                  <w:vAlign w:val="center"/>
                </w:tcPr>
                <w:p w14:paraId="63D0721C">
                  <w:pPr>
                    <w:jc w:val="center"/>
                  </w:pPr>
                </w:p>
              </w:tc>
              <w:tc>
                <w:tcPr>
                  <w:tcW w:w="260" w:type="pct"/>
                  <w:vMerge w:val="continue"/>
                  <w:tcBorders>
                    <w:tl2br w:val="nil"/>
                    <w:tr2bl w:val="nil"/>
                  </w:tcBorders>
                  <w:noWrap w:val="0"/>
                  <w:vAlign w:val="center"/>
                </w:tcPr>
                <w:p w14:paraId="0CCC5CE5">
                  <w:pPr>
                    <w:jc w:val="center"/>
                  </w:pPr>
                </w:p>
              </w:tc>
              <w:tc>
                <w:tcPr>
                  <w:tcW w:w="279" w:type="pct"/>
                  <w:vMerge w:val="continue"/>
                  <w:tcBorders>
                    <w:tl2br w:val="nil"/>
                    <w:tr2bl w:val="nil"/>
                  </w:tcBorders>
                  <w:noWrap w:val="0"/>
                  <w:vAlign w:val="center"/>
                </w:tcPr>
                <w:p w14:paraId="76B7B26A">
                  <w:pPr>
                    <w:jc w:val="center"/>
                  </w:pPr>
                </w:p>
              </w:tc>
              <w:tc>
                <w:tcPr>
                  <w:tcW w:w="597" w:type="pct"/>
                  <w:vMerge w:val="continue"/>
                  <w:tcBorders>
                    <w:tl2br w:val="nil"/>
                    <w:tr2bl w:val="nil"/>
                  </w:tcBorders>
                  <w:noWrap w:val="0"/>
                  <w:vAlign w:val="center"/>
                </w:tcPr>
                <w:p w14:paraId="60E75D4A">
                  <w:pPr>
                    <w:jc w:val="center"/>
                  </w:pPr>
                </w:p>
              </w:tc>
              <w:tc>
                <w:tcPr>
                  <w:tcW w:w="264" w:type="pct"/>
                  <w:vMerge w:val="continue"/>
                  <w:tcBorders>
                    <w:tl2br w:val="nil"/>
                    <w:tr2bl w:val="nil"/>
                  </w:tcBorders>
                  <w:noWrap w:val="0"/>
                  <w:textDirection w:val="tbRlV"/>
                  <w:vAlign w:val="center"/>
                </w:tcPr>
                <w:p w14:paraId="2BA76091">
                  <w:pPr>
                    <w:jc w:val="center"/>
                  </w:pPr>
                </w:p>
              </w:tc>
              <w:tc>
                <w:tcPr>
                  <w:tcW w:w="178" w:type="pct"/>
                  <w:vMerge w:val="continue"/>
                  <w:tcBorders>
                    <w:tl2br w:val="nil"/>
                    <w:tr2bl w:val="nil"/>
                  </w:tcBorders>
                  <w:noWrap w:val="0"/>
                  <w:vAlign w:val="center"/>
                </w:tcPr>
                <w:p w14:paraId="5DD4FA27">
                  <w:pPr>
                    <w:jc w:val="center"/>
                  </w:pPr>
                </w:p>
              </w:tc>
              <w:tc>
                <w:tcPr>
                  <w:tcW w:w="242" w:type="pct"/>
                  <w:vMerge w:val="continue"/>
                  <w:tcBorders>
                    <w:tl2br w:val="nil"/>
                    <w:tr2bl w:val="nil"/>
                  </w:tcBorders>
                  <w:noWrap w:val="0"/>
                  <w:vAlign w:val="center"/>
                </w:tcPr>
                <w:p w14:paraId="46988825">
                  <w:pPr>
                    <w:jc w:val="center"/>
                  </w:pPr>
                </w:p>
              </w:tc>
              <w:tc>
                <w:tcPr>
                  <w:tcW w:w="153" w:type="pct"/>
                  <w:vMerge w:val="continue"/>
                  <w:tcBorders>
                    <w:tl2br w:val="nil"/>
                    <w:tr2bl w:val="nil"/>
                  </w:tcBorders>
                  <w:noWrap w:val="0"/>
                  <w:vAlign w:val="center"/>
                </w:tcPr>
                <w:p w14:paraId="0FF76F61">
                  <w:pPr>
                    <w:jc w:val="center"/>
                  </w:pPr>
                </w:p>
              </w:tc>
              <w:tc>
                <w:tcPr>
                  <w:tcW w:w="168" w:type="pct"/>
                  <w:tcBorders>
                    <w:tl2br w:val="nil"/>
                    <w:tr2bl w:val="nil"/>
                  </w:tcBorders>
                  <w:noWrap w:val="0"/>
                  <w:vAlign w:val="center"/>
                </w:tcPr>
                <w:p w14:paraId="2072F259">
                  <w:pPr>
                    <w:jc w:val="center"/>
                  </w:pPr>
                  <w:r>
                    <w:t>西</w:t>
                  </w:r>
                </w:p>
              </w:tc>
              <w:tc>
                <w:tcPr>
                  <w:tcW w:w="232" w:type="pct"/>
                  <w:tcBorders>
                    <w:tl2br w:val="nil"/>
                    <w:tr2bl w:val="nil"/>
                  </w:tcBorders>
                  <w:noWrap w:val="0"/>
                  <w:vAlign w:val="center"/>
                </w:tcPr>
                <w:p w14:paraId="53021F6D">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45</w:t>
                  </w:r>
                </w:p>
              </w:tc>
              <w:tc>
                <w:tcPr>
                  <w:tcW w:w="597" w:type="pct"/>
                  <w:tcBorders>
                    <w:tl2br w:val="nil"/>
                    <w:tr2bl w:val="nil"/>
                  </w:tcBorders>
                  <w:noWrap w:val="0"/>
                  <w:vAlign w:val="center"/>
                </w:tcPr>
                <w:p w14:paraId="457265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46.9 </w:t>
                  </w:r>
                </w:p>
              </w:tc>
              <w:tc>
                <w:tcPr>
                  <w:tcW w:w="366" w:type="pct"/>
                  <w:vMerge w:val="continue"/>
                  <w:tcBorders>
                    <w:tl2br w:val="nil"/>
                    <w:tr2bl w:val="nil"/>
                  </w:tcBorders>
                  <w:noWrap w:val="0"/>
                  <w:vAlign w:val="center"/>
                </w:tcPr>
                <w:p w14:paraId="3856546E">
                  <w:pPr>
                    <w:jc w:val="center"/>
                  </w:pPr>
                </w:p>
              </w:tc>
              <w:tc>
                <w:tcPr>
                  <w:tcW w:w="598" w:type="pct"/>
                  <w:tcBorders>
                    <w:tl2br w:val="nil"/>
                    <w:tr2bl w:val="nil"/>
                  </w:tcBorders>
                  <w:noWrap w:val="0"/>
                  <w:vAlign w:val="center"/>
                </w:tcPr>
                <w:p w14:paraId="1FBC00A1">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2C33A36F">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26.9 </w:t>
                  </w:r>
                </w:p>
              </w:tc>
              <w:tc>
                <w:tcPr>
                  <w:tcW w:w="274" w:type="pct"/>
                  <w:tcBorders>
                    <w:tl2br w:val="nil"/>
                    <w:tr2bl w:val="nil"/>
                  </w:tcBorders>
                  <w:noWrap w:val="0"/>
                  <w:vAlign w:val="center"/>
                </w:tcPr>
                <w:p w14:paraId="6529BC05">
                  <w:pPr>
                    <w:jc w:val="center"/>
                  </w:pPr>
                  <w:r>
                    <w:t>1m</w:t>
                  </w:r>
                </w:p>
              </w:tc>
            </w:tr>
            <w:tr w14:paraId="4D8003E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87" w:type="pct"/>
                  <w:vMerge w:val="continue"/>
                  <w:tcBorders>
                    <w:tl2br w:val="nil"/>
                    <w:tr2bl w:val="nil"/>
                  </w:tcBorders>
                  <w:noWrap w:val="0"/>
                  <w:vAlign w:val="center"/>
                </w:tcPr>
                <w:p w14:paraId="46E424B7">
                  <w:pPr>
                    <w:jc w:val="center"/>
                  </w:pPr>
                </w:p>
              </w:tc>
              <w:tc>
                <w:tcPr>
                  <w:tcW w:w="260" w:type="pct"/>
                  <w:vMerge w:val="continue"/>
                  <w:tcBorders>
                    <w:tl2br w:val="nil"/>
                    <w:tr2bl w:val="nil"/>
                  </w:tcBorders>
                  <w:noWrap w:val="0"/>
                  <w:vAlign w:val="center"/>
                </w:tcPr>
                <w:p w14:paraId="78C45755">
                  <w:pPr>
                    <w:jc w:val="center"/>
                  </w:pPr>
                </w:p>
              </w:tc>
              <w:tc>
                <w:tcPr>
                  <w:tcW w:w="279" w:type="pct"/>
                  <w:vMerge w:val="continue"/>
                  <w:tcBorders>
                    <w:tl2br w:val="nil"/>
                    <w:tr2bl w:val="nil"/>
                  </w:tcBorders>
                  <w:noWrap w:val="0"/>
                  <w:vAlign w:val="center"/>
                </w:tcPr>
                <w:p w14:paraId="35BF0AEF">
                  <w:pPr>
                    <w:jc w:val="center"/>
                  </w:pPr>
                </w:p>
              </w:tc>
              <w:tc>
                <w:tcPr>
                  <w:tcW w:w="597" w:type="pct"/>
                  <w:vMerge w:val="continue"/>
                  <w:tcBorders>
                    <w:tl2br w:val="nil"/>
                    <w:tr2bl w:val="nil"/>
                  </w:tcBorders>
                  <w:noWrap w:val="0"/>
                  <w:vAlign w:val="center"/>
                </w:tcPr>
                <w:p w14:paraId="651C23A2">
                  <w:pPr>
                    <w:jc w:val="center"/>
                  </w:pPr>
                </w:p>
              </w:tc>
              <w:tc>
                <w:tcPr>
                  <w:tcW w:w="264" w:type="pct"/>
                  <w:vMerge w:val="continue"/>
                  <w:tcBorders>
                    <w:tl2br w:val="nil"/>
                    <w:tr2bl w:val="nil"/>
                  </w:tcBorders>
                  <w:noWrap w:val="0"/>
                  <w:textDirection w:val="tbRlV"/>
                  <w:vAlign w:val="center"/>
                </w:tcPr>
                <w:p w14:paraId="7510977E">
                  <w:pPr>
                    <w:jc w:val="center"/>
                  </w:pPr>
                </w:p>
              </w:tc>
              <w:tc>
                <w:tcPr>
                  <w:tcW w:w="178" w:type="pct"/>
                  <w:vMerge w:val="continue"/>
                  <w:tcBorders>
                    <w:tl2br w:val="nil"/>
                    <w:tr2bl w:val="nil"/>
                  </w:tcBorders>
                  <w:noWrap w:val="0"/>
                  <w:vAlign w:val="center"/>
                </w:tcPr>
                <w:p w14:paraId="01AA1486">
                  <w:pPr>
                    <w:jc w:val="center"/>
                  </w:pPr>
                </w:p>
              </w:tc>
              <w:tc>
                <w:tcPr>
                  <w:tcW w:w="242" w:type="pct"/>
                  <w:vMerge w:val="continue"/>
                  <w:tcBorders>
                    <w:tl2br w:val="nil"/>
                    <w:tr2bl w:val="nil"/>
                  </w:tcBorders>
                  <w:noWrap w:val="0"/>
                  <w:vAlign w:val="center"/>
                </w:tcPr>
                <w:p w14:paraId="61268BDA">
                  <w:pPr>
                    <w:jc w:val="center"/>
                  </w:pPr>
                </w:p>
              </w:tc>
              <w:tc>
                <w:tcPr>
                  <w:tcW w:w="153" w:type="pct"/>
                  <w:vMerge w:val="continue"/>
                  <w:tcBorders>
                    <w:tl2br w:val="nil"/>
                    <w:tr2bl w:val="nil"/>
                  </w:tcBorders>
                  <w:noWrap w:val="0"/>
                  <w:vAlign w:val="center"/>
                </w:tcPr>
                <w:p w14:paraId="3F2501B7">
                  <w:pPr>
                    <w:jc w:val="center"/>
                  </w:pPr>
                </w:p>
              </w:tc>
              <w:tc>
                <w:tcPr>
                  <w:tcW w:w="168" w:type="pct"/>
                  <w:tcBorders>
                    <w:tl2br w:val="nil"/>
                    <w:tr2bl w:val="nil"/>
                  </w:tcBorders>
                  <w:noWrap w:val="0"/>
                  <w:vAlign w:val="center"/>
                </w:tcPr>
                <w:p w14:paraId="19E1F78A">
                  <w:pPr>
                    <w:jc w:val="center"/>
                  </w:pPr>
                  <w:r>
                    <w:t>北</w:t>
                  </w:r>
                </w:p>
              </w:tc>
              <w:tc>
                <w:tcPr>
                  <w:tcW w:w="232" w:type="pct"/>
                  <w:tcBorders>
                    <w:tl2br w:val="nil"/>
                    <w:tr2bl w:val="nil"/>
                  </w:tcBorders>
                  <w:noWrap w:val="0"/>
                  <w:vAlign w:val="center"/>
                </w:tcPr>
                <w:p w14:paraId="6BE5AF60">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16</w:t>
                  </w:r>
                </w:p>
              </w:tc>
              <w:tc>
                <w:tcPr>
                  <w:tcW w:w="597" w:type="pct"/>
                  <w:tcBorders>
                    <w:tl2br w:val="nil"/>
                    <w:tr2bl w:val="nil"/>
                  </w:tcBorders>
                  <w:noWrap w:val="0"/>
                  <w:vAlign w:val="center"/>
                </w:tcPr>
                <w:p w14:paraId="021CA9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55.9 </w:t>
                  </w:r>
                </w:p>
              </w:tc>
              <w:tc>
                <w:tcPr>
                  <w:tcW w:w="366" w:type="pct"/>
                  <w:vMerge w:val="continue"/>
                  <w:tcBorders>
                    <w:tl2br w:val="nil"/>
                    <w:tr2bl w:val="nil"/>
                  </w:tcBorders>
                  <w:noWrap w:val="0"/>
                  <w:vAlign w:val="center"/>
                </w:tcPr>
                <w:p w14:paraId="69F7A6EC">
                  <w:pPr>
                    <w:jc w:val="center"/>
                  </w:pPr>
                </w:p>
              </w:tc>
              <w:tc>
                <w:tcPr>
                  <w:tcW w:w="598" w:type="pct"/>
                  <w:tcBorders>
                    <w:tl2br w:val="nil"/>
                    <w:tr2bl w:val="nil"/>
                  </w:tcBorders>
                  <w:noWrap w:val="0"/>
                  <w:vAlign w:val="center"/>
                </w:tcPr>
                <w:p w14:paraId="7AA62694">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7C15A989">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35.9 </w:t>
                  </w:r>
                </w:p>
              </w:tc>
              <w:tc>
                <w:tcPr>
                  <w:tcW w:w="274" w:type="pct"/>
                  <w:tcBorders>
                    <w:tl2br w:val="nil"/>
                    <w:tr2bl w:val="nil"/>
                  </w:tcBorders>
                  <w:noWrap w:val="0"/>
                  <w:vAlign w:val="center"/>
                </w:tcPr>
                <w:p w14:paraId="2767E6EE">
                  <w:pPr>
                    <w:jc w:val="center"/>
                  </w:pPr>
                  <w:r>
                    <w:t>1m</w:t>
                  </w:r>
                </w:p>
              </w:tc>
            </w:tr>
            <w:tr w14:paraId="0B6D479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87" w:type="pct"/>
                  <w:vMerge w:val="restart"/>
                  <w:tcBorders>
                    <w:tl2br w:val="nil"/>
                    <w:tr2bl w:val="nil"/>
                  </w:tcBorders>
                  <w:noWrap w:val="0"/>
                  <w:vAlign w:val="center"/>
                </w:tcPr>
                <w:p w14:paraId="5DDDE0E0">
                  <w:pPr>
                    <w:jc w:val="center"/>
                  </w:pPr>
                  <w:r>
                    <w:t>3</w:t>
                  </w:r>
                </w:p>
              </w:tc>
              <w:tc>
                <w:tcPr>
                  <w:tcW w:w="260" w:type="pct"/>
                  <w:vMerge w:val="restart"/>
                  <w:tcBorders>
                    <w:tl2br w:val="nil"/>
                    <w:tr2bl w:val="nil"/>
                  </w:tcBorders>
                  <w:noWrap w:val="0"/>
                  <w:vAlign w:val="center"/>
                </w:tcPr>
                <w:p w14:paraId="24B8582A">
                  <w:pPr>
                    <w:jc w:val="center"/>
                  </w:pPr>
                  <w:r>
                    <w:rPr>
                      <w:rFonts w:hint="eastAsia"/>
                      <w:lang w:val="en-US" w:eastAsia="zh-CN"/>
                    </w:rPr>
                    <w:t>11栋1F</w:t>
                  </w:r>
                </w:p>
              </w:tc>
              <w:tc>
                <w:tcPr>
                  <w:tcW w:w="279" w:type="pct"/>
                  <w:vMerge w:val="restart"/>
                  <w:tcBorders>
                    <w:tl2br w:val="nil"/>
                    <w:tr2bl w:val="nil"/>
                  </w:tcBorders>
                  <w:noWrap w:val="0"/>
                  <w:vAlign w:val="center"/>
                </w:tcPr>
                <w:p w14:paraId="6734A091">
                  <w:pPr>
                    <w:jc w:val="center"/>
                    <w:rPr>
                      <w:rFonts w:hint="default" w:eastAsia="宋体"/>
                      <w:lang w:val="en-US" w:eastAsia="zh-CN"/>
                    </w:rPr>
                  </w:pPr>
                  <w:r>
                    <w:rPr>
                      <w:rFonts w:hint="eastAsia" w:hAnsi="Calibri"/>
                      <w:color w:val="000000"/>
                      <w:szCs w:val="21"/>
                      <w:lang w:val="en-US" w:eastAsia="zh-CN"/>
                    </w:rPr>
                    <w:t>切</w:t>
                  </w:r>
                  <w:r>
                    <w:rPr>
                      <w:rFonts w:hint="eastAsia" w:hAnsi="Calibri" w:eastAsia="宋体"/>
                      <w:color w:val="000000"/>
                      <w:szCs w:val="21"/>
                      <w:lang w:val="en-US" w:eastAsia="zh-CN"/>
                    </w:rPr>
                    <w:t>料机</w:t>
                  </w:r>
                </w:p>
              </w:tc>
              <w:tc>
                <w:tcPr>
                  <w:tcW w:w="597" w:type="pct"/>
                  <w:vMerge w:val="restart"/>
                  <w:tcBorders>
                    <w:tl2br w:val="nil"/>
                    <w:tr2bl w:val="nil"/>
                  </w:tcBorders>
                  <w:noWrap w:val="0"/>
                  <w:vAlign w:val="center"/>
                </w:tcPr>
                <w:p w14:paraId="01EF6BD7">
                  <w:pPr>
                    <w:jc w:val="center"/>
                  </w:pPr>
                  <w:r>
                    <w:rPr>
                      <w:rFonts w:hint="eastAsia"/>
                      <w:lang w:val="en-US" w:eastAsia="zh-CN"/>
                    </w:rPr>
                    <w:t>80</w:t>
                  </w:r>
                  <w:r>
                    <w:t>/1</w:t>
                  </w:r>
                </w:p>
              </w:tc>
              <w:tc>
                <w:tcPr>
                  <w:tcW w:w="264" w:type="pct"/>
                  <w:vMerge w:val="continue"/>
                  <w:tcBorders>
                    <w:tl2br w:val="nil"/>
                    <w:tr2bl w:val="nil"/>
                  </w:tcBorders>
                  <w:noWrap w:val="0"/>
                  <w:textDirection w:val="tbRlV"/>
                  <w:vAlign w:val="center"/>
                </w:tcPr>
                <w:p w14:paraId="20CF753E">
                  <w:pPr>
                    <w:jc w:val="center"/>
                  </w:pPr>
                </w:p>
              </w:tc>
              <w:tc>
                <w:tcPr>
                  <w:tcW w:w="178" w:type="pct"/>
                  <w:vMerge w:val="restart"/>
                  <w:tcBorders>
                    <w:tl2br w:val="nil"/>
                    <w:tr2bl w:val="nil"/>
                  </w:tcBorders>
                  <w:noWrap w:val="0"/>
                  <w:vAlign w:val="center"/>
                </w:tcPr>
                <w:p w14:paraId="25E44EE7">
                  <w:pPr>
                    <w:jc w:val="center"/>
                    <w:rPr>
                      <w:rFonts w:hint="default" w:eastAsia="宋体"/>
                      <w:lang w:val="en-US" w:eastAsia="zh-CN"/>
                    </w:rPr>
                  </w:pPr>
                  <w:r>
                    <w:rPr>
                      <w:rFonts w:hint="eastAsia" w:cs="Times New Roman"/>
                      <w:color w:val="000000"/>
                      <w:kern w:val="2"/>
                      <w:sz w:val="21"/>
                      <w:szCs w:val="21"/>
                      <w:lang w:val="en-US" w:eastAsia="zh-CN" w:bidi="ar-SA"/>
                    </w:rPr>
                    <w:t>3</w:t>
                  </w:r>
                </w:p>
              </w:tc>
              <w:tc>
                <w:tcPr>
                  <w:tcW w:w="242" w:type="pct"/>
                  <w:vMerge w:val="restart"/>
                  <w:tcBorders>
                    <w:tl2br w:val="nil"/>
                    <w:tr2bl w:val="nil"/>
                  </w:tcBorders>
                  <w:noWrap w:val="0"/>
                  <w:vAlign w:val="center"/>
                </w:tcPr>
                <w:p w14:paraId="783A39B1">
                  <w:pPr>
                    <w:jc w:val="center"/>
                    <w:rPr>
                      <w:rFonts w:hint="default"/>
                      <w:lang w:val="en-US"/>
                    </w:rPr>
                  </w:pPr>
                  <w:r>
                    <w:rPr>
                      <w:rFonts w:hint="eastAsia" w:cs="Times New Roman"/>
                      <w:color w:val="000000"/>
                      <w:kern w:val="2"/>
                      <w:sz w:val="21"/>
                      <w:szCs w:val="21"/>
                      <w:lang w:val="en-US" w:eastAsia="zh-CN" w:bidi="ar-SA"/>
                    </w:rPr>
                    <w:t>-30</w:t>
                  </w:r>
                </w:p>
              </w:tc>
              <w:tc>
                <w:tcPr>
                  <w:tcW w:w="153" w:type="pct"/>
                  <w:vMerge w:val="restart"/>
                  <w:tcBorders>
                    <w:tl2br w:val="nil"/>
                    <w:tr2bl w:val="nil"/>
                  </w:tcBorders>
                  <w:noWrap w:val="0"/>
                  <w:vAlign w:val="center"/>
                </w:tcPr>
                <w:p w14:paraId="378FC7A6">
                  <w:pPr>
                    <w:jc w:val="center"/>
                    <w:rPr>
                      <w:rFonts w:hint="eastAsia" w:eastAsia="宋体"/>
                      <w:lang w:eastAsia="zh-CN"/>
                    </w:rPr>
                  </w:pPr>
                  <w:r>
                    <w:rPr>
                      <w:rFonts w:hint="eastAsia" w:cs="Times New Roman"/>
                      <w:color w:val="000000"/>
                      <w:kern w:val="2"/>
                      <w:sz w:val="21"/>
                      <w:szCs w:val="21"/>
                      <w:lang w:val="en-US" w:eastAsia="zh-CN" w:bidi="ar-SA"/>
                    </w:rPr>
                    <w:t>1</w:t>
                  </w:r>
                </w:p>
              </w:tc>
              <w:tc>
                <w:tcPr>
                  <w:tcW w:w="168" w:type="pct"/>
                  <w:tcBorders>
                    <w:tl2br w:val="nil"/>
                    <w:tr2bl w:val="nil"/>
                  </w:tcBorders>
                  <w:noWrap w:val="0"/>
                  <w:vAlign w:val="center"/>
                </w:tcPr>
                <w:p w14:paraId="2B23C778">
                  <w:pPr>
                    <w:jc w:val="center"/>
                  </w:pPr>
                  <w:r>
                    <w:t>东</w:t>
                  </w:r>
                </w:p>
              </w:tc>
              <w:tc>
                <w:tcPr>
                  <w:tcW w:w="232" w:type="pct"/>
                  <w:tcBorders>
                    <w:tl2br w:val="nil"/>
                    <w:tr2bl w:val="nil"/>
                  </w:tcBorders>
                  <w:noWrap w:val="0"/>
                  <w:vAlign w:val="center"/>
                </w:tcPr>
                <w:p w14:paraId="242D2AAF">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32</w:t>
                  </w:r>
                </w:p>
              </w:tc>
              <w:tc>
                <w:tcPr>
                  <w:tcW w:w="597" w:type="pct"/>
                  <w:tcBorders>
                    <w:tl2br w:val="nil"/>
                    <w:tr2bl w:val="nil"/>
                  </w:tcBorders>
                  <w:noWrap w:val="0"/>
                  <w:vAlign w:val="center"/>
                </w:tcPr>
                <w:p w14:paraId="46FA33F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49.9 </w:t>
                  </w:r>
                </w:p>
              </w:tc>
              <w:tc>
                <w:tcPr>
                  <w:tcW w:w="366" w:type="pct"/>
                  <w:vMerge w:val="continue"/>
                  <w:tcBorders>
                    <w:tl2br w:val="nil"/>
                    <w:tr2bl w:val="nil"/>
                  </w:tcBorders>
                  <w:noWrap w:val="0"/>
                  <w:vAlign w:val="center"/>
                </w:tcPr>
                <w:p w14:paraId="2BCA38C5">
                  <w:pPr>
                    <w:jc w:val="center"/>
                  </w:pPr>
                </w:p>
              </w:tc>
              <w:tc>
                <w:tcPr>
                  <w:tcW w:w="598" w:type="pct"/>
                  <w:tcBorders>
                    <w:tl2br w:val="nil"/>
                    <w:tr2bl w:val="nil"/>
                  </w:tcBorders>
                  <w:noWrap w:val="0"/>
                  <w:vAlign w:val="center"/>
                </w:tcPr>
                <w:p w14:paraId="7979AC3B">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5D298C39">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29.9 </w:t>
                  </w:r>
                </w:p>
              </w:tc>
              <w:tc>
                <w:tcPr>
                  <w:tcW w:w="274" w:type="pct"/>
                  <w:tcBorders>
                    <w:tl2br w:val="nil"/>
                    <w:tr2bl w:val="nil"/>
                  </w:tcBorders>
                  <w:noWrap w:val="0"/>
                  <w:vAlign w:val="center"/>
                </w:tcPr>
                <w:p w14:paraId="2B5A347B">
                  <w:pPr>
                    <w:jc w:val="center"/>
                  </w:pPr>
                  <w:r>
                    <w:t>1m</w:t>
                  </w:r>
                </w:p>
              </w:tc>
            </w:tr>
            <w:tr w14:paraId="374B989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87" w:type="pct"/>
                  <w:vMerge w:val="continue"/>
                  <w:tcBorders>
                    <w:tl2br w:val="nil"/>
                    <w:tr2bl w:val="nil"/>
                  </w:tcBorders>
                  <w:noWrap w:val="0"/>
                  <w:vAlign w:val="center"/>
                </w:tcPr>
                <w:p w14:paraId="6F1E4284">
                  <w:pPr>
                    <w:jc w:val="center"/>
                  </w:pPr>
                </w:p>
              </w:tc>
              <w:tc>
                <w:tcPr>
                  <w:tcW w:w="260" w:type="pct"/>
                  <w:vMerge w:val="continue"/>
                  <w:tcBorders>
                    <w:tl2br w:val="nil"/>
                    <w:tr2bl w:val="nil"/>
                  </w:tcBorders>
                  <w:noWrap w:val="0"/>
                  <w:vAlign w:val="center"/>
                </w:tcPr>
                <w:p w14:paraId="448CF144">
                  <w:pPr>
                    <w:jc w:val="center"/>
                  </w:pPr>
                </w:p>
              </w:tc>
              <w:tc>
                <w:tcPr>
                  <w:tcW w:w="279" w:type="pct"/>
                  <w:vMerge w:val="continue"/>
                  <w:tcBorders>
                    <w:tl2br w:val="nil"/>
                    <w:tr2bl w:val="nil"/>
                  </w:tcBorders>
                  <w:noWrap w:val="0"/>
                  <w:vAlign w:val="center"/>
                </w:tcPr>
                <w:p w14:paraId="0474946F">
                  <w:pPr>
                    <w:jc w:val="center"/>
                  </w:pPr>
                </w:p>
              </w:tc>
              <w:tc>
                <w:tcPr>
                  <w:tcW w:w="597" w:type="pct"/>
                  <w:vMerge w:val="continue"/>
                  <w:tcBorders>
                    <w:tl2br w:val="nil"/>
                    <w:tr2bl w:val="nil"/>
                  </w:tcBorders>
                  <w:noWrap w:val="0"/>
                  <w:vAlign w:val="center"/>
                </w:tcPr>
                <w:p w14:paraId="13795565">
                  <w:pPr>
                    <w:jc w:val="center"/>
                  </w:pPr>
                </w:p>
              </w:tc>
              <w:tc>
                <w:tcPr>
                  <w:tcW w:w="264" w:type="pct"/>
                  <w:vMerge w:val="continue"/>
                  <w:tcBorders>
                    <w:tl2br w:val="nil"/>
                    <w:tr2bl w:val="nil"/>
                  </w:tcBorders>
                  <w:noWrap w:val="0"/>
                  <w:textDirection w:val="tbRlV"/>
                  <w:vAlign w:val="center"/>
                </w:tcPr>
                <w:p w14:paraId="2B12947D">
                  <w:pPr>
                    <w:jc w:val="center"/>
                  </w:pPr>
                </w:p>
              </w:tc>
              <w:tc>
                <w:tcPr>
                  <w:tcW w:w="178" w:type="pct"/>
                  <w:vMerge w:val="continue"/>
                  <w:tcBorders>
                    <w:tl2br w:val="nil"/>
                    <w:tr2bl w:val="nil"/>
                  </w:tcBorders>
                  <w:noWrap w:val="0"/>
                  <w:vAlign w:val="center"/>
                </w:tcPr>
                <w:p w14:paraId="248D67CD">
                  <w:pPr>
                    <w:jc w:val="center"/>
                  </w:pPr>
                </w:p>
              </w:tc>
              <w:tc>
                <w:tcPr>
                  <w:tcW w:w="242" w:type="pct"/>
                  <w:vMerge w:val="continue"/>
                  <w:tcBorders>
                    <w:tl2br w:val="nil"/>
                    <w:tr2bl w:val="nil"/>
                  </w:tcBorders>
                  <w:noWrap w:val="0"/>
                  <w:vAlign w:val="center"/>
                </w:tcPr>
                <w:p w14:paraId="0D72E5F8">
                  <w:pPr>
                    <w:jc w:val="center"/>
                  </w:pPr>
                </w:p>
              </w:tc>
              <w:tc>
                <w:tcPr>
                  <w:tcW w:w="153" w:type="pct"/>
                  <w:vMerge w:val="continue"/>
                  <w:tcBorders>
                    <w:tl2br w:val="nil"/>
                    <w:tr2bl w:val="nil"/>
                  </w:tcBorders>
                  <w:noWrap w:val="0"/>
                  <w:vAlign w:val="center"/>
                </w:tcPr>
                <w:p w14:paraId="0F6556B2">
                  <w:pPr>
                    <w:jc w:val="center"/>
                  </w:pPr>
                </w:p>
              </w:tc>
              <w:tc>
                <w:tcPr>
                  <w:tcW w:w="168" w:type="pct"/>
                  <w:tcBorders>
                    <w:tl2br w:val="nil"/>
                    <w:tr2bl w:val="nil"/>
                  </w:tcBorders>
                  <w:noWrap w:val="0"/>
                  <w:vAlign w:val="center"/>
                </w:tcPr>
                <w:p w14:paraId="3CE3CB44">
                  <w:pPr>
                    <w:jc w:val="center"/>
                  </w:pPr>
                  <w:r>
                    <w:t>南</w:t>
                  </w:r>
                </w:p>
              </w:tc>
              <w:tc>
                <w:tcPr>
                  <w:tcW w:w="232" w:type="pct"/>
                  <w:tcBorders>
                    <w:tl2br w:val="nil"/>
                    <w:tr2bl w:val="nil"/>
                  </w:tcBorders>
                  <w:noWrap w:val="0"/>
                  <w:vAlign w:val="center"/>
                </w:tcPr>
                <w:p w14:paraId="75B24C49">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2</w:t>
                  </w:r>
                </w:p>
              </w:tc>
              <w:tc>
                <w:tcPr>
                  <w:tcW w:w="597" w:type="pct"/>
                  <w:tcBorders>
                    <w:tl2br w:val="nil"/>
                    <w:tr2bl w:val="nil"/>
                  </w:tcBorders>
                  <w:noWrap w:val="0"/>
                  <w:vAlign w:val="center"/>
                </w:tcPr>
                <w:p w14:paraId="270E32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74.0 </w:t>
                  </w:r>
                </w:p>
              </w:tc>
              <w:tc>
                <w:tcPr>
                  <w:tcW w:w="366" w:type="pct"/>
                  <w:vMerge w:val="continue"/>
                  <w:tcBorders>
                    <w:tl2br w:val="nil"/>
                    <w:tr2bl w:val="nil"/>
                  </w:tcBorders>
                  <w:noWrap w:val="0"/>
                  <w:vAlign w:val="center"/>
                </w:tcPr>
                <w:p w14:paraId="6F9C909D">
                  <w:pPr>
                    <w:jc w:val="center"/>
                  </w:pPr>
                </w:p>
              </w:tc>
              <w:tc>
                <w:tcPr>
                  <w:tcW w:w="598" w:type="pct"/>
                  <w:tcBorders>
                    <w:tl2br w:val="nil"/>
                    <w:tr2bl w:val="nil"/>
                  </w:tcBorders>
                  <w:noWrap w:val="0"/>
                  <w:vAlign w:val="center"/>
                </w:tcPr>
                <w:p w14:paraId="74B7EA52">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68A00F94">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54.0 </w:t>
                  </w:r>
                </w:p>
              </w:tc>
              <w:tc>
                <w:tcPr>
                  <w:tcW w:w="274" w:type="pct"/>
                  <w:tcBorders>
                    <w:tl2br w:val="nil"/>
                    <w:tr2bl w:val="nil"/>
                  </w:tcBorders>
                  <w:noWrap w:val="0"/>
                  <w:vAlign w:val="center"/>
                </w:tcPr>
                <w:p w14:paraId="1DCD89D6">
                  <w:pPr>
                    <w:jc w:val="center"/>
                  </w:pPr>
                  <w:r>
                    <w:t>1m</w:t>
                  </w:r>
                </w:p>
              </w:tc>
            </w:tr>
            <w:tr w14:paraId="3265D9E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87" w:type="pct"/>
                  <w:vMerge w:val="continue"/>
                  <w:tcBorders>
                    <w:tl2br w:val="nil"/>
                    <w:tr2bl w:val="nil"/>
                  </w:tcBorders>
                  <w:noWrap w:val="0"/>
                  <w:vAlign w:val="center"/>
                </w:tcPr>
                <w:p w14:paraId="22DE6B8C">
                  <w:pPr>
                    <w:jc w:val="center"/>
                  </w:pPr>
                </w:p>
              </w:tc>
              <w:tc>
                <w:tcPr>
                  <w:tcW w:w="260" w:type="pct"/>
                  <w:vMerge w:val="continue"/>
                  <w:tcBorders>
                    <w:tl2br w:val="nil"/>
                    <w:tr2bl w:val="nil"/>
                  </w:tcBorders>
                  <w:noWrap w:val="0"/>
                  <w:vAlign w:val="center"/>
                </w:tcPr>
                <w:p w14:paraId="27F8D0E7">
                  <w:pPr>
                    <w:jc w:val="center"/>
                  </w:pPr>
                </w:p>
              </w:tc>
              <w:tc>
                <w:tcPr>
                  <w:tcW w:w="279" w:type="pct"/>
                  <w:vMerge w:val="continue"/>
                  <w:tcBorders>
                    <w:tl2br w:val="nil"/>
                    <w:tr2bl w:val="nil"/>
                  </w:tcBorders>
                  <w:noWrap w:val="0"/>
                  <w:vAlign w:val="center"/>
                </w:tcPr>
                <w:p w14:paraId="5C3D963A">
                  <w:pPr>
                    <w:jc w:val="center"/>
                  </w:pPr>
                </w:p>
              </w:tc>
              <w:tc>
                <w:tcPr>
                  <w:tcW w:w="597" w:type="pct"/>
                  <w:vMerge w:val="continue"/>
                  <w:tcBorders>
                    <w:tl2br w:val="nil"/>
                    <w:tr2bl w:val="nil"/>
                  </w:tcBorders>
                  <w:noWrap w:val="0"/>
                  <w:vAlign w:val="center"/>
                </w:tcPr>
                <w:p w14:paraId="5ED48F20">
                  <w:pPr>
                    <w:jc w:val="center"/>
                  </w:pPr>
                </w:p>
              </w:tc>
              <w:tc>
                <w:tcPr>
                  <w:tcW w:w="264" w:type="pct"/>
                  <w:vMerge w:val="continue"/>
                  <w:tcBorders>
                    <w:tl2br w:val="nil"/>
                    <w:tr2bl w:val="nil"/>
                  </w:tcBorders>
                  <w:noWrap w:val="0"/>
                  <w:textDirection w:val="tbRlV"/>
                  <w:vAlign w:val="center"/>
                </w:tcPr>
                <w:p w14:paraId="16681380">
                  <w:pPr>
                    <w:jc w:val="center"/>
                  </w:pPr>
                </w:p>
              </w:tc>
              <w:tc>
                <w:tcPr>
                  <w:tcW w:w="178" w:type="pct"/>
                  <w:vMerge w:val="continue"/>
                  <w:tcBorders>
                    <w:tl2br w:val="nil"/>
                    <w:tr2bl w:val="nil"/>
                  </w:tcBorders>
                  <w:noWrap w:val="0"/>
                  <w:vAlign w:val="center"/>
                </w:tcPr>
                <w:p w14:paraId="2A0D2B66">
                  <w:pPr>
                    <w:jc w:val="center"/>
                  </w:pPr>
                </w:p>
              </w:tc>
              <w:tc>
                <w:tcPr>
                  <w:tcW w:w="242" w:type="pct"/>
                  <w:vMerge w:val="continue"/>
                  <w:tcBorders>
                    <w:tl2br w:val="nil"/>
                    <w:tr2bl w:val="nil"/>
                  </w:tcBorders>
                  <w:noWrap w:val="0"/>
                  <w:vAlign w:val="center"/>
                </w:tcPr>
                <w:p w14:paraId="1C1466D3">
                  <w:pPr>
                    <w:jc w:val="center"/>
                  </w:pPr>
                </w:p>
              </w:tc>
              <w:tc>
                <w:tcPr>
                  <w:tcW w:w="153" w:type="pct"/>
                  <w:vMerge w:val="continue"/>
                  <w:tcBorders>
                    <w:tl2br w:val="nil"/>
                    <w:tr2bl w:val="nil"/>
                  </w:tcBorders>
                  <w:noWrap w:val="0"/>
                  <w:vAlign w:val="center"/>
                </w:tcPr>
                <w:p w14:paraId="21C7E917">
                  <w:pPr>
                    <w:jc w:val="center"/>
                  </w:pPr>
                </w:p>
              </w:tc>
              <w:tc>
                <w:tcPr>
                  <w:tcW w:w="168" w:type="pct"/>
                  <w:tcBorders>
                    <w:tl2br w:val="nil"/>
                    <w:tr2bl w:val="nil"/>
                  </w:tcBorders>
                  <w:noWrap w:val="0"/>
                  <w:vAlign w:val="center"/>
                </w:tcPr>
                <w:p w14:paraId="264681FE">
                  <w:pPr>
                    <w:jc w:val="center"/>
                  </w:pPr>
                  <w:r>
                    <w:t>西</w:t>
                  </w:r>
                </w:p>
              </w:tc>
              <w:tc>
                <w:tcPr>
                  <w:tcW w:w="232" w:type="pct"/>
                  <w:tcBorders>
                    <w:tl2br w:val="nil"/>
                    <w:tr2bl w:val="nil"/>
                  </w:tcBorders>
                  <w:noWrap w:val="0"/>
                  <w:vAlign w:val="center"/>
                </w:tcPr>
                <w:p w14:paraId="30112FD3">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48</w:t>
                  </w:r>
                </w:p>
              </w:tc>
              <w:tc>
                <w:tcPr>
                  <w:tcW w:w="597" w:type="pct"/>
                  <w:tcBorders>
                    <w:tl2br w:val="nil"/>
                    <w:tr2bl w:val="nil"/>
                  </w:tcBorders>
                  <w:noWrap w:val="0"/>
                  <w:vAlign w:val="center"/>
                </w:tcPr>
                <w:p w14:paraId="54CE4F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46.4 </w:t>
                  </w:r>
                </w:p>
              </w:tc>
              <w:tc>
                <w:tcPr>
                  <w:tcW w:w="366" w:type="pct"/>
                  <w:vMerge w:val="continue"/>
                  <w:tcBorders>
                    <w:tl2br w:val="nil"/>
                    <w:tr2bl w:val="nil"/>
                  </w:tcBorders>
                  <w:noWrap w:val="0"/>
                  <w:vAlign w:val="center"/>
                </w:tcPr>
                <w:p w14:paraId="4EB735A8">
                  <w:pPr>
                    <w:jc w:val="center"/>
                  </w:pPr>
                </w:p>
              </w:tc>
              <w:tc>
                <w:tcPr>
                  <w:tcW w:w="598" w:type="pct"/>
                  <w:tcBorders>
                    <w:tl2br w:val="nil"/>
                    <w:tr2bl w:val="nil"/>
                  </w:tcBorders>
                  <w:noWrap w:val="0"/>
                  <w:vAlign w:val="center"/>
                </w:tcPr>
                <w:p w14:paraId="6E9AD6B8">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7018BB75">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26.4 </w:t>
                  </w:r>
                </w:p>
              </w:tc>
              <w:tc>
                <w:tcPr>
                  <w:tcW w:w="274" w:type="pct"/>
                  <w:tcBorders>
                    <w:tl2br w:val="nil"/>
                    <w:tr2bl w:val="nil"/>
                  </w:tcBorders>
                  <w:noWrap w:val="0"/>
                  <w:vAlign w:val="center"/>
                </w:tcPr>
                <w:p w14:paraId="3C3BE9FD">
                  <w:pPr>
                    <w:jc w:val="center"/>
                  </w:pPr>
                  <w:r>
                    <w:t>1m</w:t>
                  </w:r>
                </w:p>
              </w:tc>
            </w:tr>
            <w:tr w14:paraId="1DB150A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8" w:hRule="atLeast"/>
              </w:trPr>
              <w:tc>
                <w:tcPr>
                  <w:tcW w:w="187" w:type="pct"/>
                  <w:vMerge w:val="continue"/>
                  <w:tcBorders>
                    <w:tl2br w:val="nil"/>
                    <w:tr2bl w:val="nil"/>
                  </w:tcBorders>
                  <w:noWrap w:val="0"/>
                  <w:vAlign w:val="center"/>
                </w:tcPr>
                <w:p w14:paraId="21FF1E3A">
                  <w:pPr>
                    <w:jc w:val="center"/>
                  </w:pPr>
                </w:p>
              </w:tc>
              <w:tc>
                <w:tcPr>
                  <w:tcW w:w="260" w:type="pct"/>
                  <w:vMerge w:val="continue"/>
                  <w:tcBorders>
                    <w:tl2br w:val="nil"/>
                    <w:tr2bl w:val="nil"/>
                  </w:tcBorders>
                  <w:noWrap w:val="0"/>
                  <w:vAlign w:val="center"/>
                </w:tcPr>
                <w:p w14:paraId="7357E73F">
                  <w:pPr>
                    <w:jc w:val="center"/>
                  </w:pPr>
                </w:p>
              </w:tc>
              <w:tc>
                <w:tcPr>
                  <w:tcW w:w="279" w:type="pct"/>
                  <w:vMerge w:val="continue"/>
                  <w:tcBorders>
                    <w:tl2br w:val="nil"/>
                    <w:tr2bl w:val="nil"/>
                  </w:tcBorders>
                  <w:noWrap w:val="0"/>
                  <w:vAlign w:val="center"/>
                </w:tcPr>
                <w:p w14:paraId="2426E6CD">
                  <w:pPr>
                    <w:jc w:val="center"/>
                  </w:pPr>
                </w:p>
              </w:tc>
              <w:tc>
                <w:tcPr>
                  <w:tcW w:w="597" w:type="pct"/>
                  <w:vMerge w:val="continue"/>
                  <w:tcBorders>
                    <w:tl2br w:val="nil"/>
                    <w:tr2bl w:val="nil"/>
                  </w:tcBorders>
                  <w:noWrap w:val="0"/>
                  <w:vAlign w:val="center"/>
                </w:tcPr>
                <w:p w14:paraId="5E0219A6">
                  <w:pPr>
                    <w:jc w:val="center"/>
                  </w:pPr>
                </w:p>
              </w:tc>
              <w:tc>
                <w:tcPr>
                  <w:tcW w:w="264" w:type="pct"/>
                  <w:vMerge w:val="continue"/>
                  <w:tcBorders>
                    <w:tl2br w:val="nil"/>
                    <w:tr2bl w:val="nil"/>
                  </w:tcBorders>
                  <w:noWrap w:val="0"/>
                  <w:textDirection w:val="tbRlV"/>
                  <w:vAlign w:val="center"/>
                </w:tcPr>
                <w:p w14:paraId="67BE0CC8">
                  <w:pPr>
                    <w:jc w:val="center"/>
                  </w:pPr>
                </w:p>
              </w:tc>
              <w:tc>
                <w:tcPr>
                  <w:tcW w:w="178" w:type="pct"/>
                  <w:vMerge w:val="continue"/>
                  <w:tcBorders>
                    <w:tl2br w:val="nil"/>
                    <w:tr2bl w:val="nil"/>
                  </w:tcBorders>
                  <w:noWrap w:val="0"/>
                  <w:vAlign w:val="center"/>
                </w:tcPr>
                <w:p w14:paraId="65274CFA">
                  <w:pPr>
                    <w:jc w:val="center"/>
                  </w:pPr>
                </w:p>
              </w:tc>
              <w:tc>
                <w:tcPr>
                  <w:tcW w:w="242" w:type="pct"/>
                  <w:vMerge w:val="continue"/>
                  <w:tcBorders>
                    <w:tl2br w:val="nil"/>
                    <w:tr2bl w:val="nil"/>
                  </w:tcBorders>
                  <w:noWrap w:val="0"/>
                  <w:vAlign w:val="center"/>
                </w:tcPr>
                <w:p w14:paraId="2A2A2BE5">
                  <w:pPr>
                    <w:jc w:val="center"/>
                  </w:pPr>
                </w:p>
              </w:tc>
              <w:tc>
                <w:tcPr>
                  <w:tcW w:w="153" w:type="pct"/>
                  <w:vMerge w:val="continue"/>
                  <w:tcBorders>
                    <w:tl2br w:val="nil"/>
                    <w:tr2bl w:val="nil"/>
                  </w:tcBorders>
                  <w:noWrap w:val="0"/>
                  <w:vAlign w:val="center"/>
                </w:tcPr>
                <w:p w14:paraId="5892C6CE">
                  <w:pPr>
                    <w:jc w:val="center"/>
                  </w:pPr>
                </w:p>
              </w:tc>
              <w:tc>
                <w:tcPr>
                  <w:tcW w:w="168" w:type="pct"/>
                  <w:tcBorders>
                    <w:tl2br w:val="nil"/>
                    <w:tr2bl w:val="nil"/>
                  </w:tcBorders>
                  <w:noWrap w:val="0"/>
                  <w:vAlign w:val="center"/>
                </w:tcPr>
                <w:p w14:paraId="5C3B2DFC">
                  <w:pPr>
                    <w:jc w:val="center"/>
                  </w:pPr>
                  <w:r>
                    <w:t>北</w:t>
                  </w:r>
                </w:p>
              </w:tc>
              <w:tc>
                <w:tcPr>
                  <w:tcW w:w="232" w:type="pct"/>
                  <w:tcBorders>
                    <w:tl2br w:val="nil"/>
                    <w:tr2bl w:val="nil"/>
                  </w:tcBorders>
                  <w:noWrap w:val="0"/>
                  <w:vAlign w:val="center"/>
                </w:tcPr>
                <w:p w14:paraId="4104775F">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16</w:t>
                  </w:r>
                </w:p>
              </w:tc>
              <w:tc>
                <w:tcPr>
                  <w:tcW w:w="597" w:type="pct"/>
                  <w:tcBorders>
                    <w:tl2br w:val="nil"/>
                    <w:tr2bl w:val="nil"/>
                  </w:tcBorders>
                  <w:noWrap w:val="0"/>
                  <w:vAlign w:val="center"/>
                </w:tcPr>
                <w:p w14:paraId="0AEEEAD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55.9 </w:t>
                  </w:r>
                </w:p>
              </w:tc>
              <w:tc>
                <w:tcPr>
                  <w:tcW w:w="366" w:type="pct"/>
                  <w:vMerge w:val="continue"/>
                  <w:tcBorders>
                    <w:tl2br w:val="nil"/>
                    <w:tr2bl w:val="nil"/>
                  </w:tcBorders>
                  <w:noWrap w:val="0"/>
                  <w:vAlign w:val="center"/>
                </w:tcPr>
                <w:p w14:paraId="51963DD3">
                  <w:pPr>
                    <w:jc w:val="center"/>
                  </w:pPr>
                </w:p>
              </w:tc>
              <w:tc>
                <w:tcPr>
                  <w:tcW w:w="598" w:type="pct"/>
                  <w:tcBorders>
                    <w:tl2br w:val="nil"/>
                    <w:tr2bl w:val="nil"/>
                  </w:tcBorders>
                  <w:noWrap w:val="0"/>
                  <w:vAlign w:val="center"/>
                </w:tcPr>
                <w:p w14:paraId="69F81543">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75B3B7F8">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35.9 </w:t>
                  </w:r>
                </w:p>
              </w:tc>
              <w:tc>
                <w:tcPr>
                  <w:tcW w:w="274" w:type="pct"/>
                  <w:tcBorders>
                    <w:tl2br w:val="nil"/>
                    <w:tr2bl w:val="nil"/>
                  </w:tcBorders>
                  <w:noWrap w:val="0"/>
                  <w:vAlign w:val="center"/>
                </w:tcPr>
                <w:p w14:paraId="0BF4694B">
                  <w:pPr>
                    <w:jc w:val="center"/>
                  </w:pPr>
                  <w:r>
                    <w:t>1m</w:t>
                  </w:r>
                </w:p>
              </w:tc>
            </w:tr>
            <w:tr w14:paraId="31538BC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39" w:hRule="atLeast"/>
              </w:trPr>
              <w:tc>
                <w:tcPr>
                  <w:tcW w:w="187" w:type="pct"/>
                  <w:vMerge w:val="restart"/>
                  <w:tcBorders>
                    <w:tl2br w:val="nil"/>
                    <w:tr2bl w:val="nil"/>
                  </w:tcBorders>
                  <w:noWrap w:val="0"/>
                  <w:vAlign w:val="center"/>
                </w:tcPr>
                <w:p w14:paraId="6F4454BC">
                  <w:pPr>
                    <w:jc w:val="center"/>
                  </w:pPr>
                  <w:r>
                    <w:t>4</w:t>
                  </w:r>
                </w:p>
              </w:tc>
              <w:tc>
                <w:tcPr>
                  <w:tcW w:w="260" w:type="pct"/>
                  <w:vMerge w:val="restart"/>
                  <w:tcBorders>
                    <w:tl2br w:val="nil"/>
                    <w:tr2bl w:val="nil"/>
                  </w:tcBorders>
                  <w:noWrap w:val="0"/>
                  <w:vAlign w:val="center"/>
                </w:tcPr>
                <w:p w14:paraId="7AB154F2">
                  <w:pPr>
                    <w:jc w:val="center"/>
                  </w:pPr>
                  <w:r>
                    <w:rPr>
                      <w:rFonts w:hint="eastAsia"/>
                      <w:lang w:val="en-US" w:eastAsia="zh-CN"/>
                    </w:rPr>
                    <w:t>11栋1F</w:t>
                  </w:r>
                </w:p>
              </w:tc>
              <w:tc>
                <w:tcPr>
                  <w:tcW w:w="279" w:type="pct"/>
                  <w:vMerge w:val="restart"/>
                  <w:tcBorders>
                    <w:tl2br w:val="nil"/>
                    <w:tr2bl w:val="nil"/>
                  </w:tcBorders>
                  <w:noWrap w:val="0"/>
                  <w:vAlign w:val="center"/>
                </w:tcPr>
                <w:p w14:paraId="468542DB">
                  <w:pPr>
                    <w:jc w:val="center"/>
                    <w:rPr>
                      <w:rFonts w:hint="default" w:eastAsia="宋体"/>
                      <w:lang w:val="en-US" w:eastAsia="zh-CN"/>
                    </w:rPr>
                  </w:pPr>
                  <w:r>
                    <w:rPr>
                      <w:rFonts w:hint="eastAsia" w:hAnsi="Calibri" w:eastAsia="宋体"/>
                      <w:color w:val="000000"/>
                      <w:szCs w:val="21"/>
                      <w:lang w:val="en-US" w:eastAsia="zh-CN"/>
                    </w:rPr>
                    <w:t>注塑机</w:t>
                  </w:r>
                </w:p>
              </w:tc>
              <w:tc>
                <w:tcPr>
                  <w:tcW w:w="597" w:type="pct"/>
                  <w:vMerge w:val="restart"/>
                  <w:tcBorders>
                    <w:tl2br w:val="nil"/>
                    <w:tr2bl w:val="nil"/>
                  </w:tcBorders>
                  <w:noWrap w:val="0"/>
                  <w:vAlign w:val="center"/>
                </w:tcPr>
                <w:p w14:paraId="73DB7D77">
                  <w:pPr>
                    <w:jc w:val="center"/>
                  </w:pPr>
                  <w:r>
                    <w:rPr>
                      <w:rFonts w:hint="eastAsia"/>
                      <w:lang w:val="en-US" w:eastAsia="zh-CN"/>
                    </w:rPr>
                    <w:t>90</w:t>
                  </w:r>
                  <w:r>
                    <w:t>/1</w:t>
                  </w:r>
                </w:p>
              </w:tc>
              <w:tc>
                <w:tcPr>
                  <w:tcW w:w="264" w:type="pct"/>
                  <w:vMerge w:val="continue"/>
                  <w:tcBorders>
                    <w:tl2br w:val="nil"/>
                    <w:tr2bl w:val="nil"/>
                  </w:tcBorders>
                  <w:noWrap w:val="0"/>
                  <w:textDirection w:val="tbRlV"/>
                  <w:vAlign w:val="center"/>
                </w:tcPr>
                <w:p w14:paraId="4DD17B22">
                  <w:pPr>
                    <w:jc w:val="center"/>
                  </w:pPr>
                </w:p>
              </w:tc>
              <w:tc>
                <w:tcPr>
                  <w:tcW w:w="178" w:type="pct"/>
                  <w:vMerge w:val="restart"/>
                  <w:tcBorders>
                    <w:tl2br w:val="nil"/>
                    <w:tr2bl w:val="nil"/>
                  </w:tcBorders>
                  <w:noWrap w:val="0"/>
                  <w:vAlign w:val="center"/>
                </w:tcPr>
                <w:p w14:paraId="123DBCA5">
                  <w:pPr>
                    <w:jc w:val="center"/>
                    <w:rPr>
                      <w:rFonts w:hint="default" w:eastAsia="宋体"/>
                      <w:lang w:val="en-US" w:eastAsia="zh-CN"/>
                    </w:rPr>
                  </w:pPr>
                  <w:r>
                    <w:rPr>
                      <w:rFonts w:hint="eastAsia"/>
                      <w:lang w:val="en-US" w:eastAsia="zh-CN"/>
                    </w:rPr>
                    <w:t>-4</w:t>
                  </w:r>
                </w:p>
              </w:tc>
              <w:tc>
                <w:tcPr>
                  <w:tcW w:w="242" w:type="pct"/>
                  <w:vMerge w:val="restart"/>
                  <w:tcBorders>
                    <w:tl2br w:val="nil"/>
                    <w:tr2bl w:val="nil"/>
                  </w:tcBorders>
                  <w:noWrap w:val="0"/>
                  <w:vAlign w:val="center"/>
                </w:tcPr>
                <w:p w14:paraId="531F888A">
                  <w:pPr>
                    <w:jc w:val="center"/>
                    <w:rPr>
                      <w:rFonts w:hint="default" w:eastAsia="宋体"/>
                      <w:lang w:val="en-US" w:eastAsia="zh-CN"/>
                    </w:rPr>
                  </w:pPr>
                  <w:r>
                    <w:rPr>
                      <w:rFonts w:hint="eastAsia"/>
                      <w:lang w:val="en-US" w:eastAsia="zh-CN"/>
                    </w:rPr>
                    <w:t>-17</w:t>
                  </w:r>
                </w:p>
              </w:tc>
              <w:tc>
                <w:tcPr>
                  <w:tcW w:w="153" w:type="pct"/>
                  <w:vMerge w:val="restart"/>
                  <w:tcBorders>
                    <w:tl2br w:val="nil"/>
                    <w:tr2bl w:val="nil"/>
                  </w:tcBorders>
                  <w:noWrap w:val="0"/>
                  <w:vAlign w:val="center"/>
                </w:tcPr>
                <w:p w14:paraId="1640D22A">
                  <w:pPr>
                    <w:jc w:val="center"/>
                    <w:rPr>
                      <w:rFonts w:hint="eastAsia" w:eastAsia="宋体"/>
                      <w:lang w:eastAsia="zh-CN"/>
                    </w:rPr>
                  </w:pPr>
                  <w:r>
                    <w:rPr>
                      <w:rFonts w:hint="eastAsia" w:cs="Times New Roman"/>
                      <w:color w:val="000000"/>
                      <w:kern w:val="2"/>
                      <w:sz w:val="21"/>
                      <w:szCs w:val="21"/>
                      <w:lang w:val="en-US" w:eastAsia="zh-CN" w:bidi="ar-SA"/>
                    </w:rPr>
                    <w:t>1</w:t>
                  </w:r>
                </w:p>
              </w:tc>
              <w:tc>
                <w:tcPr>
                  <w:tcW w:w="168" w:type="pct"/>
                  <w:tcBorders>
                    <w:tl2br w:val="nil"/>
                    <w:tr2bl w:val="nil"/>
                  </w:tcBorders>
                  <w:noWrap w:val="0"/>
                  <w:vAlign w:val="center"/>
                </w:tcPr>
                <w:p w14:paraId="57F5D287">
                  <w:pPr>
                    <w:jc w:val="center"/>
                  </w:pPr>
                  <w:r>
                    <w:t>东</w:t>
                  </w:r>
                </w:p>
              </w:tc>
              <w:tc>
                <w:tcPr>
                  <w:tcW w:w="232" w:type="pct"/>
                  <w:tcBorders>
                    <w:tl2br w:val="nil"/>
                    <w:tr2bl w:val="nil"/>
                  </w:tcBorders>
                  <w:noWrap w:val="0"/>
                  <w:vAlign w:val="center"/>
                </w:tcPr>
                <w:p w14:paraId="104DA89B">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40</w:t>
                  </w:r>
                </w:p>
              </w:tc>
              <w:tc>
                <w:tcPr>
                  <w:tcW w:w="597" w:type="pct"/>
                  <w:tcBorders>
                    <w:tl2br w:val="nil"/>
                    <w:tr2bl w:val="nil"/>
                  </w:tcBorders>
                  <w:noWrap w:val="0"/>
                  <w:vAlign w:val="center"/>
                </w:tcPr>
                <w:p w14:paraId="54CF9B7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58.0 </w:t>
                  </w:r>
                </w:p>
              </w:tc>
              <w:tc>
                <w:tcPr>
                  <w:tcW w:w="366" w:type="pct"/>
                  <w:vMerge w:val="continue"/>
                  <w:tcBorders>
                    <w:tl2br w:val="nil"/>
                    <w:tr2bl w:val="nil"/>
                  </w:tcBorders>
                  <w:noWrap w:val="0"/>
                  <w:vAlign w:val="center"/>
                </w:tcPr>
                <w:p w14:paraId="07A99488">
                  <w:pPr>
                    <w:jc w:val="center"/>
                  </w:pPr>
                </w:p>
              </w:tc>
              <w:tc>
                <w:tcPr>
                  <w:tcW w:w="598" w:type="pct"/>
                  <w:tcBorders>
                    <w:tl2br w:val="nil"/>
                    <w:tr2bl w:val="nil"/>
                  </w:tcBorders>
                  <w:noWrap w:val="0"/>
                  <w:vAlign w:val="center"/>
                </w:tcPr>
                <w:p w14:paraId="30EA3F4F">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44AF17BD">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38.0 </w:t>
                  </w:r>
                </w:p>
              </w:tc>
              <w:tc>
                <w:tcPr>
                  <w:tcW w:w="274" w:type="pct"/>
                  <w:tcBorders>
                    <w:tl2br w:val="nil"/>
                    <w:tr2bl w:val="nil"/>
                  </w:tcBorders>
                  <w:noWrap w:val="0"/>
                  <w:vAlign w:val="center"/>
                </w:tcPr>
                <w:p w14:paraId="0BEAB071">
                  <w:pPr>
                    <w:jc w:val="center"/>
                  </w:pPr>
                  <w:r>
                    <w:t>1m</w:t>
                  </w:r>
                </w:p>
              </w:tc>
            </w:tr>
            <w:tr w14:paraId="05EA9CA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87" w:type="pct"/>
                  <w:vMerge w:val="continue"/>
                  <w:tcBorders>
                    <w:tl2br w:val="nil"/>
                    <w:tr2bl w:val="nil"/>
                  </w:tcBorders>
                  <w:noWrap w:val="0"/>
                  <w:vAlign w:val="center"/>
                </w:tcPr>
                <w:p w14:paraId="16A32506">
                  <w:pPr>
                    <w:jc w:val="center"/>
                  </w:pPr>
                </w:p>
              </w:tc>
              <w:tc>
                <w:tcPr>
                  <w:tcW w:w="260" w:type="pct"/>
                  <w:vMerge w:val="continue"/>
                  <w:tcBorders>
                    <w:tl2br w:val="nil"/>
                    <w:tr2bl w:val="nil"/>
                  </w:tcBorders>
                  <w:noWrap w:val="0"/>
                  <w:vAlign w:val="center"/>
                </w:tcPr>
                <w:p w14:paraId="34F9A9D2">
                  <w:pPr>
                    <w:jc w:val="center"/>
                  </w:pPr>
                </w:p>
              </w:tc>
              <w:tc>
                <w:tcPr>
                  <w:tcW w:w="279" w:type="pct"/>
                  <w:vMerge w:val="continue"/>
                  <w:tcBorders>
                    <w:tl2br w:val="nil"/>
                    <w:tr2bl w:val="nil"/>
                  </w:tcBorders>
                  <w:noWrap w:val="0"/>
                  <w:vAlign w:val="center"/>
                </w:tcPr>
                <w:p w14:paraId="3E8A01D8">
                  <w:pPr>
                    <w:jc w:val="center"/>
                  </w:pPr>
                </w:p>
              </w:tc>
              <w:tc>
                <w:tcPr>
                  <w:tcW w:w="597" w:type="pct"/>
                  <w:vMerge w:val="continue"/>
                  <w:tcBorders>
                    <w:tl2br w:val="nil"/>
                    <w:tr2bl w:val="nil"/>
                  </w:tcBorders>
                  <w:noWrap w:val="0"/>
                  <w:vAlign w:val="center"/>
                </w:tcPr>
                <w:p w14:paraId="24F14217">
                  <w:pPr>
                    <w:jc w:val="center"/>
                  </w:pPr>
                </w:p>
              </w:tc>
              <w:tc>
                <w:tcPr>
                  <w:tcW w:w="264" w:type="pct"/>
                  <w:vMerge w:val="continue"/>
                  <w:tcBorders>
                    <w:tl2br w:val="nil"/>
                    <w:tr2bl w:val="nil"/>
                  </w:tcBorders>
                  <w:noWrap w:val="0"/>
                  <w:textDirection w:val="tbRlV"/>
                  <w:vAlign w:val="center"/>
                </w:tcPr>
                <w:p w14:paraId="573EAB14">
                  <w:pPr>
                    <w:jc w:val="center"/>
                  </w:pPr>
                </w:p>
              </w:tc>
              <w:tc>
                <w:tcPr>
                  <w:tcW w:w="178" w:type="pct"/>
                  <w:vMerge w:val="continue"/>
                  <w:tcBorders>
                    <w:tl2br w:val="nil"/>
                    <w:tr2bl w:val="nil"/>
                  </w:tcBorders>
                  <w:noWrap w:val="0"/>
                  <w:vAlign w:val="center"/>
                </w:tcPr>
                <w:p w14:paraId="5AD43A1C">
                  <w:pPr>
                    <w:jc w:val="center"/>
                  </w:pPr>
                </w:p>
              </w:tc>
              <w:tc>
                <w:tcPr>
                  <w:tcW w:w="242" w:type="pct"/>
                  <w:vMerge w:val="continue"/>
                  <w:tcBorders>
                    <w:tl2br w:val="nil"/>
                    <w:tr2bl w:val="nil"/>
                  </w:tcBorders>
                  <w:noWrap w:val="0"/>
                  <w:vAlign w:val="center"/>
                </w:tcPr>
                <w:p w14:paraId="74DCF914">
                  <w:pPr>
                    <w:jc w:val="center"/>
                  </w:pPr>
                </w:p>
              </w:tc>
              <w:tc>
                <w:tcPr>
                  <w:tcW w:w="153" w:type="pct"/>
                  <w:vMerge w:val="continue"/>
                  <w:tcBorders>
                    <w:tl2br w:val="nil"/>
                    <w:tr2bl w:val="nil"/>
                  </w:tcBorders>
                  <w:noWrap w:val="0"/>
                  <w:vAlign w:val="center"/>
                </w:tcPr>
                <w:p w14:paraId="6AE9C128">
                  <w:pPr>
                    <w:jc w:val="center"/>
                  </w:pPr>
                </w:p>
              </w:tc>
              <w:tc>
                <w:tcPr>
                  <w:tcW w:w="168" w:type="pct"/>
                  <w:tcBorders>
                    <w:tl2br w:val="nil"/>
                    <w:tr2bl w:val="nil"/>
                  </w:tcBorders>
                  <w:noWrap w:val="0"/>
                  <w:vAlign w:val="center"/>
                </w:tcPr>
                <w:p w14:paraId="479956FD">
                  <w:pPr>
                    <w:jc w:val="center"/>
                  </w:pPr>
                  <w:r>
                    <w:t>南</w:t>
                  </w:r>
                </w:p>
              </w:tc>
              <w:tc>
                <w:tcPr>
                  <w:tcW w:w="232" w:type="pct"/>
                  <w:tcBorders>
                    <w:tl2br w:val="nil"/>
                    <w:tr2bl w:val="nil"/>
                  </w:tcBorders>
                  <w:noWrap w:val="0"/>
                  <w:vAlign w:val="center"/>
                </w:tcPr>
                <w:p w14:paraId="2609130F">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9</w:t>
                  </w:r>
                </w:p>
              </w:tc>
              <w:tc>
                <w:tcPr>
                  <w:tcW w:w="597" w:type="pct"/>
                  <w:tcBorders>
                    <w:tl2br w:val="nil"/>
                    <w:tr2bl w:val="nil"/>
                  </w:tcBorders>
                  <w:noWrap w:val="0"/>
                  <w:vAlign w:val="center"/>
                </w:tcPr>
                <w:p w14:paraId="694820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70.9 </w:t>
                  </w:r>
                </w:p>
              </w:tc>
              <w:tc>
                <w:tcPr>
                  <w:tcW w:w="366" w:type="pct"/>
                  <w:vMerge w:val="continue"/>
                  <w:tcBorders>
                    <w:tl2br w:val="nil"/>
                    <w:tr2bl w:val="nil"/>
                  </w:tcBorders>
                  <w:noWrap w:val="0"/>
                  <w:vAlign w:val="center"/>
                </w:tcPr>
                <w:p w14:paraId="0432C27B">
                  <w:pPr>
                    <w:jc w:val="center"/>
                  </w:pPr>
                </w:p>
              </w:tc>
              <w:tc>
                <w:tcPr>
                  <w:tcW w:w="598" w:type="pct"/>
                  <w:tcBorders>
                    <w:tl2br w:val="nil"/>
                    <w:tr2bl w:val="nil"/>
                  </w:tcBorders>
                  <w:noWrap w:val="0"/>
                  <w:vAlign w:val="center"/>
                </w:tcPr>
                <w:p w14:paraId="36F46096">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4BF929F4">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50.9 </w:t>
                  </w:r>
                </w:p>
              </w:tc>
              <w:tc>
                <w:tcPr>
                  <w:tcW w:w="274" w:type="pct"/>
                  <w:tcBorders>
                    <w:tl2br w:val="nil"/>
                    <w:tr2bl w:val="nil"/>
                  </w:tcBorders>
                  <w:noWrap w:val="0"/>
                  <w:vAlign w:val="center"/>
                </w:tcPr>
                <w:p w14:paraId="00A31E81">
                  <w:pPr>
                    <w:jc w:val="center"/>
                  </w:pPr>
                  <w:r>
                    <w:t>1m</w:t>
                  </w:r>
                </w:p>
              </w:tc>
            </w:tr>
            <w:tr w14:paraId="45218CA0">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97" w:hRule="atLeast"/>
              </w:trPr>
              <w:tc>
                <w:tcPr>
                  <w:tcW w:w="187" w:type="pct"/>
                  <w:vMerge w:val="continue"/>
                  <w:tcBorders>
                    <w:tl2br w:val="nil"/>
                    <w:tr2bl w:val="nil"/>
                  </w:tcBorders>
                  <w:noWrap w:val="0"/>
                  <w:vAlign w:val="center"/>
                </w:tcPr>
                <w:p w14:paraId="00E2BACA">
                  <w:pPr>
                    <w:jc w:val="center"/>
                  </w:pPr>
                </w:p>
              </w:tc>
              <w:tc>
                <w:tcPr>
                  <w:tcW w:w="260" w:type="pct"/>
                  <w:vMerge w:val="continue"/>
                  <w:tcBorders>
                    <w:tl2br w:val="nil"/>
                    <w:tr2bl w:val="nil"/>
                  </w:tcBorders>
                  <w:noWrap w:val="0"/>
                  <w:vAlign w:val="center"/>
                </w:tcPr>
                <w:p w14:paraId="6A748DBF">
                  <w:pPr>
                    <w:jc w:val="center"/>
                  </w:pPr>
                </w:p>
              </w:tc>
              <w:tc>
                <w:tcPr>
                  <w:tcW w:w="279" w:type="pct"/>
                  <w:vMerge w:val="continue"/>
                  <w:tcBorders>
                    <w:tl2br w:val="nil"/>
                    <w:tr2bl w:val="nil"/>
                  </w:tcBorders>
                  <w:noWrap w:val="0"/>
                  <w:vAlign w:val="center"/>
                </w:tcPr>
                <w:p w14:paraId="5F17C72A">
                  <w:pPr>
                    <w:jc w:val="center"/>
                  </w:pPr>
                </w:p>
              </w:tc>
              <w:tc>
                <w:tcPr>
                  <w:tcW w:w="597" w:type="pct"/>
                  <w:vMerge w:val="continue"/>
                  <w:tcBorders>
                    <w:tl2br w:val="nil"/>
                    <w:tr2bl w:val="nil"/>
                  </w:tcBorders>
                  <w:noWrap w:val="0"/>
                  <w:vAlign w:val="center"/>
                </w:tcPr>
                <w:p w14:paraId="7EA0DD8B">
                  <w:pPr>
                    <w:jc w:val="center"/>
                  </w:pPr>
                </w:p>
              </w:tc>
              <w:tc>
                <w:tcPr>
                  <w:tcW w:w="264" w:type="pct"/>
                  <w:vMerge w:val="continue"/>
                  <w:tcBorders>
                    <w:tl2br w:val="nil"/>
                    <w:tr2bl w:val="nil"/>
                  </w:tcBorders>
                  <w:noWrap w:val="0"/>
                  <w:textDirection w:val="tbRlV"/>
                  <w:vAlign w:val="center"/>
                </w:tcPr>
                <w:p w14:paraId="31759BFF">
                  <w:pPr>
                    <w:jc w:val="center"/>
                  </w:pPr>
                </w:p>
              </w:tc>
              <w:tc>
                <w:tcPr>
                  <w:tcW w:w="178" w:type="pct"/>
                  <w:vMerge w:val="continue"/>
                  <w:tcBorders>
                    <w:tl2br w:val="nil"/>
                    <w:tr2bl w:val="nil"/>
                  </w:tcBorders>
                  <w:noWrap w:val="0"/>
                  <w:vAlign w:val="center"/>
                </w:tcPr>
                <w:p w14:paraId="33A8D329">
                  <w:pPr>
                    <w:jc w:val="center"/>
                  </w:pPr>
                </w:p>
              </w:tc>
              <w:tc>
                <w:tcPr>
                  <w:tcW w:w="242" w:type="pct"/>
                  <w:vMerge w:val="continue"/>
                  <w:tcBorders>
                    <w:tl2br w:val="nil"/>
                    <w:tr2bl w:val="nil"/>
                  </w:tcBorders>
                  <w:noWrap w:val="0"/>
                  <w:vAlign w:val="center"/>
                </w:tcPr>
                <w:p w14:paraId="6685A88A">
                  <w:pPr>
                    <w:jc w:val="center"/>
                  </w:pPr>
                </w:p>
              </w:tc>
              <w:tc>
                <w:tcPr>
                  <w:tcW w:w="153" w:type="pct"/>
                  <w:vMerge w:val="continue"/>
                  <w:tcBorders>
                    <w:tl2br w:val="nil"/>
                    <w:tr2bl w:val="nil"/>
                  </w:tcBorders>
                  <w:noWrap w:val="0"/>
                  <w:vAlign w:val="center"/>
                </w:tcPr>
                <w:p w14:paraId="3DEABCBB">
                  <w:pPr>
                    <w:jc w:val="center"/>
                  </w:pPr>
                </w:p>
              </w:tc>
              <w:tc>
                <w:tcPr>
                  <w:tcW w:w="168" w:type="pct"/>
                  <w:tcBorders>
                    <w:tl2br w:val="nil"/>
                    <w:tr2bl w:val="nil"/>
                  </w:tcBorders>
                  <w:noWrap w:val="0"/>
                  <w:vAlign w:val="center"/>
                </w:tcPr>
                <w:p w14:paraId="700B4738">
                  <w:pPr>
                    <w:jc w:val="center"/>
                  </w:pPr>
                  <w:r>
                    <w:t>西</w:t>
                  </w:r>
                </w:p>
              </w:tc>
              <w:tc>
                <w:tcPr>
                  <w:tcW w:w="232" w:type="pct"/>
                  <w:tcBorders>
                    <w:tl2br w:val="nil"/>
                    <w:tr2bl w:val="nil"/>
                  </w:tcBorders>
                  <w:noWrap w:val="0"/>
                  <w:vAlign w:val="center"/>
                </w:tcPr>
                <w:p w14:paraId="43993FA0">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40</w:t>
                  </w:r>
                </w:p>
              </w:tc>
              <w:tc>
                <w:tcPr>
                  <w:tcW w:w="597" w:type="pct"/>
                  <w:tcBorders>
                    <w:tl2br w:val="nil"/>
                    <w:tr2bl w:val="nil"/>
                  </w:tcBorders>
                  <w:noWrap w:val="0"/>
                  <w:vAlign w:val="center"/>
                </w:tcPr>
                <w:p w14:paraId="040AC4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58.0 </w:t>
                  </w:r>
                </w:p>
              </w:tc>
              <w:tc>
                <w:tcPr>
                  <w:tcW w:w="366" w:type="pct"/>
                  <w:vMerge w:val="continue"/>
                  <w:tcBorders>
                    <w:tl2br w:val="nil"/>
                    <w:tr2bl w:val="nil"/>
                  </w:tcBorders>
                  <w:noWrap w:val="0"/>
                  <w:vAlign w:val="center"/>
                </w:tcPr>
                <w:p w14:paraId="3EB304A7">
                  <w:pPr>
                    <w:jc w:val="center"/>
                  </w:pPr>
                </w:p>
              </w:tc>
              <w:tc>
                <w:tcPr>
                  <w:tcW w:w="598" w:type="pct"/>
                  <w:tcBorders>
                    <w:tl2br w:val="nil"/>
                    <w:tr2bl w:val="nil"/>
                  </w:tcBorders>
                  <w:noWrap w:val="0"/>
                  <w:vAlign w:val="center"/>
                </w:tcPr>
                <w:p w14:paraId="12CAAA68">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6FF4BD0B">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38.0 </w:t>
                  </w:r>
                </w:p>
              </w:tc>
              <w:tc>
                <w:tcPr>
                  <w:tcW w:w="274" w:type="pct"/>
                  <w:tcBorders>
                    <w:tl2br w:val="nil"/>
                    <w:tr2bl w:val="nil"/>
                  </w:tcBorders>
                  <w:noWrap w:val="0"/>
                  <w:vAlign w:val="center"/>
                </w:tcPr>
                <w:p w14:paraId="5ACF572A">
                  <w:pPr>
                    <w:jc w:val="center"/>
                  </w:pPr>
                  <w:r>
                    <w:t>1m</w:t>
                  </w:r>
                </w:p>
              </w:tc>
            </w:tr>
            <w:tr w14:paraId="489E68B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7" w:hRule="atLeast"/>
              </w:trPr>
              <w:tc>
                <w:tcPr>
                  <w:tcW w:w="187" w:type="pct"/>
                  <w:vMerge w:val="continue"/>
                  <w:tcBorders>
                    <w:tl2br w:val="nil"/>
                    <w:tr2bl w:val="nil"/>
                  </w:tcBorders>
                  <w:noWrap w:val="0"/>
                  <w:vAlign w:val="center"/>
                </w:tcPr>
                <w:p w14:paraId="6E38C103">
                  <w:pPr>
                    <w:jc w:val="center"/>
                  </w:pPr>
                </w:p>
              </w:tc>
              <w:tc>
                <w:tcPr>
                  <w:tcW w:w="260" w:type="pct"/>
                  <w:vMerge w:val="continue"/>
                  <w:tcBorders>
                    <w:tl2br w:val="nil"/>
                    <w:tr2bl w:val="nil"/>
                  </w:tcBorders>
                  <w:noWrap w:val="0"/>
                  <w:vAlign w:val="center"/>
                </w:tcPr>
                <w:p w14:paraId="79C660C4">
                  <w:pPr>
                    <w:jc w:val="center"/>
                  </w:pPr>
                </w:p>
              </w:tc>
              <w:tc>
                <w:tcPr>
                  <w:tcW w:w="279" w:type="pct"/>
                  <w:vMerge w:val="continue"/>
                  <w:tcBorders>
                    <w:tl2br w:val="nil"/>
                    <w:tr2bl w:val="nil"/>
                  </w:tcBorders>
                  <w:noWrap w:val="0"/>
                  <w:vAlign w:val="center"/>
                </w:tcPr>
                <w:p w14:paraId="7A6EE7D1">
                  <w:pPr>
                    <w:jc w:val="center"/>
                  </w:pPr>
                </w:p>
              </w:tc>
              <w:tc>
                <w:tcPr>
                  <w:tcW w:w="597" w:type="pct"/>
                  <w:vMerge w:val="continue"/>
                  <w:tcBorders>
                    <w:tl2br w:val="nil"/>
                    <w:tr2bl w:val="nil"/>
                  </w:tcBorders>
                  <w:noWrap w:val="0"/>
                  <w:vAlign w:val="center"/>
                </w:tcPr>
                <w:p w14:paraId="74CBDD4A">
                  <w:pPr>
                    <w:jc w:val="center"/>
                  </w:pPr>
                </w:p>
              </w:tc>
              <w:tc>
                <w:tcPr>
                  <w:tcW w:w="264" w:type="pct"/>
                  <w:vMerge w:val="continue"/>
                  <w:tcBorders>
                    <w:tl2br w:val="nil"/>
                    <w:tr2bl w:val="nil"/>
                  </w:tcBorders>
                  <w:noWrap w:val="0"/>
                  <w:textDirection w:val="tbRlV"/>
                  <w:vAlign w:val="center"/>
                </w:tcPr>
                <w:p w14:paraId="4DB206D1">
                  <w:pPr>
                    <w:jc w:val="center"/>
                  </w:pPr>
                </w:p>
              </w:tc>
              <w:tc>
                <w:tcPr>
                  <w:tcW w:w="178" w:type="pct"/>
                  <w:vMerge w:val="continue"/>
                  <w:tcBorders>
                    <w:tl2br w:val="nil"/>
                    <w:tr2bl w:val="nil"/>
                  </w:tcBorders>
                  <w:noWrap w:val="0"/>
                  <w:vAlign w:val="center"/>
                </w:tcPr>
                <w:p w14:paraId="3F74CCAA">
                  <w:pPr>
                    <w:jc w:val="center"/>
                  </w:pPr>
                </w:p>
              </w:tc>
              <w:tc>
                <w:tcPr>
                  <w:tcW w:w="242" w:type="pct"/>
                  <w:vMerge w:val="continue"/>
                  <w:tcBorders>
                    <w:tl2br w:val="nil"/>
                    <w:tr2bl w:val="nil"/>
                  </w:tcBorders>
                  <w:noWrap w:val="0"/>
                  <w:vAlign w:val="center"/>
                </w:tcPr>
                <w:p w14:paraId="0CCF394B">
                  <w:pPr>
                    <w:jc w:val="center"/>
                  </w:pPr>
                </w:p>
              </w:tc>
              <w:tc>
                <w:tcPr>
                  <w:tcW w:w="153" w:type="pct"/>
                  <w:vMerge w:val="continue"/>
                  <w:tcBorders>
                    <w:tl2br w:val="nil"/>
                    <w:tr2bl w:val="nil"/>
                  </w:tcBorders>
                  <w:noWrap w:val="0"/>
                  <w:vAlign w:val="center"/>
                </w:tcPr>
                <w:p w14:paraId="0D58574E">
                  <w:pPr>
                    <w:jc w:val="center"/>
                  </w:pPr>
                </w:p>
              </w:tc>
              <w:tc>
                <w:tcPr>
                  <w:tcW w:w="168" w:type="pct"/>
                  <w:tcBorders>
                    <w:tl2br w:val="nil"/>
                    <w:tr2bl w:val="nil"/>
                  </w:tcBorders>
                  <w:noWrap w:val="0"/>
                  <w:vAlign w:val="center"/>
                </w:tcPr>
                <w:p w14:paraId="6C69350F">
                  <w:pPr>
                    <w:jc w:val="center"/>
                  </w:pPr>
                  <w:r>
                    <w:t>北</w:t>
                  </w:r>
                </w:p>
              </w:tc>
              <w:tc>
                <w:tcPr>
                  <w:tcW w:w="232" w:type="pct"/>
                  <w:tcBorders>
                    <w:tl2br w:val="nil"/>
                    <w:tr2bl w:val="nil"/>
                  </w:tcBorders>
                  <w:noWrap w:val="0"/>
                  <w:vAlign w:val="center"/>
                </w:tcPr>
                <w:p w14:paraId="4AF82F5F">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9</w:t>
                  </w:r>
                </w:p>
              </w:tc>
              <w:tc>
                <w:tcPr>
                  <w:tcW w:w="597" w:type="pct"/>
                  <w:tcBorders>
                    <w:tl2br w:val="nil"/>
                    <w:tr2bl w:val="nil"/>
                  </w:tcBorders>
                  <w:noWrap w:val="0"/>
                  <w:vAlign w:val="center"/>
                </w:tcPr>
                <w:p w14:paraId="10CB06F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70.9 </w:t>
                  </w:r>
                </w:p>
              </w:tc>
              <w:tc>
                <w:tcPr>
                  <w:tcW w:w="366" w:type="pct"/>
                  <w:vMerge w:val="continue"/>
                  <w:tcBorders>
                    <w:tl2br w:val="nil"/>
                    <w:tr2bl w:val="nil"/>
                  </w:tcBorders>
                  <w:noWrap w:val="0"/>
                  <w:vAlign w:val="center"/>
                </w:tcPr>
                <w:p w14:paraId="5493A17C">
                  <w:pPr>
                    <w:jc w:val="center"/>
                  </w:pPr>
                </w:p>
              </w:tc>
              <w:tc>
                <w:tcPr>
                  <w:tcW w:w="598" w:type="pct"/>
                  <w:tcBorders>
                    <w:tl2br w:val="nil"/>
                    <w:tr2bl w:val="nil"/>
                  </w:tcBorders>
                  <w:noWrap w:val="0"/>
                  <w:vAlign w:val="center"/>
                </w:tcPr>
                <w:p w14:paraId="261029C3">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330D2AB4">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50.9 </w:t>
                  </w:r>
                </w:p>
              </w:tc>
              <w:tc>
                <w:tcPr>
                  <w:tcW w:w="274" w:type="pct"/>
                  <w:tcBorders>
                    <w:tl2br w:val="nil"/>
                    <w:tr2bl w:val="nil"/>
                  </w:tcBorders>
                  <w:noWrap w:val="0"/>
                  <w:vAlign w:val="center"/>
                </w:tcPr>
                <w:p w14:paraId="2999A0F3">
                  <w:pPr>
                    <w:jc w:val="center"/>
                  </w:pPr>
                  <w:r>
                    <w:t>1m</w:t>
                  </w:r>
                </w:p>
              </w:tc>
            </w:tr>
            <w:tr w14:paraId="503F9AA3">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7" w:hRule="atLeast"/>
              </w:trPr>
              <w:tc>
                <w:tcPr>
                  <w:tcW w:w="187" w:type="pct"/>
                  <w:vMerge w:val="restart"/>
                  <w:tcBorders>
                    <w:tl2br w:val="nil"/>
                    <w:tr2bl w:val="nil"/>
                  </w:tcBorders>
                  <w:shd w:val="clear" w:color="auto" w:fill="auto"/>
                  <w:noWrap w:val="0"/>
                  <w:vAlign w:val="center"/>
                </w:tcPr>
                <w:p w14:paraId="16B04F65">
                  <w:pPr>
                    <w:jc w:val="center"/>
                    <w:rPr>
                      <w:rFonts w:hint="eastAsia" w:ascii="Times New Roman" w:hAnsi="Times New Roman" w:eastAsia="宋体" w:cs="Times New Roman"/>
                      <w:kern w:val="2"/>
                      <w:sz w:val="21"/>
                      <w:szCs w:val="21"/>
                      <w:lang w:val="en-US" w:eastAsia="zh-CN" w:bidi="ar-SA"/>
                    </w:rPr>
                  </w:pPr>
                  <w:r>
                    <w:rPr>
                      <w:rFonts w:hint="eastAsia"/>
                      <w:lang w:val="en-US" w:eastAsia="zh-CN"/>
                    </w:rPr>
                    <w:t>5</w:t>
                  </w:r>
                </w:p>
                <w:p w14:paraId="7B0772A6">
                  <w:pPr>
                    <w:jc w:val="center"/>
                    <w:rPr>
                      <w:rFonts w:ascii="Times New Roman" w:hAnsi="Times New Roman" w:eastAsia="宋体" w:cs="Times New Roman"/>
                      <w:kern w:val="2"/>
                      <w:sz w:val="21"/>
                      <w:szCs w:val="21"/>
                      <w:lang w:val="en-US" w:eastAsia="zh-CN" w:bidi="ar-SA"/>
                    </w:rPr>
                  </w:pPr>
                </w:p>
              </w:tc>
              <w:tc>
                <w:tcPr>
                  <w:tcW w:w="260" w:type="pct"/>
                  <w:vMerge w:val="restart"/>
                  <w:tcBorders>
                    <w:tl2br w:val="nil"/>
                    <w:tr2bl w:val="nil"/>
                  </w:tcBorders>
                  <w:shd w:val="clear" w:color="auto" w:fill="auto"/>
                  <w:noWrap w:val="0"/>
                  <w:vAlign w:val="center"/>
                </w:tcPr>
                <w:p w14:paraId="3E0E3D1F">
                  <w:pPr>
                    <w:jc w:val="center"/>
                    <w:rPr>
                      <w:rFonts w:ascii="Times New Roman" w:hAnsi="Times New Roman" w:eastAsia="宋体" w:cs="Times New Roman"/>
                      <w:kern w:val="2"/>
                      <w:sz w:val="21"/>
                      <w:szCs w:val="21"/>
                      <w:lang w:val="en-US" w:eastAsia="zh-CN" w:bidi="ar-SA"/>
                    </w:rPr>
                  </w:pPr>
                  <w:r>
                    <w:rPr>
                      <w:rFonts w:hint="eastAsia"/>
                      <w:lang w:val="en-US" w:eastAsia="zh-CN"/>
                    </w:rPr>
                    <w:t>11栋1F</w:t>
                  </w:r>
                </w:p>
              </w:tc>
              <w:tc>
                <w:tcPr>
                  <w:tcW w:w="279" w:type="pct"/>
                  <w:vMerge w:val="restart"/>
                  <w:tcBorders>
                    <w:tl2br w:val="nil"/>
                    <w:tr2bl w:val="nil"/>
                  </w:tcBorders>
                  <w:noWrap w:val="0"/>
                  <w:vAlign w:val="center"/>
                </w:tcPr>
                <w:p w14:paraId="4883C623">
                  <w:pPr>
                    <w:jc w:val="center"/>
                    <w:rPr>
                      <w:rFonts w:hint="eastAsia" w:eastAsia="宋体"/>
                      <w:lang w:val="en-US" w:eastAsia="zh-CN"/>
                    </w:rPr>
                  </w:pPr>
                  <w:r>
                    <w:rPr>
                      <w:rFonts w:hint="eastAsia"/>
                      <w:lang w:val="en-US" w:eastAsia="zh-CN"/>
                    </w:rPr>
                    <w:t>喷砂机</w:t>
                  </w:r>
                </w:p>
              </w:tc>
              <w:tc>
                <w:tcPr>
                  <w:tcW w:w="597" w:type="pct"/>
                  <w:vMerge w:val="restart"/>
                  <w:tcBorders>
                    <w:tl2br w:val="nil"/>
                    <w:tr2bl w:val="nil"/>
                  </w:tcBorders>
                  <w:noWrap w:val="0"/>
                  <w:vAlign w:val="center"/>
                </w:tcPr>
                <w:p w14:paraId="3FB6F4E1">
                  <w:pPr>
                    <w:jc w:val="center"/>
                    <w:rPr>
                      <w:rFonts w:hint="default" w:eastAsia="宋体"/>
                      <w:lang w:val="en-US" w:eastAsia="zh-CN"/>
                    </w:rPr>
                  </w:pPr>
                  <w:r>
                    <w:rPr>
                      <w:rFonts w:hint="eastAsia"/>
                      <w:lang w:val="en-US" w:eastAsia="zh-CN"/>
                    </w:rPr>
                    <w:t>88/1</w:t>
                  </w:r>
                </w:p>
              </w:tc>
              <w:tc>
                <w:tcPr>
                  <w:tcW w:w="264" w:type="pct"/>
                  <w:vMerge w:val="continue"/>
                  <w:tcBorders>
                    <w:tl2br w:val="nil"/>
                    <w:tr2bl w:val="nil"/>
                  </w:tcBorders>
                  <w:noWrap w:val="0"/>
                  <w:textDirection w:val="tbRlV"/>
                  <w:vAlign w:val="center"/>
                </w:tcPr>
                <w:p w14:paraId="0C6907A4">
                  <w:pPr>
                    <w:jc w:val="center"/>
                  </w:pPr>
                </w:p>
              </w:tc>
              <w:tc>
                <w:tcPr>
                  <w:tcW w:w="178" w:type="pct"/>
                  <w:vMerge w:val="restart"/>
                  <w:tcBorders>
                    <w:tl2br w:val="nil"/>
                    <w:tr2bl w:val="nil"/>
                  </w:tcBorders>
                  <w:noWrap w:val="0"/>
                  <w:vAlign w:val="center"/>
                </w:tcPr>
                <w:p w14:paraId="7E88B4AB">
                  <w:pPr>
                    <w:jc w:val="center"/>
                    <w:rPr>
                      <w:rFonts w:hint="default" w:eastAsia="宋体"/>
                      <w:lang w:val="en-US" w:eastAsia="zh-CN"/>
                    </w:rPr>
                  </w:pPr>
                  <w:r>
                    <w:rPr>
                      <w:rFonts w:hint="eastAsia"/>
                      <w:lang w:val="en-US" w:eastAsia="zh-CN"/>
                    </w:rPr>
                    <w:t>26</w:t>
                  </w:r>
                </w:p>
              </w:tc>
              <w:tc>
                <w:tcPr>
                  <w:tcW w:w="242" w:type="pct"/>
                  <w:vMerge w:val="restart"/>
                  <w:tcBorders>
                    <w:tl2br w:val="nil"/>
                    <w:tr2bl w:val="nil"/>
                  </w:tcBorders>
                  <w:noWrap w:val="0"/>
                  <w:vAlign w:val="center"/>
                </w:tcPr>
                <w:p w14:paraId="2381E394">
                  <w:pPr>
                    <w:jc w:val="center"/>
                    <w:rPr>
                      <w:rFonts w:hint="default" w:eastAsia="宋体"/>
                      <w:lang w:val="en-US" w:eastAsia="zh-CN"/>
                    </w:rPr>
                  </w:pPr>
                  <w:r>
                    <w:rPr>
                      <w:rFonts w:hint="eastAsia"/>
                      <w:lang w:val="en-US" w:eastAsia="zh-CN"/>
                    </w:rPr>
                    <w:t>-14</w:t>
                  </w:r>
                </w:p>
              </w:tc>
              <w:tc>
                <w:tcPr>
                  <w:tcW w:w="153" w:type="pct"/>
                  <w:vMerge w:val="restart"/>
                  <w:tcBorders>
                    <w:tl2br w:val="nil"/>
                    <w:tr2bl w:val="nil"/>
                  </w:tcBorders>
                  <w:noWrap w:val="0"/>
                  <w:vAlign w:val="center"/>
                </w:tcPr>
                <w:p w14:paraId="179B4183">
                  <w:pPr>
                    <w:jc w:val="center"/>
                    <w:rPr>
                      <w:rFonts w:hint="eastAsia" w:eastAsia="宋体"/>
                      <w:lang w:val="en-US" w:eastAsia="zh-CN"/>
                    </w:rPr>
                  </w:pPr>
                  <w:r>
                    <w:rPr>
                      <w:rFonts w:hint="eastAsia"/>
                      <w:lang w:val="en-US" w:eastAsia="zh-CN"/>
                    </w:rPr>
                    <w:t>1</w:t>
                  </w:r>
                </w:p>
              </w:tc>
              <w:tc>
                <w:tcPr>
                  <w:tcW w:w="168" w:type="pct"/>
                  <w:tcBorders>
                    <w:tl2br w:val="nil"/>
                    <w:tr2bl w:val="nil"/>
                  </w:tcBorders>
                  <w:shd w:val="clear" w:color="auto" w:fill="auto"/>
                  <w:noWrap w:val="0"/>
                  <w:vAlign w:val="center"/>
                </w:tcPr>
                <w:p w14:paraId="26254ECC">
                  <w:pPr>
                    <w:jc w:val="center"/>
                    <w:rPr>
                      <w:rFonts w:ascii="Times New Roman" w:hAnsi="Times New Roman" w:eastAsia="宋体" w:cs="Times New Roman"/>
                      <w:kern w:val="2"/>
                      <w:sz w:val="21"/>
                      <w:szCs w:val="21"/>
                      <w:lang w:val="en-US" w:eastAsia="zh-CN" w:bidi="ar-SA"/>
                    </w:rPr>
                  </w:pPr>
                  <w:r>
                    <w:t>东</w:t>
                  </w:r>
                </w:p>
              </w:tc>
              <w:tc>
                <w:tcPr>
                  <w:tcW w:w="232" w:type="pct"/>
                  <w:tcBorders>
                    <w:tl2br w:val="nil"/>
                    <w:tr2bl w:val="nil"/>
                  </w:tcBorders>
                  <w:noWrap w:val="0"/>
                  <w:vAlign w:val="center"/>
                </w:tcPr>
                <w:p w14:paraId="2A7C58B1">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20</w:t>
                  </w:r>
                </w:p>
              </w:tc>
              <w:tc>
                <w:tcPr>
                  <w:tcW w:w="597" w:type="pct"/>
                  <w:tcBorders>
                    <w:tl2br w:val="nil"/>
                    <w:tr2bl w:val="nil"/>
                  </w:tcBorders>
                  <w:noWrap w:val="0"/>
                  <w:vAlign w:val="center"/>
                </w:tcPr>
                <w:p w14:paraId="3611510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62.0 </w:t>
                  </w:r>
                </w:p>
              </w:tc>
              <w:tc>
                <w:tcPr>
                  <w:tcW w:w="366" w:type="pct"/>
                  <w:vMerge w:val="continue"/>
                  <w:tcBorders>
                    <w:tl2br w:val="nil"/>
                    <w:tr2bl w:val="nil"/>
                  </w:tcBorders>
                  <w:noWrap w:val="0"/>
                  <w:vAlign w:val="center"/>
                </w:tcPr>
                <w:p w14:paraId="67B543A9">
                  <w:pPr>
                    <w:jc w:val="center"/>
                  </w:pPr>
                </w:p>
              </w:tc>
              <w:tc>
                <w:tcPr>
                  <w:tcW w:w="598" w:type="pct"/>
                  <w:tcBorders>
                    <w:tl2br w:val="nil"/>
                    <w:tr2bl w:val="nil"/>
                  </w:tcBorders>
                  <w:noWrap w:val="0"/>
                  <w:vAlign w:val="center"/>
                </w:tcPr>
                <w:p w14:paraId="15C34B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75B35C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42.0 </w:t>
                  </w:r>
                </w:p>
              </w:tc>
              <w:tc>
                <w:tcPr>
                  <w:tcW w:w="274" w:type="pct"/>
                  <w:tcBorders>
                    <w:tl2br w:val="nil"/>
                    <w:tr2bl w:val="nil"/>
                  </w:tcBorders>
                  <w:noWrap w:val="0"/>
                  <w:vAlign w:val="center"/>
                </w:tcPr>
                <w:p w14:paraId="3EB1EB26">
                  <w:pPr>
                    <w:jc w:val="center"/>
                  </w:pPr>
                  <w:r>
                    <w:t>1m</w:t>
                  </w:r>
                </w:p>
              </w:tc>
            </w:tr>
            <w:tr w14:paraId="677ED42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7" w:hRule="atLeast"/>
              </w:trPr>
              <w:tc>
                <w:tcPr>
                  <w:tcW w:w="187" w:type="pct"/>
                  <w:vMerge w:val="continue"/>
                  <w:tcBorders>
                    <w:tl2br w:val="nil"/>
                    <w:tr2bl w:val="nil"/>
                  </w:tcBorders>
                  <w:noWrap w:val="0"/>
                  <w:vAlign w:val="center"/>
                </w:tcPr>
                <w:p w14:paraId="48D07029">
                  <w:pPr>
                    <w:jc w:val="center"/>
                  </w:pPr>
                </w:p>
              </w:tc>
              <w:tc>
                <w:tcPr>
                  <w:tcW w:w="260" w:type="pct"/>
                  <w:vMerge w:val="continue"/>
                  <w:tcBorders>
                    <w:tl2br w:val="nil"/>
                    <w:tr2bl w:val="nil"/>
                  </w:tcBorders>
                  <w:noWrap w:val="0"/>
                  <w:vAlign w:val="center"/>
                </w:tcPr>
                <w:p w14:paraId="1A969AF3">
                  <w:pPr>
                    <w:jc w:val="center"/>
                  </w:pPr>
                </w:p>
              </w:tc>
              <w:tc>
                <w:tcPr>
                  <w:tcW w:w="279" w:type="pct"/>
                  <w:vMerge w:val="continue"/>
                  <w:tcBorders>
                    <w:tl2br w:val="nil"/>
                    <w:tr2bl w:val="nil"/>
                  </w:tcBorders>
                  <w:noWrap w:val="0"/>
                  <w:vAlign w:val="center"/>
                </w:tcPr>
                <w:p w14:paraId="6E39819E">
                  <w:pPr>
                    <w:jc w:val="center"/>
                  </w:pPr>
                </w:p>
              </w:tc>
              <w:tc>
                <w:tcPr>
                  <w:tcW w:w="597" w:type="pct"/>
                  <w:vMerge w:val="continue"/>
                  <w:tcBorders>
                    <w:tl2br w:val="nil"/>
                    <w:tr2bl w:val="nil"/>
                  </w:tcBorders>
                  <w:noWrap w:val="0"/>
                  <w:vAlign w:val="center"/>
                </w:tcPr>
                <w:p w14:paraId="6AD0E89C">
                  <w:pPr>
                    <w:jc w:val="center"/>
                  </w:pPr>
                </w:p>
              </w:tc>
              <w:tc>
                <w:tcPr>
                  <w:tcW w:w="264" w:type="pct"/>
                  <w:vMerge w:val="continue"/>
                  <w:tcBorders>
                    <w:tl2br w:val="nil"/>
                    <w:tr2bl w:val="nil"/>
                  </w:tcBorders>
                  <w:noWrap w:val="0"/>
                  <w:textDirection w:val="tbRlV"/>
                  <w:vAlign w:val="center"/>
                </w:tcPr>
                <w:p w14:paraId="25BF8BB7">
                  <w:pPr>
                    <w:jc w:val="center"/>
                  </w:pPr>
                </w:p>
              </w:tc>
              <w:tc>
                <w:tcPr>
                  <w:tcW w:w="178" w:type="pct"/>
                  <w:vMerge w:val="continue"/>
                  <w:tcBorders>
                    <w:tl2br w:val="nil"/>
                    <w:tr2bl w:val="nil"/>
                  </w:tcBorders>
                  <w:noWrap w:val="0"/>
                  <w:vAlign w:val="center"/>
                </w:tcPr>
                <w:p w14:paraId="46E04EBA">
                  <w:pPr>
                    <w:jc w:val="center"/>
                  </w:pPr>
                </w:p>
              </w:tc>
              <w:tc>
                <w:tcPr>
                  <w:tcW w:w="242" w:type="pct"/>
                  <w:vMerge w:val="continue"/>
                  <w:tcBorders>
                    <w:tl2br w:val="nil"/>
                    <w:tr2bl w:val="nil"/>
                  </w:tcBorders>
                  <w:noWrap w:val="0"/>
                  <w:vAlign w:val="center"/>
                </w:tcPr>
                <w:p w14:paraId="13B07BE7">
                  <w:pPr>
                    <w:jc w:val="center"/>
                  </w:pPr>
                </w:p>
              </w:tc>
              <w:tc>
                <w:tcPr>
                  <w:tcW w:w="153" w:type="pct"/>
                  <w:vMerge w:val="continue"/>
                  <w:tcBorders>
                    <w:tl2br w:val="nil"/>
                    <w:tr2bl w:val="nil"/>
                  </w:tcBorders>
                  <w:noWrap w:val="0"/>
                  <w:vAlign w:val="center"/>
                </w:tcPr>
                <w:p w14:paraId="2F0F7747">
                  <w:pPr>
                    <w:jc w:val="center"/>
                  </w:pPr>
                </w:p>
              </w:tc>
              <w:tc>
                <w:tcPr>
                  <w:tcW w:w="168" w:type="pct"/>
                  <w:tcBorders>
                    <w:tl2br w:val="nil"/>
                    <w:tr2bl w:val="nil"/>
                  </w:tcBorders>
                  <w:shd w:val="clear" w:color="auto" w:fill="auto"/>
                  <w:noWrap w:val="0"/>
                  <w:vAlign w:val="center"/>
                </w:tcPr>
                <w:p w14:paraId="21EE7C94">
                  <w:pPr>
                    <w:jc w:val="center"/>
                    <w:rPr>
                      <w:rFonts w:ascii="Times New Roman" w:hAnsi="Times New Roman" w:eastAsia="宋体" w:cs="Times New Roman"/>
                      <w:kern w:val="2"/>
                      <w:sz w:val="21"/>
                      <w:szCs w:val="21"/>
                      <w:lang w:val="en-US" w:eastAsia="zh-CN" w:bidi="ar-SA"/>
                    </w:rPr>
                  </w:pPr>
                  <w:r>
                    <w:t>南</w:t>
                  </w:r>
                </w:p>
              </w:tc>
              <w:tc>
                <w:tcPr>
                  <w:tcW w:w="232" w:type="pct"/>
                  <w:tcBorders>
                    <w:tl2br w:val="nil"/>
                    <w:tr2bl w:val="nil"/>
                  </w:tcBorders>
                  <w:noWrap w:val="0"/>
                  <w:vAlign w:val="center"/>
                </w:tcPr>
                <w:p w14:paraId="6D7E4EF3">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13</w:t>
                  </w:r>
                </w:p>
              </w:tc>
              <w:tc>
                <w:tcPr>
                  <w:tcW w:w="597" w:type="pct"/>
                  <w:tcBorders>
                    <w:tl2br w:val="nil"/>
                    <w:tr2bl w:val="nil"/>
                  </w:tcBorders>
                  <w:noWrap w:val="0"/>
                  <w:vAlign w:val="center"/>
                </w:tcPr>
                <w:p w14:paraId="1EDF1A1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65.7 </w:t>
                  </w:r>
                </w:p>
              </w:tc>
              <w:tc>
                <w:tcPr>
                  <w:tcW w:w="366" w:type="pct"/>
                  <w:vMerge w:val="continue"/>
                  <w:tcBorders>
                    <w:tl2br w:val="nil"/>
                    <w:tr2bl w:val="nil"/>
                  </w:tcBorders>
                  <w:noWrap w:val="0"/>
                  <w:vAlign w:val="center"/>
                </w:tcPr>
                <w:p w14:paraId="225A95B0">
                  <w:pPr>
                    <w:jc w:val="center"/>
                  </w:pPr>
                </w:p>
              </w:tc>
              <w:tc>
                <w:tcPr>
                  <w:tcW w:w="598" w:type="pct"/>
                  <w:tcBorders>
                    <w:tl2br w:val="nil"/>
                    <w:tr2bl w:val="nil"/>
                  </w:tcBorders>
                  <w:noWrap w:val="0"/>
                  <w:vAlign w:val="center"/>
                </w:tcPr>
                <w:p w14:paraId="2FFA2F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5B0604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45.7 </w:t>
                  </w:r>
                </w:p>
              </w:tc>
              <w:tc>
                <w:tcPr>
                  <w:tcW w:w="274" w:type="pct"/>
                  <w:tcBorders>
                    <w:tl2br w:val="nil"/>
                    <w:tr2bl w:val="nil"/>
                  </w:tcBorders>
                  <w:noWrap w:val="0"/>
                  <w:vAlign w:val="center"/>
                </w:tcPr>
                <w:p w14:paraId="37B71F3F">
                  <w:pPr>
                    <w:jc w:val="center"/>
                  </w:pPr>
                  <w:r>
                    <w:t>1m</w:t>
                  </w:r>
                </w:p>
              </w:tc>
            </w:tr>
            <w:tr w14:paraId="6934884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7" w:hRule="atLeast"/>
              </w:trPr>
              <w:tc>
                <w:tcPr>
                  <w:tcW w:w="187" w:type="pct"/>
                  <w:vMerge w:val="continue"/>
                  <w:tcBorders>
                    <w:tl2br w:val="nil"/>
                    <w:tr2bl w:val="nil"/>
                  </w:tcBorders>
                  <w:noWrap w:val="0"/>
                  <w:vAlign w:val="center"/>
                </w:tcPr>
                <w:p w14:paraId="315A94FA">
                  <w:pPr>
                    <w:jc w:val="center"/>
                  </w:pPr>
                </w:p>
              </w:tc>
              <w:tc>
                <w:tcPr>
                  <w:tcW w:w="260" w:type="pct"/>
                  <w:vMerge w:val="continue"/>
                  <w:tcBorders>
                    <w:tl2br w:val="nil"/>
                    <w:tr2bl w:val="nil"/>
                  </w:tcBorders>
                  <w:noWrap w:val="0"/>
                  <w:vAlign w:val="center"/>
                </w:tcPr>
                <w:p w14:paraId="199EA410">
                  <w:pPr>
                    <w:jc w:val="center"/>
                  </w:pPr>
                </w:p>
              </w:tc>
              <w:tc>
                <w:tcPr>
                  <w:tcW w:w="279" w:type="pct"/>
                  <w:vMerge w:val="continue"/>
                  <w:tcBorders>
                    <w:tl2br w:val="nil"/>
                    <w:tr2bl w:val="nil"/>
                  </w:tcBorders>
                  <w:noWrap w:val="0"/>
                  <w:vAlign w:val="center"/>
                </w:tcPr>
                <w:p w14:paraId="7F386E72">
                  <w:pPr>
                    <w:jc w:val="center"/>
                  </w:pPr>
                </w:p>
              </w:tc>
              <w:tc>
                <w:tcPr>
                  <w:tcW w:w="597" w:type="pct"/>
                  <w:vMerge w:val="continue"/>
                  <w:tcBorders>
                    <w:tl2br w:val="nil"/>
                    <w:tr2bl w:val="nil"/>
                  </w:tcBorders>
                  <w:noWrap w:val="0"/>
                  <w:vAlign w:val="center"/>
                </w:tcPr>
                <w:p w14:paraId="07DC5D58">
                  <w:pPr>
                    <w:jc w:val="center"/>
                  </w:pPr>
                </w:p>
              </w:tc>
              <w:tc>
                <w:tcPr>
                  <w:tcW w:w="264" w:type="pct"/>
                  <w:vMerge w:val="continue"/>
                  <w:tcBorders>
                    <w:tl2br w:val="nil"/>
                    <w:tr2bl w:val="nil"/>
                  </w:tcBorders>
                  <w:noWrap w:val="0"/>
                  <w:textDirection w:val="tbRlV"/>
                  <w:vAlign w:val="center"/>
                </w:tcPr>
                <w:p w14:paraId="1293EA2E">
                  <w:pPr>
                    <w:jc w:val="center"/>
                  </w:pPr>
                </w:p>
              </w:tc>
              <w:tc>
                <w:tcPr>
                  <w:tcW w:w="178" w:type="pct"/>
                  <w:vMerge w:val="continue"/>
                  <w:tcBorders>
                    <w:tl2br w:val="nil"/>
                    <w:tr2bl w:val="nil"/>
                  </w:tcBorders>
                  <w:noWrap w:val="0"/>
                  <w:vAlign w:val="center"/>
                </w:tcPr>
                <w:p w14:paraId="7F820258">
                  <w:pPr>
                    <w:jc w:val="center"/>
                  </w:pPr>
                </w:p>
              </w:tc>
              <w:tc>
                <w:tcPr>
                  <w:tcW w:w="242" w:type="pct"/>
                  <w:vMerge w:val="continue"/>
                  <w:tcBorders>
                    <w:tl2br w:val="nil"/>
                    <w:tr2bl w:val="nil"/>
                  </w:tcBorders>
                  <w:noWrap w:val="0"/>
                  <w:vAlign w:val="center"/>
                </w:tcPr>
                <w:p w14:paraId="20445B38">
                  <w:pPr>
                    <w:jc w:val="center"/>
                  </w:pPr>
                </w:p>
              </w:tc>
              <w:tc>
                <w:tcPr>
                  <w:tcW w:w="153" w:type="pct"/>
                  <w:vMerge w:val="continue"/>
                  <w:tcBorders>
                    <w:tl2br w:val="nil"/>
                    <w:tr2bl w:val="nil"/>
                  </w:tcBorders>
                  <w:noWrap w:val="0"/>
                  <w:vAlign w:val="center"/>
                </w:tcPr>
                <w:p w14:paraId="44C4985E">
                  <w:pPr>
                    <w:jc w:val="center"/>
                  </w:pPr>
                </w:p>
              </w:tc>
              <w:tc>
                <w:tcPr>
                  <w:tcW w:w="168" w:type="pct"/>
                  <w:tcBorders>
                    <w:tl2br w:val="nil"/>
                    <w:tr2bl w:val="nil"/>
                  </w:tcBorders>
                  <w:shd w:val="clear" w:color="auto" w:fill="auto"/>
                  <w:noWrap w:val="0"/>
                  <w:vAlign w:val="center"/>
                </w:tcPr>
                <w:p w14:paraId="3D5E5B24">
                  <w:pPr>
                    <w:jc w:val="center"/>
                    <w:rPr>
                      <w:rFonts w:ascii="Times New Roman" w:hAnsi="Times New Roman" w:eastAsia="宋体" w:cs="Times New Roman"/>
                      <w:kern w:val="2"/>
                      <w:sz w:val="21"/>
                      <w:szCs w:val="21"/>
                      <w:lang w:val="en-US" w:eastAsia="zh-CN" w:bidi="ar-SA"/>
                    </w:rPr>
                  </w:pPr>
                  <w:r>
                    <w:t>西</w:t>
                  </w:r>
                </w:p>
              </w:tc>
              <w:tc>
                <w:tcPr>
                  <w:tcW w:w="232" w:type="pct"/>
                  <w:tcBorders>
                    <w:tl2br w:val="nil"/>
                    <w:tr2bl w:val="nil"/>
                  </w:tcBorders>
                  <w:noWrap w:val="0"/>
                  <w:vAlign w:val="center"/>
                </w:tcPr>
                <w:p w14:paraId="20F4F0D0">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60</w:t>
                  </w:r>
                </w:p>
              </w:tc>
              <w:tc>
                <w:tcPr>
                  <w:tcW w:w="597" w:type="pct"/>
                  <w:tcBorders>
                    <w:tl2br w:val="nil"/>
                    <w:tr2bl w:val="nil"/>
                  </w:tcBorders>
                  <w:noWrap w:val="0"/>
                  <w:vAlign w:val="center"/>
                </w:tcPr>
                <w:p w14:paraId="1548B1A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52.4 </w:t>
                  </w:r>
                </w:p>
              </w:tc>
              <w:tc>
                <w:tcPr>
                  <w:tcW w:w="366" w:type="pct"/>
                  <w:vMerge w:val="continue"/>
                  <w:tcBorders>
                    <w:tl2br w:val="nil"/>
                    <w:tr2bl w:val="nil"/>
                  </w:tcBorders>
                  <w:noWrap w:val="0"/>
                  <w:vAlign w:val="center"/>
                </w:tcPr>
                <w:p w14:paraId="33350D8F">
                  <w:pPr>
                    <w:jc w:val="center"/>
                  </w:pPr>
                </w:p>
              </w:tc>
              <w:tc>
                <w:tcPr>
                  <w:tcW w:w="598" w:type="pct"/>
                  <w:tcBorders>
                    <w:tl2br w:val="nil"/>
                    <w:tr2bl w:val="nil"/>
                  </w:tcBorders>
                  <w:noWrap w:val="0"/>
                  <w:vAlign w:val="center"/>
                </w:tcPr>
                <w:p w14:paraId="5D3659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152C74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32.4 </w:t>
                  </w:r>
                </w:p>
              </w:tc>
              <w:tc>
                <w:tcPr>
                  <w:tcW w:w="274" w:type="pct"/>
                  <w:tcBorders>
                    <w:tl2br w:val="nil"/>
                    <w:tr2bl w:val="nil"/>
                  </w:tcBorders>
                  <w:noWrap w:val="0"/>
                  <w:vAlign w:val="center"/>
                </w:tcPr>
                <w:p w14:paraId="7EEC5AB9">
                  <w:pPr>
                    <w:jc w:val="center"/>
                  </w:pPr>
                  <w:r>
                    <w:t>1m</w:t>
                  </w:r>
                </w:p>
              </w:tc>
            </w:tr>
            <w:tr w14:paraId="4979261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7" w:hRule="atLeast"/>
              </w:trPr>
              <w:tc>
                <w:tcPr>
                  <w:tcW w:w="187" w:type="pct"/>
                  <w:vMerge w:val="continue"/>
                  <w:tcBorders>
                    <w:tl2br w:val="nil"/>
                    <w:tr2bl w:val="nil"/>
                  </w:tcBorders>
                  <w:noWrap w:val="0"/>
                  <w:vAlign w:val="center"/>
                </w:tcPr>
                <w:p w14:paraId="7628B1ED">
                  <w:pPr>
                    <w:jc w:val="center"/>
                  </w:pPr>
                </w:p>
              </w:tc>
              <w:tc>
                <w:tcPr>
                  <w:tcW w:w="260" w:type="pct"/>
                  <w:vMerge w:val="continue"/>
                  <w:tcBorders>
                    <w:tl2br w:val="nil"/>
                    <w:tr2bl w:val="nil"/>
                  </w:tcBorders>
                  <w:noWrap w:val="0"/>
                  <w:vAlign w:val="center"/>
                </w:tcPr>
                <w:p w14:paraId="0522741D">
                  <w:pPr>
                    <w:jc w:val="center"/>
                  </w:pPr>
                </w:p>
              </w:tc>
              <w:tc>
                <w:tcPr>
                  <w:tcW w:w="279" w:type="pct"/>
                  <w:vMerge w:val="continue"/>
                  <w:tcBorders>
                    <w:tl2br w:val="nil"/>
                    <w:tr2bl w:val="nil"/>
                  </w:tcBorders>
                  <w:noWrap w:val="0"/>
                  <w:vAlign w:val="center"/>
                </w:tcPr>
                <w:p w14:paraId="4BEEC390">
                  <w:pPr>
                    <w:jc w:val="center"/>
                  </w:pPr>
                </w:p>
              </w:tc>
              <w:tc>
                <w:tcPr>
                  <w:tcW w:w="597" w:type="pct"/>
                  <w:vMerge w:val="continue"/>
                  <w:tcBorders>
                    <w:tl2br w:val="nil"/>
                    <w:tr2bl w:val="nil"/>
                  </w:tcBorders>
                  <w:noWrap w:val="0"/>
                  <w:vAlign w:val="center"/>
                </w:tcPr>
                <w:p w14:paraId="09F96548">
                  <w:pPr>
                    <w:jc w:val="center"/>
                  </w:pPr>
                </w:p>
              </w:tc>
              <w:tc>
                <w:tcPr>
                  <w:tcW w:w="264" w:type="pct"/>
                  <w:vMerge w:val="continue"/>
                  <w:tcBorders>
                    <w:tl2br w:val="nil"/>
                    <w:tr2bl w:val="nil"/>
                  </w:tcBorders>
                  <w:noWrap w:val="0"/>
                  <w:textDirection w:val="tbRlV"/>
                  <w:vAlign w:val="center"/>
                </w:tcPr>
                <w:p w14:paraId="09B6DF0F">
                  <w:pPr>
                    <w:jc w:val="center"/>
                  </w:pPr>
                </w:p>
              </w:tc>
              <w:tc>
                <w:tcPr>
                  <w:tcW w:w="178" w:type="pct"/>
                  <w:vMerge w:val="continue"/>
                  <w:tcBorders>
                    <w:tl2br w:val="nil"/>
                    <w:tr2bl w:val="nil"/>
                  </w:tcBorders>
                  <w:noWrap w:val="0"/>
                  <w:vAlign w:val="center"/>
                </w:tcPr>
                <w:p w14:paraId="7B507B39">
                  <w:pPr>
                    <w:jc w:val="center"/>
                  </w:pPr>
                </w:p>
              </w:tc>
              <w:tc>
                <w:tcPr>
                  <w:tcW w:w="242" w:type="pct"/>
                  <w:vMerge w:val="continue"/>
                  <w:tcBorders>
                    <w:tl2br w:val="nil"/>
                    <w:tr2bl w:val="nil"/>
                  </w:tcBorders>
                  <w:noWrap w:val="0"/>
                  <w:vAlign w:val="center"/>
                </w:tcPr>
                <w:p w14:paraId="7367FBE4">
                  <w:pPr>
                    <w:jc w:val="center"/>
                  </w:pPr>
                </w:p>
              </w:tc>
              <w:tc>
                <w:tcPr>
                  <w:tcW w:w="153" w:type="pct"/>
                  <w:vMerge w:val="continue"/>
                  <w:tcBorders>
                    <w:tl2br w:val="nil"/>
                    <w:tr2bl w:val="nil"/>
                  </w:tcBorders>
                  <w:noWrap w:val="0"/>
                  <w:vAlign w:val="center"/>
                </w:tcPr>
                <w:p w14:paraId="28A42779">
                  <w:pPr>
                    <w:jc w:val="center"/>
                  </w:pPr>
                </w:p>
              </w:tc>
              <w:tc>
                <w:tcPr>
                  <w:tcW w:w="168" w:type="pct"/>
                  <w:tcBorders>
                    <w:tl2br w:val="nil"/>
                    <w:tr2bl w:val="nil"/>
                  </w:tcBorders>
                  <w:shd w:val="clear" w:color="auto" w:fill="auto"/>
                  <w:noWrap w:val="0"/>
                  <w:vAlign w:val="center"/>
                </w:tcPr>
                <w:p w14:paraId="59D2E382">
                  <w:pPr>
                    <w:jc w:val="center"/>
                    <w:rPr>
                      <w:rFonts w:ascii="Times New Roman" w:hAnsi="Times New Roman" w:eastAsia="宋体" w:cs="Times New Roman"/>
                      <w:kern w:val="2"/>
                      <w:sz w:val="21"/>
                      <w:szCs w:val="21"/>
                      <w:lang w:val="en-US" w:eastAsia="zh-CN" w:bidi="ar-SA"/>
                    </w:rPr>
                  </w:pPr>
                  <w:r>
                    <w:t>北</w:t>
                  </w:r>
                </w:p>
              </w:tc>
              <w:tc>
                <w:tcPr>
                  <w:tcW w:w="232" w:type="pct"/>
                  <w:tcBorders>
                    <w:tl2br w:val="nil"/>
                    <w:tr2bl w:val="nil"/>
                  </w:tcBorders>
                  <w:noWrap w:val="0"/>
                  <w:vAlign w:val="center"/>
                </w:tcPr>
                <w:p w14:paraId="2E372986">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5</w:t>
                  </w:r>
                </w:p>
              </w:tc>
              <w:tc>
                <w:tcPr>
                  <w:tcW w:w="597" w:type="pct"/>
                  <w:tcBorders>
                    <w:tl2br w:val="nil"/>
                    <w:tr2bl w:val="nil"/>
                  </w:tcBorders>
                  <w:noWrap w:val="0"/>
                  <w:vAlign w:val="center"/>
                </w:tcPr>
                <w:p w14:paraId="69DBF8A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74.0 </w:t>
                  </w:r>
                </w:p>
              </w:tc>
              <w:tc>
                <w:tcPr>
                  <w:tcW w:w="366" w:type="pct"/>
                  <w:vMerge w:val="continue"/>
                  <w:tcBorders>
                    <w:tl2br w:val="nil"/>
                    <w:tr2bl w:val="nil"/>
                  </w:tcBorders>
                  <w:noWrap w:val="0"/>
                  <w:vAlign w:val="center"/>
                </w:tcPr>
                <w:p w14:paraId="7B4248C8">
                  <w:pPr>
                    <w:jc w:val="center"/>
                  </w:pPr>
                </w:p>
              </w:tc>
              <w:tc>
                <w:tcPr>
                  <w:tcW w:w="598" w:type="pct"/>
                  <w:tcBorders>
                    <w:tl2br w:val="nil"/>
                    <w:tr2bl w:val="nil"/>
                  </w:tcBorders>
                  <w:noWrap w:val="0"/>
                  <w:vAlign w:val="center"/>
                </w:tcPr>
                <w:p w14:paraId="5443F15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1D1024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54.0 </w:t>
                  </w:r>
                </w:p>
              </w:tc>
              <w:tc>
                <w:tcPr>
                  <w:tcW w:w="274" w:type="pct"/>
                  <w:tcBorders>
                    <w:tl2br w:val="nil"/>
                    <w:tr2bl w:val="nil"/>
                  </w:tcBorders>
                  <w:noWrap w:val="0"/>
                  <w:vAlign w:val="center"/>
                </w:tcPr>
                <w:p w14:paraId="27FC4548">
                  <w:pPr>
                    <w:jc w:val="center"/>
                  </w:pPr>
                  <w:r>
                    <w:t>1m</w:t>
                  </w:r>
                </w:p>
              </w:tc>
            </w:tr>
            <w:tr w14:paraId="0A1286D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restart"/>
                  <w:tcBorders>
                    <w:tl2br w:val="nil"/>
                    <w:tr2bl w:val="nil"/>
                  </w:tcBorders>
                  <w:shd w:val="clear" w:color="auto" w:fill="auto"/>
                  <w:noWrap w:val="0"/>
                  <w:vAlign w:val="center"/>
                </w:tcPr>
                <w:p w14:paraId="61BBE37F">
                  <w:pPr>
                    <w:jc w:val="center"/>
                    <w:rPr>
                      <w:rFonts w:ascii="Times New Roman" w:hAnsi="Times New Roman" w:eastAsia="宋体" w:cs="Times New Roman"/>
                      <w:kern w:val="2"/>
                      <w:sz w:val="21"/>
                      <w:szCs w:val="21"/>
                      <w:lang w:val="en-US" w:eastAsia="zh-CN" w:bidi="ar-SA"/>
                    </w:rPr>
                  </w:pPr>
                  <w:r>
                    <w:rPr>
                      <w:rFonts w:hint="eastAsia"/>
                      <w:lang w:val="en-US" w:eastAsia="zh-CN"/>
                    </w:rPr>
                    <w:t>6</w:t>
                  </w:r>
                </w:p>
                <w:p w14:paraId="43BBA902">
                  <w:pPr>
                    <w:jc w:val="center"/>
                    <w:rPr>
                      <w:rFonts w:hint="eastAsia" w:eastAsia="宋体"/>
                      <w:lang w:val="en-US" w:eastAsia="zh-CN"/>
                    </w:rPr>
                  </w:pPr>
                </w:p>
              </w:tc>
              <w:tc>
                <w:tcPr>
                  <w:tcW w:w="260" w:type="pct"/>
                  <w:vMerge w:val="restart"/>
                  <w:tcBorders>
                    <w:tl2br w:val="nil"/>
                    <w:tr2bl w:val="nil"/>
                  </w:tcBorders>
                  <w:noWrap w:val="0"/>
                  <w:vAlign w:val="center"/>
                </w:tcPr>
                <w:p w14:paraId="04FEE63E">
                  <w:pPr>
                    <w:jc w:val="center"/>
                    <w:rPr>
                      <w:rFonts w:hint="eastAsia" w:eastAsia="宋体"/>
                      <w:lang w:eastAsia="zh-CN"/>
                    </w:rPr>
                  </w:pPr>
                  <w:r>
                    <w:rPr>
                      <w:rFonts w:hint="eastAsia"/>
                      <w:lang w:val="en-US" w:eastAsia="zh-CN"/>
                    </w:rPr>
                    <w:t>11栋2F</w:t>
                  </w:r>
                </w:p>
              </w:tc>
              <w:tc>
                <w:tcPr>
                  <w:tcW w:w="279" w:type="pct"/>
                  <w:vMerge w:val="restart"/>
                  <w:tcBorders>
                    <w:tl2br w:val="nil"/>
                    <w:tr2bl w:val="nil"/>
                  </w:tcBorders>
                  <w:noWrap w:val="0"/>
                  <w:vAlign w:val="center"/>
                </w:tcPr>
                <w:p w14:paraId="12D32ECE">
                  <w:pPr>
                    <w:jc w:val="center"/>
                    <w:rPr>
                      <w:rFonts w:hint="default" w:eastAsia="宋体"/>
                      <w:lang w:val="en-US" w:eastAsia="zh-CN"/>
                    </w:rPr>
                  </w:pPr>
                  <w:r>
                    <w:rPr>
                      <w:rFonts w:hint="eastAsia" w:hAnsi="Calibri" w:eastAsia="宋体"/>
                      <w:color w:val="000000"/>
                      <w:szCs w:val="21"/>
                      <w:lang w:val="en-US" w:eastAsia="zh-CN"/>
                    </w:rPr>
                    <w:t>自动组装机</w:t>
                  </w:r>
                </w:p>
              </w:tc>
              <w:tc>
                <w:tcPr>
                  <w:tcW w:w="597" w:type="pct"/>
                  <w:vMerge w:val="restart"/>
                  <w:tcBorders>
                    <w:tl2br w:val="nil"/>
                    <w:tr2bl w:val="nil"/>
                  </w:tcBorders>
                  <w:noWrap w:val="0"/>
                  <w:vAlign w:val="center"/>
                </w:tcPr>
                <w:p w14:paraId="77558D8F">
                  <w:pPr>
                    <w:jc w:val="center"/>
                  </w:pPr>
                  <w:r>
                    <w:rPr>
                      <w:rFonts w:hint="eastAsia"/>
                      <w:lang w:val="en-US" w:eastAsia="zh-CN"/>
                    </w:rPr>
                    <w:t>90</w:t>
                  </w:r>
                  <w:r>
                    <w:t>/1</w:t>
                  </w:r>
                </w:p>
              </w:tc>
              <w:tc>
                <w:tcPr>
                  <w:tcW w:w="264" w:type="pct"/>
                  <w:vMerge w:val="continue"/>
                  <w:tcBorders>
                    <w:tl2br w:val="nil"/>
                    <w:tr2bl w:val="nil"/>
                  </w:tcBorders>
                  <w:noWrap w:val="0"/>
                  <w:textDirection w:val="tbRlV"/>
                  <w:vAlign w:val="center"/>
                </w:tcPr>
                <w:p w14:paraId="791948FF">
                  <w:pPr>
                    <w:jc w:val="center"/>
                  </w:pPr>
                </w:p>
              </w:tc>
              <w:tc>
                <w:tcPr>
                  <w:tcW w:w="178" w:type="pct"/>
                  <w:vMerge w:val="restart"/>
                  <w:tcBorders>
                    <w:tl2br w:val="nil"/>
                    <w:tr2bl w:val="nil"/>
                  </w:tcBorders>
                  <w:noWrap w:val="0"/>
                  <w:vAlign w:val="center"/>
                </w:tcPr>
                <w:p w14:paraId="1BBDDD0D">
                  <w:pPr>
                    <w:jc w:val="center"/>
                    <w:rPr>
                      <w:rFonts w:hint="default" w:eastAsia="宋体"/>
                      <w:lang w:val="en-US" w:eastAsia="zh-CN"/>
                    </w:rPr>
                  </w:pPr>
                  <w:r>
                    <w:rPr>
                      <w:rFonts w:hint="eastAsia"/>
                      <w:lang w:val="en-US" w:eastAsia="zh-CN"/>
                    </w:rPr>
                    <w:t>0</w:t>
                  </w:r>
                </w:p>
              </w:tc>
              <w:tc>
                <w:tcPr>
                  <w:tcW w:w="242" w:type="pct"/>
                  <w:vMerge w:val="restart"/>
                  <w:tcBorders>
                    <w:tl2br w:val="nil"/>
                    <w:tr2bl w:val="nil"/>
                  </w:tcBorders>
                  <w:noWrap w:val="0"/>
                  <w:vAlign w:val="center"/>
                </w:tcPr>
                <w:p w14:paraId="26770258">
                  <w:pPr>
                    <w:jc w:val="center"/>
                    <w:rPr>
                      <w:rFonts w:hint="default" w:eastAsia="宋体"/>
                      <w:lang w:val="en-US" w:eastAsia="zh-CN"/>
                    </w:rPr>
                  </w:pPr>
                  <w:r>
                    <w:rPr>
                      <w:rFonts w:hint="eastAsia"/>
                      <w:lang w:val="en-US" w:eastAsia="zh-CN"/>
                    </w:rPr>
                    <w:t>-21</w:t>
                  </w:r>
                </w:p>
              </w:tc>
              <w:tc>
                <w:tcPr>
                  <w:tcW w:w="153" w:type="pct"/>
                  <w:vMerge w:val="restart"/>
                  <w:tcBorders>
                    <w:tl2br w:val="nil"/>
                    <w:tr2bl w:val="nil"/>
                  </w:tcBorders>
                  <w:noWrap w:val="0"/>
                  <w:vAlign w:val="center"/>
                </w:tcPr>
                <w:p w14:paraId="72C79176">
                  <w:pPr>
                    <w:jc w:val="center"/>
                    <w:rPr>
                      <w:rFonts w:hint="eastAsia" w:eastAsia="宋体"/>
                      <w:lang w:val="en-US" w:eastAsia="zh-CN"/>
                    </w:rPr>
                  </w:pPr>
                  <w:r>
                    <w:rPr>
                      <w:rFonts w:hint="eastAsia" w:cs="Times New Roman"/>
                      <w:color w:val="000000"/>
                      <w:kern w:val="2"/>
                      <w:sz w:val="21"/>
                      <w:szCs w:val="21"/>
                      <w:lang w:val="en-US" w:eastAsia="zh-CN" w:bidi="ar-SA"/>
                    </w:rPr>
                    <w:t>5</w:t>
                  </w:r>
                </w:p>
              </w:tc>
              <w:tc>
                <w:tcPr>
                  <w:tcW w:w="168" w:type="pct"/>
                  <w:tcBorders>
                    <w:tl2br w:val="nil"/>
                    <w:tr2bl w:val="nil"/>
                  </w:tcBorders>
                  <w:noWrap w:val="0"/>
                  <w:vAlign w:val="center"/>
                </w:tcPr>
                <w:p w14:paraId="5D1A3198">
                  <w:pPr>
                    <w:jc w:val="center"/>
                    <w:rPr>
                      <w:rFonts w:ascii="Times New Roman" w:hAnsi="Times New Roman" w:eastAsia="宋体" w:cs="Times New Roman"/>
                      <w:kern w:val="2"/>
                      <w:sz w:val="21"/>
                      <w:szCs w:val="24"/>
                      <w:lang w:val="en-US" w:eastAsia="zh-CN" w:bidi="ar-SA"/>
                    </w:rPr>
                  </w:pPr>
                  <w:r>
                    <w:t>东</w:t>
                  </w:r>
                </w:p>
              </w:tc>
              <w:tc>
                <w:tcPr>
                  <w:tcW w:w="232" w:type="pct"/>
                  <w:tcBorders>
                    <w:tl2br w:val="nil"/>
                    <w:tr2bl w:val="nil"/>
                  </w:tcBorders>
                  <w:noWrap w:val="0"/>
                  <w:vAlign w:val="center"/>
                </w:tcPr>
                <w:p w14:paraId="701C3A75">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40</w:t>
                  </w:r>
                </w:p>
              </w:tc>
              <w:tc>
                <w:tcPr>
                  <w:tcW w:w="597" w:type="pct"/>
                  <w:tcBorders>
                    <w:tl2br w:val="nil"/>
                    <w:tr2bl w:val="nil"/>
                  </w:tcBorders>
                  <w:noWrap w:val="0"/>
                  <w:vAlign w:val="center"/>
                </w:tcPr>
                <w:p w14:paraId="0EAE130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58.0 </w:t>
                  </w:r>
                </w:p>
              </w:tc>
              <w:tc>
                <w:tcPr>
                  <w:tcW w:w="366" w:type="pct"/>
                  <w:vMerge w:val="continue"/>
                  <w:tcBorders>
                    <w:tl2br w:val="nil"/>
                    <w:tr2bl w:val="nil"/>
                  </w:tcBorders>
                  <w:noWrap w:val="0"/>
                  <w:vAlign w:val="center"/>
                </w:tcPr>
                <w:p w14:paraId="6386F095">
                  <w:pPr>
                    <w:jc w:val="center"/>
                  </w:pPr>
                </w:p>
              </w:tc>
              <w:tc>
                <w:tcPr>
                  <w:tcW w:w="598" w:type="pct"/>
                  <w:tcBorders>
                    <w:tl2br w:val="nil"/>
                    <w:tr2bl w:val="nil"/>
                  </w:tcBorders>
                  <w:noWrap w:val="0"/>
                  <w:vAlign w:val="center"/>
                </w:tcPr>
                <w:p w14:paraId="369BAFCC">
                  <w:pPr>
                    <w:keepNext w:val="0"/>
                    <w:keepLines w:val="0"/>
                    <w:widowControl/>
                    <w:suppressLineNumbers w:val="0"/>
                    <w:jc w:val="center"/>
                    <w:textAlignment w:val="center"/>
                    <w:rPr>
                      <w:rFonts w:hint="eastAsia"/>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723FA955">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38.0 </w:t>
                  </w:r>
                </w:p>
              </w:tc>
              <w:tc>
                <w:tcPr>
                  <w:tcW w:w="274" w:type="pct"/>
                  <w:tcBorders>
                    <w:tl2br w:val="nil"/>
                    <w:tr2bl w:val="nil"/>
                  </w:tcBorders>
                  <w:noWrap w:val="0"/>
                  <w:vAlign w:val="center"/>
                </w:tcPr>
                <w:p w14:paraId="3D50A124">
                  <w:pPr>
                    <w:jc w:val="center"/>
                  </w:pPr>
                  <w:r>
                    <w:t>1m</w:t>
                  </w:r>
                </w:p>
              </w:tc>
            </w:tr>
            <w:tr w14:paraId="4DFE86F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Borders>
                    <w:tl2br w:val="nil"/>
                    <w:tr2bl w:val="nil"/>
                  </w:tcBorders>
                  <w:noWrap w:val="0"/>
                  <w:vAlign w:val="center"/>
                </w:tcPr>
                <w:p w14:paraId="6C96BCFB">
                  <w:pPr>
                    <w:jc w:val="center"/>
                  </w:pPr>
                </w:p>
              </w:tc>
              <w:tc>
                <w:tcPr>
                  <w:tcW w:w="260" w:type="pct"/>
                  <w:vMerge w:val="continue"/>
                  <w:tcBorders>
                    <w:tl2br w:val="nil"/>
                    <w:tr2bl w:val="nil"/>
                  </w:tcBorders>
                  <w:noWrap w:val="0"/>
                  <w:vAlign w:val="center"/>
                </w:tcPr>
                <w:p w14:paraId="1266E273">
                  <w:pPr>
                    <w:jc w:val="center"/>
                  </w:pPr>
                </w:p>
              </w:tc>
              <w:tc>
                <w:tcPr>
                  <w:tcW w:w="279" w:type="pct"/>
                  <w:vMerge w:val="continue"/>
                  <w:tcBorders>
                    <w:tl2br w:val="nil"/>
                    <w:tr2bl w:val="nil"/>
                  </w:tcBorders>
                  <w:noWrap w:val="0"/>
                  <w:vAlign w:val="center"/>
                </w:tcPr>
                <w:p w14:paraId="45A682B5">
                  <w:pPr>
                    <w:jc w:val="center"/>
                  </w:pPr>
                </w:p>
              </w:tc>
              <w:tc>
                <w:tcPr>
                  <w:tcW w:w="597" w:type="pct"/>
                  <w:vMerge w:val="continue"/>
                  <w:tcBorders>
                    <w:tl2br w:val="nil"/>
                    <w:tr2bl w:val="nil"/>
                  </w:tcBorders>
                  <w:noWrap w:val="0"/>
                  <w:vAlign w:val="center"/>
                </w:tcPr>
                <w:p w14:paraId="2A549019">
                  <w:pPr>
                    <w:jc w:val="center"/>
                  </w:pPr>
                </w:p>
              </w:tc>
              <w:tc>
                <w:tcPr>
                  <w:tcW w:w="264" w:type="pct"/>
                  <w:vMerge w:val="continue"/>
                  <w:tcBorders>
                    <w:tl2br w:val="nil"/>
                    <w:tr2bl w:val="nil"/>
                  </w:tcBorders>
                  <w:noWrap w:val="0"/>
                  <w:textDirection w:val="tbRlV"/>
                  <w:vAlign w:val="center"/>
                </w:tcPr>
                <w:p w14:paraId="55576AD6">
                  <w:pPr>
                    <w:jc w:val="center"/>
                  </w:pPr>
                </w:p>
              </w:tc>
              <w:tc>
                <w:tcPr>
                  <w:tcW w:w="178" w:type="pct"/>
                  <w:vMerge w:val="continue"/>
                  <w:tcBorders>
                    <w:tl2br w:val="nil"/>
                    <w:tr2bl w:val="nil"/>
                  </w:tcBorders>
                  <w:noWrap w:val="0"/>
                  <w:vAlign w:val="center"/>
                </w:tcPr>
                <w:p w14:paraId="47E54BFB">
                  <w:pPr>
                    <w:jc w:val="center"/>
                  </w:pPr>
                </w:p>
              </w:tc>
              <w:tc>
                <w:tcPr>
                  <w:tcW w:w="242" w:type="pct"/>
                  <w:vMerge w:val="continue"/>
                  <w:tcBorders>
                    <w:tl2br w:val="nil"/>
                    <w:tr2bl w:val="nil"/>
                  </w:tcBorders>
                  <w:noWrap w:val="0"/>
                  <w:vAlign w:val="center"/>
                </w:tcPr>
                <w:p w14:paraId="5C08D55D">
                  <w:pPr>
                    <w:jc w:val="center"/>
                  </w:pPr>
                </w:p>
              </w:tc>
              <w:tc>
                <w:tcPr>
                  <w:tcW w:w="153" w:type="pct"/>
                  <w:vMerge w:val="continue"/>
                  <w:tcBorders>
                    <w:tl2br w:val="nil"/>
                    <w:tr2bl w:val="nil"/>
                  </w:tcBorders>
                  <w:noWrap w:val="0"/>
                  <w:vAlign w:val="center"/>
                </w:tcPr>
                <w:p w14:paraId="58CECDF4">
                  <w:pPr>
                    <w:jc w:val="center"/>
                  </w:pPr>
                </w:p>
              </w:tc>
              <w:tc>
                <w:tcPr>
                  <w:tcW w:w="168" w:type="pct"/>
                  <w:tcBorders>
                    <w:tl2br w:val="nil"/>
                    <w:tr2bl w:val="nil"/>
                  </w:tcBorders>
                  <w:noWrap w:val="0"/>
                  <w:vAlign w:val="center"/>
                </w:tcPr>
                <w:p w14:paraId="1AF63AA6">
                  <w:pPr>
                    <w:jc w:val="center"/>
                    <w:rPr>
                      <w:rFonts w:ascii="Times New Roman" w:hAnsi="Times New Roman" w:eastAsia="宋体" w:cs="Times New Roman"/>
                      <w:kern w:val="2"/>
                      <w:sz w:val="21"/>
                      <w:szCs w:val="24"/>
                      <w:lang w:val="en-US" w:eastAsia="zh-CN" w:bidi="ar-SA"/>
                    </w:rPr>
                  </w:pPr>
                  <w:r>
                    <w:t>南</w:t>
                  </w:r>
                </w:p>
              </w:tc>
              <w:tc>
                <w:tcPr>
                  <w:tcW w:w="232" w:type="pct"/>
                  <w:tcBorders>
                    <w:tl2br w:val="nil"/>
                    <w:tr2bl w:val="nil"/>
                  </w:tcBorders>
                  <w:noWrap w:val="0"/>
                  <w:vAlign w:val="center"/>
                </w:tcPr>
                <w:p w14:paraId="41C8D72A">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5</w:t>
                  </w:r>
                </w:p>
              </w:tc>
              <w:tc>
                <w:tcPr>
                  <w:tcW w:w="597" w:type="pct"/>
                  <w:tcBorders>
                    <w:tl2br w:val="nil"/>
                    <w:tr2bl w:val="nil"/>
                  </w:tcBorders>
                  <w:noWrap w:val="0"/>
                  <w:vAlign w:val="center"/>
                </w:tcPr>
                <w:p w14:paraId="6D0727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76.0 </w:t>
                  </w:r>
                </w:p>
              </w:tc>
              <w:tc>
                <w:tcPr>
                  <w:tcW w:w="366" w:type="pct"/>
                  <w:vMerge w:val="continue"/>
                  <w:tcBorders>
                    <w:tl2br w:val="nil"/>
                    <w:tr2bl w:val="nil"/>
                  </w:tcBorders>
                  <w:noWrap w:val="0"/>
                  <w:vAlign w:val="center"/>
                </w:tcPr>
                <w:p w14:paraId="380FF6DC">
                  <w:pPr>
                    <w:jc w:val="center"/>
                  </w:pPr>
                </w:p>
              </w:tc>
              <w:tc>
                <w:tcPr>
                  <w:tcW w:w="598" w:type="pct"/>
                  <w:tcBorders>
                    <w:tl2br w:val="nil"/>
                    <w:tr2bl w:val="nil"/>
                  </w:tcBorders>
                  <w:noWrap w:val="0"/>
                  <w:vAlign w:val="center"/>
                </w:tcPr>
                <w:p w14:paraId="3CA946AC">
                  <w:pPr>
                    <w:keepNext w:val="0"/>
                    <w:keepLines w:val="0"/>
                    <w:widowControl/>
                    <w:suppressLineNumbers w:val="0"/>
                    <w:jc w:val="center"/>
                    <w:textAlignment w:val="center"/>
                    <w:rPr>
                      <w:rFonts w:hint="eastAsia"/>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6E65CEA9">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56.0 </w:t>
                  </w:r>
                </w:p>
              </w:tc>
              <w:tc>
                <w:tcPr>
                  <w:tcW w:w="274" w:type="pct"/>
                  <w:tcBorders>
                    <w:tl2br w:val="nil"/>
                    <w:tr2bl w:val="nil"/>
                  </w:tcBorders>
                  <w:noWrap w:val="0"/>
                  <w:vAlign w:val="center"/>
                </w:tcPr>
                <w:p w14:paraId="6C777313">
                  <w:pPr>
                    <w:jc w:val="center"/>
                  </w:pPr>
                  <w:r>
                    <w:t>1m</w:t>
                  </w:r>
                </w:p>
              </w:tc>
            </w:tr>
            <w:tr w14:paraId="37A5FCA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Borders>
                    <w:tl2br w:val="nil"/>
                    <w:tr2bl w:val="nil"/>
                  </w:tcBorders>
                  <w:noWrap w:val="0"/>
                  <w:vAlign w:val="center"/>
                </w:tcPr>
                <w:p w14:paraId="71D2E569">
                  <w:pPr>
                    <w:jc w:val="center"/>
                  </w:pPr>
                </w:p>
              </w:tc>
              <w:tc>
                <w:tcPr>
                  <w:tcW w:w="260" w:type="pct"/>
                  <w:vMerge w:val="continue"/>
                  <w:tcBorders>
                    <w:tl2br w:val="nil"/>
                    <w:tr2bl w:val="nil"/>
                  </w:tcBorders>
                  <w:noWrap w:val="0"/>
                  <w:vAlign w:val="center"/>
                </w:tcPr>
                <w:p w14:paraId="4FEEDC82">
                  <w:pPr>
                    <w:jc w:val="center"/>
                  </w:pPr>
                </w:p>
              </w:tc>
              <w:tc>
                <w:tcPr>
                  <w:tcW w:w="279" w:type="pct"/>
                  <w:vMerge w:val="continue"/>
                  <w:tcBorders>
                    <w:tl2br w:val="nil"/>
                    <w:tr2bl w:val="nil"/>
                  </w:tcBorders>
                  <w:noWrap w:val="0"/>
                  <w:vAlign w:val="center"/>
                </w:tcPr>
                <w:p w14:paraId="7B9D39DC">
                  <w:pPr>
                    <w:jc w:val="center"/>
                  </w:pPr>
                </w:p>
              </w:tc>
              <w:tc>
                <w:tcPr>
                  <w:tcW w:w="597" w:type="pct"/>
                  <w:vMerge w:val="continue"/>
                  <w:tcBorders>
                    <w:tl2br w:val="nil"/>
                    <w:tr2bl w:val="nil"/>
                  </w:tcBorders>
                  <w:noWrap w:val="0"/>
                  <w:vAlign w:val="center"/>
                </w:tcPr>
                <w:p w14:paraId="73DFCF0B">
                  <w:pPr>
                    <w:jc w:val="center"/>
                  </w:pPr>
                </w:p>
              </w:tc>
              <w:tc>
                <w:tcPr>
                  <w:tcW w:w="264" w:type="pct"/>
                  <w:vMerge w:val="continue"/>
                  <w:tcBorders>
                    <w:tl2br w:val="nil"/>
                    <w:tr2bl w:val="nil"/>
                  </w:tcBorders>
                  <w:noWrap w:val="0"/>
                  <w:textDirection w:val="tbRlV"/>
                  <w:vAlign w:val="center"/>
                </w:tcPr>
                <w:p w14:paraId="4B018DF8">
                  <w:pPr>
                    <w:jc w:val="center"/>
                  </w:pPr>
                </w:p>
              </w:tc>
              <w:tc>
                <w:tcPr>
                  <w:tcW w:w="178" w:type="pct"/>
                  <w:vMerge w:val="continue"/>
                  <w:tcBorders>
                    <w:tl2br w:val="nil"/>
                    <w:tr2bl w:val="nil"/>
                  </w:tcBorders>
                  <w:noWrap w:val="0"/>
                  <w:vAlign w:val="center"/>
                </w:tcPr>
                <w:p w14:paraId="52364F2D">
                  <w:pPr>
                    <w:jc w:val="center"/>
                  </w:pPr>
                </w:p>
              </w:tc>
              <w:tc>
                <w:tcPr>
                  <w:tcW w:w="242" w:type="pct"/>
                  <w:vMerge w:val="continue"/>
                  <w:tcBorders>
                    <w:tl2br w:val="nil"/>
                    <w:tr2bl w:val="nil"/>
                  </w:tcBorders>
                  <w:noWrap w:val="0"/>
                  <w:vAlign w:val="center"/>
                </w:tcPr>
                <w:p w14:paraId="214E8C2C">
                  <w:pPr>
                    <w:jc w:val="center"/>
                  </w:pPr>
                </w:p>
              </w:tc>
              <w:tc>
                <w:tcPr>
                  <w:tcW w:w="153" w:type="pct"/>
                  <w:vMerge w:val="continue"/>
                  <w:tcBorders>
                    <w:tl2br w:val="nil"/>
                    <w:tr2bl w:val="nil"/>
                  </w:tcBorders>
                  <w:noWrap w:val="0"/>
                  <w:vAlign w:val="center"/>
                </w:tcPr>
                <w:p w14:paraId="77268EDD">
                  <w:pPr>
                    <w:jc w:val="center"/>
                  </w:pPr>
                </w:p>
              </w:tc>
              <w:tc>
                <w:tcPr>
                  <w:tcW w:w="168" w:type="pct"/>
                  <w:tcBorders>
                    <w:tl2br w:val="nil"/>
                    <w:tr2bl w:val="nil"/>
                  </w:tcBorders>
                  <w:noWrap w:val="0"/>
                  <w:vAlign w:val="center"/>
                </w:tcPr>
                <w:p w14:paraId="65B3A168">
                  <w:pPr>
                    <w:jc w:val="center"/>
                    <w:rPr>
                      <w:rFonts w:ascii="Times New Roman" w:hAnsi="Times New Roman" w:eastAsia="宋体" w:cs="Times New Roman"/>
                      <w:kern w:val="2"/>
                      <w:sz w:val="21"/>
                      <w:szCs w:val="24"/>
                      <w:lang w:val="en-US" w:eastAsia="zh-CN" w:bidi="ar-SA"/>
                    </w:rPr>
                  </w:pPr>
                  <w:r>
                    <w:t>西</w:t>
                  </w:r>
                </w:p>
              </w:tc>
              <w:tc>
                <w:tcPr>
                  <w:tcW w:w="232" w:type="pct"/>
                  <w:tcBorders>
                    <w:tl2br w:val="nil"/>
                    <w:tr2bl w:val="nil"/>
                  </w:tcBorders>
                  <w:noWrap w:val="0"/>
                  <w:vAlign w:val="center"/>
                </w:tcPr>
                <w:p w14:paraId="5D73AB59">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40</w:t>
                  </w:r>
                </w:p>
              </w:tc>
              <w:tc>
                <w:tcPr>
                  <w:tcW w:w="597" w:type="pct"/>
                  <w:tcBorders>
                    <w:tl2br w:val="nil"/>
                    <w:tr2bl w:val="nil"/>
                  </w:tcBorders>
                  <w:noWrap w:val="0"/>
                  <w:vAlign w:val="center"/>
                </w:tcPr>
                <w:p w14:paraId="1E43B8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58.0 </w:t>
                  </w:r>
                </w:p>
              </w:tc>
              <w:tc>
                <w:tcPr>
                  <w:tcW w:w="366" w:type="pct"/>
                  <w:vMerge w:val="continue"/>
                  <w:tcBorders>
                    <w:tl2br w:val="nil"/>
                    <w:tr2bl w:val="nil"/>
                  </w:tcBorders>
                  <w:noWrap w:val="0"/>
                  <w:vAlign w:val="center"/>
                </w:tcPr>
                <w:p w14:paraId="1522F2DF">
                  <w:pPr>
                    <w:jc w:val="center"/>
                  </w:pPr>
                </w:p>
              </w:tc>
              <w:tc>
                <w:tcPr>
                  <w:tcW w:w="598" w:type="pct"/>
                  <w:tcBorders>
                    <w:tl2br w:val="nil"/>
                    <w:tr2bl w:val="nil"/>
                  </w:tcBorders>
                  <w:noWrap w:val="0"/>
                  <w:vAlign w:val="center"/>
                </w:tcPr>
                <w:p w14:paraId="243E298A">
                  <w:pPr>
                    <w:keepNext w:val="0"/>
                    <w:keepLines w:val="0"/>
                    <w:widowControl/>
                    <w:suppressLineNumbers w:val="0"/>
                    <w:jc w:val="center"/>
                    <w:textAlignment w:val="center"/>
                    <w:rPr>
                      <w:rFonts w:hint="eastAsia"/>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3401FD5A">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38.0 </w:t>
                  </w:r>
                </w:p>
              </w:tc>
              <w:tc>
                <w:tcPr>
                  <w:tcW w:w="274" w:type="pct"/>
                  <w:tcBorders>
                    <w:tl2br w:val="nil"/>
                    <w:tr2bl w:val="nil"/>
                  </w:tcBorders>
                  <w:noWrap w:val="0"/>
                  <w:vAlign w:val="center"/>
                </w:tcPr>
                <w:p w14:paraId="6DD63528">
                  <w:pPr>
                    <w:jc w:val="center"/>
                  </w:pPr>
                  <w:r>
                    <w:t>1m</w:t>
                  </w:r>
                </w:p>
              </w:tc>
            </w:tr>
            <w:tr w14:paraId="3536037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Borders>
                    <w:tl2br w:val="nil"/>
                    <w:tr2bl w:val="nil"/>
                  </w:tcBorders>
                  <w:noWrap w:val="0"/>
                  <w:vAlign w:val="center"/>
                </w:tcPr>
                <w:p w14:paraId="493723ED">
                  <w:pPr>
                    <w:jc w:val="center"/>
                  </w:pPr>
                </w:p>
              </w:tc>
              <w:tc>
                <w:tcPr>
                  <w:tcW w:w="260" w:type="pct"/>
                  <w:vMerge w:val="continue"/>
                  <w:tcBorders>
                    <w:tl2br w:val="nil"/>
                    <w:tr2bl w:val="nil"/>
                  </w:tcBorders>
                  <w:noWrap w:val="0"/>
                  <w:vAlign w:val="center"/>
                </w:tcPr>
                <w:p w14:paraId="22A2F536">
                  <w:pPr>
                    <w:jc w:val="center"/>
                  </w:pPr>
                </w:p>
              </w:tc>
              <w:tc>
                <w:tcPr>
                  <w:tcW w:w="279" w:type="pct"/>
                  <w:vMerge w:val="continue"/>
                  <w:tcBorders>
                    <w:tl2br w:val="nil"/>
                    <w:tr2bl w:val="nil"/>
                  </w:tcBorders>
                  <w:noWrap w:val="0"/>
                  <w:vAlign w:val="center"/>
                </w:tcPr>
                <w:p w14:paraId="176973E0">
                  <w:pPr>
                    <w:jc w:val="center"/>
                  </w:pPr>
                </w:p>
              </w:tc>
              <w:tc>
                <w:tcPr>
                  <w:tcW w:w="597" w:type="pct"/>
                  <w:vMerge w:val="continue"/>
                  <w:tcBorders>
                    <w:tl2br w:val="nil"/>
                    <w:tr2bl w:val="nil"/>
                  </w:tcBorders>
                  <w:noWrap w:val="0"/>
                  <w:vAlign w:val="center"/>
                </w:tcPr>
                <w:p w14:paraId="50907B6C">
                  <w:pPr>
                    <w:jc w:val="center"/>
                  </w:pPr>
                </w:p>
              </w:tc>
              <w:tc>
                <w:tcPr>
                  <w:tcW w:w="264" w:type="pct"/>
                  <w:vMerge w:val="continue"/>
                  <w:tcBorders>
                    <w:tl2br w:val="nil"/>
                    <w:tr2bl w:val="nil"/>
                  </w:tcBorders>
                  <w:noWrap w:val="0"/>
                  <w:textDirection w:val="tbRlV"/>
                  <w:vAlign w:val="center"/>
                </w:tcPr>
                <w:p w14:paraId="2A405F33">
                  <w:pPr>
                    <w:jc w:val="center"/>
                  </w:pPr>
                </w:p>
              </w:tc>
              <w:tc>
                <w:tcPr>
                  <w:tcW w:w="178" w:type="pct"/>
                  <w:vMerge w:val="continue"/>
                  <w:tcBorders>
                    <w:tl2br w:val="nil"/>
                    <w:tr2bl w:val="nil"/>
                  </w:tcBorders>
                  <w:noWrap w:val="0"/>
                  <w:vAlign w:val="center"/>
                </w:tcPr>
                <w:p w14:paraId="70E958AA">
                  <w:pPr>
                    <w:jc w:val="center"/>
                  </w:pPr>
                </w:p>
              </w:tc>
              <w:tc>
                <w:tcPr>
                  <w:tcW w:w="242" w:type="pct"/>
                  <w:vMerge w:val="continue"/>
                  <w:tcBorders>
                    <w:tl2br w:val="nil"/>
                    <w:tr2bl w:val="nil"/>
                  </w:tcBorders>
                  <w:noWrap w:val="0"/>
                  <w:vAlign w:val="center"/>
                </w:tcPr>
                <w:p w14:paraId="13E4B3F7">
                  <w:pPr>
                    <w:jc w:val="center"/>
                  </w:pPr>
                </w:p>
              </w:tc>
              <w:tc>
                <w:tcPr>
                  <w:tcW w:w="153" w:type="pct"/>
                  <w:vMerge w:val="continue"/>
                  <w:tcBorders>
                    <w:tl2br w:val="nil"/>
                    <w:tr2bl w:val="nil"/>
                  </w:tcBorders>
                  <w:noWrap w:val="0"/>
                  <w:vAlign w:val="center"/>
                </w:tcPr>
                <w:p w14:paraId="44D93651">
                  <w:pPr>
                    <w:jc w:val="center"/>
                  </w:pPr>
                </w:p>
              </w:tc>
              <w:tc>
                <w:tcPr>
                  <w:tcW w:w="168" w:type="pct"/>
                  <w:tcBorders>
                    <w:tl2br w:val="nil"/>
                    <w:tr2bl w:val="nil"/>
                  </w:tcBorders>
                  <w:noWrap w:val="0"/>
                  <w:vAlign w:val="center"/>
                </w:tcPr>
                <w:p w14:paraId="03410A7C">
                  <w:pPr>
                    <w:jc w:val="center"/>
                    <w:rPr>
                      <w:rFonts w:ascii="Times New Roman" w:hAnsi="Times New Roman" w:eastAsia="宋体" w:cs="Times New Roman"/>
                      <w:kern w:val="2"/>
                      <w:sz w:val="21"/>
                      <w:szCs w:val="24"/>
                      <w:lang w:val="en-US" w:eastAsia="zh-CN" w:bidi="ar-SA"/>
                    </w:rPr>
                  </w:pPr>
                  <w:r>
                    <w:t>北</w:t>
                  </w:r>
                </w:p>
              </w:tc>
              <w:tc>
                <w:tcPr>
                  <w:tcW w:w="232" w:type="pct"/>
                  <w:tcBorders>
                    <w:tl2br w:val="nil"/>
                    <w:tr2bl w:val="nil"/>
                  </w:tcBorders>
                  <w:noWrap w:val="0"/>
                  <w:vAlign w:val="center"/>
                </w:tcPr>
                <w:p w14:paraId="0A755781">
                  <w:pPr>
                    <w:keepNext w:val="0"/>
                    <w:keepLines w:val="0"/>
                    <w:widowControl/>
                    <w:suppressLineNumbers w:val="0"/>
                    <w:jc w:val="center"/>
                    <w:textAlignment w:val="center"/>
                    <w:rPr>
                      <w:rFonts w:hint="default" w:eastAsia="宋体"/>
                      <w:lang w:val="en-US" w:eastAsia="zh-CN"/>
                    </w:rPr>
                  </w:pPr>
                  <w:r>
                    <w:rPr>
                      <w:rFonts w:hint="eastAsia" w:eastAsia="宋体"/>
                      <w:lang w:val="en-US" w:eastAsia="zh-CN"/>
                    </w:rPr>
                    <w:t>13</w:t>
                  </w:r>
                </w:p>
              </w:tc>
              <w:tc>
                <w:tcPr>
                  <w:tcW w:w="597" w:type="pct"/>
                  <w:tcBorders>
                    <w:tl2br w:val="nil"/>
                    <w:tr2bl w:val="nil"/>
                  </w:tcBorders>
                  <w:noWrap w:val="0"/>
                  <w:vAlign w:val="center"/>
                </w:tcPr>
                <w:p w14:paraId="6B7E53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67.7 </w:t>
                  </w:r>
                </w:p>
              </w:tc>
              <w:tc>
                <w:tcPr>
                  <w:tcW w:w="366" w:type="pct"/>
                  <w:vMerge w:val="continue"/>
                  <w:tcBorders>
                    <w:tl2br w:val="nil"/>
                    <w:tr2bl w:val="nil"/>
                  </w:tcBorders>
                  <w:noWrap w:val="0"/>
                  <w:vAlign w:val="center"/>
                </w:tcPr>
                <w:p w14:paraId="00B80B90">
                  <w:pPr>
                    <w:jc w:val="center"/>
                  </w:pPr>
                </w:p>
              </w:tc>
              <w:tc>
                <w:tcPr>
                  <w:tcW w:w="598" w:type="pct"/>
                  <w:tcBorders>
                    <w:tl2br w:val="nil"/>
                    <w:tr2bl w:val="nil"/>
                  </w:tcBorders>
                  <w:noWrap w:val="0"/>
                  <w:vAlign w:val="center"/>
                </w:tcPr>
                <w:p w14:paraId="40F88858">
                  <w:pPr>
                    <w:keepNext w:val="0"/>
                    <w:keepLines w:val="0"/>
                    <w:widowControl/>
                    <w:suppressLineNumbers w:val="0"/>
                    <w:jc w:val="center"/>
                    <w:textAlignment w:val="center"/>
                    <w:rPr>
                      <w:rFonts w:hint="eastAsia"/>
                      <w:lang w:val="en-US" w:eastAsia="zh-CN"/>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6E82E144">
                  <w:pPr>
                    <w:keepNext w:val="0"/>
                    <w:keepLines w:val="0"/>
                    <w:widowControl/>
                    <w:suppressLineNumbers w:val="0"/>
                    <w:jc w:val="center"/>
                    <w:textAlignment w:val="center"/>
                  </w:pPr>
                  <w:r>
                    <w:rPr>
                      <w:rFonts w:hint="default" w:ascii="Times New Roman" w:hAnsi="Times New Roman" w:eastAsia="宋体" w:cs="Times New Roman"/>
                      <w:i w:val="0"/>
                      <w:iCs w:val="0"/>
                      <w:color w:val="000000"/>
                      <w:kern w:val="0"/>
                      <w:sz w:val="21"/>
                      <w:szCs w:val="21"/>
                      <w:u w:val="none"/>
                      <w:lang w:val="en-US" w:eastAsia="zh-CN" w:bidi="ar"/>
                    </w:rPr>
                    <w:t xml:space="preserve">47.7 </w:t>
                  </w:r>
                </w:p>
              </w:tc>
              <w:tc>
                <w:tcPr>
                  <w:tcW w:w="274" w:type="pct"/>
                  <w:tcBorders>
                    <w:tl2br w:val="nil"/>
                    <w:tr2bl w:val="nil"/>
                  </w:tcBorders>
                  <w:noWrap w:val="0"/>
                  <w:vAlign w:val="center"/>
                </w:tcPr>
                <w:p w14:paraId="13306FE0">
                  <w:pPr>
                    <w:jc w:val="center"/>
                  </w:pPr>
                  <w:r>
                    <w:t>1m</w:t>
                  </w:r>
                </w:p>
              </w:tc>
            </w:tr>
            <w:tr w14:paraId="09EA72B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restart"/>
                  <w:tcBorders>
                    <w:tl2br w:val="nil"/>
                    <w:tr2bl w:val="nil"/>
                  </w:tcBorders>
                  <w:shd w:val="clear" w:color="auto" w:fill="auto"/>
                  <w:noWrap w:val="0"/>
                  <w:vAlign w:val="center"/>
                </w:tcPr>
                <w:p w14:paraId="4ED06409">
                  <w:pPr>
                    <w:jc w:val="center"/>
                    <w:rPr>
                      <w:rFonts w:hint="eastAsia" w:ascii="Times New Roman" w:hAnsi="Times New Roman" w:eastAsia="宋体" w:cs="Times New Roman"/>
                      <w:kern w:val="2"/>
                      <w:sz w:val="21"/>
                      <w:szCs w:val="21"/>
                      <w:lang w:val="en-US" w:eastAsia="zh-CN" w:bidi="ar-SA"/>
                    </w:rPr>
                  </w:pPr>
                  <w:r>
                    <w:rPr>
                      <w:rFonts w:hint="eastAsia"/>
                      <w:lang w:val="en-US" w:eastAsia="zh-CN"/>
                    </w:rPr>
                    <w:t>7</w:t>
                  </w:r>
                </w:p>
              </w:tc>
              <w:tc>
                <w:tcPr>
                  <w:tcW w:w="260" w:type="pct"/>
                  <w:vMerge w:val="restart"/>
                  <w:tcBorders>
                    <w:tl2br w:val="nil"/>
                    <w:tr2bl w:val="nil"/>
                  </w:tcBorders>
                  <w:noWrap w:val="0"/>
                  <w:vAlign w:val="center"/>
                </w:tcPr>
                <w:p w14:paraId="178E73DC">
                  <w:pPr>
                    <w:jc w:val="center"/>
                  </w:pPr>
                  <w:r>
                    <w:rPr>
                      <w:rFonts w:hint="eastAsia"/>
                      <w:lang w:val="en-US" w:eastAsia="zh-CN"/>
                    </w:rPr>
                    <w:t>11栋2F</w:t>
                  </w:r>
                </w:p>
              </w:tc>
              <w:tc>
                <w:tcPr>
                  <w:tcW w:w="279" w:type="pct"/>
                  <w:vMerge w:val="restart"/>
                  <w:tcBorders>
                    <w:tl2br w:val="nil"/>
                    <w:tr2bl w:val="nil"/>
                  </w:tcBorders>
                  <w:noWrap w:val="0"/>
                  <w:vAlign w:val="center"/>
                </w:tcPr>
                <w:p w14:paraId="018F4FD7">
                  <w:pPr>
                    <w:jc w:val="center"/>
                    <w:rPr>
                      <w:rFonts w:hint="default" w:eastAsia="宋体"/>
                      <w:lang w:val="en-US" w:eastAsia="zh-CN"/>
                    </w:rPr>
                  </w:pPr>
                  <w:r>
                    <w:rPr>
                      <w:rFonts w:hint="eastAsia"/>
                      <w:lang w:val="en-US" w:eastAsia="zh-CN"/>
                    </w:rPr>
                    <w:t>自动装管机</w:t>
                  </w:r>
                </w:p>
              </w:tc>
              <w:tc>
                <w:tcPr>
                  <w:tcW w:w="597" w:type="pct"/>
                  <w:vMerge w:val="restart"/>
                  <w:tcBorders>
                    <w:tl2br w:val="nil"/>
                    <w:tr2bl w:val="nil"/>
                  </w:tcBorders>
                  <w:noWrap w:val="0"/>
                  <w:vAlign w:val="center"/>
                </w:tcPr>
                <w:p w14:paraId="1E735E61">
                  <w:pPr>
                    <w:jc w:val="center"/>
                  </w:pPr>
                  <w:r>
                    <w:rPr>
                      <w:rFonts w:hint="eastAsia"/>
                      <w:lang w:val="en-US" w:eastAsia="zh-CN"/>
                    </w:rPr>
                    <w:t>73</w:t>
                  </w:r>
                  <w:r>
                    <w:t>/1</w:t>
                  </w:r>
                </w:p>
              </w:tc>
              <w:tc>
                <w:tcPr>
                  <w:tcW w:w="264" w:type="pct"/>
                  <w:vMerge w:val="continue"/>
                  <w:tcBorders>
                    <w:tl2br w:val="nil"/>
                    <w:tr2bl w:val="nil"/>
                  </w:tcBorders>
                  <w:noWrap w:val="0"/>
                  <w:textDirection w:val="tbRlV"/>
                  <w:vAlign w:val="center"/>
                </w:tcPr>
                <w:p w14:paraId="0657E529">
                  <w:pPr>
                    <w:jc w:val="center"/>
                  </w:pPr>
                </w:p>
              </w:tc>
              <w:tc>
                <w:tcPr>
                  <w:tcW w:w="178" w:type="pct"/>
                  <w:vMerge w:val="restart"/>
                  <w:tcBorders>
                    <w:tl2br w:val="nil"/>
                    <w:tr2bl w:val="nil"/>
                  </w:tcBorders>
                  <w:noWrap w:val="0"/>
                  <w:vAlign w:val="center"/>
                </w:tcPr>
                <w:p w14:paraId="28927DD2">
                  <w:pPr>
                    <w:jc w:val="center"/>
                    <w:rPr>
                      <w:rFonts w:hint="default" w:eastAsia="宋体"/>
                      <w:lang w:val="en-US" w:eastAsia="zh-CN"/>
                    </w:rPr>
                  </w:pPr>
                  <w:r>
                    <w:rPr>
                      <w:rFonts w:hint="eastAsia"/>
                      <w:lang w:val="en-US" w:eastAsia="zh-CN"/>
                    </w:rPr>
                    <w:t>-20</w:t>
                  </w:r>
                </w:p>
              </w:tc>
              <w:tc>
                <w:tcPr>
                  <w:tcW w:w="242" w:type="pct"/>
                  <w:vMerge w:val="restart"/>
                  <w:tcBorders>
                    <w:tl2br w:val="nil"/>
                    <w:tr2bl w:val="nil"/>
                  </w:tcBorders>
                  <w:noWrap w:val="0"/>
                  <w:vAlign w:val="center"/>
                </w:tcPr>
                <w:p w14:paraId="35EB8C97">
                  <w:pPr>
                    <w:jc w:val="center"/>
                    <w:rPr>
                      <w:rFonts w:hint="default" w:eastAsia="宋体"/>
                      <w:lang w:val="en-US" w:eastAsia="zh-CN"/>
                    </w:rPr>
                  </w:pPr>
                  <w:r>
                    <w:rPr>
                      <w:rFonts w:hint="eastAsia"/>
                      <w:lang w:val="en-US" w:eastAsia="zh-CN"/>
                    </w:rPr>
                    <w:t>-12</w:t>
                  </w:r>
                </w:p>
              </w:tc>
              <w:tc>
                <w:tcPr>
                  <w:tcW w:w="153" w:type="pct"/>
                  <w:vMerge w:val="restart"/>
                  <w:tcBorders>
                    <w:tl2br w:val="nil"/>
                    <w:tr2bl w:val="nil"/>
                  </w:tcBorders>
                  <w:noWrap w:val="0"/>
                  <w:vAlign w:val="center"/>
                </w:tcPr>
                <w:p w14:paraId="2877B045">
                  <w:pPr>
                    <w:jc w:val="center"/>
                    <w:rPr>
                      <w:rFonts w:hint="default" w:eastAsia="宋体"/>
                      <w:lang w:val="en-US" w:eastAsia="zh-CN"/>
                    </w:rPr>
                  </w:pPr>
                  <w:r>
                    <w:rPr>
                      <w:rFonts w:hint="eastAsia" w:eastAsia="宋体"/>
                      <w:lang w:val="en-US" w:eastAsia="zh-CN"/>
                    </w:rPr>
                    <w:t>5</w:t>
                  </w:r>
                </w:p>
              </w:tc>
              <w:tc>
                <w:tcPr>
                  <w:tcW w:w="168" w:type="pct"/>
                  <w:tcBorders>
                    <w:tl2br w:val="nil"/>
                    <w:tr2bl w:val="nil"/>
                  </w:tcBorders>
                  <w:noWrap w:val="0"/>
                  <w:vAlign w:val="center"/>
                </w:tcPr>
                <w:p w14:paraId="07EBB75F">
                  <w:pPr>
                    <w:jc w:val="center"/>
                  </w:pPr>
                  <w:r>
                    <w:t>东</w:t>
                  </w:r>
                </w:p>
              </w:tc>
              <w:tc>
                <w:tcPr>
                  <w:tcW w:w="232" w:type="pct"/>
                  <w:tcBorders>
                    <w:tl2br w:val="nil"/>
                    <w:tr2bl w:val="nil"/>
                  </w:tcBorders>
                  <w:noWrap w:val="0"/>
                  <w:vAlign w:val="center"/>
                </w:tcPr>
                <w:p w14:paraId="7B7FEB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60</w:t>
                  </w:r>
                </w:p>
              </w:tc>
              <w:tc>
                <w:tcPr>
                  <w:tcW w:w="597" w:type="pct"/>
                  <w:tcBorders>
                    <w:tl2br w:val="nil"/>
                    <w:tr2bl w:val="nil"/>
                  </w:tcBorders>
                  <w:noWrap w:val="0"/>
                  <w:vAlign w:val="center"/>
                </w:tcPr>
                <w:p w14:paraId="2EE8F42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37.4 </w:t>
                  </w:r>
                </w:p>
              </w:tc>
              <w:tc>
                <w:tcPr>
                  <w:tcW w:w="366" w:type="pct"/>
                  <w:vMerge w:val="continue"/>
                  <w:tcBorders>
                    <w:tl2br w:val="nil"/>
                    <w:tr2bl w:val="nil"/>
                  </w:tcBorders>
                  <w:noWrap w:val="0"/>
                  <w:vAlign w:val="center"/>
                </w:tcPr>
                <w:p w14:paraId="36B8E905">
                  <w:pPr>
                    <w:jc w:val="center"/>
                  </w:pPr>
                </w:p>
              </w:tc>
              <w:tc>
                <w:tcPr>
                  <w:tcW w:w="598" w:type="pct"/>
                  <w:tcBorders>
                    <w:tl2br w:val="nil"/>
                    <w:tr2bl w:val="nil"/>
                  </w:tcBorders>
                  <w:noWrap w:val="0"/>
                  <w:vAlign w:val="center"/>
                </w:tcPr>
                <w:p w14:paraId="321C870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1BD163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17.4 </w:t>
                  </w:r>
                </w:p>
              </w:tc>
              <w:tc>
                <w:tcPr>
                  <w:tcW w:w="274" w:type="pct"/>
                  <w:tcBorders>
                    <w:tl2br w:val="nil"/>
                    <w:tr2bl w:val="nil"/>
                  </w:tcBorders>
                  <w:noWrap w:val="0"/>
                  <w:vAlign w:val="center"/>
                </w:tcPr>
                <w:p w14:paraId="110EA0BF">
                  <w:pPr>
                    <w:jc w:val="center"/>
                  </w:pPr>
                  <w:r>
                    <w:t>1m</w:t>
                  </w:r>
                </w:p>
              </w:tc>
            </w:tr>
            <w:tr w14:paraId="1EA0BB7C">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Borders>
                    <w:tl2br w:val="nil"/>
                    <w:tr2bl w:val="nil"/>
                  </w:tcBorders>
                  <w:noWrap w:val="0"/>
                  <w:vAlign w:val="center"/>
                </w:tcPr>
                <w:p w14:paraId="76BB507F">
                  <w:pPr>
                    <w:jc w:val="center"/>
                  </w:pPr>
                </w:p>
              </w:tc>
              <w:tc>
                <w:tcPr>
                  <w:tcW w:w="260" w:type="pct"/>
                  <w:vMerge w:val="continue"/>
                  <w:tcBorders>
                    <w:tl2br w:val="nil"/>
                    <w:tr2bl w:val="nil"/>
                  </w:tcBorders>
                  <w:noWrap w:val="0"/>
                  <w:vAlign w:val="center"/>
                </w:tcPr>
                <w:p w14:paraId="115F11F1">
                  <w:pPr>
                    <w:jc w:val="center"/>
                  </w:pPr>
                </w:p>
              </w:tc>
              <w:tc>
                <w:tcPr>
                  <w:tcW w:w="279" w:type="pct"/>
                  <w:vMerge w:val="continue"/>
                  <w:tcBorders>
                    <w:tl2br w:val="nil"/>
                    <w:tr2bl w:val="nil"/>
                  </w:tcBorders>
                  <w:noWrap w:val="0"/>
                  <w:vAlign w:val="center"/>
                </w:tcPr>
                <w:p w14:paraId="7259E973">
                  <w:pPr>
                    <w:jc w:val="center"/>
                  </w:pPr>
                </w:p>
              </w:tc>
              <w:tc>
                <w:tcPr>
                  <w:tcW w:w="597" w:type="pct"/>
                  <w:vMerge w:val="continue"/>
                  <w:tcBorders>
                    <w:tl2br w:val="nil"/>
                    <w:tr2bl w:val="nil"/>
                  </w:tcBorders>
                  <w:noWrap w:val="0"/>
                  <w:vAlign w:val="center"/>
                </w:tcPr>
                <w:p w14:paraId="7BBCB357">
                  <w:pPr>
                    <w:jc w:val="center"/>
                  </w:pPr>
                </w:p>
              </w:tc>
              <w:tc>
                <w:tcPr>
                  <w:tcW w:w="264" w:type="pct"/>
                  <w:vMerge w:val="continue"/>
                  <w:tcBorders>
                    <w:tl2br w:val="nil"/>
                    <w:tr2bl w:val="nil"/>
                  </w:tcBorders>
                  <w:noWrap w:val="0"/>
                  <w:textDirection w:val="tbRlV"/>
                  <w:vAlign w:val="center"/>
                </w:tcPr>
                <w:p w14:paraId="244B5385">
                  <w:pPr>
                    <w:jc w:val="center"/>
                  </w:pPr>
                </w:p>
              </w:tc>
              <w:tc>
                <w:tcPr>
                  <w:tcW w:w="178" w:type="pct"/>
                  <w:vMerge w:val="continue"/>
                  <w:tcBorders>
                    <w:tl2br w:val="nil"/>
                    <w:tr2bl w:val="nil"/>
                  </w:tcBorders>
                  <w:noWrap w:val="0"/>
                  <w:vAlign w:val="center"/>
                </w:tcPr>
                <w:p w14:paraId="2F46B879">
                  <w:pPr>
                    <w:jc w:val="center"/>
                  </w:pPr>
                </w:p>
              </w:tc>
              <w:tc>
                <w:tcPr>
                  <w:tcW w:w="242" w:type="pct"/>
                  <w:vMerge w:val="continue"/>
                  <w:tcBorders>
                    <w:tl2br w:val="nil"/>
                    <w:tr2bl w:val="nil"/>
                  </w:tcBorders>
                  <w:noWrap w:val="0"/>
                  <w:vAlign w:val="center"/>
                </w:tcPr>
                <w:p w14:paraId="457029BF">
                  <w:pPr>
                    <w:jc w:val="center"/>
                  </w:pPr>
                </w:p>
              </w:tc>
              <w:tc>
                <w:tcPr>
                  <w:tcW w:w="153" w:type="pct"/>
                  <w:vMerge w:val="continue"/>
                  <w:tcBorders>
                    <w:tl2br w:val="nil"/>
                    <w:tr2bl w:val="nil"/>
                  </w:tcBorders>
                  <w:noWrap w:val="0"/>
                  <w:vAlign w:val="center"/>
                </w:tcPr>
                <w:p w14:paraId="202AA648">
                  <w:pPr>
                    <w:jc w:val="center"/>
                  </w:pPr>
                </w:p>
              </w:tc>
              <w:tc>
                <w:tcPr>
                  <w:tcW w:w="168" w:type="pct"/>
                  <w:tcBorders>
                    <w:tl2br w:val="nil"/>
                    <w:tr2bl w:val="nil"/>
                  </w:tcBorders>
                  <w:noWrap w:val="0"/>
                  <w:vAlign w:val="center"/>
                </w:tcPr>
                <w:p w14:paraId="4EC7106F">
                  <w:pPr>
                    <w:jc w:val="center"/>
                  </w:pPr>
                  <w:r>
                    <w:t>南</w:t>
                  </w:r>
                </w:p>
              </w:tc>
              <w:tc>
                <w:tcPr>
                  <w:tcW w:w="232" w:type="pct"/>
                  <w:tcBorders>
                    <w:tl2br w:val="nil"/>
                    <w:tr2bl w:val="nil"/>
                  </w:tcBorders>
                  <w:noWrap w:val="0"/>
                  <w:vAlign w:val="center"/>
                </w:tcPr>
                <w:p w14:paraId="332F18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14</w:t>
                  </w:r>
                </w:p>
              </w:tc>
              <w:tc>
                <w:tcPr>
                  <w:tcW w:w="597" w:type="pct"/>
                  <w:tcBorders>
                    <w:tl2br w:val="nil"/>
                    <w:tr2bl w:val="nil"/>
                  </w:tcBorders>
                  <w:noWrap w:val="0"/>
                  <w:vAlign w:val="center"/>
                </w:tcPr>
                <w:p w14:paraId="1A0192F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50.1 </w:t>
                  </w:r>
                </w:p>
              </w:tc>
              <w:tc>
                <w:tcPr>
                  <w:tcW w:w="366" w:type="pct"/>
                  <w:vMerge w:val="continue"/>
                  <w:tcBorders>
                    <w:tl2br w:val="nil"/>
                    <w:tr2bl w:val="nil"/>
                  </w:tcBorders>
                  <w:noWrap w:val="0"/>
                  <w:vAlign w:val="center"/>
                </w:tcPr>
                <w:p w14:paraId="77576D62">
                  <w:pPr>
                    <w:jc w:val="center"/>
                  </w:pPr>
                </w:p>
              </w:tc>
              <w:tc>
                <w:tcPr>
                  <w:tcW w:w="598" w:type="pct"/>
                  <w:tcBorders>
                    <w:tl2br w:val="nil"/>
                    <w:tr2bl w:val="nil"/>
                  </w:tcBorders>
                  <w:noWrap w:val="0"/>
                  <w:vAlign w:val="center"/>
                </w:tcPr>
                <w:p w14:paraId="7447B7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63E26A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30.1 </w:t>
                  </w:r>
                </w:p>
              </w:tc>
              <w:tc>
                <w:tcPr>
                  <w:tcW w:w="274" w:type="pct"/>
                  <w:tcBorders>
                    <w:tl2br w:val="nil"/>
                    <w:tr2bl w:val="nil"/>
                  </w:tcBorders>
                  <w:noWrap w:val="0"/>
                  <w:vAlign w:val="center"/>
                </w:tcPr>
                <w:p w14:paraId="3D0A4FFB">
                  <w:pPr>
                    <w:jc w:val="center"/>
                  </w:pPr>
                  <w:r>
                    <w:t>1m</w:t>
                  </w:r>
                </w:p>
              </w:tc>
            </w:tr>
            <w:tr w14:paraId="653D8666">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Borders>
                    <w:tl2br w:val="nil"/>
                    <w:tr2bl w:val="nil"/>
                  </w:tcBorders>
                  <w:noWrap w:val="0"/>
                  <w:vAlign w:val="center"/>
                </w:tcPr>
                <w:p w14:paraId="3ECDBF90">
                  <w:pPr>
                    <w:jc w:val="center"/>
                  </w:pPr>
                </w:p>
              </w:tc>
              <w:tc>
                <w:tcPr>
                  <w:tcW w:w="260" w:type="pct"/>
                  <w:vMerge w:val="continue"/>
                  <w:tcBorders>
                    <w:tl2br w:val="nil"/>
                    <w:tr2bl w:val="nil"/>
                  </w:tcBorders>
                  <w:noWrap w:val="0"/>
                  <w:vAlign w:val="center"/>
                </w:tcPr>
                <w:p w14:paraId="5BF1E1DA">
                  <w:pPr>
                    <w:jc w:val="center"/>
                  </w:pPr>
                </w:p>
              </w:tc>
              <w:tc>
                <w:tcPr>
                  <w:tcW w:w="279" w:type="pct"/>
                  <w:vMerge w:val="continue"/>
                  <w:tcBorders>
                    <w:tl2br w:val="nil"/>
                    <w:tr2bl w:val="nil"/>
                  </w:tcBorders>
                  <w:noWrap w:val="0"/>
                  <w:vAlign w:val="center"/>
                </w:tcPr>
                <w:p w14:paraId="382D32E7">
                  <w:pPr>
                    <w:jc w:val="center"/>
                  </w:pPr>
                </w:p>
              </w:tc>
              <w:tc>
                <w:tcPr>
                  <w:tcW w:w="597" w:type="pct"/>
                  <w:vMerge w:val="continue"/>
                  <w:tcBorders>
                    <w:tl2br w:val="nil"/>
                    <w:tr2bl w:val="nil"/>
                  </w:tcBorders>
                  <w:noWrap w:val="0"/>
                  <w:vAlign w:val="center"/>
                </w:tcPr>
                <w:p w14:paraId="124713F6">
                  <w:pPr>
                    <w:jc w:val="center"/>
                  </w:pPr>
                </w:p>
              </w:tc>
              <w:tc>
                <w:tcPr>
                  <w:tcW w:w="264" w:type="pct"/>
                  <w:vMerge w:val="continue"/>
                  <w:tcBorders>
                    <w:tl2br w:val="nil"/>
                    <w:tr2bl w:val="nil"/>
                  </w:tcBorders>
                  <w:noWrap w:val="0"/>
                  <w:textDirection w:val="tbRlV"/>
                  <w:vAlign w:val="center"/>
                </w:tcPr>
                <w:p w14:paraId="2EFF3E7A">
                  <w:pPr>
                    <w:jc w:val="center"/>
                  </w:pPr>
                </w:p>
              </w:tc>
              <w:tc>
                <w:tcPr>
                  <w:tcW w:w="178" w:type="pct"/>
                  <w:vMerge w:val="continue"/>
                  <w:tcBorders>
                    <w:tl2br w:val="nil"/>
                    <w:tr2bl w:val="nil"/>
                  </w:tcBorders>
                  <w:noWrap w:val="0"/>
                  <w:vAlign w:val="center"/>
                </w:tcPr>
                <w:p w14:paraId="716FB6F0">
                  <w:pPr>
                    <w:jc w:val="center"/>
                  </w:pPr>
                </w:p>
              </w:tc>
              <w:tc>
                <w:tcPr>
                  <w:tcW w:w="242" w:type="pct"/>
                  <w:vMerge w:val="continue"/>
                  <w:tcBorders>
                    <w:tl2br w:val="nil"/>
                    <w:tr2bl w:val="nil"/>
                  </w:tcBorders>
                  <w:noWrap w:val="0"/>
                  <w:vAlign w:val="center"/>
                </w:tcPr>
                <w:p w14:paraId="42811CC2">
                  <w:pPr>
                    <w:jc w:val="center"/>
                  </w:pPr>
                </w:p>
              </w:tc>
              <w:tc>
                <w:tcPr>
                  <w:tcW w:w="153" w:type="pct"/>
                  <w:vMerge w:val="continue"/>
                  <w:tcBorders>
                    <w:tl2br w:val="nil"/>
                    <w:tr2bl w:val="nil"/>
                  </w:tcBorders>
                  <w:noWrap w:val="0"/>
                  <w:vAlign w:val="center"/>
                </w:tcPr>
                <w:p w14:paraId="1F7FBAB9">
                  <w:pPr>
                    <w:jc w:val="center"/>
                  </w:pPr>
                </w:p>
              </w:tc>
              <w:tc>
                <w:tcPr>
                  <w:tcW w:w="168" w:type="pct"/>
                  <w:tcBorders>
                    <w:tl2br w:val="nil"/>
                    <w:tr2bl w:val="nil"/>
                  </w:tcBorders>
                  <w:noWrap w:val="0"/>
                  <w:vAlign w:val="center"/>
                </w:tcPr>
                <w:p w14:paraId="5319FB3A">
                  <w:pPr>
                    <w:jc w:val="center"/>
                  </w:pPr>
                  <w:r>
                    <w:t>西</w:t>
                  </w:r>
                </w:p>
              </w:tc>
              <w:tc>
                <w:tcPr>
                  <w:tcW w:w="232" w:type="pct"/>
                  <w:tcBorders>
                    <w:tl2br w:val="nil"/>
                    <w:tr2bl w:val="nil"/>
                  </w:tcBorders>
                  <w:noWrap w:val="0"/>
                  <w:vAlign w:val="center"/>
                </w:tcPr>
                <w:p w14:paraId="10B01F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w:t>
                  </w:r>
                </w:p>
              </w:tc>
              <w:tc>
                <w:tcPr>
                  <w:tcW w:w="597" w:type="pct"/>
                  <w:tcBorders>
                    <w:tl2br w:val="nil"/>
                    <w:tr2bl w:val="nil"/>
                  </w:tcBorders>
                  <w:noWrap w:val="0"/>
                  <w:vAlign w:val="center"/>
                </w:tcPr>
                <w:p w14:paraId="5B7B6D3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47.0 </w:t>
                  </w:r>
                </w:p>
              </w:tc>
              <w:tc>
                <w:tcPr>
                  <w:tcW w:w="366" w:type="pct"/>
                  <w:vMerge w:val="continue"/>
                  <w:tcBorders>
                    <w:tl2br w:val="nil"/>
                    <w:tr2bl w:val="nil"/>
                  </w:tcBorders>
                  <w:noWrap w:val="0"/>
                  <w:vAlign w:val="center"/>
                </w:tcPr>
                <w:p w14:paraId="519F2549">
                  <w:pPr>
                    <w:jc w:val="center"/>
                  </w:pPr>
                </w:p>
              </w:tc>
              <w:tc>
                <w:tcPr>
                  <w:tcW w:w="598" w:type="pct"/>
                  <w:tcBorders>
                    <w:tl2br w:val="nil"/>
                    <w:tr2bl w:val="nil"/>
                  </w:tcBorders>
                  <w:noWrap w:val="0"/>
                  <w:vAlign w:val="center"/>
                </w:tcPr>
                <w:p w14:paraId="0312EF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35E46C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27.0 </w:t>
                  </w:r>
                </w:p>
              </w:tc>
              <w:tc>
                <w:tcPr>
                  <w:tcW w:w="274" w:type="pct"/>
                  <w:tcBorders>
                    <w:tl2br w:val="nil"/>
                    <w:tr2bl w:val="nil"/>
                  </w:tcBorders>
                  <w:noWrap w:val="0"/>
                  <w:vAlign w:val="center"/>
                </w:tcPr>
                <w:p w14:paraId="7383FD96">
                  <w:pPr>
                    <w:jc w:val="center"/>
                  </w:pPr>
                  <w:r>
                    <w:t>1m</w:t>
                  </w:r>
                </w:p>
              </w:tc>
            </w:tr>
            <w:tr w14:paraId="5F08420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Borders>
                    <w:tl2br w:val="nil"/>
                    <w:tr2bl w:val="nil"/>
                  </w:tcBorders>
                  <w:noWrap w:val="0"/>
                  <w:vAlign w:val="center"/>
                </w:tcPr>
                <w:p w14:paraId="0C9C70E4">
                  <w:pPr>
                    <w:jc w:val="center"/>
                  </w:pPr>
                </w:p>
              </w:tc>
              <w:tc>
                <w:tcPr>
                  <w:tcW w:w="260" w:type="pct"/>
                  <w:vMerge w:val="continue"/>
                  <w:tcBorders>
                    <w:tl2br w:val="nil"/>
                    <w:tr2bl w:val="nil"/>
                  </w:tcBorders>
                  <w:noWrap w:val="0"/>
                  <w:vAlign w:val="center"/>
                </w:tcPr>
                <w:p w14:paraId="6CF0013F">
                  <w:pPr>
                    <w:jc w:val="center"/>
                  </w:pPr>
                </w:p>
              </w:tc>
              <w:tc>
                <w:tcPr>
                  <w:tcW w:w="279" w:type="pct"/>
                  <w:vMerge w:val="continue"/>
                  <w:tcBorders>
                    <w:tl2br w:val="nil"/>
                    <w:tr2bl w:val="nil"/>
                  </w:tcBorders>
                  <w:noWrap w:val="0"/>
                  <w:vAlign w:val="center"/>
                </w:tcPr>
                <w:p w14:paraId="0467A8B2">
                  <w:pPr>
                    <w:jc w:val="center"/>
                  </w:pPr>
                </w:p>
              </w:tc>
              <w:tc>
                <w:tcPr>
                  <w:tcW w:w="597" w:type="pct"/>
                  <w:vMerge w:val="continue"/>
                  <w:tcBorders>
                    <w:tl2br w:val="nil"/>
                    <w:tr2bl w:val="nil"/>
                  </w:tcBorders>
                  <w:noWrap w:val="0"/>
                  <w:vAlign w:val="center"/>
                </w:tcPr>
                <w:p w14:paraId="7A8E2A1C">
                  <w:pPr>
                    <w:jc w:val="center"/>
                  </w:pPr>
                </w:p>
              </w:tc>
              <w:tc>
                <w:tcPr>
                  <w:tcW w:w="264" w:type="pct"/>
                  <w:vMerge w:val="continue"/>
                  <w:tcBorders>
                    <w:tl2br w:val="nil"/>
                    <w:tr2bl w:val="nil"/>
                  </w:tcBorders>
                  <w:noWrap w:val="0"/>
                  <w:textDirection w:val="tbRlV"/>
                  <w:vAlign w:val="center"/>
                </w:tcPr>
                <w:p w14:paraId="305A950D">
                  <w:pPr>
                    <w:jc w:val="center"/>
                  </w:pPr>
                </w:p>
              </w:tc>
              <w:tc>
                <w:tcPr>
                  <w:tcW w:w="178" w:type="pct"/>
                  <w:vMerge w:val="continue"/>
                  <w:tcBorders>
                    <w:tl2br w:val="nil"/>
                    <w:tr2bl w:val="nil"/>
                  </w:tcBorders>
                  <w:noWrap w:val="0"/>
                  <w:vAlign w:val="center"/>
                </w:tcPr>
                <w:p w14:paraId="2A90CFF9">
                  <w:pPr>
                    <w:jc w:val="center"/>
                  </w:pPr>
                </w:p>
              </w:tc>
              <w:tc>
                <w:tcPr>
                  <w:tcW w:w="242" w:type="pct"/>
                  <w:vMerge w:val="continue"/>
                  <w:tcBorders>
                    <w:tl2br w:val="nil"/>
                    <w:tr2bl w:val="nil"/>
                  </w:tcBorders>
                  <w:noWrap w:val="0"/>
                  <w:vAlign w:val="center"/>
                </w:tcPr>
                <w:p w14:paraId="6F76BC9E">
                  <w:pPr>
                    <w:jc w:val="center"/>
                  </w:pPr>
                </w:p>
              </w:tc>
              <w:tc>
                <w:tcPr>
                  <w:tcW w:w="153" w:type="pct"/>
                  <w:vMerge w:val="continue"/>
                  <w:tcBorders>
                    <w:tl2br w:val="nil"/>
                    <w:tr2bl w:val="nil"/>
                  </w:tcBorders>
                  <w:noWrap w:val="0"/>
                  <w:vAlign w:val="center"/>
                </w:tcPr>
                <w:p w14:paraId="69D537C0">
                  <w:pPr>
                    <w:jc w:val="center"/>
                  </w:pPr>
                </w:p>
              </w:tc>
              <w:tc>
                <w:tcPr>
                  <w:tcW w:w="168" w:type="pct"/>
                  <w:tcBorders>
                    <w:tl2br w:val="nil"/>
                    <w:tr2bl w:val="nil"/>
                  </w:tcBorders>
                  <w:noWrap w:val="0"/>
                  <w:vAlign w:val="center"/>
                </w:tcPr>
                <w:p w14:paraId="36F98825">
                  <w:pPr>
                    <w:jc w:val="center"/>
                  </w:pPr>
                  <w:r>
                    <w:t>北</w:t>
                  </w:r>
                </w:p>
              </w:tc>
              <w:tc>
                <w:tcPr>
                  <w:tcW w:w="232" w:type="pct"/>
                  <w:tcBorders>
                    <w:tl2br w:val="nil"/>
                    <w:tr2bl w:val="nil"/>
                  </w:tcBorders>
                  <w:noWrap w:val="0"/>
                  <w:vAlign w:val="center"/>
                </w:tcPr>
                <w:p w14:paraId="762E8F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w:t>
                  </w:r>
                </w:p>
              </w:tc>
              <w:tc>
                <w:tcPr>
                  <w:tcW w:w="597" w:type="pct"/>
                  <w:tcBorders>
                    <w:tl2br w:val="nil"/>
                    <w:tr2bl w:val="nil"/>
                  </w:tcBorders>
                  <w:noWrap w:val="0"/>
                  <w:vAlign w:val="center"/>
                </w:tcPr>
                <w:p w14:paraId="308F95D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61.0 </w:t>
                  </w:r>
                </w:p>
              </w:tc>
              <w:tc>
                <w:tcPr>
                  <w:tcW w:w="366" w:type="pct"/>
                  <w:vMerge w:val="continue"/>
                  <w:tcBorders>
                    <w:tl2br w:val="nil"/>
                    <w:tr2bl w:val="nil"/>
                  </w:tcBorders>
                  <w:noWrap w:val="0"/>
                  <w:vAlign w:val="center"/>
                </w:tcPr>
                <w:p w14:paraId="07900504">
                  <w:pPr>
                    <w:jc w:val="center"/>
                  </w:pPr>
                </w:p>
              </w:tc>
              <w:tc>
                <w:tcPr>
                  <w:tcW w:w="598" w:type="pct"/>
                  <w:tcBorders>
                    <w:tl2br w:val="nil"/>
                    <w:tr2bl w:val="nil"/>
                  </w:tcBorders>
                  <w:noWrap w:val="0"/>
                  <w:vAlign w:val="center"/>
                </w:tcPr>
                <w:p w14:paraId="72B57B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3A6A456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41.0 </w:t>
                  </w:r>
                </w:p>
              </w:tc>
              <w:tc>
                <w:tcPr>
                  <w:tcW w:w="274" w:type="pct"/>
                  <w:tcBorders>
                    <w:tl2br w:val="nil"/>
                    <w:tr2bl w:val="nil"/>
                  </w:tcBorders>
                  <w:noWrap w:val="0"/>
                  <w:vAlign w:val="center"/>
                </w:tcPr>
                <w:p w14:paraId="1684BC75">
                  <w:pPr>
                    <w:jc w:val="center"/>
                  </w:pPr>
                  <w:r>
                    <w:t>1m</w:t>
                  </w:r>
                </w:p>
              </w:tc>
            </w:tr>
            <w:tr w14:paraId="40E09C4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restart"/>
                  <w:tcBorders>
                    <w:tl2br w:val="nil"/>
                    <w:tr2bl w:val="nil"/>
                  </w:tcBorders>
                  <w:noWrap w:val="0"/>
                  <w:vAlign w:val="center"/>
                </w:tcPr>
                <w:p w14:paraId="46CC88A7">
                  <w:pPr>
                    <w:jc w:val="center"/>
                    <w:rPr>
                      <w:rFonts w:hint="default" w:eastAsia="宋体"/>
                      <w:lang w:val="en-US" w:eastAsia="zh-CN"/>
                    </w:rPr>
                  </w:pPr>
                  <w:r>
                    <w:rPr>
                      <w:rFonts w:hint="eastAsia" w:eastAsia="宋体"/>
                      <w:lang w:val="en-US" w:eastAsia="zh-CN"/>
                    </w:rPr>
                    <w:t>8</w:t>
                  </w:r>
                </w:p>
              </w:tc>
              <w:tc>
                <w:tcPr>
                  <w:tcW w:w="260" w:type="pct"/>
                  <w:vMerge w:val="restart"/>
                  <w:tcBorders>
                    <w:tl2br w:val="nil"/>
                    <w:tr2bl w:val="nil"/>
                  </w:tcBorders>
                  <w:noWrap w:val="0"/>
                  <w:vAlign w:val="center"/>
                </w:tcPr>
                <w:p w14:paraId="500036BC">
                  <w:pPr>
                    <w:jc w:val="center"/>
                  </w:pPr>
                  <w:r>
                    <w:rPr>
                      <w:rFonts w:hint="eastAsia"/>
                      <w:lang w:val="en-US" w:eastAsia="zh-CN"/>
                    </w:rPr>
                    <w:t>11栋3F</w:t>
                  </w:r>
                </w:p>
              </w:tc>
              <w:tc>
                <w:tcPr>
                  <w:tcW w:w="279" w:type="pct"/>
                  <w:vMerge w:val="restart"/>
                  <w:tcBorders>
                    <w:tl2br w:val="nil"/>
                    <w:tr2bl w:val="nil"/>
                  </w:tcBorders>
                  <w:noWrap w:val="0"/>
                  <w:vAlign w:val="center"/>
                </w:tcPr>
                <w:p w14:paraId="22FCA224">
                  <w:pPr>
                    <w:jc w:val="center"/>
                  </w:pPr>
                  <w:r>
                    <w:rPr>
                      <w:rFonts w:hint="eastAsia"/>
                      <w:lang w:val="en-US" w:eastAsia="zh-CN"/>
                    </w:rPr>
                    <w:t>测试机</w:t>
                  </w:r>
                </w:p>
              </w:tc>
              <w:tc>
                <w:tcPr>
                  <w:tcW w:w="597" w:type="pct"/>
                  <w:vMerge w:val="restart"/>
                  <w:tcBorders>
                    <w:tl2br w:val="nil"/>
                    <w:tr2bl w:val="nil"/>
                  </w:tcBorders>
                  <w:noWrap w:val="0"/>
                  <w:vAlign w:val="center"/>
                </w:tcPr>
                <w:p w14:paraId="48B4FEDD">
                  <w:pPr>
                    <w:jc w:val="center"/>
                  </w:pPr>
                  <w:r>
                    <w:rPr>
                      <w:rFonts w:hint="eastAsia"/>
                      <w:lang w:val="en-US" w:eastAsia="zh-CN"/>
                    </w:rPr>
                    <w:t>85</w:t>
                  </w:r>
                  <w:r>
                    <w:t>/1</w:t>
                  </w:r>
                </w:p>
              </w:tc>
              <w:tc>
                <w:tcPr>
                  <w:tcW w:w="264" w:type="pct"/>
                  <w:vMerge w:val="continue"/>
                  <w:tcBorders>
                    <w:tl2br w:val="nil"/>
                    <w:tr2bl w:val="nil"/>
                  </w:tcBorders>
                  <w:noWrap w:val="0"/>
                  <w:textDirection w:val="tbRlV"/>
                  <w:vAlign w:val="center"/>
                </w:tcPr>
                <w:p w14:paraId="3CBED058">
                  <w:pPr>
                    <w:jc w:val="center"/>
                  </w:pPr>
                </w:p>
              </w:tc>
              <w:tc>
                <w:tcPr>
                  <w:tcW w:w="178" w:type="pct"/>
                  <w:vMerge w:val="restart"/>
                  <w:tcBorders>
                    <w:tl2br w:val="nil"/>
                    <w:tr2bl w:val="nil"/>
                  </w:tcBorders>
                  <w:noWrap w:val="0"/>
                  <w:vAlign w:val="center"/>
                </w:tcPr>
                <w:p w14:paraId="018D6C94">
                  <w:pPr>
                    <w:jc w:val="center"/>
                    <w:rPr>
                      <w:rFonts w:hint="eastAsia" w:eastAsia="宋体"/>
                      <w:lang w:val="en-US" w:eastAsia="zh-CN"/>
                    </w:rPr>
                  </w:pPr>
                  <w:r>
                    <w:rPr>
                      <w:rFonts w:hint="eastAsia"/>
                      <w:lang w:val="en-US" w:eastAsia="zh-CN"/>
                    </w:rPr>
                    <w:t>0</w:t>
                  </w:r>
                </w:p>
              </w:tc>
              <w:tc>
                <w:tcPr>
                  <w:tcW w:w="242" w:type="pct"/>
                  <w:vMerge w:val="restart"/>
                  <w:tcBorders>
                    <w:tl2br w:val="nil"/>
                    <w:tr2bl w:val="nil"/>
                  </w:tcBorders>
                  <w:noWrap w:val="0"/>
                  <w:vAlign w:val="center"/>
                </w:tcPr>
                <w:p w14:paraId="753747B3">
                  <w:pPr>
                    <w:jc w:val="center"/>
                    <w:rPr>
                      <w:rFonts w:hint="default" w:eastAsia="宋体"/>
                      <w:lang w:val="en-US" w:eastAsia="zh-CN"/>
                    </w:rPr>
                  </w:pPr>
                  <w:r>
                    <w:rPr>
                      <w:rFonts w:hint="eastAsia"/>
                      <w:lang w:val="en-US" w:eastAsia="zh-CN"/>
                    </w:rPr>
                    <w:t>-12</w:t>
                  </w:r>
                </w:p>
              </w:tc>
              <w:tc>
                <w:tcPr>
                  <w:tcW w:w="153" w:type="pct"/>
                  <w:vMerge w:val="restart"/>
                  <w:tcBorders>
                    <w:tl2br w:val="nil"/>
                    <w:tr2bl w:val="nil"/>
                  </w:tcBorders>
                  <w:noWrap w:val="0"/>
                  <w:vAlign w:val="center"/>
                </w:tcPr>
                <w:p w14:paraId="589B6692">
                  <w:pPr>
                    <w:jc w:val="center"/>
                    <w:rPr>
                      <w:rFonts w:hint="default" w:eastAsia="宋体"/>
                      <w:lang w:val="en-US" w:eastAsia="zh-CN"/>
                    </w:rPr>
                  </w:pPr>
                  <w:r>
                    <w:rPr>
                      <w:rFonts w:hint="eastAsia"/>
                      <w:lang w:val="en-US" w:eastAsia="zh-CN"/>
                    </w:rPr>
                    <w:t>9</w:t>
                  </w:r>
                </w:p>
              </w:tc>
              <w:tc>
                <w:tcPr>
                  <w:tcW w:w="168" w:type="pct"/>
                  <w:tcBorders>
                    <w:tl2br w:val="nil"/>
                    <w:tr2bl w:val="nil"/>
                  </w:tcBorders>
                  <w:noWrap w:val="0"/>
                  <w:vAlign w:val="center"/>
                </w:tcPr>
                <w:p w14:paraId="687ACF45">
                  <w:pPr>
                    <w:jc w:val="center"/>
                  </w:pPr>
                  <w:r>
                    <w:t>东</w:t>
                  </w:r>
                </w:p>
              </w:tc>
              <w:tc>
                <w:tcPr>
                  <w:tcW w:w="232" w:type="pct"/>
                  <w:tcBorders>
                    <w:tl2br w:val="nil"/>
                    <w:tr2bl w:val="nil"/>
                  </w:tcBorders>
                  <w:noWrap w:val="0"/>
                  <w:vAlign w:val="center"/>
                </w:tcPr>
                <w:p w14:paraId="185E4F8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597" w:type="pct"/>
                  <w:tcBorders>
                    <w:tl2br w:val="nil"/>
                    <w:tr2bl w:val="nil"/>
                  </w:tcBorders>
                  <w:noWrap w:val="0"/>
                  <w:vAlign w:val="center"/>
                </w:tcPr>
                <w:p w14:paraId="72972409">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53.0 </w:t>
                  </w:r>
                </w:p>
              </w:tc>
              <w:tc>
                <w:tcPr>
                  <w:tcW w:w="366" w:type="pct"/>
                  <w:vMerge w:val="continue"/>
                  <w:tcBorders>
                    <w:tl2br w:val="nil"/>
                    <w:tr2bl w:val="nil"/>
                  </w:tcBorders>
                  <w:noWrap w:val="0"/>
                  <w:vAlign w:val="center"/>
                </w:tcPr>
                <w:p w14:paraId="65487718">
                  <w:pPr>
                    <w:jc w:val="center"/>
                  </w:pPr>
                </w:p>
              </w:tc>
              <w:tc>
                <w:tcPr>
                  <w:tcW w:w="598" w:type="pct"/>
                  <w:tcBorders>
                    <w:tl2br w:val="nil"/>
                    <w:tr2bl w:val="nil"/>
                  </w:tcBorders>
                  <w:noWrap w:val="0"/>
                  <w:vAlign w:val="center"/>
                </w:tcPr>
                <w:p w14:paraId="0540034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24E6EF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33.0 </w:t>
                  </w:r>
                </w:p>
              </w:tc>
              <w:tc>
                <w:tcPr>
                  <w:tcW w:w="274" w:type="pct"/>
                  <w:tcBorders>
                    <w:tl2br w:val="nil"/>
                    <w:tr2bl w:val="nil"/>
                  </w:tcBorders>
                  <w:noWrap w:val="0"/>
                  <w:vAlign w:val="center"/>
                </w:tcPr>
                <w:p w14:paraId="2D3CBF11">
                  <w:pPr>
                    <w:jc w:val="center"/>
                  </w:pPr>
                  <w:r>
                    <w:t>1m</w:t>
                  </w:r>
                </w:p>
              </w:tc>
            </w:tr>
            <w:tr w14:paraId="3E9E50F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Borders>
                    <w:tl2br w:val="nil"/>
                    <w:tr2bl w:val="nil"/>
                  </w:tcBorders>
                  <w:noWrap w:val="0"/>
                  <w:vAlign w:val="center"/>
                </w:tcPr>
                <w:p w14:paraId="1E58C7E2">
                  <w:pPr>
                    <w:jc w:val="center"/>
                  </w:pPr>
                </w:p>
              </w:tc>
              <w:tc>
                <w:tcPr>
                  <w:tcW w:w="260" w:type="pct"/>
                  <w:vMerge w:val="continue"/>
                  <w:tcBorders>
                    <w:tl2br w:val="nil"/>
                    <w:tr2bl w:val="nil"/>
                  </w:tcBorders>
                  <w:noWrap w:val="0"/>
                  <w:vAlign w:val="center"/>
                </w:tcPr>
                <w:p w14:paraId="13C0F1B1">
                  <w:pPr>
                    <w:jc w:val="center"/>
                  </w:pPr>
                </w:p>
              </w:tc>
              <w:tc>
                <w:tcPr>
                  <w:tcW w:w="279" w:type="pct"/>
                  <w:vMerge w:val="continue"/>
                  <w:tcBorders>
                    <w:tl2br w:val="nil"/>
                    <w:tr2bl w:val="nil"/>
                  </w:tcBorders>
                  <w:noWrap w:val="0"/>
                  <w:vAlign w:val="center"/>
                </w:tcPr>
                <w:p w14:paraId="14B28CE6">
                  <w:pPr>
                    <w:jc w:val="center"/>
                  </w:pPr>
                </w:p>
              </w:tc>
              <w:tc>
                <w:tcPr>
                  <w:tcW w:w="597" w:type="pct"/>
                  <w:vMerge w:val="continue"/>
                  <w:tcBorders>
                    <w:tl2br w:val="nil"/>
                    <w:tr2bl w:val="nil"/>
                  </w:tcBorders>
                  <w:noWrap w:val="0"/>
                  <w:vAlign w:val="center"/>
                </w:tcPr>
                <w:p w14:paraId="145C379D">
                  <w:pPr>
                    <w:jc w:val="center"/>
                  </w:pPr>
                </w:p>
              </w:tc>
              <w:tc>
                <w:tcPr>
                  <w:tcW w:w="264" w:type="pct"/>
                  <w:vMerge w:val="continue"/>
                  <w:tcBorders>
                    <w:tl2br w:val="nil"/>
                    <w:tr2bl w:val="nil"/>
                  </w:tcBorders>
                  <w:noWrap w:val="0"/>
                  <w:textDirection w:val="tbRlV"/>
                  <w:vAlign w:val="center"/>
                </w:tcPr>
                <w:p w14:paraId="5C46C8B7">
                  <w:pPr>
                    <w:jc w:val="center"/>
                  </w:pPr>
                </w:p>
              </w:tc>
              <w:tc>
                <w:tcPr>
                  <w:tcW w:w="178" w:type="pct"/>
                  <w:vMerge w:val="continue"/>
                  <w:tcBorders>
                    <w:tl2br w:val="nil"/>
                    <w:tr2bl w:val="nil"/>
                  </w:tcBorders>
                  <w:noWrap w:val="0"/>
                  <w:vAlign w:val="center"/>
                </w:tcPr>
                <w:p w14:paraId="59407D42">
                  <w:pPr>
                    <w:jc w:val="center"/>
                  </w:pPr>
                </w:p>
              </w:tc>
              <w:tc>
                <w:tcPr>
                  <w:tcW w:w="242" w:type="pct"/>
                  <w:vMerge w:val="continue"/>
                  <w:tcBorders>
                    <w:tl2br w:val="nil"/>
                    <w:tr2bl w:val="nil"/>
                  </w:tcBorders>
                  <w:noWrap w:val="0"/>
                  <w:vAlign w:val="center"/>
                </w:tcPr>
                <w:p w14:paraId="6A4EA1C9">
                  <w:pPr>
                    <w:jc w:val="center"/>
                  </w:pPr>
                </w:p>
              </w:tc>
              <w:tc>
                <w:tcPr>
                  <w:tcW w:w="153" w:type="pct"/>
                  <w:vMerge w:val="continue"/>
                  <w:tcBorders>
                    <w:tl2br w:val="nil"/>
                    <w:tr2bl w:val="nil"/>
                  </w:tcBorders>
                  <w:noWrap w:val="0"/>
                  <w:vAlign w:val="center"/>
                </w:tcPr>
                <w:p w14:paraId="28D96F5E">
                  <w:pPr>
                    <w:jc w:val="center"/>
                  </w:pPr>
                </w:p>
              </w:tc>
              <w:tc>
                <w:tcPr>
                  <w:tcW w:w="168" w:type="pct"/>
                  <w:tcBorders>
                    <w:tl2br w:val="nil"/>
                    <w:tr2bl w:val="nil"/>
                  </w:tcBorders>
                  <w:noWrap w:val="0"/>
                  <w:vAlign w:val="center"/>
                </w:tcPr>
                <w:p w14:paraId="66ABDC41">
                  <w:pPr>
                    <w:jc w:val="center"/>
                  </w:pPr>
                  <w:r>
                    <w:t>南</w:t>
                  </w:r>
                </w:p>
              </w:tc>
              <w:tc>
                <w:tcPr>
                  <w:tcW w:w="232" w:type="pct"/>
                  <w:tcBorders>
                    <w:tl2br w:val="nil"/>
                    <w:tr2bl w:val="nil"/>
                  </w:tcBorders>
                  <w:noWrap w:val="0"/>
                  <w:vAlign w:val="center"/>
                </w:tcPr>
                <w:p w14:paraId="02BC1A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14</w:t>
                  </w:r>
                </w:p>
              </w:tc>
              <w:tc>
                <w:tcPr>
                  <w:tcW w:w="597" w:type="pct"/>
                  <w:tcBorders>
                    <w:tl2br w:val="nil"/>
                    <w:tr2bl w:val="nil"/>
                  </w:tcBorders>
                  <w:noWrap w:val="0"/>
                  <w:vAlign w:val="center"/>
                </w:tcPr>
                <w:p w14:paraId="19AEA56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62.1 </w:t>
                  </w:r>
                </w:p>
              </w:tc>
              <w:tc>
                <w:tcPr>
                  <w:tcW w:w="366" w:type="pct"/>
                  <w:vMerge w:val="continue"/>
                  <w:tcBorders>
                    <w:tl2br w:val="nil"/>
                    <w:tr2bl w:val="nil"/>
                  </w:tcBorders>
                  <w:noWrap w:val="0"/>
                  <w:vAlign w:val="center"/>
                </w:tcPr>
                <w:p w14:paraId="3A0368B9">
                  <w:pPr>
                    <w:jc w:val="center"/>
                  </w:pPr>
                </w:p>
              </w:tc>
              <w:tc>
                <w:tcPr>
                  <w:tcW w:w="598" w:type="pct"/>
                  <w:tcBorders>
                    <w:tl2br w:val="nil"/>
                    <w:tr2bl w:val="nil"/>
                  </w:tcBorders>
                  <w:noWrap w:val="0"/>
                  <w:vAlign w:val="center"/>
                </w:tcPr>
                <w:p w14:paraId="7B1758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2E7481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42.1 </w:t>
                  </w:r>
                </w:p>
              </w:tc>
              <w:tc>
                <w:tcPr>
                  <w:tcW w:w="274" w:type="pct"/>
                  <w:tcBorders>
                    <w:tl2br w:val="nil"/>
                    <w:tr2bl w:val="nil"/>
                  </w:tcBorders>
                  <w:noWrap w:val="0"/>
                  <w:vAlign w:val="center"/>
                </w:tcPr>
                <w:p w14:paraId="4A675A0A">
                  <w:pPr>
                    <w:jc w:val="center"/>
                  </w:pPr>
                  <w:r>
                    <w:t>1m</w:t>
                  </w:r>
                </w:p>
              </w:tc>
            </w:tr>
            <w:tr w14:paraId="54AD32C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Borders>
                    <w:tl2br w:val="nil"/>
                    <w:tr2bl w:val="nil"/>
                  </w:tcBorders>
                  <w:noWrap w:val="0"/>
                  <w:vAlign w:val="center"/>
                </w:tcPr>
                <w:p w14:paraId="353EE4F8">
                  <w:pPr>
                    <w:jc w:val="center"/>
                  </w:pPr>
                </w:p>
              </w:tc>
              <w:tc>
                <w:tcPr>
                  <w:tcW w:w="260" w:type="pct"/>
                  <w:vMerge w:val="continue"/>
                  <w:tcBorders>
                    <w:tl2br w:val="nil"/>
                    <w:tr2bl w:val="nil"/>
                  </w:tcBorders>
                  <w:noWrap w:val="0"/>
                  <w:vAlign w:val="center"/>
                </w:tcPr>
                <w:p w14:paraId="67737CE9">
                  <w:pPr>
                    <w:jc w:val="center"/>
                  </w:pPr>
                </w:p>
              </w:tc>
              <w:tc>
                <w:tcPr>
                  <w:tcW w:w="279" w:type="pct"/>
                  <w:vMerge w:val="continue"/>
                  <w:tcBorders>
                    <w:tl2br w:val="nil"/>
                    <w:tr2bl w:val="nil"/>
                  </w:tcBorders>
                  <w:noWrap w:val="0"/>
                  <w:vAlign w:val="center"/>
                </w:tcPr>
                <w:p w14:paraId="14501F6C">
                  <w:pPr>
                    <w:jc w:val="center"/>
                  </w:pPr>
                </w:p>
              </w:tc>
              <w:tc>
                <w:tcPr>
                  <w:tcW w:w="597" w:type="pct"/>
                  <w:vMerge w:val="continue"/>
                  <w:tcBorders>
                    <w:tl2br w:val="nil"/>
                    <w:tr2bl w:val="nil"/>
                  </w:tcBorders>
                  <w:noWrap w:val="0"/>
                  <w:vAlign w:val="center"/>
                </w:tcPr>
                <w:p w14:paraId="11719EDA">
                  <w:pPr>
                    <w:jc w:val="center"/>
                  </w:pPr>
                </w:p>
              </w:tc>
              <w:tc>
                <w:tcPr>
                  <w:tcW w:w="264" w:type="pct"/>
                  <w:vMerge w:val="continue"/>
                  <w:tcBorders>
                    <w:tl2br w:val="nil"/>
                    <w:tr2bl w:val="nil"/>
                  </w:tcBorders>
                  <w:noWrap w:val="0"/>
                  <w:textDirection w:val="tbRlV"/>
                  <w:vAlign w:val="center"/>
                </w:tcPr>
                <w:p w14:paraId="3B97F486">
                  <w:pPr>
                    <w:jc w:val="center"/>
                  </w:pPr>
                </w:p>
              </w:tc>
              <w:tc>
                <w:tcPr>
                  <w:tcW w:w="178" w:type="pct"/>
                  <w:vMerge w:val="continue"/>
                  <w:tcBorders>
                    <w:tl2br w:val="nil"/>
                    <w:tr2bl w:val="nil"/>
                  </w:tcBorders>
                  <w:noWrap w:val="0"/>
                  <w:vAlign w:val="center"/>
                </w:tcPr>
                <w:p w14:paraId="094F993E">
                  <w:pPr>
                    <w:jc w:val="center"/>
                  </w:pPr>
                </w:p>
              </w:tc>
              <w:tc>
                <w:tcPr>
                  <w:tcW w:w="242" w:type="pct"/>
                  <w:vMerge w:val="continue"/>
                  <w:tcBorders>
                    <w:tl2br w:val="nil"/>
                    <w:tr2bl w:val="nil"/>
                  </w:tcBorders>
                  <w:noWrap w:val="0"/>
                  <w:vAlign w:val="center"/>
                </w:tcPr>
                <w:p w14:paraId="4C77276B">
                  <w:pPr>
                    <w:jc w:val="center"/>
                  </w:pPr>
                </w:p>
              </w:tc>
              <w:tc>
                <w:tcPr>
                  <w:tcW w:w="153" w:type="pct"/>
                  <w:vMerge w:val="continue"/>
                  <w:tcBorders>
                    <w:tl2br w:val="nil"/>
                    <w:tr2bl w:val="nil"/>
                  </w:tcBorders>
                  <w:noWrap w:val="0"/>
                  <w:vAlign w:val="center"/>
                </w:tcPr>
                <w:p w14:paraId="2E1CEAC6">
                  <w:pPr>
                    <w:jc w:val="center"/>
                  </w:pPr>
                </w:p>
              </w:tc>
              <w:tc>
                <w:tcPr>
                  <w:tcW w:w="168" w:type="pct"/>
                  <w:tcBorders>
                    <w:tl2br w:val="nil"/>
                    <w:tr2bl w:val="nil"/>
                  </w:tcBorders>
                  <w:noWrap w:val="0"/>
                  <w:vAlign w:val="center"/>
                </w:tcPr>
                <w:p w14:paraId="234DDAB5">
                  <w:pPr>
                    <w:jc w:val="center"/>
                  </w:pPr>
                  <w:r>
                    <w:t>西</w:t>
                  </w:r>
                </w:p>
              </w:tc>
              <w:tc>
                <w:tcPr>
                  <w:tcW w:w="232" w:type="pct"/>
                  <w:tcBorders>
                    <w:tl2br w:val="nil"/>
                    <w:tr2bl w:val="nil"/>
                  </w:tcBorders>
                  <w:noWrap w:val="0"/>
                  <w:vAlign w:val="center"/>
                </w:tcPr>
                <w:p w14:paraId="192131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40</w:t>
                  </w:r>
                </w:p>
              </w:tc>
              <w:tc>
                <w:tcPr>
                  <w:tcW w:w="597" w:type="pct"/>
                  <w:tcBorders>
                    <w:tl2br w:val="nil"/>
                    <w:tr2bl w:val="nil"/>
                  </w:tcBorders>
                  <w:noWrap w:val="0"/>
                  <w:vAlign w:val="center"/>
                </w:tcPr>
                <w:p w14:paraId="6DEB2B4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53.0 </w:t>
                  </w:r>
                </w:p>
              </w:tc>
              <w:tc>
                <w:tcPr>
                  <w:tcW w:w="366" w:type="pct"/>
                  <w:vMerge w:val="continue"/>
                  <w:tcBorders>
                    <w:tl2br w:val="nil"/>
                    <w:tr2bl w:val="nil"/>
                  </w:tcBorders>
                  <w:noWrap w:val="0"/>
                  <w:vAlign w:val="center"/>
                </w:tcPr>
                <w:p w14:paraId="139EC548">
                  <w:pPr>
                    <w:jc w:val="center"/>
                  </w:pPr>
                </w:p>
              </w:tc>
              <w:tc>
                <w:tcPr>
                  <w:tcW w:w="598" w:type="pct"/>
                  <w:tcBorders>
                    <w:tl2br w:val="nil"/>
                    <w:tr2bl w:val="nil"/>
                  </w:tcBorders>
                  <w:noWrap w:val="0"/>
                  <w:vAlign w:val="center"/>
                </w:tcPr>
                <w:p w14:paraId="295026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6F541A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33.0 </w:t>
                  </w:r>
                </w:p>
              </w:tc>
              <w:tc>
                <w:tcPr>
                  <w:tcW w:w="274" w:type="pct"/>
                  <w:tcBorders>
                    <w:tl2br w:val="nil"/>
                    <w:tr2bl w:val="nil"/>
                  </w:tcBorders>
                  <w:noWrap w:val="0"/>
                  <w:vAlign w:val="center"/>
                </w:tcPr>
                <w:p w14:paraId="62069819">
                  <w:pPr>
                    <w:jc w:val="center"/>
                  </w:pPr>
                  <w:r>
                    <w:t>1m</w:t>
                  </w:r>
                </w:p>
              </w:tc>
            </w:tr>
            <w:tr w14:paraId="3FEA3ADD">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Borders>
                    <w:tl2br w:val="nil"/>
                    <w:tr2bl w:val="nil"/>
                  </w:tcBorders>
                  <w:noWrap w:val="0"/>
                  <w:vAlign w:val="center"/>
                </w:tcPr>
                <w:p w14:paraId="6179CEB0">
                  <w:pPr>
                    <w:jc w:val="center"/>
                  </w:pPr>
                </w:p>
              </w:tc>
              <w:tc>
                <w:tcPr>
                  <w:tcW w:w="260" w:type="pct"/>
                  <w:vMerge w:val="continue"/>
                  <w:tcBorders>
                    <w:tl2br w:val="nil"/>
                    <w:tr2bl w:val="nil"/>
                  </w:tcBorders>
                  <w:noWrap w:val="0"/>
                  <w:vAlign w:val="center"/>
                </w:tcPr>
                <w:p w14:paraId="03E8C9BC">
                  <w:pPr>
                    <w:jc w:val="center"/>
                  </w:pPr>
                </w:p>
              </w:tc>
              <w:tc>
                <w:tcPr>
                  <w:tcW w:w="279" w:type="pct"/>
                  <w:vMerge w:val="continue"/>
                  <w:tcBorders>
                    <w:tl2br w:val="nil"/>
                    <w:tr2bl w:val="nil"/>
                  </w:tcBorders>
                  <w:noWrap w:val="0"/>
                  <w:vAlign w:val="center"/>
                </w:tcPr>
                <w:p w14:paraId="1CCC278E">
                  <w:pPr>
                    <w:jc w:val="center"/>
                  </w:pPr>
                </w:p>
              </w:tc>
              <w:tc>
                <w:tcPr>
                  <w:tcW w:w="597" w:type="pct"/>
                  <w:vMerge w:val="continue"/>
                  <w:tcBorders>
                    <w:tl2br w:val="nil"/>
                    <w:tr2bl w:val="nil"/>
                  </w:tcBorders>
                  <w:noWrap w:val="0"/>
                  <w:vAlign w:val="center"/>
                </w:tcPr>
                <w:p w14:paraId="0F4C2164">
                  <w:pPr>
                    <w:jc w:val="center"/>
                  </w:pPr>
                </w:p>
              </w:tc>
              <w:tc>
                <w:tcPr>
                  <w:tcW w:w="264" w:type="pct"/>
                  <w:vMerge w:val="continue"/>
                  <w:tcBorders>
                    <w:tl2br w:val="nil"/>
                    <w:tr2bl w:val="nil"/>
                  </w:tcBorders>
                  <w:noWrap w:val="0"/>
                  <w:textDirection w:val="tbRlV"/>
                  <w:vAlign w:val="center"/>
                </w:tcPr>
                <w:p w14:paraId="1276B992">
                  <w:pPr>
                    <w:jc w:val="center"/>
                  </w:pPr>
                </w:p>
              </w:tc>
              <w:tc>
                <w:tcPr>
                  <w:tcW w:w="178" w:type="pct"/>
                  <w:vMerge w:val="continue"/>
                  <w:tcBorders>
                    <w:tl2br w:val="nil"/>
                    <w:tr2bl w:val="nil"/>
                  </w:tcBorders>
                  <w:noWrap w:val="0"/>
                  <w:vAlign w:val="center"/>
                </w:tcPr>
                <w:p w14:paraId="611D6C24">
                  <w:pPr>
                    <w:jc w:val="center"/>
                  </w:pPr>
                </w:p>
              </w:tc>
              <w:tc>
                <w:tcPr>
                  <w:tcW w:w="242" w:type="pct"/>
                  <w:vMerge w:val="continue"/>
                  <w:tcBorders>
                    <w:tl2br w:val="nil"/>
                    <w:tr2bl w:val="nil"/>
                  </w:tcBorders>
                  <w:noWrap w:val="0"/>
                  <w:vAlign w:val="center"/>
                </w:tcPr>
                <w:p w14:paraId="41894059">
                  <w:pPr>
                    <w:jc w:val="center"/>
                  </w:pPr>
                </w:p>
              </w:tc>
              <w:tc>
                <w:tcPr>
                  <w:tcW w:w="153" w:type="pct"/>
                  <w:vMerge w:val="continue"/>
                  <w:tcBorders>
                    <w:tl2br w:val="nil"/>
                    <w:tr2bl w:val="nil"/>
                  </w:tcBorders>
                  <w:noWrap w:val="0"/>
                  <w:vAlign w:val="center"/>
                </w:tcPr>
                <w:p w14:paraId="605289FD">
                  <w:pPr>
                    <w:jc w:val="center"/>
                  </w:pPr>
                </w:p>
              </w:tc>
              <w:tc>
                <w:tcPr>
                  <w:tcW w:w="168" w:type="pct"/>
                  <w:tcBorders>
                    <w:tl2br w:val="nil"/>
                    <w:tr2bl w:val="nil"/>
                  </w:tcBorders>
                  <w:noWrap w:val="0"/>
                  <w:vAlign w:val="center"/>
                </w:tcPr>
                <w:p w14:paraId="2FD6A0E1">
                  <w:pPr>
                    <w:jc w:val="center"/>
                  </w:pPr>
                  <w:r>
                    <w:t>北</w:t>
                  </w:r>
                </w:p>
              </w:tc>
              <w:tc>
                <w:tcPr>
                  <w:tcW w:w="232" w:type="pct"/>
                  <w:tcBorders>
                    <w:tl2br w:val="nil"/>
                    <w:tr2bl w:val="nil"/>
                  </w:tcBorders>
                  <w:noWrap w:val="0"/>
                  <w:vAlign w:val="center"/>
                </w:tcPr>
                <w:p w14:paraId="191BAF2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w:t>
                  </w:r>
                </w:p>
              </w:tc>
              <w:tc>
                <w:tcPr>
                  <w:tcW w:w="597" w:type="pct"/>
                  <w:tcBorders>
                    <w:tl2br w:val="nil"/>
                    <w:tr2bl w:val="nil"/>
                  </w:tcBorders>
                  <w:noWrap w:val="0"/>
                  <w:vAlign w:val="center"/>
                </w:tcPr>
                <w:p w14:paraId="5B0374F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73.0 </w:t>
                  </w:r>
                </w:p>
              </w:tc>
              <w:tc>
                <w:tcPr>
                  <w:tcW w:w="366" w:type="pct"/>
                  <w:vMerge w:val="continue"/>
                  <w:tcBorders>
                    <w:tl2br w:val="nil"/>
                    <w:tr2bl w:val="nil"/>
                  </w:tcBorders>
                  <w:noWrap w:val="0"/>
                  <w:vAlign w:val="center"/>
                </w:tcPr>
                <w:p w14:paraId="7617D9EB">
                  <w:pPr>
                    <w:jc w:val="center"/>
                  </w:pPr>
                </w:p>
              </w:tc>
              <w:tc>
                <w:tcPr>
                  <w:tcW w:w="598" w:type="pct"/>
                  <w:tcBorders>
                    <w:tl2br w:val="nil"/>
                    <w:tr2bl w:val="nil"/>
                  </w:tcBorders>
                  <w:noWrap w:val="0"/>
                  <w:vAlign w:val="center"/>
                </w:tcPr>
                <w:p w14:paraId="183CF0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noWrap w:val="0"/>
                  <w:vAlign w:val="center"/>
                </w:tcPr>
                <w:p w14:paraId="7416DC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53.0 </w:t>
                  </w:r>
                </w:p>
              </w:tc>
              <w:tc>
                <w:tcPr>
                  <w:tcW w:w="274" w:type="pct"/>
                  <w:tcBorders>
                    <w:tl2br w:val="nil"/>
                    <w:tr2bl w:val="nil"/>
                  </w:tcBorders>
                  <w:noWrap w:val="0"/>
                  <w:vAlign w:val="center"/>
                </w:tcPr>
                <w:p w14:paraId="6E721C8F">
                  <w:pPr>
                    <w:jc w:val="center"/>
                  </w:pPr>
                  <w:r>
                    <w:t>1m</w:t>
                  </w:r>
                </w:p>
              </w:tc>
            </w:tr>
            <w:tr w14:paraId="3238EFB8">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restart"/>
                  <w:tcBorders>
                    <w:tl2br w:val="nil"/>
                    <w:tr2bl w:val="nil"/>
                  </w:tcBorders>
                  <w:shd w:val="clear" w:color="auto" w:fill="auto"/>
                  <w:noWrap w:val="0"/>
                  <w:vAlign w:val="center"/>
                </w:tcPr>
                <w:p w14:paraId="57EA1F8D">
                  <w:pPr>
                    <w:jc w:val="center"/>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9</w:t>
                  </w:r>
                </w:p>
              </w:tc>
              <w:tc>
                <w:tcPr>
                  <w:tcW w:w="260" w:type="pct"/>
                  <w:vMerge w:val="restart"/>
                  <w:tcBorders>
                    <w:tl2br w:val="nil"/>
                    <w:tr2bl w:val="nil"/>
                  </w:tcBorders>
                  <w:shd w:val="clear" w:color="auto" w:fill="auto"/>
                  <w:noWrap w:val="0"/>
                  <w:vAlign w:val="center"/>
                </w:tcPr>
                <w:p w14:paraId="6B282A01">
                  <w:pPr>
                    <w:jc w:val="center"/>
                    <w:rPr>
                      <w:rFonts w:ascii="Times New Roman" w:hAnsi="Times New Roman" w:eastAsia="宋体" w:cs="Times New Roman"/>
                      <w:kern w:val="2"/>
                      <w:sz w:val="21"/>
                      <w:szCs w:val="21"/>
                      <w:lang w:val="en-US" w:eastAsia="zh-CN" w:bidi="ar-SA"/>
                    </w:rPr>
                  </w:pPr>
                  <w:r>
                    <w:rPr>
                      <w:rFonts w:hint="eastAsia"/>
                      <w:lang w:val="en-US" w:eastAsia="zh-CN"/>
                    </w:rPr>
                    <w:t>10栋3F</w:t>
                  </w:r>
                </w:p>
              </w:tc>
              <w:tc>
                <w:tcPr>
                  <w:tcW w:w="279" w:type="pct"/>
                  <w:vMerge w:val="restart"/>
                  <w:tcBorders>
                    <w:tl2br w:val="nil"/>
                    <w:tr2bl w:val="nil"/>
                  </w:tcBorders>
                  <w:shd w:val="clear" w:color="auto" w:fill="auto"/>
                  <w:noWrap w:val="0"/>
                  <w:vAlign w:val="center"/>
                </w:tcPr>
                <w:p w14:paraId="6EA78829">
                  <w:pPr>
                    <w:jc w:val="center"/>
                    <w:rPr>
                      <w:rFonts w:ascii="Times New Roman" w:hAnsi="Times New Roman" w:eastAsia="宋体" w:cs="Times New Roman"/>
                      <w:kern w:val="2"/>
                      <w:sz w:val="21"/>
                      <w:szCs w:val="21"/>
                      <w:lang w:val="en-US" w:eastAsia="zh-CN" w:bidi="ar-SA"/>
                    </w:rPr>
                  </w:pPr>
                  <w:r>
                    <w:rPr>
                      <w:rFonts w:hint="eastAsia"/>
                      <w:lang w:val="en-US" w:eastAsia="zh-CN"/>
                    </w:rPr>
                    <w:t>插针机</w:t>
                  </w:r>
                </w:p>
              </w:tc>
              <w:tc>
                <w:tcPr>
                  <w:tcW w:w="597" w:type="pct"/>
                  <w:vMerge w:val="restart"/>
                  <w:tcBorders>
                    <w:tl2br w:val="nil"/>
                    <w:tr2bl w:val="nil"/>
                  </w:tcBorders>
                  <w:shd w:val="clear" w:color="auto" w:fill="auto"/>
                  <w:noWrap w:val="0"/>
                  <w:vAlign w:val="center"/>
                </w:tcPr>
                <w:p w14:paraId="6B534A4B">
                  <w:pPr>
                    <w:jc w:val="center"/>
                    <w:rPr>
                      <w:rFonts w:ascii="Times New Roman" w:hAnsi="Times New Roman" w:eastAsia="宋体" w:cs="Times New Roman"/>
                      <w:kern w:val="2"/>
                      <w:sz w:val="21"/>
                      <w:szCs w:val="21"/>
                      <w:lang w:val="en-US" w:eastAsia="zh-CN" w:bidi="ar-SA"/>
                    </w:rPr>
                  </w:pPr>
                  <w:r>
                    <w:rPr>
                      <w:rFonts w:hint="eastAsia"/>
                      <w:lang w:val="en-US" w:eastAsia="zh-CN"/>
                    </w:rPr>
                    <w:t>84</w:t>
                  </w:r>
                  <w:r>
                    <w:t>/1</w:t>
                  </w:r>
                </w:p>
              </w:tc>
              <w:tc>
                <w:tcPr>
                  <w:tcW w:w="264" w:type="pct"/>
                  <w:vMerge w:val="continue"/>
                  <w:tcBorders>
                    <w:tl2br w:val="nil"/>
                    <w:tr2bl w:val="nil"/>
                  </w:tcBorders>
                  <w:shd w:val="clear" w:color="auto" w:fill="auto"/>
                  <w:noWrap w:val="0"/>
                  <w:textDirection w:val="tbRlV"/>
                  <w:vAlign w:val="center"/>
                </w:tcPr>
                <w:p w14:paraId="31016710">
                  <w:pPr>
                    <w:jc w:val="center"/>
                    <w:rPr>
                      <w:rFonts w:ascii="Times New Roman" w:hAnsi="Times New Roman" w:eastAsia="宋体" w:cs="Times New Roman"/>
                      <w:kern w:val="2"/>
                      <w:sz w:val="21"/>
                      <w:szCs w:val="21"/>
                      <w:lang w:val="en-US" w:eastAsia="zh-CN" w:bidi="ar-SA"/>
                    </w:rPr>
                  </w:pPr>
                </w:p>
              </w:tc>
              <w:tc>
                <w:tcPr>
                  <w:tcW w:w="178" w:type="pct"/>
                  <w:vMerge w:val="restart"/>
                  <w:tcBorders>
                    <w:tl2br w:val="nil"/>
                    <w:tr2bl w:val="nil"/>
                  </w:tcBorders>
                  <w:shd w:val="clear" w:color="auto" w:fill="auto"/>
                  <w:noWrap w:val="0"/>
                  <w:vAlign w:val="center"/>
                </w:tcPr>
                <w:p w14:paraId="13AD017C">
                  <w:pPr>
                    <w:jc w:val="center"/>
                    <w:rPr>
                      <w:rFonts w:hint="default" w:ascii="Times New Roman" w:hAnsi="Times New Roman" w:eastAsia="宋体" w:cs="Times New Roman"/>
                      <w:kern w:val="2"/>
                      <w:sz w:val="21"/>
                      <w:szCs w:val="21"/>
                      <w:lang w:val="en-US" w:eastAsia="zh-CN" w:bidi="ar-SA"/>
                    </w:rPr>
                  </w:pPr>
                  <w:r>
                    <w:rPr>
                      <w:rFonts w:hint="eastAsia"/>
                      <w:lang w:val="en-US" w:eastAsia="zh-CN"/>
                    </w:rPr>
                    <w:t>-18</w:t>
                  </w:r>
                </w:p>
              </w:tc>
              <w:tc>
                <w:tcPr>
                  <w:tcW w:w="242" w:type="pct"/>
                  <w:vMerge w:val="restart"/>
                  <w:tcBorders>
                    <w:tl2br w:val="nil"/>
                    <w:tr2bl w:val="nil"/>
                  </w:tcBorders>
                  <w:shd w:val="clear" w:color="auto" w:fill="auto"/>
                  <w:noWrap w:val="0"/>
                  <w:vAlign w:val="center"/>
                </w:tcPr>
                <w:p w14:paraId="0C60C597">
                  <w:pPr>
                    <w:jc w:val="center"/>
                    <w:rPr>
                      <w:rFonts w:hint="default" w:ascii="Times New Roman" w:hAnsi="Times New Roman" w:eastAsia="宋体" w:cs="Times New Roman"/>
                      <w:kern w:val="2"/>
                      <w:sz w:val="21"/>
                      <w:szCs w:val="21"/>
                      <w:lang w:val="en-US" w:eastAsia="zh-CN" w:bidi="ar-SA"/>
                    </w:rPr>
                  </w:pPr>
                  <w:r>
                    <w:rPr>
                      <w:rFonts w:hint="eastAsia"/>
                      <w:lang w:val="en-US" w:eastAsia="zh-CN"/>
                    </w:rPr>
                    <w:t>21</w:t>
                  </w:r>
                </w:p>
              </w:tc>
              <w:tc>
                <w:tcPr>
                  <w:tcW w:w="153" w:type="pct"/>
                  <w:vMerge w:val="restart"/>
                  <w:tcBorders>
                    <w:tl2br w:val="nil"/>
                    <w:tr2bl w:val="nil"/>
                  </w:tcBorders>
                  <w:shd w:val="clear" w:color="auto" w:fill="auto"/>
                  <w:noWrap w:val="0"/>
                  <w:vAlign w:val="center"/>
                </w:tcPr>
                <w:p w14:paraId="194B8835">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9</w:t>
                  </w:r>
                </w:p>
              </w:tc>
              <w:tc>
                <w:tcPr>
                  <w:tcW w:w="168" w:type="pct"/>
                  <w:tcBorders>
                    <w:tl2br w:val="nil"/>
                    <w:tr2bl w:val="nil"/>
                  </w:tcBorders>
                  <w:shd w:val="clear" w:color="auto" w:fill="auto"/>
                  <w:noWrap w:val="0"/>
                  <w:vAlign w:val="center"/>
                </w:tcPr>
                <w:p w14:paraId="3EFD6ED4">
                  <w:pPr>
                    <w:jc w:val="center"/>
                    <w:rPr>
                      <w:rFonts w:ascii="Times New Roman" w:hAnsi="Times New Roman" w:eastAsia="宋体" w:cs="Times New Roman"/>
                      <w:kern w:val="2"/>
                      <w:sz w:val="21"/>
                      <w:szCs w:val="21"/>
                      <w:lang w:val="en-US" w:eastAsia="zh-CN" w:bidi="ar-SA"/>
                    </w:rPr>
                  </w:pPr>
                  <w:r>
                    <w:t>东</w:t>
                  </w:r>
                </w:p>
              </w:tc>
              <w:tc>
                <w:tcPr>
                  <w:tcW w:w="232" w:type="pct"/>
                  <w:tcBorders>
                    <w:tl2br w:val="nil"/>
                    <w:tr2bl w:val="nil"/>
                  </w:tcBorders>
                  <w:shd w:val="clear" w:color="auto" w:fill="auto"/>
                  <w:noWrap w:val="0"/>
                  <w:vAlign w:val="center"/>
                </w:tcPr>
                <w:p w14:paraId="21B666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597" w:type="pct"/>
                  <w:tcBorders>
                    <w:tl2br w:val="nil"/>
                    <w:tr2bl w:val="nil"/>
                  </w:tcBorders>
                  <w:shd w:val="clear" w:color="auto" w:fill="auto"/>
                  <w:noWrap w:val="0"/>
                  <w:vAlign w:val="center"/>
                </w:tcPr>
                <w:p w14:paraId="07AFFA8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50.0 </w:t>
                  </w:r>
                </w:p>
              </w:tc>
              <w:tc>
                <w:tcPr>
                  <w:tcW w:w="366" w:type="pct"/>
                  <w:vMerge w:val="continue"/>
                  <w:tcBorders>
                    <w:tl2br w:val="nil"/>
                    <w:tr2bl w:val="nil"/>
                  </w:tcBorders>
                  <w:shd w:val="clear" w:color="auto" w:fill="auto"/>
                  <w:noWrap w:val="0"/>
                  <w:vAlign w:val="center"/>
                </w:tcPr>
                <w:p w14:paraId="2F874C78">
                  <w:pPr>
                    <w:jc w:val="center"/>
                    <w:rPr>
                      <w:rFonts w:ascii="Times New Roman" w:hAnsi="Times New Roman" w:eastAsia="宋体" w:cs="Times New Roman"/>
                      <w:kern w:val="2"/>
                      <w:sz w:val="21"/>
                      <w:szCs w:val="21"/>
                      <w:lang w:val="en-US" w:eastAsia="zh-CN" w:bidi="ar-SA"/>
                    </w:rPr>
                  </w:pPr>
                </w:p>
              </w:tc>
              <w:tc>
                <w:tcPr>
                  <w:tcW w:w="598" w:type="pct"/>
                  <w:tcBorders>
                    <w:tl2br w:val="nil"/>
                    <w:tr2bl w:val="nil"/>
                  </w:tcBorders>
                  <w:shd w:val="clear" w:color="auto" w:fill="auto"/>
                  <w:noWrap w:val="0"/>
                  <w:vAlign w:val="center"/>
                </w:tcPr>
                <w:p w14:paraId="5D4729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shd w:val="clear" w:color="auto" w:fill="auto"/>
                  <w:noWrap w:val="0"/>
                  <w:vAlign w:val="center"/>
                </w:tcPr>
                <w:p w14:paraId="61BA98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30.0 </w:t>
                  </w:r>
                </w:p>
              </w:tc>
              <w:tc>
                <w:tcPr>
                  <w:tcW w:w="274" w:type="pct"/>
                  <w:tcBorders>
                    <w:tl2br w:val="nil"/>
                    <w:tr2bl w:val="nil"/>
                  </w:tcBorders>
                  <w:shd w:val="clear" w:color="auto" w:fill="auto"/>
                  <w:noWrap w:val="0"/>
                  <w:vAlign w:val="center"/>
                </w:tcPr>
                <w:p w14:paraId="18E3B4B8">
                  <w:pPr>
                    <w:jc w:val="center"/>
                    <w:rPr>
                      <w:rFonts w:ascii="Times New Roman" w:hAnsi="Times New Roman" w:eastAsia="宋体" w:cs="Times New Roman"/>
                      <w:kern w:val="2"/>
                      <w:sz w:val="21"/>
                      <w:szCs w:val="21"/>
                      <w:lang w:val="en-US" w:eastAsia="zh-CN" w:bidi="ar-SA"/>
                    </w:rPr>
                  </w:pPr>
                  <w:r>
                    <w:t>1m</w:t>
                  </w:r>
                </w:p>
              </w:tc>
            </w:tr>
            <w:tr w14:paraId="270A037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Borders>
                    <w:tl2br w:val="nil"/>
                    <w:tr2bl w:val="nil"/>
                  </w:tcBorders>
                  <w:noWrap w:val="0"/>
                  <w:vAlign w:val="center"/>
                </w:tcPr>
                <w:p w14:paraId="0D1B87CF">
                  <w:pPr>
                    <w:jc w:val="center"/>
                  </w:pPr>
                </w:p>
              </w:tc>
              <w:tc>
                <w:tcPr>
                  <w:tcW w:w="260" w:type="pct"/>
                  <w:vMerge w:val="continue"/>
                  <w:tcBorders>
                    <w:tl2br w:val="nil"/>
                    <w:tr2bl w:val="nil"/>
                  </w:tcBorders>
                  <w:noWrap w:val="0"/>
                  <w:vAlign w:val="center"/>
                </w:tcPr>
                <w:p w14:paraId="3668EDF5">
                  <w:pPr>
                    <w:jc w:val="center"/>
                  </w:pPr>
                </w:p>
              </w:tc>
              <w:tc>
                <w:tcPr>
                  <w:tcW w:w="279" w:type="pct"/>
                  <w:vMerge w:val="continue"/>
                  <w:tcBorders>
                    <w:tl2br w:val="nil"/>
                    <w:tr2bl w:val="nil"/>
                  </w:tcBorders>
                  <w:noWrap w:val="0"/>
                  <w:vAlign w:val="center"/>
                </w:tcPr>
                <w:p w14:paraId="49EB4E83">
                  <w:pPr>
                    <w:jc w:val="center"/>
                  </w:pPr>
                </w:p>
              </w:tc>
              <w:tc>
                <w:tcPr>
                  <w:tcW w:w="597" w:type="pct"/>
                  <w:vMerge w:val="continue"/>
                  <w:tcBorders>
                    <w:tl2br w:val="nil"/>
                    <w:tr2bl w:val="nil"/>
                  </w:tcBorders>
                  <w:noWrap w:val="0"/>
                  <w:vAlign w:val="center"/>
                </w:tcPr>
                <w:p w14:paraId="4476C818">
                  <w:pPr>
                    <w:jc w:val="center"/>
                  </w:pPr>
                </w:p>
              </w:tc>
              <w:tc>
                <w:tcPr>
                  <w:tcW w:w="264" w:type="pct"/>
                  <w:vMerge w:val="continue"/>
                  <w:tcBorders>
                    <w:tl2br w:val="nil"/>
                    <w:tr2bl w:val="nil"/>
                  </w:tcBorders>
                  <w:noWrap w:val="0"/>
                  <w:textDirection w:val="tbRlV"/>
                  <w:vAlign w:val="center"/>
                </w:tcPr>
                <w:p w14:paraId="189DB1A8">
                  <w:pPr>
                    <w:jc w:val="center"/>
                  </w:pPr>
                </w:p>
              </w:tc>
              <w:tc>
                <w:tcPr>
                  <w:tcW w:w="178" w:type="pct"/>
                  <w:vMerge w:val="continue"/>
                  <w:tcBorders>
                    <w:tl2br w:val="nil"/>
                    <w:tr2bl w:val="nil"/>
                  </w:tcBorders>
                  <w:noWrap w:val="0"/>
                  <w:vAlign w:val="center"/>
                </w:tcPr>
                <w:p w14:paraId="6FC4C8EE">
                  <w:pPr>
                    <w:jc w:val="center"/>
                  </w:pPr>
                </w:p>
              </w:tc>
              <w:tc>
                <w:tcPr>
                  <w:tcW w:w="242" w:type="pct"/>
                  <w:vMerge w:val="continue"/>
                  <w:tcBorders>
                    <w:tl2br w:val="nil"/>
                    <w:tr2bl w:val="nil"/>
                  </w:tcBorders>
                  <w:noWrap w:val="0"/>
                  <w:vAlign w:val="center"/>
                </w:tcPr>
                <w:p w14:paraId="1BE83316">
                  <w:pPr>
                    <w:jc w:val="center"/>
                  </w:pPr>
                </w:p>
              </w:tc>
              <w:tc>
                <w:tcPr>
                  <w:tcW w:w="153" w:type="pct"/>
                  <w:vMerge w:val="continue"/>
                  <w:tcBorders>
                    <w:tl2br w:val="nil"/>
                    <w:tr2bl w:val="nil"/>
                  </w:tcBorders>
                  <w:noWrap w:val="0"/>
                  <w:vAlign w:val="center"/>
                </w:tcPr>
                <w:p w14:paraId="56C6AC7F">
                  <w:pPr>
                    <w:jc w:val="center"/>
                  </w:pPr>
                </w:p>
              </w:tc>
              <w:tc>
                <w:tcPr>
                  <w:tcW w:w="168" w:type="pct"/>
                  <w:tcBorders>
                    <w:tl2br w:val="nil"/>
                    <w:tr2bl w:val="nil"/>
                  </w:tcBorders>
                  <w:shd w:val="clear" w:color="auto" w:fill="auto"/>
                  <w:noWrap w:val="0"/>
                  <w:vAlign w:val="center"/>
                </w:tcPr>
                <w:p w14:paraId="45018222">
                  <w:pPr>
                    <w:jc w:val="center"/>
                    <w:rPr>
                      <w:rFonts w:ascii="Times New Roman" w:hAnsi="Times New Roman" w:eastAsia="宋体" w:cs="Times New Roman"/>
                      <w:kern w:val="2"/>
                      <w:sz w:val="21"/>
                      <w:szCs w:val="21"/>
                      <w:lang w:val="en-US" w:eastAsia="zh-CN" w:bidi="ar-SA"/>
                    </w:rPr>
                  </w:pPr>
                  <w:r>
                    <w:t>南</w:t>
                  </w:r>
                </w:p>
              </w:tc>
              <w:tc>
                <w:tcPr>
                  <w:tcW w:w="232" w:type="pct"/>
                  <w:tcBorders>
                    <w:tl2br w:val="nil"/>
                    <w:tr2bl w:val="nil"/>
                  </w:tcBorders>
                  <w:shd w:val="clear" w:color="auto" w:fill="auto"/>
                  <w:noWrap w:val="0"/>
                  <w:vAlign w:val="center"/>
                </w:tcPr>
                <w:p w14:paraId="591074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14</w:t>
                  </w:r>
                </w:p>
              </w:tc>
              <w:tc>
                <w:tcPr>
                  <w:tcW w:w="597" w:type="pct"/>
                  <w:tcBorders>
                    <w:tl2br w:val="nil"/>
                    <w:tr2bl w:val="nil"/>
                  </w:tcBorders>
                  <w:shd w:val="clear" w:color="auto" w:fill="auto"/>
                  <w:noWrap w:val="0"/>
                  <w:vAlign w:val="center"/>
                </w:tcPr>
                <w:p w14:paraId="7DB5C77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61.1 </w:t>
                  </w:r>
                </w:p>
              </w:tc>
              <w:tc>
                <w:tcPr>
                  <w:tcW w:w="366" w:type="pct"/>
                  <w:vMerge w:val="continue"/>
                  <w:tcBorders>
                    <w:tl2br w:val="nil"/>
                    <w:tr2bl w:val="nil"/>
                  </w:tcBorders>
                  <w:noWrap w:val="0"/>
                  <w:vAlign w:val="center"/>
                </w:tcPr>
                <w:p w14:paraId="01E058CC">
                  <w:pPr>
                    <w:jc w:val="center"/>
                  </w:pPr>
                </w:p>
              </w:tc>
              <w:tc>
                <w:tcPr>
                  <w:tcW w:w="598" w:type="pct"/>
                  <w:tcBorders>
                    <w:tl2br w:val="nil"/>
                    <w:tr2bl w:val="nil"/>
                  </w:tcBorders>
                  <w:shd w:val="clear" w:color="auto" w:fill="auto"/>
                  <w:noWrap w:val="0"/>
                  <w:vAlign w:val="center"/>
                </w:tcPr>
                <w:p w14:paraId="38175D2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shd w:val="clear" w:color="auto" w:fill="auto"/>
                  <w:noWrap w:val="0"/>
                  <w:vAlign w:val="center"/>
                </w:tcPr>
                <w:p w14:paraId="531EFF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41.1 </w:t>
                  </w:r>
                </w:p>
              </w:tc>
              <w:tc>
                <w:tcPr>
                  <w:tcW w:w="274" w:type="pct"/>
                  <w:tcBorders>
                    <w:tl2br w:val="nil"/>
                    <w:tr2bl w:val="nil"/>
                  </w:tcBorders>
                  <w:shd w:val="clear" w:color="auto" w:fill="auto"/>
                  <w:noWrap w:val="0"/>
                  <w:vAlign w:val="center"/>
                </w:tcPr>
                <w:p w14:paraId="56E1B9D2">
                  <w:pPr>
                    <w:jc w:val="center"/>
                    <w:rPr>
                      <w:rFonts w:ascii="Times New Roman" w:hAnsi="Times New Roman" w:eastAsia="宋体" w:cs="Times New Roman"/>
                      <w:kern w:val="2"/>
                      <w:sz w:val="21"/>
                      <w:szCs w:val="21"/>
                      <w:lang w:val="en-US" w:eastAsia="zh-CN" w:bidi="ar-SA"/>
                    </w:rPr>
                  </w:pPr>
                  <w:r>
                    <w:t>1m</w:t>
                  </w:r>
                </w:p>
              </w:tc>
            </w:tr>
            <w:tr w14:paraId="779416D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Borders>
                    <w:tl2br w:val="nil"/>
                    <w:tr2bl w:val="nil"/>
                  </w:tcBorders>
                  <w:noWrap w:val="0"/>
                  <w:vAlign w:val="center"/>
                </w:tcPr>
                <w:p w14:paraId="5FE02A49">
                  <w:pPr>
                    <w:jc w:val="center"/>
                  </w:pPr>
                </w:p>
              </w:tc>
              <w:tc>
                <w:tcPr>
                  <w:tcW w:w="260" w:type="pct"/>
                  <w:vMerge w:val="continue"/>
                  <w:tcBorders>
                    <w:tl2br w:val="nil"/>
                    <w:tr2bl w:val="nil"/>
                  </w:tcBorders>
                  <w:noWrap w:val="0"/>
                  <w:vAlign w:val="center"/>
                </w:tcPr>
                <w:p w14:paraId="0ACE24E6">
                  <w:pPr>
                    <w:jc w:val="center"/>
                  </w:pPr>
                </w:p>
              </w:tc>
              <w:tc>
                <w:tcPr>
                  <w:tcW w:w="279" w:type="pct"/>
                  <w:vMerge w:val="continue"/>
                  <w:tcBorders>
                    <w:tl2br w:val="nil"/>
                    <w:tr2bl w:val="nil"/>
                  </w:tcBorders>
                  <w:noWrap w:val="0"/>
                  <w:vAlign w:val="center"/>
                </w:tcPr>
                <w:p w14:paraId="6096CC18">
                  <w:pPr>
                    <w:jc w:val="center"/>
                  </w:pPr>
                </w:p>
              </w:tc>
              <w:tc>
                <w:tcPr>
                  <w:tcW w:w="597" w:type="pct"/>
                  <w:vMerge w:val="continue"/>
                  <w:tcBorders>
                    <w:tl2br w:val="nil"/>
                    <w:tr2bl w:val="nil"/>
                  </w:tcBorders>
                  <w:noWrap w:val="0"/>
                  <w:vAlign w:val="center"/>
                </w:tcPr>
                <w:p w14:paraId="55EA8DC8">
                  <w:pPr>
                    <w:jc w:val="center"/>
                  </w:pPr>
                </w:p>
              </w:tc>
              <w:tc>
                <w:tcPr>
                  <w:tcW w:w="264" w:type="pct"/>
                  <w:vMerge w:val="continue"/>
                  <w:tcBorders>
                    <w:tl2br w:val="nil"/>
                    <w:tr2bl w:val="nil"/>
                  </w:tcBorders>
                  <w:noWrap w:val="0"/>
                  <w:textDirection w:val="tbRlV"/>
                  <w:vAlign w:val="center"/>
                </w:tcPr>
                <w:p w14:paraId="4468BEA9">
                  <w:pPr>
                    <w:jc w:val="center"/>
                  </w:pPr>
                </w:p>
              </w:tc>
              <w:tc>
                <w:tcPr>
                  <w:tcW w:w="178" w:type="pct"/>
                  <w:vMerge w:val="continue"/>
                  <w:tcBorders>
                    <w:tl2br w:val="nil"/>
                    <w:tr2bl w:val="nil"/>
                  </w:tcBorders>
                  <w:noWrap w:val="0"/>
                  <w:vAlign w:val="center"/>
                </w:tcPr>
                <w:p w14:paraId="737CD578">
                  <w:pPr>
                    <w:jc w:val="center"/>
                  </w:pPr>
                </w:p>
              </w:tc>
              <w:tc>
                <w:tcPr>
                  <w:tcW w:w="242" w:type="pct"/>
                  <w:vMerge w:val="continue"/>
                  <w:tcBorders>
                    <w:tl2br w:val="nil"/>
                    <w:tr2bl w:val="nil"/>
                  </w:tcBorders>
                  <w:noWrap w:val="0"/>
                  <w:vAlign w:val="center"/>
                </w:tcPr>
                <w:p w14:paraId="52AA3AFC">
                  <w:pPr>
                    <w:jc w:val="center"/>
                  </w:pPr>
                </w:p>
              </w:tc>
              <w:tc>
                <w:tcPr>
                  <w:tcW w:w="153" w:type="pct"/>
                  <w:vMerge w:val="continue"/>
                  <w:tcBorders>
                    <w:tl2br w:val="nil"/>
                    <w:tr2bl w:val="nil"/>
                  </w:tcBorders>
                  <w:noWrap w:val="0"/>
                  <w:vAlign w:val="center"/>
                </w:tcPr>
                <w:p w14:paraId="650CEC5D">
                  <w:pPr>
                    <w:jc w:val="center"/>
                  </w:pPr>
                </w:p>
              </w:tc>
              <w:tc>
                <w:tcPr>
                  <w:tcW w:w="168" w:type="pct"/>
                  <w:tcBorders>
                    <w:tl2br w:val="nil"/>
                    <w:tr2bl w:val="nil"/>
                  </w:tcBorders>
                  <w:shd w:val="clear" w:color="auto" w:fill="auto"/>
                  <w:noWrap w:val="0"/>
                  <w:vAlign w:val="center"/>
                </w:tcPr>
                <w:p w14:paraId="283297DD">
                  <w:pPr>
                    <w:jc w:val="center"/>
                    <w:rPr>
                      <w:rFonts w:ascii="Times New Roman" w:hAnsi="Times New Roman" w:eastAsia="宋体" w:cs="Times New Roman"/>
                      <w:kern w:val="2"/>
                      <w:sz w:val="21"/>
                      <w:szCs w:val="21"/>
                      <w:lang w:val="en-US" w:eastAsia="zh-CN" w:bidi="ar-SA"/>
                    </w:rPr>
                  </w:pPr>
                  <w:r>
                    <w:t>西</w:t>
                  </w:r>
                </w:p>
              </w:tc>
              <w:tc>
                <w:tcPr>
                  <w:tcW w:w="232" w:type="pct"/>
                  <w:tcBorders>
                    <w:tl2br w:val="nil"/>
                    <w:tr2bl w:val="nil"/>
                  </w:tcBorders>
                  <w:shd w:val="clear" w:color="auto" w:fill="auto"/>
                  <w:noWrap w:val="0"/>
                  <w:vAlign w:val="center"/>
                </w:tcPr>
                <w:p w14:paraId="3B61709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w:t>
                  </w:r>
                </w:p>
              </w:tc>
              <w:tc>
                <w:tcPr>
                  <w:tcW w:w="597" w:type="pct"/>
                  <w:tcBorders>
                    <w:tl2br w:val="nil"/>
                    <w:tr2bl w:val="nil"/>
                  </w:tcBorders>
                  <w:shd w:val="clear" w:color="auto" w:fill="auto"/>
                  <w:noWrap w:val="0"/>
                  <w:vAlign w:val="center"/>
                </w:tcPr>
                <w:p w14:paraId="0D72ECBB">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54.5 </w:t>
                  </w:r>
                </w:p>
              </w:tc>
              <w:tc>
                <w:tcPr>
                  <w:tcW w:w="366" w:type="pct"/>
                  <w:vMerge w:val="continue"/>
                  <w:tcBorders>
                    <w:tl2br w:val="nil"/>
                    <w:tr2bl w:val="nil"/>
                  </w:tcBorders>
                  <w:noWrap w:val="0"/>
                  <w:vAlign w:val="center"/>
                </w:tcPr>
                <w:p w14:paraId="67D19D4A">
                  <w:pPr>
                    <w:jc w:val="center"/>
                  </w:pPr>
                </w:p>
              </w:tc>
              <w:tc>
                <w:tcPr>
                  <w:tcW w:w="598" w:type="pct"/>
                  <w:tcBorders>
                    <w:tl2br w:val="nil"/>
                    <w:tr2bl w:val="nil"/>
                  </w:tcBorders>
                  <w:shd w:val="clear" w:color="auto" w:fill="auto"/>
                  <w:noWrap w:val="0"/>
                  <w:vAlign w:val="center"/>
                </w:tcPr>
                <w:p w14:paraId="6637CB0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tcBorders>
                    <w:tl2br w:val="nil"/>
                    <w:tr2bl w:val="nil"/>
                  </w:tcBorders>
                  <w:shd w:val="clear" w:color="auto" w:fill="auto"/>
                  <w:noWrap w:val="0"/>
                  <w:vAlign w:val="center"/>
                </w:tcPr>
                <w:p w14:paraId="1050EA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34.5 </w:t>
                  </w:r>
                </w:p>
              </w:tc>
              <w:tc>
                <w:tcPr>
                  <w:tcW w:w="274" w:type="pct"/>
                  <w:tcBorders>
                    <w:tl2br w:val="nil"/>
                    <w:tr2bl w:val="nil"/>
                  </w:tcBorders>
                  <w:shd w:val="clear" w:color="auto" w:fill="auto"/>
                  <w:noWrap w:val="0"/>
                  <w:vAlign w:val="center"/>
                </w:tcPr>
                <w:p w14:paraId="0B26C000">
                  <w:pPr>
                    <w:jc w:val="center"/>
                    <w:rPr>
                      <w:rFonts w:ascii="Times New Roman" w:hAnsi="Times New Roman" w:eastAsia="宋体" w:cs="Times New Roman"/>
                      <w:kern w:val="2"/>
                      <w:sz w:val="21"/>
                      <w:szCs w:val="21"/>
                      <w:lang w:val="en-US" w:eastAsia="zh-CN" w:bidi="ar-SA"/>
                    </w:rPr>
                  </w:pPr>
                  <w:r>
                    <w:t>1m</w:t>
                  </w:r>
                </w:p>
              </w:tc>
            </w:tr>
            <w:tr w14:paraId="3739F6CB">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4067D6BA">
                  <w:pPr>
                    <w:jc w:val="center"/>
                  </w:pPr>
                </w:p>
              </w:tc>
              <w:tc>
                <w:tcPr>
                  <w:tcW w:w="260" w:type="pct"/>
                  <w:vMerge w:val="continue"/>
                </w:tcPr>
                <w:p w14:paraId="36174CB8">
                  <w:pPr>
                    <w:jc w:val="center"/>
                  </w:pPr>
                </w:p>
              </w:tc>
              <w:tc>
                <w:tcPr>
                  <w:tcW w:w="279" w:type="pct"/>
                  <w:vMerge w:val="continue"/>
                </w:tcPr>
                <w:p w14:paraId="2F2F3F22">
                  <w:pPr>
                    <w:jc w:val="center"/>
                  </w:pPr>
                </w:p>
              </w:tc>
              <w:tc>
                <w:tcPr>
                  <w:tcW w:w="597" w:type="pct"/>
                  <w:vMerge w:val="continue"/>
                </w:tcPr>
                <w:p w14:paraId="3F4F12E1">
                  <w:pPr>
                    <w:jc w:val="center"/>
                  </w:pPr>
                </w:p>
              </w:tc>
              <w:tc>
                <w:tcPr>
                  <w:tcW w:w="264" w:type="pct"/>
                  <w:vMerge w:val="continue"/>
                </w:tcPr>
                <w:p w14:paraId="71D39307">
                  <w:pPr>
                    <w:jc w:val="center"/>
                  </w:pPr>
                </w:p>
              </w:tc>
              <w:tc>
                <w:tcPr>
                  <w:tcW w:w="178" w:type="pct"/>
                  <w:vMerge w:val="continue"/>
                </w:tcPr>
                <w:p w14:paraId="657486B1">
                  <w:pPr>
                    <w:jc w:val="center"/>
                  </w:pPr>
                </w:p>
              </w:tc>
              <w:tc>
                <w:tcPr>
                  <w:tcW w:w="242" w:type="pct"/>
                  <w:vMerge w:val="continue"/>
                </w:tcPr>
                <w:p w14:paraId="31CAFA04">
                  <w:pPr>
                    <w:jc w:val="center"/>
                  </w:pPr>
                </w:p>
              </w:tc>
              <w:tc>
                <w:tcPr>
                  <w:tcW w:w="153" w:type="pct"/>
                  <w:vMerge w:val="continue"/>
                </w:tcPr>
                <w:p w14:paraId="3E1CB112">
                  <w:pPr>
                    <w:jc w:val="center"/>
                  </w:pPr>
                </w:p>
              </w:tc>
              <w:tc>
                <w:tcPr>
                  <w:tcW w:w="168" w:type="pct"/>
                  <w:shd w:val="clear" w:color="auto" w:fill="auto"/>
                  <w:vAlign w:val="center"/>
                </w:tcPr>
                <w:p w14:paraId="0FDF5349">
                  <w:pPr>
                    <w:jc w:val="center"/>
                    <w:rPr>
                      <w:rFonts w:ascii="Times New Roman" w:hAnsi="Times New Roman" w:eastAsia="宋体" w:cs="Times New Roman"/>
                      <w:kern w:val="2"/>
                      <w:sz w:val="21"/>
                      <w:szCs w:val="21"/>
                      <w:lang w:val="en-US" w:eastAsia="zh-CN" w:bidi="ar-SA"/>
                    </w:rPr>
                  </w:pPr>
                  <w:r>
                    <w:t>北</w:t>
                  </w:r>
                </w:p>
              </w:tc>
              <w:tc>
                <w:tcPr>
                  <w:tcW w:w="232" w:type="pct"/>
                  <w:shd w:val="clear" w:color="auto" w:fill="auto"/>
                  <w:vAlign w:val="center"/>
                </w:tcPr>
                <w:p w14:paraId="52C2A1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w:t>
                  </w:r>
                </w:p>
              </w:tc>
              <w:tc>
                <w:tcPr>
                  <w:tcW w:w="597" w:type="pct"/>
                  <w:shd w:val="clear" w:color="auto" w:fill="auto"/>
                  <w:vAlign w:val="center"/>
                </w:tcPr>
                <w:p w14:paraId="748FBE5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72.0 </w:t>
                  </w:r>
                </w:p>
              </w:tc>
              <w:tc>
                <w:tcPr>
                  <w:tcW w:w="366" w:type="pct"/>
                  <w:vMerge w:val="continue"/>
                </w:tcPr>
                <w:p w14:paraId="29B0BD2C">
                  <w:pPr>
                    <w:jc w:val="center"/>
                  </w:pPr>
                </w:p>
              </w:tc>
              <w:tc>
                <w:tcPr>
                  <w:tcW w:w="598" w:type="pct"/>
                  <w:shd w:val="clear" w:color="auto" w:fill="auto"/>
                  <w:vAlign w:val="center"/>
                </w:tcPr>
                <w:p w14:paraId="0FD224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37B2E8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52.0 </w:t>
                  </w:r>
                </w:p>
              </w:tc>
              <w:tc>
                <w:tcPr>
                  <w:tcW w:w="274" w:type="pct"/>
                  <w:shd w:val="clear" w:color="auto" w:fill="auto"/>
                  <w:vAlign w:val="center"/>
                </w:tcPr>
                <w:p w14:paraId="7BDCEAE5">
                  <w:pPr>
                    <w:jc w:val="center"/>
                    <w:rPr>
                      <w:rFonts w:ascii="Times New Roman" w:hAnsi="Times New Roman" w:eastAsia="宋体" w:cs="Times New Roman"/>
                      <w:kern w:val="2"/>
                      <w:sz w:val="21"/>
                      <w:szCs w:val="21"/>
                      <w:lang w:val="en-US" w:eastAsia="zh-CN" w:bidi="ar-SA"/>
                    </w:rPr>
                  </w:pPr>
                  <w:r>
                    <w:t>1m</w:t>
                  </w:r>
                </w:p>
              </w:tc>
            </w:tr>
            <w:tr w14:paraId="548BA3F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restart"/>
                  <w:shd w:val="clear" w:color="auto" w:fill="auto"/>
                  <w:vAlign w:val="center"/>
                </w:tcPr>
                <w:p w14:paraId="6ACBF06C">
                  <w:pPr>
                    <w:jc w:val="center"/>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10</w:t>
                  </w:r>
                </w:p>
              </w:tc>
              <w:tc>
                <w:tcPr>
                  <w:tcW w:w="260" w:type="pct"/>
                  <w:vMerge w:val="restart"/>
                  <w:shd w:val="clear" w:color="auto" w:fill="auto"/>
                  <w:vAlign w:val="center"/>
                </w:tcPr>
                <w:p w14:paraId="11BA8F98">
                  <w:pPr>
                    <w:jc w:val="center"/>
                    <w:rPr>
                      <w:rFonts w:ascii="Times New Roman" w:hAnsi="Times New Roman" w:eastAsia="宋体" w:cs="Times New Roman"/>
                      <w:kern w:val="2"/>
                      <w:sz w:val="21"/>
                      <w:szCs w:val="21"/>
                      <w:lang w:val="en-US" w:eastAsia="zh-CN" w:bidi="ar-SA"/>
                    </w:rPr>
                  </w:pPr>
                  <w:r>
                    <w:rPr>
                      <w:rFonts w:hint="eastAsia"/>
                      <w:lang w:val="en-US" w:eastAsia="zh-CN"/>
                    </w:rPr>
                    <w:t>11栋2F</w:t>
                  </w:r>
                </w:p>
              </w:tc>
              <w:tc>
                <w:tcPr>
                  <w:tcW w:w="279" w:type="pct"/>
                  <w:vMerge w:val="restart"/>
                  <w:shd w:val="clear" w:color="auto" w:fill="auto"/>
                  <w:vAlign w:val="center"/>
                </w:tcPr>
                <w:p w14:paraId="110063CE">
                  <w:pPr>
                    <w:jc w:val="center"/>
                    <w:rPr>
                      <w:rFonts w:hint="default" w:ascii="Times New Roman" w:hAnsi="Times New Roman" w:eastAsia="宋体" w:cs="Times New Roman"/>
                      <w:kern w:val="2"/>
                      <w:sz w:val="21"/>
                      <w:szCs w:val="21"/>
                      <w:lang w:val="en-US" w:eastAsia="zh-CN" w:bidi="ar-SA"/>
                    </w:rPr>
                  </w:pPr>
                  <w:r>
                    <w:rPr>
                      <w:rFonts w:hint="eastAsia"/>
                      <w:lang w:val="en-US" w:eastAsia="zh-CN"/>
                    </w:rPr>
                    <w:t>全自动锡炉</w:t>
                  </w:r>
                </w:p>
              </w:tc>
              <w:tc>
                <w:tcPr>
                  <w:tcW w:w="597" w:type="pct"/>
                  <w:vMerge w:val="restart"/>
                  <w:shd w:val="clear" w:color="auto" w:fill="auto"/>
                  <w:vAlign w:val="center"/>
                </w:tcPr>
                <w:p w14:paraId="3F8D3BE7">
                  <w:pPr>
                    <w:jc w:val="center"/>
                    <w:rPr>
                      <w:rFonts w:ascii="Times New Roman" w:hAnsi="Times New Roman" w:eastAsia="宋体" w:cs="Times New Roman"/>
                      <w:kern w:val="2"/>
                      <w:sz w:val="21"/>
                      <w:szCs w:val="21"/>
                      <w:lang w:val="en-US" w:eastAsia="zh-CN" w:bidi="ar-SA"/>
                    </w:rPr>
                  </w:pPr>
                  <w:r>
                    <w:rPr>
                      <w:rFonts w:hint="eastAsia"/>
                      <w:lang w:val="en-US" w:eastAsia="zh-CN"/>
                    </w:rPr>
                    <w:t>86</w:t>
                  </w:r>
                  <w:r>
                    <w:t>/1</w:t>
                  </w:r>
                </w:p>
              </w:tc>
              <w:tc>
                <w:tcPr>
                  <w:tcW w:w="264" w:type="pct"/>
                  <w:vMerge w:val="continue"/>
                  <w:shd w:val="clear" w:color="auto" w:fill="auto"/>
                  <w:textDirection w:val="tbRlV"/>
                  <w:vAlign w:val="center"/>
                </w:tcPr>
                <w:p w14:paraId="075FCC9D">
                  <w:pPr>
                    <w:jc w:val="center"/>
                    <w:rPr>
                      <w:rFonts w:ascii="Times New Roman" w:hAnsi="Times New Roman" w:eastAsia="宋体" w:cs="Times New Roman"/>
                      <w:kern w:val="2"/>
                      <w:sz w:val="21"/>
                      <w:szCs w:val="21"/>
                      <w:lang w:val="en-US" w:eastAsia="zh-CN" w:bidi="ar-SA"/>
                    </w:rPr>
                  </w:pPr>
                </w:p>
              </w:tc>
              <w:tc>
                <w:tcPr>
                  <w:tcW w:w="178" w:type="pct"/>
                  <w:vMerge w:val="restart"/>
                  <w:shd w:val="clear" w:color="auto" w:fill="auto"/>
                  <w:vAlign w:val="center"/>
                </w:tcPr>
                <w:p w14:paraId="165D4121">
                  <w:pPr>
                    <w:jc w:val="center"/>
                    <w:rPr>
                      <w:rFonts w:hint="default" w:ascii="Times New Roman" w:hAnsi="Times New Roman" w:eastAsia="宋体" w:cs="Times New Roman"/>
                      <w:kern w:val="2"/>
                      <w:sz w:val="21"/>
                      <w:szCs w:val="21"/>
                      <w:lang w:val="en-US" w:eastAsia="zh-CN" w:bidi="ar-SA"/>
                    </w:rPr>
                  </w:pPr>
                  <w:r>
                    <w:rPr>
                      <w:rFonts w:hint="eastAsia"/>
                      <w:lang w:val="en-US" w:eastAsia="zh-CN"/>
                    </w:rPr>
                    <w:t>10</w:t>
                  </w:r>
                </w:p>
              </w:tc>
              <w:tc>
                <w:tcPr>
                  <w:tcW w:w="242" w:type="pct"/>
                  <w:vMerge w:val="restart"/>
                  <w:shd w:val="clear" w:color="auto" w:fill="auto"/>
                  <w:vAlign w:val="center"/>
                </w:tcPr>
                <w:p w14:paraId="5AEEB391">
                  <w:pPr>
                    <w:jc w:val="center"/>
                    <w:rPr>
                      <w:rFonts w:hint="default" w:ascii="Times New Roman" w:hAnsi="Times New Roman" w:eastAsia="宋体" w:cs="Times New Roman"/>
                      <w:kern w:val="2"/>
                      <w:sz w:val="21"/>
                      <w:szCs w:val="21"/>
                      <w:lang w:val="en-US" w:eastAsia="zh-CN" w:bidi="ar-SA"/>
                    </w:rPr>
                  </w:pPr>
                  <w:r>
                    <w:rPr>
                      <w:rFonts w:hint="eastAsia"/>
                      <w:lang w:val="en-US" w:eastAsia="zh-CN"/>
                    </w:rPr>
                    <w:t>-12</w:t>
                  </w:r>
                </w:p>
              </w:tc>
              <w:tc>
                <w:tcPr>
                  <w:tcW w:w="153" w:type="pct"/>
                  <w:vMerge w:val="restart"/>
                  <w:shd w:val="clear" w:color="auto" w:fill="auto"/>
                  <w:vAlign w:val="center"/>
                </w:tcPr>
                <w:p w14:paraId="493ECE33">
                  <w:pPr>
                    <w:jc w:val="center"/>
                    <w:rPr>
                      <w:rFonts w:hint="eastAsia" w:ascii="Times New Roman" w:hAnsi="Times New Roman" w:eastAsia="宋体" w:cs="Times New Roman"/>
                      <w:kern w:val="2"/>
                      <w:sz w:val="21"/>
                      <w:szCs w:val="21"/>
                      <w:lang w:val="en-US" w:eastAsia="zh-CN" w:bidi="ar-SA"/>
                    </w:rPr>
                  </w:pPr>
                  <w:r>
                    <w:rPr>
                      <w:rFonts w:hint="eastAsia"/>
                      <w:lang w:val="en-US" w:eastAsia="zh-CN"/>
                    </w:rPr>
                    <w:t>5</w:t>
                  </w:r>
                </w:p>
              </w:tc>
              <w:tc>
                <w:tcPr>
                  <w:tcW w:w="168" w:type="pct"/>
                  <w:shd w:val="clear" w:color="auto" w:fill="auto"/>
                  <w:vAlign w:val="center"/>
                </w:tcPr>
                <w:p w14:paraId="0D8D838E">
                  <w:pPr>
                    <w:jc w:val="center"/>
                    <w:rPr>
                      <w:rFonts w:ascii="Times New Roman" w:hAnsi="Times New Roman" w:eastAsia="宋体" w:cs="Times New Roman"/>
                      <w:kern w:val="2"/>
                      <w:sz w:val="21"/>
                      <w:szCs w:val="21"/>
                      <w:lang w:val="en-US" w:eastAsia="zh-CN" w:bidi="ar-SA"/>
                    </w:rPr>
                  </w:pPr>
                  <w:r>
                    <w:t>东</w:t>
                  </w:r>
                </w:p>
              </w:tc>
              <w:tc>
                <w:tcPr>
                  <w:tcW w:w="232" w:type="pct"/>
                  <w:shd w:val="clear" w:color="auto" w:fill="auto"/>
                  <w:vAlign w:val="center"/>
                </w:tcPr>
                <w:p w14:paraId="1E8E9F8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30</w:t>
                  </w:r>
                </w:p>
              </w:tc>
              <w:tc>
                <w:tcPr>
                  <w:tcW w:w="597" w:type="pct"/>
                  <w:shd w:val="clear" w:color="auto" w:fill="auto"/>
                  <w:vAlign w:val="center"/>
                </w:tcPr>
                <w:p w14:paraId="669AAFE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56.5 </w:t>
                  </w:r>
                </w:p>
              </w:tc>
              <w:tc>
                <w:tcPr>
                  <w:tcW w:w="366" w:type="pct"/>
                  <w:vMerge w:val="continue"/>
                  <w:shd w:val="clear" w:color="auto" w:fill="auto"/>
                  <w:vAlign w:val="center"/>
                </w:tcPr>
                <w:p w14:paraId="7F85EDAE">
                  <w:pPr>
                    <w:jc w:val="center"/>
                    <w:rPr>
                      <w:rFonts w:ascii="Times New Roman" w:hAnsi="Times New Roman" w:eastAsia="宋体" w:cs="Times New Roman"/>
                      <w:kern w:val="2"/>
                      <w:sz w:val="21"/>
                      <w:szCs w:val="21"/>
                      <w:lang w:val="en-US" w:eastAsia="zh-CN" w:bidi="ar-SA"/>
                    </w:rPr>
                  </w:pPr>
                </w:p>
              </w:tc>
              <w:tc>
                <w:tcPr>
                  <w:tcW w:w="598" w:type="pct"/>
                  <w:shd w:val="clear" w:color="auto" w:fill="auto"/>
                  <w:vAlign w:val="center"/>
                </w:tcPr>
                <w:p w14:paraId="43922B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7E4A2F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36.5 </w:t>
                  </w:r>
                </w:p>
              </w:tc>
              <w:tc>
                <w:tcPr>
                  <w:tcW w:w="274" w:type="pct"/>
                  <w:shd w:val="clear" w:color="auto" w:fill="auto"/>
                  <w:vAlign w:val="center"/>
                </w:tcPr>
                <w:p w14:paraId="309C4AE3">
                  <w:pPr>
                    <w:jc w:val="center"/>
                    <w:rPr>
                      <w:rFonts w:ascii="Times New Roman" w:hAnsi="Times New Roman" w:eastAsia="宋体" w:cs="Times New Roman"/>
                      <w:kern w:val="2"/>
                      <w:sz w:val="21"/>
                      <w:szCs w:val="21"/>
                      <w:lang w:val="en-US" w:eastAsia="zh-CN" w:bidi="ar-SA"/>
                    </w:rPr>
                  </w:pPr>
                  <w:r>
                    <w:t>1m</w:t>
                  </w:r>
                </w:p>
              </w:tc>
            </w:tr>
            <w:tr w14:paraId="51976C07">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4306DB49">
                  <w:pPr>
                    <w:jc w:val="center"/>
                  </w:pPr>
                </w:p>
              </w:tc>
              <w:tc>
                <w:tcPr>
                  <w:tcW w:w="260" w:type="pct"/>
                  <w:vMerge w:val="continue"/>
                </w:tcPr>
                <w:p w14:paraId="6040C33E">
                  <w:pPr>
                    <w:jc w:val="center"/>
                  </w:pPr>
                </w:p>
              </w:tc>
              <w:tc>
                <w:tcPr>
                  <w:tcW w:w="279" w:type="pct"/>
                  <w:vMerge w:val="continue"/>
                </w:tcPr>
                <w:p w14:paraId="7C1E2E98">
                  <w:pPr>
                    <w:jc w:val="center"/>
                  </w:pPr>
                </w:p>
              </w:tc>
              <w:tc>
                <w:tcPr>
                  <w:tcW w:w="597" w:type="pct"/>
                  <w:vMerge w:val="continue"/>
                </w:tcPr>
                <w:p w14:paraId="2DE412A2">
                  <w:pPr>
                    <w:jc w:val="center"/>
                  </w:pPr>
                </w:p>
              </w:tc>
              <w:tc>
                <w:tcPr>
                  <w:tcW w:w="264" w:type="pct"/>
                  <w:vMerge w:val="continue"/>
                </w:tcPr>
                <w:p w14:paraId="30D052F8">
                  <w:pPr>
                    <w:jc w:val="center"/>
                  </w:pPr>
                </w:p>
              </w:tc>
              <w:tc>
                <w:tcPr>
                  <w:tcW w:w="178" w:type="pct"/>
                  <w:vMerge w:val="continue"/>
                </w:tcPr>
                <w:p w14:paraId="7A7ED825">
                  <w:pPr>
                    <w:jc w:val="center"/>
                  </w:pPr>
                </w:p>
              </w:tc>
              <w:tc>
                <w:tcPr>
                  <w:tcW w:w="242" w:type="pct"/>
                  <w:vMerge w:val="continue"/>
                </w:tcPr>
                <w:p w14:paraId="7605BE80">
                  <w:pPr>
                    <w:jc w:val="center"/>
                  </w:pPr>
                </w:p>
              </w:tc>
              <w:tc>
                <w:tcPr>
                  <w:tcW w:w="153" w:type="pct"/>
                  <w:vMerge w:val="continue"/>
                </w:tcPr>
                <w:p w14:paraId="0CD8F1F5">
                  <w:pPr>
                    <w:jc w:val="center"/>
                  </w:pPr>
                </w:p>
              </w:tc>
              <w:tc>
                <w:tcPr>
                  <w:tcW w:w="168" w:type="pct"/>
                  <w:shd w:val="clear" w:color="auto" w:fill="auto"/>
                  <w:vAlign w:val="center"/>
                </w:tcPr>
                <w:p w14:paraId="56004AB1">
                  <w:pPr>
                    <w:jc w:val="center"/>
                    <w:rPr>
                      <w:rFonts w:ascii="Times New Roman" w:hAnsi="Times New Roman" w:eastAsia="宋体" w:cs="Times New Roman"/>
                      <w:kern w:val="2"/>
                      <w:sz w:val="21"/>
                      <w:szCs w:val="21"/>
                      <w:lang w:val="en-US" w:eastAsia="zh-CN" w:bidi="ar-SA"/>
                    </w:rPr>
                  </w:pPr>
                  <w:r>
                    <w:t>南</w:t>
                  </w:r>
                </w:p>
              </w:tc>
              <w:tc>
                <w:tcPr>
                  <w:tcW w:w="232" w:type="pct"/>
                  <w:shd w:val="clear" w:color="auto" w:fill="auto"/>
                  <w:vAlign w:val="center"/>
                </w:tcPr>
                <w:p w14:paraId="51844A0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14</w:t>
                  </w:r>
                </w:p>
              </w:tc>
              <w:tc>
                <w:tcPr>
                  <w:tcW w:w="597" w:type="pct"/>
                  <w:shd w:val="clear" w:color="auto" w:fill="auto"/>
                  <w:vAlign w:val="center"/>
                </w:tcPr>
                <w:p w14:paraId="630FCF2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63.1 </w:t>
                  </w:r>
                </w:p>
              </w:tc>
              <w:tc>
                <w:tcPr>
                  <w:tcW w:w="366" w:type="pct"/>
                  <w:vMerge w:val="continue"/>
                </w:tcPr>
                <w:p w14:paraId="26FFADD5">
                  <w:pPr>
                    <w:jc w:val="center"/>
                  </w:pPr>
                </w:p>
              </w:tc>
              <w:tc>
                <w:tcPr>
                  <w:tcW w:w="598" w:type="pct"/>
                  <w:shd w:val="clear" w:color="auto" w:fill="auto"/>
                  <w:vAlign w:val="center"/>
                </w:tcPr>
                <w:p w14:paraId="5D25C8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683DD59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36.0 </w:t>
                  </w:r>
                </w:p>
              </w:tc>
              <w:tc>
                <w:tcPr>
                  <w:tcW w:w="274" w:type="pct"/>
                  <w:shd w:val="clear" w:color="auto" w:fill="auto"/>
                  <w:vAlign w:val="center"/>
                </w:tcPr>
                <w:p w14:paraId="10E5B594">
                  <w:pPr>
                    <w:jc w:val="center"/>
                    <w:rPr>
                      <w:rFonts w:ascii="Times New Roman" w:hAnsi="Times New Roman" w:eastAsia="宋体" w:cs="Times New Roman"/>
                      <w:kern w:val="2"/>
                      <w:sz w:val="21"/>
                      <w:szCs w:val="21"/>
                      <w:lang w:val="en-US" w:eastAsia="zh-CN" w:bidi="ar-SA"/>
                    </w:rPr>
                  </w:pPr>
                  <w:r>
                    <w:t>1m</w:t>
                  </w:r>
                </w:p>
              </w:tc>
            </w:tr>
            <w:tr w14:paraId="1A09802B">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582E572C">
                  <w:pPr>
                    <w:jc w:val="center"/>
                  </w:pPr>
                </w:p>
              </w:tc>
              <w:tc>
                <w:tcPr>
                  <w:tcW w:w="260" w:type="pct"/>
                  <w:vMerge w:val="continue"/>
                </w:tcPr>
                <w:p w14:paraId="7C8CF232">
                  <w:pPr>
                    <w:jc w:val="center"/>
                  </w:pPr>
                </w:p>
              </w:tc>
              <w:tc>
                <w:tcPr>
                  <w:tcW w:w="279" w:type="pct"/>
                  <w:vMerge w:val="continue"/>
                </w:tcPr>
                <w:p w14:paraId="4188D84D">
                  <w:pPr>
                    <w:jc w:val="center"/>
                  </w:pPr>
                </w:p>
              </w:tc>
              <w:tc>
                <w:tcPr>
                  <w:tcW w:w="597" w:type="pct"/>
                  <w:vMerge w:val="continue"/>
                </w:tcPr>
                <w:p w14:paraId="7CF0E9EB">
                  <w:pPr>
                    <w:jc w:val="center"/>
                  </w:pPr>
                </w:p>
              </w:tc>
              <w:tc>
                <w:tcPr>
                  <w:tcW w:w="264" w:type="pct"/>
                  <w:vMerge w:val="continue"/>
                </w:tcPr>
                <w:p w14:paraId="28B5E399">
                  <w:pPr>
                    <w:jc w:val="center"/>
                  </w:pPr>
                </w:p>
              </w:tc>
              <w:tc>
                <w:tcPr>
                  <w:tcW w:w="178" w:type="pct"/>
                  <w:vMerge w:val="continue"/>
                </w:tcPr>
                <w:p w14:paraId="0C97FDC1">
                  <w:pPr>
                    <w:jc w:val="center"/>
                  </w:pPr>
                </w:p>
              </w:tc>
              <w:tc>
                <w:tcPr>
                  <w:tcW w:w="242" w:type="pct"/>
                  <w:vMerge w:val="continue"/>
                </w:tcPr>
                <w:p w14:paraId="309C63E9">
                  <w:pPr>
                    <w:jc w:val="center"/>
                  </w:pPr>
                </w:p>
              </w:tc>
              <w:tc>
                <w:tcPr>
                  <w:tcW w:w="153" w:type="pct"/>
                  <w:vMerge w:val="continue"/>
                </w:tcPr>
                <w:p w14:paraId="31B90024">
                  <w:pPr>
                    <w:jc w:val="center"/>
                  </w:pPr>
                </w:p>
              </w:tc>
              <w:tc>
                <w:tcPr>
                  <w:tcW w:w="168" w:type="pct"/>
                  <w:shd w:val="clear" w:color="auto" w:fill="auto"/>
                  <w:vAlign w:val="center"/>
                </w:tcPr>
                <w:p w14:paraId="638BE4B0">
                  <w:pPr>
                    <w:jc w:val="center"/>
                    <w:rPr>
                      <w:rFonts w:ascii="Times New Roman" w:hAnsi="Times New Roman" w:eastAsia="宋体" w:cs="Times New Roman"/>
                      <w:kern w:val="2"/>
                      <w:sz w:val="21"/>
                      <w:szCs w:val="21"/>
                      <w:lang w:val="en-US" w:eastAsia="zh-CN" w:bidi="ar-SA"/>
                    </w:rPr>
                  </w:pPr>
                  <w:r>
                    <w:t>西</w:t>
                  </w:r>
                </w:p>
              </w:tc>
              <w:tc>
                <w:tcPr>
                  <w:tcW w:w="232" w:type="pct"/>
                  <w:shd w:val="clear" w:color="auto" w:fill="auto"/>
                  <w:vAlign w:val="center"/>
                </w:tcPr>
                <w:p w14:paraId="67BB24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50</w:t>
                  </w:r>
                </w:p>
              </w:tc>
              <w:tc>
                <w:tcPr>
                  <w:tcW w:w="597" w:type="pct"/>
                  <w:shd w:val="clear" w:color="auto" w:fill="auto"/>
                  <w:vAlign w:val="center"/>
                </w:tcPr>
                <w:p w14:paraId="6ECF5B0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52.0 </w:t>
                  </w:r>
                </w:p>
              </w:tc>
              <w:tc>
                <w:tcPr>
                  <w:tcW w:w="366" w:type="pct"/>
                  <w:vMerge w:val="continue"/>
                </w:tcPr>
                <w:p w14:paraId="3CA03453">
                  <w:pPr>
                    <w:jc w:val="center"/>
                  </w:pPr>
                </w:p>
              </w:tc>
              <w:tc>
                <w:tcPr>
                  <w:tcW w:w="598" w:type="pct"/>
                  <w:shd w:val="clear" w:color="auto" w:fill="auto"/>
                  <w:vAlign w:val="center"/>
                </w:tcPr>
                <w:p w14:paraId="0F157B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22123C6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31.9 </w:t>
                  </w:r>
                </w:p>
              </w:tc>
              <w:tc>
                <w:tcPr>
                  <w:tcW w:w="274" w:type="pct"/>
                  <w:shd w:val="clear" w:color="auto" w:fill="auto"/>
                  <w:vAlign w:val="center"/>
                </w:tcPr>
                <w:p w14:paraId="79C6334E">
                  <w:pPr>
                    <w:jc w:val="center"/>
                    <w:rPr>
                      <w:rFonts w:ascii="Times New Roman" w:hAnsi="Times New Roman" w:eastAsia="宋体" w:cs="Times New Roman"/>
                      <w:kern w:val="2"/>
                      <w:sz w:val="21"/>
                      <w:szCs w:val="21"/>
                      <w:lang w:val="en-US" w:eastAsia="zh-CN" w:bidi="ar-SA"/>
                    </w:rPr>
                  </w:pPr>
                  <w:r>
                    <w:t>1m</w:t>
                  </w:r>
                </w:p>
              </w:tc>
            </w:tr>
            <w:tr w14:paraId="586EDE5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023C33BE">
                  <w:pPr>
                    <w:jc w:val="center"/>
                  </w:pPr>
                </w:p>
              </w:tc>
              <w:tc>
                <w:tcPr>
                  <w:tcW w:w="260" w:type="pct"/>
                  <w:vMerge w:val="continue"/>
                </w:tcPr>
                <w:p w14:paraId="23E04056">
                  <w:pPr>
                    <w:jc w:val="center"/>
                  </w:pPr>
                </w:p>
              </w:tc>
              <w:tc>
                <w:tcPr>
                  <w:tcW w:w="279" w:type="pct"/>
                  <w:vMerge w:val="continue"/>
                </w:tcPr>
                <w:p w14:paraId="41ECA3A5">
                  <w:pPr>
                    <w:jc w:val="center"/>
                  </w:pPr>
                </w:p>
              </w:tc>
              <w:tc>
                <w:tcPr>
                  <w:tcW w:w="597" w:type="pct"/>
                  <w:vMerge w:val="continue"/>
                </w:tcPr>
                <w:p w14:paraId="7DDDC7BF">
                  <w:pPr>
                    <w:jc w:val="center"/>
                  </w:pPr>
                </w:p>
              </w:tc>
              <w:tc>
                <w:tcPr>
                  <w:tcW w:w="264" w:type="pct"/>
                  <w:vMerge w:val="continue"/>
                </w:tcPr>
                <w:p w14:paraId="2C66CA80">
                  <w:pPr>
                    <w:jc w:val="center"/>
                  </w:pPr>
                </w:p>
              </w:tc>
              <w:tc>
                <w:tcPr>
                  <w:tcW w:w="178" w:type="pct"/>
                  <w:vMerge w:val="continue"/>
                </w:tcPr>
                <w:p w14:paraId="2BDA22D2">
                  <w:pPr>
                    <w:jc w:val="center"/>
                  </w:pPr>
                </w:p>
              </w:tc>
              <w:tc>
                <w:tcPr>
                  <w:tcW w:w="242" w:type="pct"/>
                  <w:vMerge w:val="continue"/>
                </w:tcPr>
                <w:p w14:paraId="41C07A84">
                  <w:pPr>
                    <w:jc w:val="center"/>
                  </w:pPr>
                </w:p>
              </w:tc>
              <w:tc>
                <w:tcPr>
                  <w:tcW w:w="153" w:type="pct"/>
                  <w:vMerge w:val="continue"/>
                </w:tcPr>
                <w:p w14:paraId="66C358D1">
                  <w:pPr>
                    <w:jc w:val="center"/>
                  </w:pPr>
                </w:p>
              </w:tc>
              <w:tc>
                <w:tcPr>
                  <w:tcW w:w="168" w:type="pct"/>
                  <w:shd w:val="clear" w:color="auto" w:fill="auto"/>
                  <w:vAlign w:val="center"/>
                </w:tcPr>
                <w:p w14:paraId="668EE616">
                  <w:pPr>
                    <w:jc w:val="center"/>
                    <w:rPr>
                      <w:rFonts w:ascii="Times New Roman" w:hAnsi="Times New Roman" w:eastAsia="宋体" w:cs="Times New Roman"/>
                      <w:kern w:val="2"/>
                      <w:sz w:val="21"/>
                      <w:szCs w:val="21"/>
                      <w:lang w:val="en-US" w:eastAsia="zh-CN" w:bidi="ar-SA"/>
                    </w:rPr>
                  </w:pPr>
                  <w:r>
                    <w:t>北</w:t>
                  </w:r>
                </w:p>
              </w:tc>
              <w:tc>
                <w:tcPr>
                  <w:tcW w:w="232" w:type="pct"/>
                  <w:shd w:val="clear" w:color="auto" w:fill="auto"/>
                  <w:vAlign w:val="center"/>
                </w:tcPr>
                <w:p w14:paraId="3BB44F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w:t>
                  </w:r>
                </w:p>
              </w:tc>
              <w:tc>
                <w:tcPr>
                  <w:tcW w:w="597" w:type="pct"/>
                  <w:shd w:val="clear" w:color="auto" w:fill="auto"/>
                  <w:vAlign w:val="center"/>
                </w:tcPr>
                <w:p w14:paraId="788663C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74.0 </w:t>
                  </w:r>
                </w:p>
              </w:tc>
              <w:tc>
                <w:tcPr>
                  <w:tcW w:w="366" w:type="pct"/>
                  <w:vMerge w:val="continue"/>
                </w:tcPr>
                <w:p w14:paraId="5215B124">
                  <w:pPr>
                    <w:jc w:val="center"/>
                  </w:pPr>
                </w:p>
              </w:tc>
              <w:tc>
                <w:tcPr>
                  <w:tcW w:w="598" w:type="pct"/>
                  <w:shd w:val="clear" w:color="auto" w:fill="auto"/>
                  <w:vAlign w:val="center"/>
                </w:tcPr>
                <w:p w14:paraId="61AB4A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13C962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22.0 </w:t>
                  </w:r>
                </w:p>
              </w:tc>
              <w:tc>
                <w:tcPr>
                  <w:tcW w:w="274" w:type="pct"/>
                  <w:shd w:val="clear" w:color="auto" w:fill="auto"/>
                  <w:vAlign w:val="center"/>
                </w:tcPr>
                <w:p w14:paraId="7375A00A">
                  <w:pPr>
                    <w:jc w:val="center"/>
                    <w:rPr>
                      <w:rFonts w:ascii="Times New Roman" w:hAnsi="Times New Roman" w:eastAsia="宋体" w:cs="Times New Roman"/>
                      <w:kern w:val="2"/>
                      <w:sz w:val="21"/>
                      <w:szCs w:val="21"/>
                      <w:lang w:val="en-US" w:eastAsia="zh-CN" w:bidi="ar-SA"/>
                    </w:rPr>
                  </w:pPr>
                  <w:r>
                    <w:t>1m</w:t>
                  </w:r>
                </w:p>
              </w:tc>
            </w:tr>
            <w:tr w14:paraId="3B1E600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restart"/>
                  <w:shd w:val="clear" w:color="auto" w:fill="auto"/>
                  <w:vAlign w:val="center"/>
                </w:tcPr>
                <w:p w14:paraId="4D86D5B9">
                  <w:pPr>
                    <w:jc w:val="center"/>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11</w:t>
                  </w:r>
                </w:p>
              </w:tc>
              <w:tc>
                <w:tcPr>
                  <w:tcW w:w="260" w:type="pct"/>
                  <w:vMerge w:val="restart"/>
                  <w:shd w:val="clear" w:color="auto" w:fill="auto"/>
                  <w:vAlign w:val="center"/>
                </w:tcPr>
                <w:p w14:paraId="6C230060">
                  <w:pPr>
                    <w:jc w:val="center"/>
                    <w:rPr>
                      <w:rFonts w:ascii="Times New Roman" w:hAnsi="Times New Roman" w:eastAsia="宋体" w:cs="Times New Roman"/>
                      <w:kern w:val="2"/>
                      <w:sz w:val="21"/>
                      <w:szCs w:val="21"/>
                      <w:lang w:val="en-US" w:eastAsia="zh-CN" w:bidi="ar-SA"/>
                    </w:rPr>
                  </w:pPr>
                  <w:r>
                    <w:rPr>
                      <w:rFonts w:hint="eastAsia"/>
                      <w:lang w:val="en-US" w:eastAsia="zh-CN"/>
                    </w:rPr>
                    <w:t>11栋1F</w:t>
                  </w:r>
                </w:p>
              </w:tc>
              <w:tc>
                <w:tcPr>
                  <w:tcW w:w="279" w:type="pct"/>
                  <w:vMerge w:val="restart"/>
                  <w:shd w:val="clear" w:color="auto" w:fill="auto"/>
                  <w:vAlign w:val="center"/>
                </w:tcPr>
                <w:p w14:paraId="1A035040">
                  <w:pPr>
                    <w:jc w:val="center"/>
                    <w:rPr>
                      <w:rFonts w:hint="default" w:ascii="Times New Roman" w:hAnsi="Times New Roman" w:eastAsia="宋体" w:cs="Times New Roman"/>
                      <w:kern w:val="2"/>
                      <w:sz w:val="21"/>
                      <w:szCs w:val="21"/>
                      <w:lang w:val="en-US" w:eastAsia="zh-CN" w:bidi="ar-SA"/>
                    </w:rPr>
                  </w:pPr>
                  <w:r>
                    <w:rPr>
                      <w:rFonts w:hint="eastAsia"/>
                      <w:lang w:val="en-US" w:eastAsia="zh-CN"/>
                    </w:rPr>
                    <w:t>小冲床</w:t>
                  </w:r>
                </w:p>
              </w:tc>
              <w:tc>
                <w:tcPr>
                  <w:tcW w:w="597" w:type="pct"/>
                  <w:vMerge w:val="restart"/>
                  <w:shd w:val="clear" w:color="auto" w:fill="auto"/>
                  <w:vAlign w:val="center"/>
                </w:tcPr>
                <w:p w14:paraId="3CFD5CAF">
                  <w:pPr>
                    <w:jc w:val="center"/>
                    <w:rPr>
                      <w:rFonts w:ascii="Times New Roman" w:hAnsi="Times New Roman" w:eastAsia="宋体" w:cs="Times New Roman"/>
                      <w:kern w:val="2"/>
                      <w:sz w:val="21"/>
                      <w:szCs w:val="21"/>
                      <w:lang w:val="en-US" w:eastAsia="zh-CN" w:bidi="ar-SA"/>
                    </w:rPr>
                  </w:pPr>
                  <w:r>
                    <w:rPr>
                      <w:rFonts w:hint="eastAsia"/>
                      <w:lang w:val="en-US" w:eastAsia="zh-CN"/>
                    </w:rPr>
                    <w:t>81</w:t>
                  </w:r>
                  <w:r>
                    <w:t>/1</w:t>
                  </w:r>
                </w:p>
              </w:tc>
              <w:tc>
                <w:tcPr>
                  <w:tcW w:w="264" w:type="pct"/>
                  <w:vMerge w:val="continue"/>
                  <w:shd w:val="clear" w:color="auto" w:fill="auto"/>
                  <w:textDirection w:val="tbRlV"/>
                  <w:vAlign w:val="center"/>
                </w:tcPr>
                <w:p w14:paraId="54F69811">
                  <w:pPr>
                    <w:jc w:val="center"/>
                    <w:rPr>
                      <w:rFonts w:ascii="Times New Roman" w:hAnsi="Times New Roman" w:eastAsia="宋体" w:cs="Times New Roman"/>
                      <w:kern w:val="2"/>
                      <w:sz w:val="21"/>
                      <w:szCs w:val="21"/>
                      <w:lang w:val="en-US" w:eastAsia="zh-CN" w:bidi="ar-SA"/>
                    </w:rPr>
                  </w:pPr>
                </w:p>
              </w:tc>
              <w:tc>
                <w:tcPr>
                  <w:tcW w:w="178" w:type="pct"/>
                  <w:vMerge w:val="restart"/>
                  <w:shd w:val="clear" w:color="auto" w:fill="auto"/>
                  <w:vAlign w:val="center"/>
                </w:tcPr>
                <w:p w14:paraId="58FBDAC4">
                  <w:pPr>
                    <w:jc w:val="center"/>
                    <w:rPr>
                      <w:rFonts w:hint="default" w:ascii="Times New Roman" w:hAnsi="Times New Roman" w:eastAsia="宋体" w:cs="Times New Roman"/>
                      <w:kern w:val="2"/>
                      <w:sz w:val="21"/>
                      <w:szCs w:val="21"/>
                      <w:lang w:val="en-US" w:eastAsia="zh-CN" w:bidi="ar-SA"/>
                    </w:rPr>
                  </w:pPr>
                  <w:r>
                    <w:rPr>
                      <w:rFonts w:hint="eastAsia"/>
                      <w:lang w:val="en-US" w:eastAsia="zh-CN"/>
                    </w:rPr>
                    <w:t>15</w:t>
                  </w:r>
                </w:p>
              </w:tc>
              <w:tc>
                <w:tcPr>
                  <w:tcW w:w="242" w:type="pct"/>
                  <w:vMerge w:val="restart"/>
                  <w:shd w:val="clear" w:color="auto" w:fill="auto"/>
                  <w:vAlign w:val="center"/>
                </w:tcPr>
                <w:p w14:paraId="67D821EC">
                  <w:pPr>
                    <w:jc w:val="center"/>
                    <w:rPr>
                      <w:rFonts w:hint="default" w:ascii="Times New Roman" w:hAnsi="Times New Roman" w:eastAsia="宋体" w:cs="Times New Roman"/>
                      <w:kern w:val="2"/>
                      <w:sz w:val="21"/>
                      <w:szCs w:val="21"/>
                      <w:lang w:val="en-US" w:eastAsia="zh-CN" w:bidi="ar-SA"/>
                    </w:rPr>
                  </w:pPr>
                  <w:r>
                    <w:rPr>
                      <w:rFonts w:hint="eastAsia"/>
                      <w:lang w:val="en-US" w:eastAsia="zh-CN"/>
                    </w:rPr>
                    <w:t>-12</w:t>
                  </w:r>
                </w:p>
              </w:tc>
              <w:tc>
                <w:tcPr>
                  <w:tcW w:w="153" w:type="pct"/>
                  <w:vMerge w:val="restart"/>
                  <w:shd w:val="clear" w:color="auto" w:fill="auto"/>
                  <w:vAlign w:val="center"/>
                </w:tcPr>
                <w:p w14:paraId="73A3B84E">
                  <w:pPr>
                    <w:jc w:val="center"/>
                    <w:rPr>
                      <w:rFonts w:hint="eastAsia" w:ascii="Times New Roman" w:hAnsi="Times New Roman" w:eastAsia="宋体" w:cs="Times New Roman"/>
                      <w:kern w:val="2"/>
                      <w:sz w:val="21"/>
                      <w:szCs w:val="21"/>
                      <w:lang w:val="en-US" w:eastAsia="zh-CN" w:bidi="ar-SA"/>
                    </w:rPr>
                  </w:pPr>
                  <w:r>
                    <w:rPr>
                      <w:rFonts w:hint="eastAsia"/>
                      <w:lang w:val="en-US" w:eastAsia="zh-CN"/>
                    </w:rPr>
                    <w:t>1</w:t>
                  </w:r>
                </w:p>
              </w:tc>
              <w:tc>
                <w:tcPr>
                  <w:tcW w:w="168" w:type="pct"/>
                  <w:shd w:val="clear" w:color="auto" w:fill="auto"/>
                  <w:vAlign w:val="center"/>
                </w:tcPr>
                <w:p w14:paraId="30086E96">
                  <w:pPr>
                    <w:jc w:val="center"/>
                    <w:rPr>
                      <w:rFonts w:ascii="Times New Roman" w:hAnsi="Times New Roman" w:eastAsia="宋体" w:cs="Times New Roman"/>
                      <w:kern w:val="2"/>
                      <w:sz w:val="21"/>
                      <w:szCs w:val="21"/>
                      <w:lang w:val="en-US" w:eastAsia="zh-CN" w:bidi="ar-SA"/>
                    </w:rPr>
                  </w:pPr>
                  <w:r>
                    <w:t>东</w:t>
                  </w:r>
                </w:p>
              </w:tc>
              <w:tc>
                <w:tcPr>
                  <w:tcW w:w="232" w:type="pct"/>
                  <w:shd w:val="clear" w:color="auto" w:fill="auto"/>
                  <w:vAlign w:val="center"/>
                </w:tcPr>
                <w:p w14:paraId="4FBDD1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25</w:t>
                  </w:r>
                </w:p>
              </w:tc>
              <w:tc>
                <w:tcPr>
                  <w:tcW w:w="597" w:type="pct"/>
                  <w:shd w:val="clear" w:color="auto" w:fill="auto"/>
                  <w:vAlign w:val="center"/>
                </w:tcPr>
                <w:p w14:paraId="16DC56F3">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53.0 </w:t>
                  </w:r>
                </w:p>
              </w:tc>
              <w:tc>
                <w:tcPr>
                  <w:tcW w:w="366" w:type="pct"/>
                  <w:vMerge w:val="continue"/>
                  <w:shd w:val="clear" w:color="auto" w:fill="auto"/>
                  <w:vAlign w:val="center"/>
                </w:tcPr>
                <w:p w14:paraId="72E18549">
                  <w:pPr>
                    <w:jc w:val="center"/>
                    <w:rPr>
                      <w:rFonts w:ascii="Times New Roman" w:hAnsi="Times New Roman" w:eastAsia="宋体" w:cs="Times New Roman"/>
                      <w:kern w:val="2"/>
                      <w:sz w:val="21"/>
                      <w:szCs w:val="21"/>
                      <w:lang w:val="en-US" w:eastAsia="zh-CN" w:bidi="ar-SA"/>
                    </w:rPr>
                  </w:pPr>
                </w:p>
              </w:tc>
              <w:tc>
                <w:tcPr>
                  <w:tcW w:w="598" w:type="pct"/>
                  <w:shd w:val="clear" w:color="auto" w:fill="auto"/>
                  <w:vAlign w:val="center"/>
                </w:tcPr>
                <w:p w14:paraId="182910F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0BC7E1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33.1 </w:t>
                  </w:r>
                </w:p>
              </w:tc>
              <w:tc>
                <w:tcPr>
                  <w:tcW w:w="274" w:type="pct"/>
                  <w:shd w:val="clear" w:color="auto" w:fill="auto"/>
                  <w:vAlign w:val="center"/>
                </w:tcPr>
                <w:p w14:paraId="3F28FC3C">
                  <w:pPr>
                    <w:jc w:val="center"/>
                    <w:rPr>
                      <w:rFonts w:ascii="Times New Roman" w:hAnsi="Times New Roman" w:eastAsia="宋体" w:cs="Times New Roman"/>
                      <w:kern w:val="2"/>
                      <w:sz w:val="21"/>
                      <w:szCs w:val="21"/>
                      <w:lang w:val="en-US" w:eastAsia="zh-CN" w:bidi="ar-SA"/>
                    </w:rPr>
                  </w:pPr>
                  <w:r>
                    <w:t>1m</w:t>
                  </w:r>
                </w:p>
              </w:tc>
            </w:tr>
            <w:tr w14:paraId="7C47C51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6E6002B6">
                  <w:pPr>
                    <w:jc w:val="center"/>
                  </w:pPr>
                </w:p>
              </w:tc>
              <w:tc>
                <w:tcPr>
                  <w:tcW w:w="260" w:type="pct"/>
                  <w:vMerge w:val="continue"/>
                </w:tcPr>
                <w:p w14:paraId="557E0B7A">
                  <w:pPr>
                    <w:jc w:val="center"/>
                  </w:pPr>
                </w:p>
              </w:tc>
              <w:tc>
                <w:tcPr>
                  <w:tcW w:w="279" w:type="pct"/>
                  <w:vMerge w:val="continue"/>
                </w:tcPr>
                <w:p w14:paraId="36B471E8">
                  <w:pPr>
                    <w:jc w:val="center"/>
                  </w:pPr>
                </w:p>
              </w:tc>
              <w:tc>
                <w:tcPr>
                  <w:tcW w:w="597" w:type="pct"/>
                  <w:vMerge w:val="continue"/>
                </w:tcPr>
                <w:p w14:paraId="3696E3FD">
                  <w:pPr>
                    <w:jc w:val="center"/>
                  </w:pPr>
                </w:p>
              </w:tc>
              <w:tc>
                <w:tcPr>
                  <w:tcW w:w="264" w:type="pct"/>
                  <w:vMerge w:val="continue"/>
                </w:tcPr>
                <w:p w14:paraId="1DC10C44">
                  <w:pPr>
                    <w:jc w:val="center"/>
                  </w:pPr>
                </w:p>
              </w:tc>
              <w:tc>
                <w:tcPr>
                  <w:tcW w:w="178" w:type="pct"/>
                  <w:vMerge w:val="continue"/>
                </w:tcPr>
                <w:p w14:paraId="072BF356">
                  <w:pPr>
                    <w:jc w:val="center"/>
                  </w:pPr>
                </w:p>
              </w:tc>
              <w:tc>
                <w:tcPr>
                  <w:tcW w:w="242" w:type="pct"/>
                  <w:vMerge w:val="continue"/>
                </w:tcPr>
                <w:p w14:paraId="7378A9C7">
                  <w:pPr>
                    <w:jc w:val="center"/>
                  </w:pPr>
                </w:p>
              </w:tc>
              <w:tc>
                <w:tcPr>
                  <w:tcW w:w="153" w:type="pct"/>
                  <w:vMerge w:val="continue"/>
                </w:tcPr>
                <w:p w14:paraId="7817383F">
                  <w:pPr>
                    <w:jc w:val="center"/>
                  </w:pPr>
                </w:p>
              </w:tc>
              <w:tc>
                <w:tcPr>
                  <w:tcW w:w="168" w:type="pct"/>
                  <w:shd w:val="clear" w:color="auto" w:fill="auto"/>
                  <w:vAlign w:val="center"/>
                </w:tcPr>
                <w:p w14:paraId="312AF67F">
                  <w:pPr>
                    <w:jc w:val="center"/>
                    <w:rPr>
                      <w:rFonts w:ascii="Times New Roman" w:hAnsi="Times New Roman" w:eastAsia="宋体" w:cs="Times New Roman"/>
                      <w:kern w:val="2"/>
                      <w:sz w:val="21"/>
                      <w:szCs w:val="21"/>
                      <w:lang w:val="en-US" w:eastAsia="zh-CN" w:bidi="ar-SA"/>
                    </w:rPr>
                  </w:pPr>
                  <w:r>
                    <w:t>南</w:t>
                  </w:r>
                </w:p>
              </w:tc>
              <w:tc>
                <w:tcPr>
                  <w:tcW w:w="232" w:type="pct"/>
                  <w:shd w:val="clear" w:color="auto" w:fill="auto"/>
                  <w:vAlign w:val="center"/>
                </w:tcPr>
                <w:p w14:paraId="17FF11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14</w:t>
                  </w:r>
                </w:p>
              </w:tc>
              <w:tc>
                <w:tcPr>
                  <w:tcW w:w="597" w:type="pct"/>
                  <w:shd w:val="clear" w:color="auto" w:fill="auto"/>
                  <w:vAlign w:val="center"/>
                </w:tcPr>
                <w:p w14:paraId="63AF389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58.1 </w:t>
                  </w:r>
                </w:p>
              </w:tc>
              <w:tc>
                <w:tcPr>
                  <w:tcW w:w="366" w:type="pct"/>
                  <w:vMerge w:val="continue"/>
                </w:tcPr>
                <w:p w14:paraId="65640B6A">
                  <w:pPr>
                    <w:jc w:val="center"/>
                  </w:pPr>
                </w:p>
              </w:tc>
              <w:tc>
                <w:tcPr>
                  <w:tcW w:w="598" w:type="pct"/>
                  <w:shd w:val="clear" w:color="auto" w:fill="auto"/>
                  <w:vAlign w:val="center"/>
                </w:tcPr>
                <w:p w14:paraId="6C0CA7B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085199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36.0 </w:t>
                  </w:r>
                </w:p>
              </w:tc>
              <w:tc>
                <w:tcPr>
                  <w:tcW w:w="274" w:type="pct"/>
                  <w:shd w:val="clear" w:color="auto" w:fill="auto"/>
                  <w:vAlign w:val="center"/>
                </w:tcPr>
                <w:p w14:paraId="32C9C0B9">
                  <w:pPr>
                    <w:jc w:val="center"/>
                    <w:rPr>
                      <w:rFonts w:ascii="Times New Roman" w:hAnsi="Times New Roman" w:eastAsia="宋体" w:cs="Times New Roman"/>
                      <w:kern w:val="2"/>
                      <w:sz w:val="21"/>
                      <w:szCs w:val="21"/>
                      <w:lang w:val="en-US" w:eastAsia="zh-CN" w:bidi="ar-SA"/>
                    </w:rPr>
                  </w:pPr>
                  <w:r>
                    <w:t>1m</w:t>
                  </w:r>
                </w:p>
              </w:tc>
            </w:tr>
            <w:tr w14:paraId="64AD201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0CB4D72A">
                  <w:pPr>
                    <w:jc w:val="center"/>
                  </w:pPr>
                </w:p>
              </w:tc>
              <w:tc>
                <w:tcPr>
                  <w:tcW w:w="260" w:type="pct"/>
                  <w:vMerge w:val="continue"/>
                </w:tcPr>
                <w:p w14:paraId="5ED54CF2">
                  <w:pPr>
                    <w:jc w:val="center"/>
                  </w:pPr>
                </w:p>
              </w:tc>
              <w:tc>
                <w:tcPr>
                  <w:tcW w:w="279" w:type="pct"/>
                  <w:vMerge w:val="continue"/>
                </w:tcPr>
                <w:p w14:paraId="44910054">
                  <w:pPr>
                    <w:jc w:val="center"/>
                  </w:pPr>
                </w:p>
              </w:tc>
              <w:tc>
                <w:tcPr>
                  <w:tcW w:w="597" w:type="pct"/>
                  <w:vMerge w:val="continue"/>
                </w:tcPr>
                <w:p w14:paraId="53233E5A">
                  <w:pPr>
                    <w:jc w:val="center"/>
                  </w:pPr>
                </w:p>
              </w:tc>
              <w:tc>
                <w:tcPr>
                  <w:tcW w:w="264" w:type="pct"/>
                  <w:vMerge w:val="continue"/>
                </w:tcPr>
                <w:p w14:paraId="3F9D22EB">
                  <w:pPr>
                    <w:jc w:val="center"/>
                  </w:pPr>
                </w:p>
              </w:tc>
              <w:tc>
                <w:tcPr>
                  <w:tcW w:w="178" w:type="pct"/>
                  <w:vMerge w:val="continue"/>
                </w:tcPr>
                <w:p w14:paraId="000CFDF0">
                  <w:pPr>
                    <w:jc w:val="center"/>
                  </w:pPr>
                </w:p>
              </w:tc>
              <w:tc>
                <w:tcPr>
                  <w:tcW w:w="242" w:type="pct"/>
                  <w:vMerge w:val="continue"/>
                </w:tcPr>
                <w:p w14:paraId="03A5D8B1">
                  <w:pPr>
                    <w:jc w:val="center"/>
                  </w:pPr>
                </w:p>
              </w:tc>
              <w:tc>
                <w:tcPr>
                  <w:tcW w:w="153" w:type="pct"/>
                  <w:vMerge w:val="continue"/>
                </w:tcPr>
                <w:p w14:paraId="7ACB1EB6">
                  <w:pPr>
                    <w:jc w:val="center"/>
                  </w:pPr>
                </w:p>
              </w:tc>
              <w:tc>
                <w:tcPr>
                  <w:tcW w:w="168" w:type="pct"/>
                  <w:shd w:val="clear" w:color="auto" w:fill="auto"/>
                  <w:vAlign w:val="center"/>
                </w:tcPr>
                <w:p w14:paraId="218A7431">
                  <w:pPr>
                    <w:jc w:val="center"/>
                    <w:rPr>
                      <w:rFonts w:ascii="Times New Roman" w:hAnsi="Times New Roman" w:eastAsia="宋体" w:cs="Times New Roman"/>
                      <w:kern w:val="2"/>
                      <w:sz w:val="21"/>
                      <w:szCs w:val="21"/>
                      <w:lang w:val="en-US" w:eastAsia="zh-CN" w:bidi="ar-SA"/>
                    </w:rPr>
                  </w:pPr>
                  <w:r>
                    <w:t>西</w:t>
                  </w:r>
                </w:p>
              </w:tc>
              <w:tc>
                <w:tcPr>
                  <w:tcW w:w="232" w:type="pct"/>
                  <w:shd w:val="clear" w:color="auto" w:fill="auto"/>
                  <w:vAlign w:val="center"/>
                </w:tcPr>
                <w:p w14:paraId="7345B2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55</w:t>
                  </w:r>
                </w:p>
              </w:tc>
              <w:tc>
                <w:tcPr>
                  <w:tcW w:w="597" w:type="pct"/>
                  <w:shd w:val="clear" w:color="auto" w:fill="auto"/>
                  <w:vAlign w:val="center"/>
                </w:tcPr>
                <w:p w14:paraId="2A5F741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46.2 </w:t>
                  </w:r>
                </w:p>
              </w:tc>
              <w:tc>
                <w:tcPr>
                  <w:tcW w:w="366" w:type="pct"/>
                  <w:vMerge w:val="continue"/>
                </w:tcPr>
                <w:p w14:paraId="2818CF6C">
                  <w:pPr>
                    <w:jc w:val="center"/>
                  </w:pPr>
                </w:p>
              </w:tc>
              <w:tc>
                <w:tcPr>
                  <w:tcW w:w="598" w:type="pct"/>
                  <w:shd w:val="clear" w:color="auto" w:fill="auto"/>
                  <w:vAlign w:val="center"/>
                </w:tcPr>
                <w:p w14:paraId="2D25A8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1FB6D79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31.9 </w:t>
                  </w:r>
                </w:p>
              </w:tc>
              <w:tc>
                <w:tcPr>
                  <w:tcW w:w="274" w:type="pct"/>
                  <w:shd w:val="clear" w:color="auto" w:fill="auto"/>
                  <w:vAlign w:val="center"/>
                </w:tcPr>
                <w:p w14:paraId="752708A1">
                  <w:pPr>
                    <w:jc w:val="center"/>
                    <w:rPr>
                      <w:rFonts w:ascii="Times New Roman" w:hAnsi="Times New Roman" w:eastAsia="宋体" w:cs="Times New Roman"/>
                      <w:kern w:val="2"/>
                      <w:sz w:val="21"/>
                      <w:szCs w:val="21"/>
                      <w:lang w:val="en-US" w:eastAsia="zh-CN" w:bidi="ar-SA"/>
                    </w:rPr>
                  </w:pPr>
                  <w:r>
                    <w:t>1m</w:t>
                  </w:r>
                </w:p>
              </w:tc>
            </w:tr>
            <w:tr w14:paraId="0A2D9335">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466FB64C">
                  <w:pPr>
                    <w:jc w:val="center"/>
                  </w:pPr>
                </w:p>
              </w:tc>
              <w:tc>
                <w:tcPr>
                  <w:tcW w:w="260" w:type="pct"/>
                  <w:vMerge w:val="continue"/>
                </w:tcPr>
                <w:p w14:paraId="4254871E">
                  <w:pPr>
                    <w:jc w:val="center"/>
                  </w:pPr>
                </w:p>
              </w:tc>
              <w:tc>
                <w:tcPr>
                  <w:tcW w:w="279" w:type="pct"/>
                  <w:vMerge w:val="continue"/>
                </w:tcPr>
                <w:p w14:paraId="71BA051D">
                  <w:pPr>
                    <w:jc w:val="center"/>
                  </w:pPr>
                </w:p>
              </w:tc>
              <w:tc>
                <w:tcPr>
                  <w:tcW w:w="597" w:type="pct"/>
                  <w:vMerge w:val="continue"/>
                </w:tcPr>
                <w:p w14:paraId="059F04B6">
                  <w:pPr>
                    <w:jc w:val="center"/>
                  </w:pPr>
                </w:p>
              </w:tc>
              <w:tc>
                <w:tcPr>
                  <w:tcW w:w="264" w:type="pct"/>
                  <w:vMerge w:val="continue"/>
                </w:tcPr>
                <w:p w14:paraId="5E7B9001">
                  <w:pPr>
                    <w:jc w:val="center"/>
                  </w:pPr>
                </w:p>
              </w:tc>
              <w:tc>
                <w:tcPr>
                  <w:tcW w:w="178" w:type="pct"/>
                  <w:vMerge w:val="continue"/>
                </w:tcPr>
                <w:p w14:paraId="56130E8D">
                  <w:pPr>
                    <w:jc w:val="center"/>
                  </w:pPr>
                </w:p>
              </w:tc>
              <w:tc>
                <w:tcPr>
                  <w:tcW w:w="242" w:type="pct"/>
                  <w:vMerge w:val="continue"/>
                </w:tcPr>
                <w:p w14:paraId="4C16F222">
                  <w:pPr>
                    <w:jc w:val="center"/>
                  </w:pPr>
                </w:p>
              </w:tc>
              <w:tc>
                <w:tcPr>
                  <w:tcW w:w="153" w:type="pct"/>
                  <w:vMerge w:val="continue"/>
                </w:tcPr>
                <w:p w14:paraId="0F967BBF">
                  <w:pPr>
                    <w:jc w:val="center"/>
                  </w:pPr>
                </w:p>
              </w:tc>
              <w:tc>
                <w:tcPr>
                  <w:tcW w:w="168" w:type="pct"/>
                  <w:shd w:val="clear" w:color="auto" w:fill="auto"/>
                  <w:vAlign w:val="center"/>
                </w:tcPr>
                <w:p w14:paraId="1CD879B0">
                  <w:pPr>
                    <w:jc w:val="center"/>
                    <w:rPr>
                      <w:rFonts w:ascii="Times New Roman" w:hAnsi="Times New Roman" w:eastAsia="宋体" w:cs="Times New Roman"/>
                      <w:kern w:val="2"/>
                      <w:sz w:val="21"/>
                      <w:szCs w:val="21"/>
                      <w:lang w:val="en-US" w:eastAsia="zh-CN" w:bidi="ar-SA"/>
                    </w:rPr>
                  </w:pPr>
                  <w:r>
                    <w:t>北</w:t>
                  </w:r>
                </w:p>
              </w:tc>
              <w:tc>
                <w:tcPr>
                  <w:tcW w:w="232" w:type="pct"/>
                  <w:shd w:val="clear" w:color="auto" w:fill="auto"/>
                  <w:vAlign w:val="center"/>
                </w:tcPr>
                <w:p w14:paraId="20B879E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w:t>
                  </w:r>
                </w:p>
              </w:tc>
              <w:tc>
                <w:tcPr>
                  <w:tcW w:w="597" w:type="pct"/>
                  <w:shd w:val="clear" w:color="auto" w:fill="auto"/>
                  <w:vAlign w:val="center"/>
                </w:tcPr>
                <w:p w14:paraId="6C71895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69.0 </w:t>
                  </w:r>
                </w:p>
              </w:tc>
              <w:tc>
                <w:tcPr>
                  <w:tcW w:w="366" w:type="pct"/>
                  <w:vMerge w:val="continue"/>
                </w:tcPr>
                <w:p w14:paraId="441AA23C">
                  <w:pPr>
                    <w:jc w:val="center"/>
                  </w:pPr>
                </w:p>
              </w:tc>
              <w:tc>
                <w:tcPr>
                  <w:tcW w:w="598" w:type="pct"/>
                  <w:shd w:val="clear" w:color="auto" w:fill="auto"/>
                  <w:vAlign w:val="center"/>
                </w:tcPr>
                <w:p w14:paraId="6AC84E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2B16F4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22.0 </w:t>
                  </w:r>
                </w:p>
              </w:tc>
              <w:tc>
                <w:tcPr>
                  <w:tcW w:w="274" w:type="pct"/>
                  <w:shd w:val="clear" w:color="auto" w:fill="auto"/>
                  <w:vAlign w:val="center"/>
                </w:tcPr>
                <w:p w14:paraId="51A542C6">
                  <w:pPr>
                    <w:jc w:val="center"/>
                    <w:rPr>
                      <w:rFonts w:ascii="Times New Roman" w:hAnsi="Times New Roman" w:eastAsia="宋体" w:cs="Times New Roman"/>
                      <w:kern w:val="2"/>
                      <w:sz w:val="21"/>
                      <w:szCs w:val="21"/>
                      <w:lang w:val="en-US" w:eastAsia="zh-CN" w:bidi="ar-SA"/>
                    </w:rPr>
                  </w:pPr>
                  <w:r>
                    <w:t>1m</w:t>
                  </w:r>
                </w:p>
              </w:tc>
            </w:tr>
            <w:tr w14:paraId="1696331E">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restart"/>
                  <w:shd w:val="clear" w:color="auto" w:fill="auto"/>
                  <w:vAlign w:val="center"/>
                </w:tcPr>
                <w:p w14:paraId="00EA86BF">
                  <w:pPr>
                    <w:jc w:val="center"/>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12</w:t>
                  </w:r>
                </w:p>
              </w:tc>
              <w:tc>
                <w:tcPr>
                  <w:tcW w:w="260" w:type="pct"/>
                  <w:vMerge w:val="restart"/>
                  <w:shd w:val="clear" w:color="auto" w:fill="auto"/>
                  <w:vAlign w:val="center"/>
                </w:tcPr>
                <w:p w14:paraId="4DD7557C">
                  <w:pPr>
                    <w:jc w:val="center"/>
                    <w:rPr>
                      <w:rFonts w:ascii="Times New Roman" w:hAnsi="Times New Roman" w:eastAsia="宋体" w:cs="Times New Roman"/>
                      <w:kern w:val="2"/>
                      <w:sz w:val="21"/>
                      <w:szCs w:val="21"/>
                      <w:lang w:val="en-US" w:eastAsia="zh-CN" w:bidi="ar-SA"/>
                    </w:rPr>
                  </w:pPr>
                  <w:r>
                    <w:rPr>
                      <w:rFonts w:hint="eastAsia"/>
                      <w:lang w:val="en-US" w:eastAsia="zh-CN"/>
                    </w:rPr>
                    <w:t>11栋2F</w:t>
                  </w:r>
                </w:p>
              </w:tc>
              <w:tc>
                <w:tcPr>
                  <w:tcW w:w="279" w:type="pct"/>
                  <w:vMerge w:val="restart"/>
                  <w:shd w:val="clear" w:color="auto" w:fill="auto"/>
                  <w:vAlign w:val="center"/>
                </w:tcPr>
                <w:p w14:paraId="3BD9640B">
                  <w:pPr>
                    <w:jc w:val="center"/>
                    <w:rPr>
                      <w:rFonts w:hint="default" w:ascii="Times New Roman" w:hAnsi="Times New Roman" w:eastAsia="宋体" w:cs="Times New Roman"/>
                      <w:kern w:val="2"/>
                      <w:sz w:val="21"/>
                      <w:szCs w:val="21"/>
                      <w:lang w:val="en-US" w:eastAsia="zh-CN" w:bidi="ar-SA"/>
                    </w:rPr>
                  </w:pPr>
                  <w:r>
                    <w:rPr>
                      <w:rFonts w:hint="eastAsia"/>
                      <w:lang w:val="en-US" w:eastAsia="zh-CN"/>
                    </w:rPr>
                    <w:t>烘箱</w:t>
                  </w:r>
                </w:p>
              </w:tc>
              <w:tc>
                <w:tcPr>
                  <w:tcW w:w="597" w:type="pct"/>
                  <w:vMerge w:val="restart"/>
                  <w:shd w:val="clear" w:color="auto" w:fill="auto"/>
                  <w:vAlign w:val="center"/>
                </w:tcPr>
                <w:p w14:paraId="1E8A0DED">
                  <w:pPr>
                    <w:jc w:val="center"/>
                    <w:rPr>
                      <w:rFonts w:ascii="Times New Roman" w:hAnsi="Times New Roman" w:eastAsia="宋体" w:cs="Times New Roman"/>
                      <w:kern w:val="2"/>
                      <w:sz w:val="21"/>
                      <w:szCs w:val="21"/>
                      <w:lang w:val="en-US" w:eastAsia="zh-CN" w:bidi="ar-SA"/>
                    </w:rPr>
                  </w:pPr>
                  <w:r>
                    <w:rPr>
                      <w:rFonts w:hint="eastAsia"/>
                      <w:lang w:val="en-US" w:eastAsia="zh-CN"/>
                    </w:rPr>
                    <w:t>80</w:t>
                  </w:r>
                  <w:r>
                    <w:t>/1</w:t>
                  </w:r>
                </w:p>
              </w:tc>
              <w:tc>
                <w:tcPr>
                  <w:tcW w:w="264" w:type="pct"/>
                  <w:vMerge w:val="continue"/>
                  <w:shd w:val="clear" w:color="auto" w:fill="auto"/>
                  <w:textDirection w:val="tbRlV"/>
                  <w:vAlign w:val="center"/>
                </w:tcPr>
                <w:p w14:paraId="088B2297">
                  <w:pPr>
                    <w:jc w:val="center"/>
                    <w:rPr>
                      <w:rFonts w:ascii="Times New Roman" w:hAnsi="Times New Roman" w:eastAsia="宋体" w:cs="Times New Roman"/>
                      <w:kern w:val="2"/>
                      <w:sz w:val="21"/>
                      <w:szCs w:val="21"/>
                      <w:lang w:val="en-US" w:eastAsia="zh-CN" w:bidi="ar-SA"/>
                    </w:rPr>
                  </w:pPr>
                </w:p>
              </w:tc>
              <w:tc>
                <w:tcPr>
                  <w:tcW w:w="178" w:type="pct"/>
                  <w:vMerge w:val="restart"/>
                  <w:shd w:val="clear" w:color="auto" w:fill="auto"/>
                  <w:vAlign w:val="center"/>
                </w:tcPr>
                <w:p w14:paraId="007D33EB">
                  <w:pPr>
                    <w:jc w:val="center"/>
                    <w:rPr>
                      <w:rFonts w:hint="eastAsia" w:ascii="Times New Roman" w:hAnsi="Times New Roman" w:eastAsia="宋体" w:cs="Times New Roman"/>
                      <w:kern w:val="2"/>
                      <w:sz w:val="21"/>
                      <w:szCs w:val="21"/>
                      <w:lang w:val="en-US" w:eastAsia="zh-CN" w:bidi="ar-SA"/>
                    </w:rPr>
                  </w:pPr>
                  <w:r>
                    <w:rPr>
                      <w:rFonts w:hint="eastAsia"/>
                      <w:lang w:val="en-US" w:eastAsia="zh-CN"/>
                    </w:rPr>
                    <w:t>28</w:t>
                  </w:r>
                </w:p>
              </w:tc>
              <w:tc>
                <w:tcPr>
                  <w:tcW w:w="242" w:type="pct"/>
                  <w:vMerge w:val="restart"/>
                  <w:shd w:val="clear" w:color="auto" w:fill="auto"/>
                  <w:vAlign w:val="center"/>
                </w:tcPr>
                <w:p w14:paraId="4C3F051B">
                  <w:pPr>
                    <w:jc w:val="center"/>
                    <w:rPr>
                      <w:rFonts w:hint="default" w:ascii="Times New Roman" w:hAnsi="Times New Roman" w:eastAsia="宋体" w:cs="Times New Roman"/>
                      <w:kern w:val="2"/>
                      <w:sz w:val="21"/>
                      <w:szCs w:val="21"/>
                      <w:lang w:val="en-US" w:eastAsia="zh-CN" w:bidi="ar-SA"/>
                    </w:rPr>
                  </w:pPr>
                  <w:r>
                    <w:rPr>
                      <w:rFonts w:hint="eastAsia"/>
                      <w:lang w:val="en-US" w:eastAsia="zh-CN"/>
                    </w:rPr>
                    <w:t>-12</w:t>
                  </w:r>
                </w:p>
              </w:tc>
              <w:tc>
                <w:tcPr>
                  <w:tcW w:w="153" w:type="pct"/>
                  <w:vMerge w:val="restart"/>
                  <w:shd w:val="clear" w:color="auto" w:fill="auto"/>
                  <w:vAlign w:val="center"/>
                </w:tcPr>
                <w:p w14:paraId="1FAE4149">
                  <w:pPr>
                    <w:jc w:val="center"/>
                    <w:rPr>
                      <w:rFonts w:hint="eastAsia" w:ascii="Times New Roman" w:hAnsi="Times New Roman" w:eastAsia="宋体" w:cs="Times New Roman"/>
                      <w:kern w:val="2"/>
                      <w:sz w:val="21"/>
                      <w:szCs w:val="21"/>
                      <w:lang w:val="en-US" w:eastAsia="zh-CN" w:bidi="ar-SA"/>
                    </w:rPr>
                  </w:pPr>
                  <w:r>
                    <w:rPr>
                      <w:rFonts w:hint="eastAsia"/>
                      <w:lang w:val="en-US" w:eastAsia="zh-CN"/>
                    </w:rPr>
                    <w:t>5</w:t>
                  </w:r>
                </w:p>
              </w:tc>
              <w:tc>
                <w:tcPr>
                  <w:tcW w:w="168" w:type="pct"/>
                  <w:shd w:val="clear" w:color="auto" w:fill="auto"/>
                  <w:vAlign w:val="center"/>
                </w:tcPr>
                <w:p w14:paraId="2446BC16">
                  <w:pPr>
                    <w:jc w:val="center"/>
                    <w:rPr>
                      <w:rFonts w:ascii="Times New Roman" w:hAnsi="Times New Roman" w:eastAsia="宋体" w:cs="Times New Roman"/>
                      <w:kern w:val="2"/>
                      <w:sz w:val="21"/>
                      <w:szCs w:val="21"/>
                      <w:lang w:val="en-US" w:eastAsia="zh-CN" w:bidi="ar-SA"/>
                    </w:rPr>
                  </w:pPr>
                  <w:r>
                    <w:t>东</w:t>
                  </w:r>
                </w:p>
              </w:tc>
              <w:tc>
                <w:tcPr>
                  <w:tcW w:w="232" w:type="pct"/>
                  <w:shd w:val="clear" w:color="auto" w:fill="auto"/>
                  <w:vAlign w:val="center"/>
                </w:tcPr>
                <w:p w14:paraId="3E5B92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12</w:t>
                  </w:r>
                </w:p>
              </w:tc>
              <w:tc>
                <w:tcPr>
                  <w:tcW w:w="597" w:type="pct"/>
                  <w:shd w:val="clear" w:color="auto" w:fill="auto"/>
                  <w:vAlign w:val="center"/>
                </w:tcPr>
                <w:p w14:paraId="25B18D9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58.4 </w:t>
                  </w:r>
                </w:p>
              </w:tc>
              <w:tc>
                <w:tcPr>
                  <w:tcW w:w="366" w:type="pct"/>
                  <w:vMerge w:val="continue"/>
                  <w:shd w:val="clear" w:color="auto" w:fill="auto"/>
                  <w:vAlign w:val="center"/>
                </w:tcPr>
                <w:p w14:paraId="25204611">
                  <w:pPr>
                    <w:jc w:val="center"/>
                    <w:rPr>
                      <w:rFonts w:ascii="Times New Roman" w:hAnsi="Times New Roman" w:eastAsia="宋体" w:cs="Times New Roman"/>
                      <w:kern w:val="2"/>
                      <w:sz w:val="21"/>
                      <w:szCs w:val="21"/>
                      <w:lang w:val="en-US" w:eastAsia="zh-CN" w:bidi="ar-SA"/>
                    </w:rPr>
                  </w:pPr>
                </w:p>
              </w:tc>
              <w:tc>
                <w:tcPr>
                  <w:tcW w:w="598" w:type="pct"/>
                  <w:shd w:val="clear" w:color="auto" w:fill="auto"/>
                  <w:vAlign w:val="center"/>
                </w:tcPr>
                <w:p w14:paraId="21C6FE0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70DD82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33.1 </w:t>
                  </w:r>
                </w:p>
              </w:tc>
              <w:tc>
                <w:tcPr>
                  <w:tcW w:w="274" w:type="pct"/>
                  <w:shd w:val="clear" w:color="auto" w:fill="auto"/>
                  <w:vAlign w:val="center"/>
                </w:tcPr>
                <w:p w14:paraId="41E75BF0">
                  <w:pPr>
                    <w:jc w:val="center"/>
                    <w:rPr>
                      <w:rFonts w:ascii="Times New Roman" w:hAnsi="Times New Roman" w:eastAsia="宋体" w:cs="Times New Roman"/>
                      <w:kern w:val="2"/>
                      <w:sz w:val="21"/>
                      <w:szCs w:val="21"/>
                      <w:lang w:val="en-US" w:eastAsia="zh-CN" w:bidi="ar-SA"/>
                    </w:rPr>
                  </w:pPr>
                  <w:r>
                    <w:t>1m</w:t>
                  </w:r>
                </w:p>
              </w:tc>
            </w:tr>
            <w:tr w14:paraId="7DCB0E81">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555ABEBF">
                  <w:pPr>
                    <w:jc w:val="center"/>
                  </w:pPr>
                </w:p>
              </w:tc>
              <w:tc>
                <w:tcPr>
                  <w:tcW w:w="260" w:type="pct"/>
                  <w:vMerge w:val="continue"/>
                </w:tcPr>
                <w:p w14:paraId="4D5E2767">
                  <w:pPr>
                    <w:jc w:val="center"/>
                  </w:pPr>
                </w:p>
              </w:tc>
              <w:tc>
                <w:tcPr>
                  <w:tcW w:w="279" w:type="pct"/>
                  <w:vMerge w:val="continue"/>
                </w:tcPr>
                <w:p w14:paraId="5C93C86D">
                  <w:pPr>
                    <w:jc w:val="center"/>
                  </w:pPr>
                </w:p>
              </w:tc>
              <w:tc>
                <w:tcPr>
                  <w:tcW w:w="597" w:type="pct"/>
                  <w:vMerge w:val="continue"/>
                </w:tcPr>
                <w:p w14:paraId="14E25E47">
                  <w:pPr>
                    <w:jc w:val="center"/>
                  </w:pPr>
                </w:p>
              </w:tc>
              <w:tc>
                <w:tcPr>
                  <w:tcW w:w="264" w:type="pct"/>
                  <w:vMerge w:val="continue"/>
                </w:tcPr>
                <w:p w14:paraId="3D65D053">
                  <w:pPr>
                    <w:jc w:val="center"/>
                  </w:pPr>
                </w:p>
              </w:tc>
              <w:tc>
                <w:tcPr>
                  <w:tcW w:w="178" w:type="pct"/>
                  <w:vMerge w:val="continue"/>
                </w:tcPr>
                <w:p w14:paraId="7ABED72D">
                  <w:pPr>
                    <w:jc w:val="center"/>
                  </w:pPr>
                </w:p>
              </w:tc>
              <w:tc>
                <w:tcPr>
                  <w:tcW w:w="242" w:type="pct"/>
                  <w:vMerge w:val="continue"/>
                </w:tcPr>
                <w:p w14:paraId="05541EDF">
                  <w:pPr>
                    <w:jc w:val="center"/>
                  </w:pPr>
                </w:p>
              </w:tc>
              <w:tc>
                <w:tcPr>
                  <w:tcW w:w="153" w:type="pct"/>
                  <w:vMerge w:val="continue"/>
                </w:tcPr>
                <w:p w14:paraId="55DFA3FA">
                  <w:pPr>
                    <w:jc w:val="center"/>
                  </w:pPr>
                </w:p>
              </w:tc>
              <w:tc>
                <w:tcPr>
                  <w:tcW w:w="168" w:type="pct"/>
                  <w:shd w:val="clear" w:color="auto" w:fill="auto"/>
                  <w:vAlign w:val="center"/>
                </w:tcPr>
                <w:p w14:paraId="244BC9A1">
                  <w:pPr>
                    <w:jc w:val="center"/>
                    <w:rPr>
                      <w:rFonts w:ascii="Times New Roman" w:hAnsi="Times New Roman" w:eastAsia="宋体" w:cs="Times New Roman"/>
                      <w:kern w:val="2"/>
                      <w:sz w:val="21"/>
                      <w:szCs w:val="21"/>
                      <w:lang w:val="en-US" w:eastAsia="zh-CN" w:bidi="ar-SA"/>
                    </w:rPr>
                  </w:pPr>
                  <w:r>
                    <w:t>南</w:t>
                  </w:r>
                </w:p>
              </w:tc>
              <w:tc>
                <w:tcPr>
                  <w:tcW w:w="232" w:type="pct"/>
                  <w:shd w:val="clear" w:color="auto" w:fill="auto"/>
                  <w:vAlign w:val="center"/>
                </w:tcPr>
                <w:p w14:paraId="4BA0BF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14</w:t>
                  </w:r>
                </w:p>
              </w:tc>
              <w:tc>
                <w:tcPr>
                  <w:tcW w:w="597" w:type="pct"/>
                  <w:shd w:val="clear" w:color="auto" w:fill="auto"/>
                  <w:vAlign w:val="center"/>
                </w:tcPr>
                <w:p w14:paraId="3BBE7325">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57.1 </w:t>
                  </w:r>
                </w:p>
              </w:tc>
              <w:tc>
                <w:tcPr>
                  <w:tcW w:w="366" w:type="pct"/>
                  <w:vMerge w:val="continue"/>
                </w:tcPr>
                <w:p w14:paraId="1501BFF1">
                  <w:pPr>
                    <w:jc w:val="center"/>
                  </w:pPr>
                </w:p>
              </w:tc>
              <w:tc>
                <w:tcPr>
                  <w:tcW w:w="598" w:type="pct"/>
                  <w:shd w:val="clear" w:color="auto" w:fill="auto"/>
                  <w:vAlign w:val="center"/>
                </w:tcPr>
                <w:p w14:paraId="0251A2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7270D66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36.0 </w:t>
                  </w:r>
                </w:p>
              </w:tc>
              <w:tc>
                <w:tcPr>
                  <w:tcW w:w="274" w:type="pct"/>
                  <w:shd w:val="clear" w:color="auto" w:fill="auto"/>
                  <w:vAlign w:val="center"/>
                </w:tcPr>
                <w:p w14:paraId="08C5099C">
                  <w:pPr>
                    <w:jc w:val="center"/>
                    <w:rPr>
                      <w:rFonts w:ascii="Times New Roman" w:hAnsi="Times New Roman" w:eastAsia="宋体" w:cs="Times New Roman"/>
                      <w:kern w:val="2"/>
                      <w:sz w:val="21"/>
                      <w:szCs w:val="21"/>
                      <w:lang w:val="en-US" w:eastAsia="zh-CN" w:bidi="ar-SA"/>
                    </w:rPr>
                  </w:pPr>
                  <w:r>
                    <w:t>1m</w:t>
                  </w:r>
                </w:p>
              </w:tc>
            </w:tr>
            <w:tr w14:paraId="09E7669F">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3BF04BB8">
                  <w:pPr>
                    <w:jc w:val="center"/>
                  </w:pPr>
                </w:p>
              </w:tc>
              <w:tc>
                <w:tcPr>
                  <w:tcW w:w="260" w:type="pct"/>
                  <w:vMerge w:val="continue"/>
                </w:tcPr>
                <w:p w14:paraId="19EA3217">
                  <w:pPr>
                    <w:jc w:val="center"/>
                  </w:pPr>
                </w:p>
              </w:tc>
              <w:tc>
                <w:tcPr>
                  <w:tcW w:w="279" w:type="pct"/>
                  <w:vMerge w:val="continue"/>
                </w:tcPr>
                <w:p w14:paraId="0E0EF8F3">
                  <w:pPr>
                    <w:jc w:val="center"/>
                  </w:pPr>
                </w:p>
              </w:tc>
              <w:tc>
                <w:tcPr>
                  <w:tcW w:w="597" w:type="pct"/>
                  <w:vMerge w:val="continue"/>
                </w:tcPr>
                <w:p w14:paraId="2C13A08B">
                  <w:pPr>
                    <w:jc w:val="center"/>
                  </w:pPr>
                </w:p>
              </w:tc>
              <w:tc>
                <w:tcPr>
                  <w:tcW w:w="264" w:type="pct"/>
                  <w:vMerge w:val="continue"/>
                </w:tcPr>
                <w:p w14:paraId="1201D7F8">
                  <w:pPr>
                    <w:jc w:val="center"/>
                  </w:pPr>
                </w:p>
              </w:tc>
              <w:tc>
                <w:tcPr>
                  <w:tcW w:w="178" w:type="pct"/>
                  <w:vMerge w:val="continue"/>
                </w:tcPr>
                <w:p w14:paraId="2B54B760">
                  <w:pPr>
                    <w:jc w:val="center"/>
                  </w:pPr>
                </w:p>
              </w:tc>
              <w:tc>
                <w:tcPr>
                  <w:tcW w:w="242" w:type="pct"/>
                  <w:vMerge w:val="continue"/>
                </w:tcPr>
                <w:p w14:paraId="11CD6685">
                  <w:pPr>
                    <w:jc w:val="center"/>
                  </w:pPr>
                </w:p>
              </w:tc>
              <w:tc>
                <w:tcPr>
                  <w:tcW w:w="153" w:type="pct"/>
                  <w:vMerge w:val="continue"/>
                </w:tcPr>
                <w:p w14:paraId="6EAC9EE2">
                  <w:pPr>
                    <w:jc w:val="center"/>
                  </w:pPr>
                </w:p>
              </w:tc>
              <w:tc>
                <w:tcPr>
                  <w:tcW w:w="168" w:type="pct"/>
                  <w:shd w:val="clear" w:color="auto" w:fill="auto"/>
                  <w:vAlign w:val="center"/>
                </w:tcPr>
                <w:p w14:paraId="604C4B3D">
                  <w:pPr>
                    <w:jc w:val="center"/>
                    <w:rPr>
                      <w:rFonts w:ascii="Times New Roman" w:hAnsi="Times New Roman" w:eastAsia="宋体" w:cs="Times New Roman"/>
                      <w:kern w:val="2"/>
                      <w:sz w:val="21"/>
                      <w:szCs w:val="21"/>
                      <w:lang w:val="en-US" w:eastAsia="zh-CN" w:bidi="ar-SA"/>
                    </w:rPr>
                  </w:pPr>
                  <w:r>
                    <w:t>西</w:t>
                  </w:r>
                </w:p>
              </w:tc>
              <w:tc>
                <w:tcPr>
                  <w:tcW w:w="232" w:type="pct"/>
                  <w:shd w:val="clear" w:color="auto" w:fill="auto"/>
                  <w:vAlign w:val="center"/>
                </w:tcPr>
                <w:p w14:paraId="76A2E1B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68</w:t>
                  </w:r>
                </w:p>
              </w:tc>
              <w:tc>
                <w:tcPr>
                  <w:tcW w:w="597" w:type="pct"/>
                  <w:shd w:val="clear" w:color="auto" w:fill="auto"/>
                  <w:vAlign w:val="center"/>
                </w:tcPr>
                <w:p w14:paraId="655AD2F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43.3 </w:t>
                  </w:r>
                </w:p>
              </w:tc>
              <w:tc>
                <w:tcPr>
                  <w:tcW w:w="366" w:type="pct"/>
                  <w:vMerge w:val="continue"/>
                </w:tcPr>
                <w:p w14:paraId="38475EAE">
                  <w:pPr>
                    <w:jc w:val="center"/>
                  </w:pPr>
                </w:p>
              </w:tc>
              <w:tc>
                <w:tcPr>
                  <w:tcW w:w="598" w:type="pct"/>
                  <w:shd w:val="clear" w:color="auto" w:fill="auto"/>
                  <w:vAlign w:val="center"/>
                </w:tcPr>
                <w:p w14:paraId="219BBD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04CA4C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31.9 </w:t>
                  </w:r>
                </w:p>
              </w:tc>
              <w:tc>
                <w:tcPr>
                  <w:tcW w:w="274" w:type="pct"/>
                  <w:shd w:val="clear" w:color="auto" w:fill="auto"/>
                  <w:vAlign w:val="center"/>
                </w:tcPr>
                <w:p w14:paraId="3C82A8E4">
                  <w:pPr>
                    <w:jc w:val="center"/>
                    <w:rPr>
                      <w:rFonts w:ascii="Times New Roman" w:hAnsi="Times New Roman" w:eastAsia="宋体" w:cs="Times New Roman"/>
                      <w:kern w:val="2"/>
                      <w:sz w:val="21"/>
                      <w:szCs w:val="21"/>
                      <w:lang w:val="en-US" w:eastAsia="zh-CN" w:bidi="ar-SA"/>
                    </w:rPr>
                  </w:pPr>
                  <w:r>
                    <w:t>1m</w:t>
                  </w:r>
                </w:p>
              </w:tc>
            </w:tr>
            <w:tr w14:paraId="419943E9">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7D2CD29A">
                  <w:pPr>
                    <w:jc w:val="center"/>
                  </w:pPr>
                </w:p>
              </w:tc>
              <w:tc>
                <w:tcPr>
                  <w:tcW w:w="260" w:type="pct"/>
                  <w:vMerge w:val="continue"/>
                </w:tcPr>
                <w:p w14:paraId="724BEF8D">
                  <w:pPr>
                    <w:jc w:val="center"/>
                  </w:pPr>
                </w:p>
              </w:tc>
              <w:tc>
                <w:tcPr>
                  <w:tcW w:w="279" w:type="pct"/>
                  <w:vMerge w:val="continue"/>
                </w:tcPr>
                <w:p w14:paraId="60306E85">
                  <w:pPr>
                    <w:jc w:val="center"/>
                  </w:pPr>
                </w:p>
              </w:tc>
              <w:tc>
                <w:tcPr>
                  <w:tcW w:w="597" w:type="pct"/>
                  <w:vMerge w:val="continue"/>
                </w:tcPr>
                <w:p w14:paraId="667778A9">
                  <w:pPr>
                    <w:jc w:val="center"/>
                  </w:pPr>
                </w:p>
              </w:tc>
              <w:tc>
                <w:tcPr>
                  <w:tcW w:w="264" w:type="pct"/>
                  <w:vMerge w:val="continue"/>
                </w:tcPr>
                <w:p w14:paraId="31F14EF9">
                  <w:pPr>
                    <w:jc w:val="center"/>
                  </w:pPr>
                </w:p>
              </w:tc>
              <w:tc>
                <w:tcPr>
                  <w:tcW w:w="178" w:type="pct"/>
                  <w:vMerge w:val="continue"/>
                </w:tcPr>
                <w:p w14:paraId="0EEF8157">
                  <w:pPr>
                    <w:jc w:val="center"/>
                  </w:pPr>
                </w:p>
              </w:tc>
              <w:tc>
                <w:tcPr>
                  <w:tcW w:w="242" w:type="pct"/>
                  <w:vMerge w:val="continue"/>
                </w:tcPr>
                <w:p w14:paraId="2A77DF0A">
                  <w:pPr>
                    <w:jc w:val="center"/>
                  </w:pPr>
                </w:p>
              </w:tc>
              <w:tc>
                <w:tcPr>
                  <w:tcW w:w="153" w:type="pct"/>
                  <w:vMerge w:val="continue"/>
                </w:tcPr>
                <w:p w14:paraId="230D06BB">
                  <w:pPr>
                    <w:jc w:val="center"/>
                  </w:pPr>
                </w:p>
              </w:tc>
              <w:tc>
                <w:tcPr>
                  <w:tcW w:w="168" w:type="pct"/>
                  <w:shd w:val="clear" w:color="auto" w:fill="auto"/>
                  <w:vAlign w:val="center"/>
                </w:tcPr>
                <w:p w14:paraId="55F825CC">
                  <w:pPr>
                    <w:jc w:val="center"/>
                    <w:rPr>
                      <w:rFonts w:ascii="Times New Roman" w:hAnsi="Times New Roman" w:eastAsia="宋体" w:cs="Times New Roman"/>
                      <w:kern w:val="2"/>
                      <w:sz w:val="21"/>
                      <w:szCs w:val="21"/>
                      <w:lang w:val="en-US" w:eastAsia="zh-CN" w:bidi="ar-SA"/>
                    </w:rPr>
                  </w:pPr>
                  <w:r>
                    <w:t>北</w:t>
                  </w:r>
                </w:p>
              </w:tc>
              <w:tc>
                <w:tcPr>
                  <w:tcW w:w="232" w:type="pct"/>
                  <w:shd w:val="clear" w:color="auto" w:fill="auto"/>
                  <w:vAlign w:val="center"/>
                </w:tcPr>
                <w:p w14:paraId="46FD96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w:t>
                  </w:r>
                </w:p>
              </w:tc>
              <w:tc>
                <w:tcPr>
                  <w:tcW w:w="597" w:type="pct"/>
                  <w:shd w:val="clear" w:color="auto" w:fill="auto"/>
                  <w:vAlign w:val="center"/>
                </w:tcPr>
                <w:p w14:paraId="4013291A">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68.0 </w:t>
                  </w:r>
                </w:p>
              </w:tc>
              <w:tc>
                <w:tcPr>
                  <w:tcW w:w="366" w:type="pct"/>
                  <w:vMerge w:val="continue"/>
                </w:tcPr>
                <w:p w14:paraId="498CE8CE">
                  <w:pPr>
                    <w:jc w:val="center"/>
                  </w:pPr>
                </w:p>
              </w:tc>
              <w:tc>
                <w:tcPr>
                  <w:tcW w:w="598" w:type="pct"/>
                  <w:shd w:val="clear" w:color="auto" w:fill="auto"/>
                  <w:vAlign w:val="center"/>
                </w:tcPr>
                <w:p w14:paraId="45F266E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39AC652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22.0 </w:t>
                  </w:r>
                </w:p>
              </w:tc>
              <w:tc>
                <w:tcPr>
                  <w:tcW w:w="274" w:type="pct"/>
                  <w:shd w:val="clear" w:color="auto" w:fill="auto"/>
                  <w:vAlign w:val="center"/>
                </w:tcPr>
                <w:p w14:paraId="5519E079">
                  <w:pPr>
                    <w:jc w:val="center"/>
                    <w:rPr>
                      <w:rFonts w:ascii="Times New Roman" w:hAnsi="Times New Roman" w:eastAsia="宋体" w:cs="Times New Roman"/>
                      <w:kern w:val="2"/>
                      <w:sz w:val="21"/>
                      <w:szCs w:val="21"/>
                      <w:lang w:val="en-US" w:eastAsia="zh-CN" w:bidi="ar-SA"/>
                    </w:rPr>
                  </w:pPr>
                  <w:r>
                    <w:t>1m</w:t>
                  </w:r>
                </w:p>
              </w:tc>
            </w:tr>
            <w:tr w14:paraId="4AA2451A">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restart"/>
                  <w:shd w:val="clear" w:color="auto" w:fill="auto"/>
                  <w:vAlign w:val="center"/>
                </w:tcPr>
                <w:p w14:paraId="0CF94119">
                  <w:pPr>
                    <w:jc w:val="center"/>
                    <w:rPr>
                      <w:rFonts w:hint="default" w:ascii="Times New Roman" w:hAnsi="Times New Roman" w:eastAsia="宋体" w:cs="Times New Roman"/>
                      <w:kern w:val="2"/>
                      <w:sz w:val="21"/>
                      <w:szCs w:val="21"/>
                      <w:lang w:val="en-US" w:eastAsia="zh-CN" w:bidi="ar-SA"/>
                    </w:rPr>
                  </w:pPr>
                  <w:r>
                    <w:rPr>
                      <w:rFonts w:hint="eastAsia" w:eastAsia="宋体" w:cs="Times New Roman"/>
                      <w:kern w:val="2"/>
                      <w:sz w:val="21"/>
                      <w:szCs w:val="21"/>
                      <w:lang w:val="en-US" w:eastAsia="zh-CN" w:bidi="ar-SA"/>
                    </w:rPr>
                    <w:t>13</w:t>
                  </w:r>
                </w:p>
              </w:tc>
              <w:tc>
                <w:tcPr>
                  <w:tcW w:w="260" w:type="pct"/>
                  <w:vMerge w:val="restart"/>
                  <w:shd w:val="clear" w:color="auto" w:fill="auto"/>
                  <w:vAlign w:val="center"/>
                </w:tcPr>
                <w:p w14:paraId="332EF342">
                  <w:pPr>
                    <w:jc w:val="center"/>
                    <w:rPr>
                      <w:rFonts w:ascii="Times New Roman" w:hAnsi="Times New Roman" w:eastAsia="宋体" w:cs="Times New Roman"/>
                      <w:kern w:val="2"/>
                      <w:sz w:val="21"/>
                      <w:szCs w:val="21"/>
                      <w:lang w:val="en-US" w:eastAsia="zh-CN" w:bidi="ar-SA"/>
                    </w:rPr>
                  </w:pPr>
                  <w:r>
                    <w:rPr>
                      <w:rFonts w:hint="eastAsia"/>
                      <w:lang w:val="en-US" w:eastAsia="zh-CN"/>
                    </w:rPr>
                    <w:t>11栋4F</w:t>
                  </w:r>
                </w:p>
              </w:tc>
              <w:tc>
                <w:tcPr>
                  <w:tcW w:w="279" w:type="pct"/>
                  <w:vMerge w:val="restart"/>
                  <w:shd w:val="clear" w:color="auto" w:fill="auto"/>
                  <w:vAlign w:val="center"/>
                </w:tcPr>
                <w:p w14:paraId="40450053">
                  <w:pPr>
                    <w:jc w:val="center"/>
                    <w:rPr>
                      <w:rFonts w:ascii="Times New Roman" w:hAnsi="Times New Roman" w:eastAsia="宋体" w:cs="Times New Roman"/>
                      <w:kern w:val="2"/>
                      <w:sz w:val="21"/>
                      <w:szCs w:val="21"/>
                      <w:lang w:val="en-US" w:eastAsia="zh-CN" w:bidi="ar-SA"/>
                    </w:rPr>
                  </w:pPr>
                  <w:r>
                    <w:rPr>
                      <w:rFonts w:hint="eastAsia"/>
                      <w:lang w:val="en-US" w:eastAsia="zh-CN"/>
                    </w:rPr>
                    <w:t>自动焊接机</w:t>
                  </w:r>
                </w:p>
              </w:tc>
              <w:tc>
                <w:tcPr>
                  <w:tcW w:w="597" w:type="pct"/>
                  <w:vMerge w:val="restart"/>
                  <w:shd w:val="clear" w:color="auto" w:fill="auto"/>
                  <w:vAlign w:val="center"/>
                </w:tcPr>
                <w:p w14:paraId="55D382E8">
                  <w:pPr>
                    <w:jc w:val="center"/>
                    <w:rPr>
                      <w:rFonts w:ascii="Times New Roman" w:hAnsi="Times New Roman" w:eastAsia="宋体" w:cs="Times New Roman"/>
                      <w:kern w:val="2"/>
                      <w:sz w:val="21"/>
                      <w:szCs w:val="21"/>
                      <w:lang w:val="en-US" w:eastAsia="zh-CN" w:bidi="ar-SA"/>
                    </w:rPr>
                  </w:pPr>
                  <w:r>
                    <w:rPr>
                      <w:rFonts w:hint="eastAsia"/>
                      <w:lang w:val="en-US" w:eastAsia="zh-CN"/>
                    </w:rPr>
                    <w:t>80</w:t>
                  </w:r>
                  <w:r>
                    <w:t>/1</w:t>
                  </w:r>
                </w:p>
              </w:tc>
              <w:tc>
                <w:tcPr>
                  <w:tcW w:w="264" w:type="pct"/>
                  <w:vMerge w:val="restart"/>
                  <w:shd w:val="clear" w:color="auto" w:fill="auto"/>
                  <w:textDirection w:val="tbRlV"/>
                  <w:vAlign w:val="center"/>
                </w:tcPr>
                <w:p w14:paraId="1997730F">
                  <w:pPr>
                    <w:jc w:val="center"/>
                    <w:rPr>
                      <w:rFonts w:ascii="Times New Roman" w:hAnsi="Times New Roman" w:eastAsia="宋体" w:cs="Times New Roman"/>
                      <w:kern w:val="2"/>
                      <w:sz w:val="21"/>
                      <w:szCs w:val="21"/>
                      <w:lang w:val="en-US" w:eastAsia="zh-CN" w:bidi="ar-SA"/>
                    </w:rPr>
                  </w:pPr>
                </w:p>
              </w:tc>
              <w:tc>
                <w:tcPr>
                  <w:tcW w:w="178" w:type="pct"/>
                  <w:vMerge w:val="restart"/>
                  <w:shd w:val="clear" w:color="auto" w:fill="auto"/>
                  <w:vAlign w:val="center"/>
                </w:tcPr>
                <w:p w14:paraId="30566A52">
                  <w:pPr>
                    <w:jc w:val="center"/>
                    <w:rPr>
                      <w:rFonts w:hint="default" w:ascii="Times New Roman" w:hAnsi="Times New Roman" w:eastAsia="宋体" w:cs="Times New Roman"/>
                      <w:kern w:val="2"/>
                      <w:sz w:val="21"/>
                      <w:szCs w:val="21"/>
                      <w:lang w:val="en-US" w:eastAsia="zh-CN" w:bidi="ar-SA"/>
                    </w:rPr>
                  </w:pPr>
                  <w:r>
                    <w:rPr>
                      <w:rFonts w:hint="eastAsia"/>
                      <w:lang w:val="en-US" w:eastAsia="zh-CN"/>
                    </w:rPr>
                    <w:t>-28</w:t>
                  </w:r>
                </w:p>
              </w:tc>
              <w:tc>
                <w:tcPr>
                  <w:tcW w:w="242" w:type="pct"/>
                  <w:vMerge w:val="restart"/>
                  <w:shd w:val="clear" w:color="auto" w:fill="auto"/>
                  <w:vAlign w:val="center"/>
                </w:tcPr>
                <w:p w14:paraId="4D546377">
                  <w:pPr>
                    <w:jc w:val="center"/>
                    <w:rPr>
                      <w:rFonts w:hint="default" w:ascii="Times New Roman" w:hAnsi="Times New Roman" w:eastAsia="宋体" w:cs="Times New Roman"/>
                      <w:kern w:val="2"/>
                      <w:sz w:val="21"/>
                      <w:szCs w:val="21"/>
                      <w:lang w:val="en-US" w:eastAsia="zh-CN" w:bidi="ar-SA"/>
                    </w:rPr>
                  </w:pPr>
                  <w:r>
                    <w:rPr>
                      <w:rFonts w:hint="eastAsia"/>
                      <w:lang w:val="en-US" w:eastAsia="zh-CN"/>
                    </w:rPr>
                    <w:t>-17</w:t>
                  </w:r>
                </w:p>
              </w:tc>
              <w:tc>
                <w:tcPr>
                  <w:tcW w:w="153" w:type="pct"/>
                  <w:vMerge w:val="restart"/>
                  <w:shd w:val="clear" w:color="auto" w:fill="auto"/>
                  <w:vAlign w:val="center"/>
                </w:tcPr>
                <w:p w14:paraId="4026F582">
                  <w:pPr>
                    <w:jc w:val="center"/>
                    <w:rPr>
                      <w:rFonts w:hint="default" w:ascii="Times New Roman" w:hAnsi="Times New Roman" w:eastAsia="宋体" w:cs="Times New Roman"/>
                      <w:kern w:val="2"/>
                      <w:sz w:val="21"/>
                      <w:szCs w:val="21"/>
                      <w:lang w:val="en-US" w:eastAsia="zh-CN" w:bidi="ar-SA"/>
                    </w:rPr>
                  </w:pPr>
                  <w:r>
                    <w:rPr>
                      <w:rFonts w:hint="eastAsia"/>
                      <w:lang w:val="en-US" w:eastAsia="zh-CN"/>
                    </w:rPr>
                    <w:t>17</w:t>
                  </w:r>
                </w:p>
              </w:tc>
              <w:tc>
                <w:tcPr>
                  <w:tcW w:w="168" w:type="pct"/>
                  <w:shd w:val="clear" w:color="auto" w:fill="auto"/>
                  <w:vAlign w:val="center"/>
                </w:tcPr>
                <w:p w14:paraId="309B3AD7">
                  <w:pPr>
                    <w:jc w:val="center"/>
                    <w:rPr>
                      <w:rFonts w:ascii="Times New Roman" w:hAnsi="Times New Roman" w:eastAsia="宋体" w:cs="Times New Roman"/>
                      <w:kern w:val="2"/>
                      <w:sz w:val="21"/>
                      <w:szCs w:val="21"/>
                      <w:lang w:val="en-US" w:eastAsia="zh-CN" w:bidi="ar-SA"/>
                    </w:rPr>
                  </w:pPr>
                  <w:r>
                    <w:t>东</w:t>
                  </w:r>
                </w:p>
              </w:tc>
              <w:tc>
                <w:tcPr>
                  <w:tcW w:w="232" w:type="pct"/>
                  <w:shd w:val="clear" w:color="auto" w:fill="auto"/>
                  <w:vAlign w:val="center"/>
                </w:tcPr>
                <w:p w14:paraId="6B7FF6A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60</w:t>
                  </w:r>
                </w:p>
              </w:tc>
              <w:tc>
                <w:tcPr>
                  <w:tcW w:w="597" w:type="pct"/>
                  <w:shd w:val="clear" w:color="auto" w:fill="auto"/>
                  <w:vAlign w:val="center"/>
                </w:tcPr>
                <w:p w14:paraId="6FEE96E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44.4 </w:t>
                  </w:r>
                </w:p>
              </w:tc>
              <w:tc>
                <w:tcPr>
                  <w:tcW w:w="366" w:type="pct"/>
                  <w:vMerge w:val="continue"/>
                  <w:shd w:val="clear" w:color="auto" w:fill="auto"/>
                  <w:vAlign w:val="center"/>
                </w:tcPr>
                <w:p w14:paraId="135CA452">
                  <w:pPr>
                    <w:jc w:val="center"/>
                    <w:rPr>
                      <w:rFonts w:ascii="Times New Roman" w:hAnsi="Times New Roman" w:eastAsia="宋体" w:cs="Times New Roman"/>
                      <w:kern w:val="2"/>
                      <w:sz w:val="21"/>
                      <w:szCs w:val="21"/>
                      <w:lang w:val="en-US" w:eastAsia="zh-CN" w:bidi="ar-SA"/>
                    </w:rPr>
                  </w:pPr>
                </w:p>
              </w:tc>
              <w:tc>
                <w:tcPr>
                  <w:tcW w:w="598" w:type="pct"/>
                  <w:shd w:val="clear" w:color="auto" w:fill="auto"/>
                  <w:vAlign w:val="center"/>
                </w:tcPr>
                <w:p w14:paraId="0D2ACB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405DAE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33.1 </w:t>
                  </w:r>
                </w:p>
              </w:tc>
              <w:tc>
                <w:tcPr>
                  <w:tcW w:w="274" w:type="pct"/>
                  <w:shd w:val="clear" w:color="auto" w:fill="auto"/>
                  <w:vAlign w:val="center"/>
                </w:tcPr>
                <w:p w14:paraId="63C4AE1B">
                  <w:pPr>
                    <w:jc w:val="center"/>
                    <w:rPr>
                      <w:rFonts w:ascii="Times New Roman" w:hAnsi="Times New Roman" w:eastAsia="宋体" w:cs="Times New Roman"/>
                      <w:kern w:val="2"/>
                      <w:sz w:val="21"/>
                      <w:szCs w:val="21"/>
                      <w:lang w:val="en-US" w:eastAsia="zh-CN" w:bidi="ar-SA"/>
                    </w:rPr>
                  </w:pPr>
                  <w:r>
                    <w:t>1m</w:t>
                  </w:r>
                </w:p>
              </w:tc>
            </w:tr>
            <w:tr w14:paraId="3948FCBB">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421E7C87">
                  <w:pPr>
                    <w:jc w:val="center"/>
                  </w:pPr>
                </w:p>
              </w:tc>
              <w:tc>
                <w:tcPr>
                  <w:tcW w:w="260" w:type="pct"/>
                  <w:vMerge w:val="continue"/>
                </w:tcPr>
                <w:p w14:paraId="2D068066">
                  <w:pPr>
                    <w:jc w:val="center"/>
                  </w:pPr>
                </w:p>
              </w:tc>
              <w:tc>
                <w:tcPr>
                  <w:tcW w:w="279" w:type="pct"/>
                  <w:vMerge w:val="continue"/>
                </w:tcPr>
                <w:p w14:paraId="3854D49C">
                  <w:pPr>
                    <w:jc w:val="center"/>
                  </w:pPr>
                </w:p>
              </w:tc>
              <w:tc>
                <w:tcPr>
                  <w:tcW w:w="597" w:type="pct"/>
                  <w:vMerge w:val="continue"/>
                </w:tcPr>
                <w:p w14:paraId="244AA11C">
                  <w:pPr>
                    <w:jc w:val="center"/>
                  </w:pPr>
                </w:p>
              </w:tc>
              <w:tc>
                <w:tcPr>
                  <w:tcW w:w="264" w:type="pct"/>
                  <w:vMerge w:val="continue"/>
                </w:tcPr>
                <w:p w14:paraId="318E681C">
                  <w:pPr>
                    <w:jc w:val="center"/>
                  </w:pPr>
                </w:p>
              </w:tc>
              <w:tc>
                <w:tcPr>
                  <w:tcW w:w="178" w:type="pct"/>
                  <w:vMerge w:val="continue"/>
                </w:tcPr>
                <w:p w14:paraId="6F9BBD54">
                  <w:pPr>
                    <w:jc w:val="center"/>
                  </w:pPr>
                </w:p>
              </w:tc>
              <w:tc>
                <w:tcPr>
                  <w:tcW w:w="242" w:type="pct"/>
                  <w:vMerge w:val="continue"/>
                </w:tcPr>
                <w:p w14:paraId="573FCD3B">
                  <w:pPr>
                    <w:jc w:val="center"/>
                  </w:pPr>
                </w:p>
              </w:tc>
              <w:tc>
                <w:tcPr>
                  <w:tcW w:w="153" w:type="pct"/>
                  <w:vMerge w:val="continue"/>
                </w:tcPr>
                <w:p w14:paraId="0C319259">
                  <w:pPr>
                    <w:jc w:val="center"/>
                  </w:pPr>
                </w:p>
              </w:tc>
              <w:tc>
                <w:tcPr>
                  <w:tcW w:w="168" w:type="pct"/>
                  <w:shd w:val="clear" w:color="auto" w:fill="auto"/>
                  <w:vAlign w:val="center"/>
                </w:tcPr>
                <w:p w14:paraId="7F388904">
                  <w:pPr>
                    <w:jc w:val="center"/>
                    <w:rPr>
                      <w:rFonts w:ascii="Times New Roman" w:hAnsi="Times New Roman" w:eastAsia="宋体" w:cs="Times New Roman"/>
                      <w:kern w:val="2"/>
                      <w:sz w:val="21"/>
                      <w:szCs w:val="21"/>
                      <w:lang w:val="en-US" w:eastAsia="zh-CN" w:bidi="ar-SA"/>
                    </w:rPr>
                  </w:pPr>
                  <w:r>
                    <w:t>南</w:t>
                  </w:r>
                </w:p>
              </w:tc>
              <w:tc>
                <w:tcPr>
                  <w:tcW w:w="232" w:type="pct"/>
                  <w:shd w:val="clear" w:color="auto" w:fill="auto"/>
                  <w:vAlign w:val="center"/>
                </w:tcPr>
                <w:p w14:paraId="7CF58FD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9</w:t>
                  </w:r>
                </w:p>
              </w:tc>
              <w:tc>
                <w:tcPr>
                  <w:tcW w:w="597" w:type="pct"/>
                  <w:shd w:val="clear" w:color="auto" w:fill="auto"/>
                  <w:vAlign w:val="center"/>
                </w:tcPr>
                <w:p w14:paraId="7020C9F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60.9 </w:t>
                  </w:r>
                </w:p>
              </w:tc>
              <w:tc>
                <w:tcPr>
                  <w:tcW w:w="366" w:type="pct"/>
                  <w:vMerge w:val="continue"/>
                  <w:shd w:val="clear" w:color="auto" w:fill="auto"/>
                  <w:vAlign w:val="top"/>
                </w:tcPr>
                <w:p w14:paraId="042CA39F">
                  <w:pPr>
                    <w:jc w:val="center"/>
                    <w:rPr>
                      <w:rFonts w:ascii="Times New Roman" w:hAnsi="Times New Roman" w:eastAsia="宋体" w:cs="Times New Roman"/>
                      <w:kern w:val="2"/>
                      <w:sz w:val="21"/>
                      <w:szCs w:val="21"/>
                      <w:lang w:val="en-US" w:eastAsia="zh-CN" w:bidi="ar-SA"/>
                    </w:rPr>
                  </w:pPr>
                </w:p>
              </w:tc>
              <w:tc>
                <w:tcPr>
                  <w:tcW w:w="598" w:type="pct"/>
                  <w:shd w:val="clear" w:color="auto" w:fill="auto"/>
                  <w:vAlign w:val="center"/>
                </w:tcPr>
                <w:p w14:paraId="03BC59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717D9E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36.0 </w:t>
                  </w:r>
                </w:p>
              </w:tc>
              <w:tc>
                <w:tcPr>
                  <w:tcW w:w="274" w:type="pct"/>
                  <w:shd w:val="clear" w:color="auto" w:fill="auto"/>
                  <w:vAlign w:val="center"/>
                </w:tcPr>
                <w:p w14:paraId="0DB48DCA">
                  <w:pPr>
                    <w:jc w:val="center"/>
                    <w:rPr>
                      <w:rFonts w:ascii="Times New Roman" w:hAnsi="Times New Roman" w:eastAsia="宋体" w:cs="Times New Roman"/>
                      <w:kern w:val="2"/>
                      <w:sz w:val="21"/>
                      <w:szCs w:val="21"/>
                      <w:lang w:val="en-US" w:eastAsia="zh-CN" w:bidi="ar-SA"/>
                    </w:rPr>
                  </w:pPr>
                  <w:r>
                    <w:t>1m</w:t>
                  </w:r>
                </w:p>
              </w:tc>
            </w:tr>
            <w:tr w14:paraId="4DAD7F24">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2BEC74E5">
                  <w:pPr>
                    <w:jc w:val="center"/>
                  </w:pPr>
                </w:p>
              </w:tc>
              <w:tc>
                <w:tcPr>
                  <w:tcW w:w="260" w:type="pct"/>
                  <w:vMerge w:val="continue"/>
                </w:tcPr>
                <w:p w14:paraId="013B3802">
                  <w:pPr>
                    <w:jc w:val="center"/>
                  </w:pPr>
                </w:p>
              </w:tc>
              <w:tc>
                <w:tcPr>
                  <w:tcW w:w="279" w:type="pct"/>
                  <w:vMerge w:val="continue"/>
                </w:tcPr>
                <w:p w14:paraId="314C95AA">
                  <w:pPr>
                    <w:jc w:val="center"/>
                  </w:pPr>
                </w:p>
              </w:tc>
              <w:tc>
                <w:tcPr>
                  <w:tcW w:w="597" w:type="pct"/>
                  <w:vMerge w:val="continue"/>
                </w:tcPr>
                <w:p w14:paraId="0CD5703D">
                  <w:pPr>
                    <w:jc w:val="center"/>
                  </w:pPr>
                </w:p>
              </w:tc>
              <w:tc>
                <w:tcPr>
                  <w:tcW w:w="264" w:type="pct"/>
                  <w:vMerge w:val="continue"/>
                </w:tcPr>
                <w:p w14:paraId="09CC7047">
                  <w:pPr>
                    <w:jc w:val="center"/>
                  </w:pPr>
                </w:p>
              </w:tc>
              <w:tc>
                <w:tcPr>
                  <w:tcW w:w="178" w:type="pct"/>
                  <w:vMerge w:val="continue"/>
                </w:tcPr>
                <w:p w14:paraId="46268C25">
                  <w:pPr>
                    <w:jc w:val="center"/>
                  </w:pPr>
                </w:p>
              </w:tc>
              <w:tc>
                <w:tcPr>
                  <w:tcW w:w="242" w:type="pct"/>
                  <w:vMerge w:val="continue"/>
                </w:tcPr>
                <w:p w14:paraId="27F5D704">
                  <w:pPr>
                    <w:jc w:val="center"/>
                  </w:pPr>
                </w:p>
              </w:tc>
              <w:tc>
                <w:tcPr>
                  <w:tcW w:w="153" w:type="pct"/>
                  <w:vMerge w:val="continue"/>
                </w:tcPr>
                <w:p w14:paraId="741759FB">
                  <w:pPr>
                    <w:jc w:val="center"/>
                  </w:pPr>
                </w:p>
              </w:tc>
              <w:tc>
                <w:tcPr>
                  <w:tcW w:w="168" w:type="pct"/>
                  <w:shd w:val="clear" w:color="auto" w:fill="auto"/>
                  <w:vAlign w:val="center"/>
                </w:tcPr>
                <w:p w14:paraId="635354BA">
                  <w:pPr>
                    <w:jc w:val="center"/>
                    <w:rPr>
                      <w:rFonts w:ascii="Times New Roman" w:hAnsi="Times New Roman" w:eastAsia="宋体" w:cs="Times New Roman"/>
                      <w:kern w:val="2"/>
                      <w:sz w:val="21"/>
                      <w:szCs w:val="21"/>
                      <w:lang w:val="en-US" w:eastAsia="zh-CN" w:bidi="ar-SA"/>
                    </w:rPr>
                  </w:pPr>
                  <w:r>
                    <w:t>西</w:t>
                  </w:r>
                </w:p>
              </w:tc>
              <w:tc>
                <w:tcPr>
                  <w:tcW w:w="232" w:type="pct"/>
                  <w:shd w:val="clear" w:color="auto" w:fill="auto"/>
                  <w:vAlign w:val="center"/>
                </w:tcPr>
                <w:p w14:paraId="283E5B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20</w:t>
                  </w:r>
                </w:p>
              </w:tc>
              <w:tc>
                <w:tcPr>
                  <w:tcW w:w="597" w:type="pct"/>
                  <w:shd w:val="clear" w:color="auto" w:fill="auto"/>
                  <w:vAlign w:val="center"/>
                </w:tcPr>
                <w:p w14:paraId="0C9026FE">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54.0 </w:t>
                  </w:r>
                </w:p>
              </w:tc>
              <w:tc>
                <w:tcPr>
                  <w:tcW w:w="366" w:type="pct"/>
                  <w:vMerge w:val="continue"/>
                  <w:shd w:val="clear" w:color="auto" w:fill="auto"/>
                  <w:vAlign w:val="top"/>
                </w:tcPr>
                <w:p w14:paraId="65D7CC30">
                  <w:pPr>
                    <w:jc w:val="center"/>
                    <w:rPr>
                      <w:rFonts w:ascii="Times New Roman" w:hAnsi="Times New Roman" w:eastAsia="宋体" w:cs="Times New Roman"/>
                      <w:kern w:val="2"/>
                      <w:sz w:val="21"/>
                      <w:szCs w:val="21"/>
                      <w:lang w:val="en-US" w:eastAsia="zh-CN" w:bidi="ar-SA"/>
                    </w:rPr>
                  </w:pPr>
                </w:p>
              </w:tc>
              <w:tc>
                <w:tcPr>
                  <w:tcW w:w="598" w:type="pct"/>
                  <w:shd w:val="clear" w:color="auto" w:fill="auto"/>
                  <w:vAlign w:val="center"/>
                </w:tcPr>
                <w:p w14:paraId="0987151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6AFF767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31.9 </w:t>
                  </w:r>
                </w:p>
              </w:tc>
              <w:tc>
                <w:tcPr>
                  <w:tcW w:w="274" w:type="pct"/>
                  <w:shd w:val="clear" w:color="auto" w:fill="auto"/>
                  <w:vAlign w:val="center"/>
                </w:tcPr>
                <w:p w14:paraId="457F03E3">
                  <w:pPr>
                    <w:jc w:val="center"/>
                    <w:rPr>
                      <w:rFonts w:ascii="Times New Roman" w:hAnsi="Times New Roman" w:eastAsia="宋体" w:cs="Times New Roman"/>
                      <w:kern w:val="2"/>
                      <w:sz w:val="21"/>
                      <w:szCs w:val="21"/>
                      <w:lang w:val="en-US" w:eastAsia="zh-CN" w:bidi="ar-SA"/>
                    </w:rPr>
                  </w:pPr>
                  <w:r>
                    <w:t>1m</w:t>
                  </w:r>
                </w:p>
              </w:tc>
            </w:tr>
            <w:tr w14:paraId="620B31A2">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1" w:hRule="atLeast"/>
              </w:trPr>
              <w:tc>
                <w:tcPr>
                  <w:tcW w:w="187" w:type="pct"/>
                  <w:vMerge w:val="continue"/>
                </w:tcPr>
                <w:p w14:paraId="256EDF8E">
                  <w:pPr>
                    <w:jc w:val="center"/>
                  </w:pPr>
                </w:p>
              </w:tc>
              <w:tc>
                <w:tcPr>
                  <w:tcW w:w="260" w:type="pct"/>
                  <w:vMerge w:val="continue"/>
                </w:tcPr>
                <w:p w14:paraId="0C0AE31F">
                  <w:pPr>
                    <w:jc w:val="center"/>
                  </w:pPr>
                </w:p>
              </w:tc>
              <w:tc>
                <w:tcPr>
                  <w:tcW w:w="279" w:type="pct"/>
                  <w:vMerge w:val="continue"/>
                </w:tcPr>
                <w:p w14:paraId="024DD7B9">
                  <w:pPr>
                    <w:jc w:val="center"/>
                  </w:pPr>
                </w:p>
              </w:tc>
              <w:tc>
                <w:tcPr>
                  <w:tcW w:w="597" w:type="pct"/>
                  <w:vMerge w:val="continue"/>
                </w:tcPr>
                <w:p w14:paraId="41C2F864">
                  <w:pPr>
                    <w:jc w:val="center"/>
                  </w:pPr>
                </w:p>
              </w:tc>
              <w:tc>
                <w:tcPr>
                  <w:tcW w:w="264" w:type="pct"/>
                  <w:vMerge w:val="continue"/>
                </w:tcPr>
                <w:p w14:paraId="14BE1942">
                  <w:pPr>
                    <w:jc w:val="center"/>
                  </w:pPr>
                </w:p>
              </w:tc>
              <w:tc>
                <w:tcPr>
                  <w:tcW w:w="178" w:type="pct"/>
                  <w:vMerge w:val="continue"/>
                </w:tcPr>
                <w:p w14:paraId="518BA7D9">
                  <w:pPr>
                    <w:jc w:val="center"/>
                  </w:pPr>
                </w:p>
              </w:tc>
              <w:tc>
                <w:tcPr>
                  <w:tcW w:w="242" w:type="pct"/>
                  <w:vMerge w:val="continue"/>
                </w:tcPr>
                <w:p w14:paraId="21281EAE">
                  <w:pPr>
                    <w:jc w:val="center"/>
                  </w:pPr>
                </w:p>
              </w:tc>
              <w:tc>
                <w:tcPr>
                  <w:tcW w:w="153" w:type="pct"/>
                  <w:vMerge w:val="continue"/>
                </w:tcPr>
                <w:p w14:paraId="0EB62247">
                  <w:pPr>
                    <w:jc w:val="center"/>
                  </w:pPr>
                </w:p>
              </w:tc>
              <w:tc>
                <w:tcPr>
                  <w:tcW w:w="168" w:type="pct"/>
                  <w:shd w:val="clear" w:color="auto" w:fill="auto"/>
                  <w:vAlign w:val="center"/>
                </w:tcPr>
                <w:p w14:paraId="6385874C">
                  <w:pPr>
                    <w:jc w:val="center"/>
                    <w:rPr>
                      <w:rFonts w:ascii="Times New Roman" w:hAnsi="Times New Roman" w:eastAsia="宋体" w:cs="Times New Roman"/>
                      <w:kern w:val="2"/>
                      <w:sz w:val="21"/>
                      <w:szCs w:val="21"/>
                      <w:lang w:val="en-US" w:eastAsia="zh-CN" w:bidi="ar-SA"/>
                    </w:rPr>
                  </w:pPr>
                  <w:r>
                    <w:t>北</w:t>
                  </w:r>
                </w:p>
              </w:tc>
              <w:tc>
                <w:tcPr>
                  <w:tcW w:w="232" w:type="pct"/>
                  <w:shd w:val="clear" w:color="auto" w:fill="auto"/>
                  <w:vAlign w:val="center"/>
                </w:tcPr>
                <w:p w14:paraId="470DAF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9</w:t>
                  </w:r>
                </w:p>
              </w:tc>
              <w:tc>
                <w:tcPr>
                  <w:tcW w:w="597" w:type="pct"/>
                  <w:shd w:val="clear" w:color="auto" w:fill="auto"/>
                  <w:vAlign w:val="center"/>
                </w:tcPr>
                <w:p w14:paraId="09653F3F">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 xml:space="preserve">60.9 </w:t>
                  </w:r>
                </w:p>
              </w:tc>
              <w:tc>
                <w:tcPr>
                  <w:tcW w:w="366" w:type="pct"/>
                  <w:vMerge w:val="continue"/>
                  <w:shd w:val="clear" w:color="auto" w:fill="auto"/>
                  <w:vAlign w:val="top"/>
                </w:tcPr>
                <w:p w14:paraId="404AC4C7">
                  <w:pPr>
                    <w:jc w:val="center"/>
                    <w:rPr>
                      <w:rFonts w:ascii="Times New Roman" w:hAnsi="Times New Roman" w:eastAsia="宋体" w:cs="Times New Roman"/>
                      <w:kern w:val="2"/>
                      <w:sz w:val="21"/>
                      <w:szCs w:val="21"/>
                      <w:lang w:val="en-US" w:eastAsia="zh-CN" w:bidi="ar-SA"/>
                    </w:rPr>
                  </w:pPr>
                </w:p>
              </w:tc>
              <w:tc>
                <w:tcPr>
                  <w:tcW w:w="598" w:type="pct"/>
                  <w:shd w:val="clear" w:color="auto" w:fill="auto"/>
                  <w:vAlign w:val="center"/>
                </w:tcPr>
                <w:p w14:paraId="5DB35C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598" w:type="pct"/>
                  <w:shd w:val="clear" w:color="auto" w:fill="auto"/>
                  <w:vAlign w:val="center"/>
                </w:tcPr>
                <w:p w14:paraId="0B8A5B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22.0 </w:t>
                  </w:r>
                </w:p>
              </w:tc>
              <w:tc>
                <w:tcPr>
                  <w:tcW w:w="274" w:type="pct"/>
                  <w:shd w:val="clear" w:color="auto" w:fill="auto"/>
                  <w:vAlign w:val="center"/>
                </w:tcPr>
                <w:p w14:paraId="1CFBCB07">
                  <w:pPr>
                    <w:jc w:val="center"/>
                    <w:rPr>
                      <w:rFonts w:ascii="Times New Roman" w:hAnsi="Times New Roman" w:eastAsia="宋体" w:cs="Times New Roman"/>
                      <w:kern w:val="2"/>
                      <w:sz w:val="21"/>
                      <w:szCs w:val="21"/>
                      <w:lang w:val="en-US" w:eastAsia="zh-CN" w:bidi="ar-SA"/>
                    </w:rPr>
                  </w:pPr>
                  <w:r>
                    <w:t>1m</w:t>
                  </w:r>
                </w:p>
              </w:tc>
            </w:tr>
          </w:tbl>
          <w:p w14:paraId="19C56411">
            <w:pPr>
              <w:pStyle w:val="104"/>
              <w:rPr>
                <w:color w:val="auto"/>
                <w:sz w:val="24"/>
                <w:szCs w:val="24"/>
                <w:highlight w:val="none"/>
                <w:u w:val="none" w:color="auto"/>
              </w:rPr>
            </w:pPr>
            <w:r>
              <w:rPr>
                <w:rFonts w:hint="eastAsia" w:ascii="宋体" w:hAnsi="宋体" w:eastAsia="宋体" w:cs="宋体"/>
                <w:color w:val="000000"/>
                <w:kern w:val="0"/>
                <w:sz w:val="18"/>
                <w:szCs w:val="18"/>
                <w:lang w:val="en-US" w:eastAsia="zh-CN" w:bidi="ar"/>
              </w:rPr>
              <w:t>备注：以厂区中心为坐标原点</w:t>
            </w:r>
            <w:r>
              <w:rPr>
                <w:rFonts w:hint="eastAsia" w:ascii="宋体" w:hAnsi="宋体" w:cs="宋体"/>
                <w:color w:val="000000"/>
                <w:kern w:val="0"/>
                <w:sz w:val="18"/>
                <w:szCs w:val="18"/>
                <w:lang w:val="en-US" w:eastAsia="zh-CN" w:bidi="ar"/>
              </w:rPr>
              <w:t>（</w:t>
            </w:r>
            <w:r>
              <w:rPr>
                <w:rFonts w:hint="default" w:ascii="Times New Roman" w:hAnsi="Times New Roman" w:eastAsia="宋体" w:cs="Times New Roman"/>
                <w:color w:val="000000"/>
                <w:kern w:val="0"/>
                <w:sz w:val="18"/>
                <w:szCs w:val="18"/>
                <w:lang w:val="en-US" w:eastAsia="zh-CN" w:bidi="ar"/>
              </w:rPr>
              <w:t>0,0,0</w:t>
            </w:r>
            <w:r>
              <w:rPr>
                <w:rFonts w:hint="eastAsia" w:cs="Times New Roman"/>
                <w:color w:val="000000"/>
                <w:kern w:val="0"/>
                <w:sz w:val="18"/>
                <w:szCs w:val="18"/>
                <w:lang w:val="en-US" w:eastAsia="zh-CN" w:bidi="ar"/>
              </w:rPr>
              <w:t>）</w:t>
            </w:r>
            <w:r>
              <w:rPr>
                <w:rFonts w:hint="eastAsia" w:ascii="宋体" w:hAnsi="宋体" w:eastAsia="宋体" w:cs="宋体"/>
                <w:color w:val="000000"/>
                <w:kern w:val="0"/>
                <w:sz w:val="18"/>
                <w:szCs w:val="18"/>
                <w:lang w:val="en-US" w:eastAsia="zh-CN" w:bidi="ar"/>
              </w:rPr>
              <w:t xml:space="preserve">，以西向东为 </w:t>
            </w:r>
            <w:r>
              <w:rPr>
                <w:rFonts w:hint="default" w:ascii="Times New Roman" w:hAnsi="Times New Roman" w:eastAsia="宋体" w:cs="Times New Roman"/>
                <w:color w:val="000000"/>
                <w:kern w:val="0"/>
                <w:sz w:val="18"/>
                <w:szCs w:val="18"/>
                <w:lang w:val="en-US" w:eastAsia="zh-CN" w:bidi="ar"/>
              </w:rPr>
              <w:t xml:space="preserve">X </w:t>
            </w:r>
            <w:r>
              <w:rPr>
                <w:rFonts w:hint="eastAsia" w:ascii="宋体" w:hAnsi="宋体" w:eastAsia="宋体" w:cs="宋体"/>
                <w:color w:val="000000"/>
                <w:kern w:val="0"/>
                <w:sz w:val="18"/>
                <w:szCs w:val="18"/>
                <w:lang w:val="en-US" w:eastAsia="zh-CN" w:bidi="ar"/>
              </w:rPr>
              <w:t xml:space="preserve">轴，以南向北为 </w:t>
            </w:r>
            <w:r>
              <w:rPr>
                <w:rFonts w:hint="default" w:ascii="Times New Roman" w:hAnsi="Times New Roman" w:eastAsia="宋体" w:cs="Times New Roman"/>
                <w:color w:val="000000"/>
                <w:kern w:val="0"/>
                <w:sz w:val="18"/>
                <w:szCs w:val="18"/>
                <w:lang w:val="en-US" w:eastAsia="zh-CN" w:bidi="ar"/>
              </w:rPr>
              <w:t xml:space="preserve">Y </w:t>
            </w:r>
            <w:r>
              <w:rPr>
                <w:rFonts w:hint="eastAsia" w:ascii="宋体" w:hAnsi="宋体" w:eastAsia="宋体" w:cs="宋体"/>
                <w:color w:val="000000"/>
                <w:kern w:val="0"/>
                <w:sz w:val="18"/>
                <w:szCs w:val="18"/>
                <w:lang w:val="en-US" w:eastAsia="zh-CN" w:bidi="ar"/>
              </w:rPr>
              <w:t xml:space="preserve">轴，地面垂直向上为 </w:t>
            </w:r>
            <w:r>
              <w:rPr>
                <w:rFonts w:hint="default" w:ascii="Times New Roman" w:hAnsi="Times New Roman" w:eastAsia="宋体" w:cs="Times New Roman"/>
                <w:color w:val="000000"/>
                <w:kern w:val="0"/>
                <w:sz w:val="18"/>
                <w:szCs w:val="18"/>
                <w:lang w:val="en-US" w:eastAsia="zh-CN" w:bidi="ar"/>
              </w:rPr>
              <w:t xml:space="preserve">Z </w:t>
            </w:r>
            <w:r>
              <w:rPr>
                <w:rFonts w:hint="eastAsia" w:ascii="宋体" w:hAnsi="宋体" w:eastAsia="宋体" w:cs="宋体"/>
                <w:color w:val="000000"/>
                <w:kern w:val="0"/>
                <w:sz w:val="18"/>
                <w:szCs w:val="18"/>
                <w:lang w:val="en-US" w:eastAsia="zh-CN" w:bidi="ar"/>
              </w:rPr>
              <w:t>轴。</w:t>
            </w:r>
          </w:p>
          <w:p w14:paraId="093415BF">
            <w:pPr>
              <w:pStyle w:val="4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highlight w:val="none"/>
                <w:u w:val="none" w:color="auto"/>
              </w:rPr>
            </w:pPr>
            <w:r>
              <w:rPr>
                <w:color w:val="auto"/>
                <w:sz w:val="24"/>
                <w:szCs w:val="24"/>
                <w:highlight w:val="none"/>
                <w:u w:val="none" w:color="auto"/>
              </w:rPr>
              <w:t>（</w:t>
            </w:r>
            <w:r>
              <w:rPr>
                <w:rFonts w:hint="eastAsia"/>
                <w:color w:val="auto"/>
                <w:sz w:val="24"/>
                <w:szCs w:val="24"/>
                <w:highlight w:val="none"/>
                <w:u w:val="none" w:color="auto"/>
              </w:rPr>
              <w:t>2</w:t>
            </w:r>
            <w:r>
              <w:rPr>
                <w:color w:val="auto"/>
                <w:sz w:val="24"/>
                <w:szCs w:val="24"/>
                <w:highlight w:val="none"/>
                <w:u w:val="none" w:color="auto"/>
              </w:rPr>
              <w:t>）噪声预测</w:t>
            </w:r>
          </w:p>
          <w:p w14:paraId="43794E44">
            <w:pPr>
              <w:pStyle w:val="60"/>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1"/>
                <w:highlight w:val="none"/>
                <w:u w:val="none" w:color="auto"/>
                <w:lang w:val="en-US" w:eastAsia="zh-CN" w:bidi="ar-SA"/>
              </w:rPr>
            </w:pPr>
            <w:r>
              <w:rPr>
                <w:rFonts w:hint="default" w:ascii="Times New Roman" w:hAnsi="Times New Roman" w:eastAsia="宋体" w:cs="Times New Roman"/>
                <w:color w:val="auto"/>
                <w:kern w:val="0"/>
                <w:sz w:val="24"/>
                <w:szCs w:val="21"/>
                <w:highlight w:val="none"/>
                <w:u w:val="none" w:color="auto"/>
                <w:lang w:val="en-US" w:eastAsia="zh-CN" w:bidi="ar-SA"/>
              </w:rPr>
              <w:t>该项目主要噪声源是</w:t>
            </w:r>
            <w:r>
              <w:rPr>
                <w:rFonts w:hint="eastAsia" w:ascii="Times New Roman" w:hAnsi="Times New Roman" w:eastAsia="宋体" w:cs="Times New Roman"/>
                <w:color w:val="auto"/>
                <w:kern w:val="0"/>
                <w:sz w:val="24"/>
                <w:szCs w:val="21"/>
                <w:highlight w:val="none"/>
                <w:u w:val="none" w:color="auto"/>
                <w:lang w:val="en-US" w:eastAsia="zh-CN" w:bidi="ar-SA"/>
              </w:rPr>
              <w:t>生产</w:t>
            </w:r>
            <w:r>
              <w:rPr>
                <w:rFonts w:hint="default" w:ascii="Times New Roman" w:hAnsi="Times New Roman" w:eastAsia="宋体" w:cs="Times New Roman"/>
                <w:color w:val="auto"/>
                <w:kern w:val="0"/>
                <w:sz w:val="24"/>
                <w:szCs w:val="21"/>
                <w:highlight w:val="none"/>
                <w:u w:val="none" w:color="auto"/>
                <w:lang w:val="en-US" w:eastAsia="zh-CN" w:bidi="ar-SA"/>
              </w:rPr>
              <w:t>设备</w:t>
            </w:r>
            <w:r>
              <w:rPr>
                <w:rFonts w:hint="eastAsia" w:ascii="Times New Roman" w:hAnsi="Times New Roman" w:eastAsia="宋体" w:cs="Times New Roman"/>
                <w:color w:val="auto"/>
                <w:kern w:val="0"/>
                <w:sz w:val="24"/>
                <w:szCs w:val="21"/>
                <w:highlight w:val="none"/>
                <w:u w:val="none" w:color="auto"/>
                <w:lang w:val="en-US" w:eastAsia="zh-CN" w:bidi="ar-SA"/>
              </w:rPr>
              <w:t>运行产生的</w:t>
            </w:r>
            <w:r>
              <w:rPr>
                <w:rFonts w:hint="default" w:ascii="Times New Roman" w:hAnsi="Times New Roman" w:eastAsia="宋体" w:cs="Times New Roman"/>
                <w:color w:val="auto"/>
                <w:kern w:val="0"/>
                <w:sz w:val="24"/>
                <w:szCs w:val="21"/>
                <w:highlight w:val="none"/>
                <w:u w:val="none" w:color="auto"/>
                <w:lang w:val="en-US" w:eastAsia="zh-CN" w:bidi="ar-SA"/>
              </w:rPr>
              <w:t>噪声，项目营运期生产设备集中布置于密闭车间内，可将生产车间视为一个点声源，根据工程分析中项目设备噪声级及各生产设备的数量，根据噪声叠加公式计算出生产车间生产噪声源强为9</w:t>
            </w:r>
            <w:r>
              <w:rPr>
                <w:rFonts w:hint="eastAsia" w:ascii="Times New Roman" w:hAnsi="Times New Roman" w:eastAsia="宋体" w:cs="Times New Roman"/>
                <w:color w:val="auto"/>
                <w:kern w:val="0"/>
                <w:sz w:val="24"/>
                <w:szCs w:val="21"/>
                <w:highlight w:val="none"/>
                <w:u w:val="none" w:color="auto"/>
                <w:lang w:val="en-US" w:eastAsia="zh-CN" w:bidi="ar-SA"/>
              </w:rPr>
              <w:t>0.8</w:t>
            </w:r>
            <w:r>
              <w:rPr>
                <w:rFonts w:hint="default" w:ascii="Times New Roman" w:hAnsi="Times New Roman" w:eastAsia="宋体" w:cs="Times New Roman"/>
                <w:color w:val="auto"/>
                <w:kern w:val="0"/>
                <w:sz w:val="24"/>
                <w:szCs w:val="21"/>
                <w:highlight w:val="none"/>
                <w:u w:val="none" w:color="auto"/>
                <w:lang w:val="en-US" w:eastAsia="zh-CN" w:bidi="ar-SA"/>
              </w:rPr>
              <w:t>dB(A</w:t>
            </w:r>
            <w:r>
              <w:rPr>
                <w:rFonts w:hint="eastAsia" w:cs="Times New Roman"/>
                <w:color w:val="auto"/>
                <w:kern w:val="0"/>
                <w:sz w:val="24"/>
                <w:szCs w:val="21"/>
                <w:highlight w:val="none"/>
                <w:u w:val="none" w:color="auto"/>
                <w:lang w:val="en-US" w:eastAsia="zh-CN" w:bidi="ar-SA"/>
              </w:rPr>
              <w:t>）</w:t>
            </w:r>
            <w:r>
              <w:rPr>
                <w:rFonts w:hint="default" w:ascii="Times New Roman" w:hAnsi="Times New Roman" w:eastAsia="宋体" w:cs="Times New Roman"/>
                <w:color w:val="auto"/>
                <w:kern w:val="0"/>
                <w:sz w:val="24"/>
                <w:szCs w:val="21"/>
                <w:highlight w:val="none"/>
                <w:u w:val="none" w:color="auto"/>
                <w:lang w:val="en-US" w:eastAsia="zh-CN" w:bidi="ar-SA"/>
              </w:rPr>
              <w:t>。</w:t>
            </w:r>
          </w:p>
          <w:p w14:paraId="357753F4">
            <w:pPr>
              <w:pStyle w:val="60"/>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1"/>
                <w:highlight w:val="none"/>
                <w:u w:val="none" w:color="auto"/>
                <w:lang w:val="en-US" w:eastAsia="zh-CN" w:bidi="ar-SA"/>
              </w:rPr>
            </w:pPr>
            <w:r>
              <w:rPr>
                <w:rFonts w:hint="default" w:ascii="Times New Roman" w:hAnsi="Times New Roman" w:eastAsia="宋体" w:cs="Times New Roman"/>
                <w:color w:val="auto"/>
                <w:kern w:val="0"/>
                <w:sz w:val="24"/>
                <w:szCs w:val="21"/>
                <w:highlight w:val="none"/>
                <w:u w:val="none" w:color="auto"/>
                <w:lang w:val="en-US" w:eastAsia="zh-CN" w:bidi="ar-SA"/>
              </w:rPr>
              <w:t>本次预测采用</w:t>
            </w:r>
            <w:r>
              <w:rPr>
                <w:rFonts w:hint="eastAsia" w:ascii="Times New Roman" w:hAnsi="Times New Roman" w:eastAsia="宋体" w:cs="Times New Roman"/>
                <w:color w:val="auto"/>
                <w:kern w:val="0"/>
                <w:sz w:val="24"/>
                <w:szCs w:val="21"/>
                <w:highlight w:val="none"/>
                <w:u w:val="none" w:color="auto"/>
                <w:lang w:val="en-US" w:eastAsia="zh-CN" w:bidi="ar-SA"/>
              </w:rPr>
              <w:t>《环境影响评价技术导则 声环境》</w:t>
            </w:r>
            <w:r>
              <w:rPr>
                <w:rFonts w:hint="eastAsia" w:cs="Times New Roman"/>
                <w:color w:val="auto"/>
                <w:kern w:val="0"/>
                <w:sz w:val="24"/>
                <w:szCs w:val="21"/>
                <w:highlight w:val="none"/>
                <w:u w:val="none" w:color="auto"/>
                <w:lang w:val="en-US" w:eastAsia="zh-CN" w:bidi="ar-SA"/>
              </w:rPr>
              <w:t>（</w:t>
            </w:r>
            <w:r>
              <w:rPr>
                <w:rFonts w:hint="eastAsia" w:ascii="Times New Roman" w:hAnsi="Times New Roman" w:eastAsia="宋体" w:cs="Times New Roman"/>
                <w:color w:val="auto"/>
                <w:kern w:val="0"/>
                <w:sz w:val="24"/>
                <w:szCs w:val="21"/>
                <w:highlight w:val="none"/>
                <w:u w:val="none" w:color="auto"/>
                <w:lang w:val="en-US" w:eastAsia="zh-CN" w:bidi="ar-SA"/>
              </w:rPr>
              <w:t>HJ2.4-2021</w:t>
            </w:r>
            <w:r>
              <w:rPr>
                <w:rFonts w:hint="eastAsia" w:cs="Times New Roman"/>
                <w:color w:val="auto"/>
                <w:kern w:val="0"/>
                <w:sz w:val="24"/>
                <w:szCs w:val="21"/>
                <w:highlight w:val="none"/>
                <w:u w:val="none" w:color="auto"/>
                <w:lang w:val="en-US" w:eastAsia="zh-CN" w:bidi="ar-SA"/>
              </w:rPr>
              <w:t>）</w:t>
            </w:r>
            <w:r>
              <w:rPr>
                <w:rFonts w:hint="default" w:ascii="Times New Roman" w:hAnsi="Times New Roman" w:eastAsia="宋体" w:cs="Times New Roman"/>
                <w:color w:val="auto"/>
                <w:kern w:val="0"/>
                <w:sz w:val="24"/>
                <w:szCs w:val="21"/>
                <w:highlight w:val="none"/>
                <w:u w:val="none" w:color="auto"/>
                <w:lang w:val="en-US" w:eastAsia="zh-CN" w:bidi="ar-SA"/>
              </w:rPr>
              <w:t>点声源的几何发散衰减模式，其计算公式如下：</w:t>
            </w:r>
          </w:p>
          <w:p w14:paraId="2FD82412">
            <w:pPr>
              <w:pStyle w:val="108"/>
              <w:tabs>
                <w:tab w:val="bar" w:pos="9540"/>
              </w:tabs>
              <w:snapToGrid w:val="0"/>
              <w:ind w:firstLine="480" w:firstLineChars="200"/>
              <w:jc w:val="left"/>
              <w:rPr>
                <w:rFonts w:ascii="Times New Roman" w:hAnsi="Times New Roman" w:cs="Times New Roman"/>
                <w:color w:val="auto"/>
              </w:rPr>
            </w:pPr>
            <w:r>
              <w:rPr>
                <w:color w:val="auto"/>
                <w:kern w:val="0"/>
                <w:lang w:bidi="ar"/>
              </w:rPr>
              <w:t>A、</w:t>
            </w:r>
            <w:r>
              <w:rPr>
                <w:color w:val="auto"/>
              </w:rPr>
              <w:t>本</w:t>
            </w:r>
            <w:r>
              <w:rPr>
                <w:rFonts w:ascii="Times New Roman" w:hAnsi="Times New Roman" w:cs="Times New Roman"/>
                <w:color w:val="auto"/>
              </w:rPr>
              <w:t>项目只考虑几何发散衰减，公式按照：</w:t>
            </w:r>
          </w:p>
          <w:p w14:paraId="0EC54279">
            <w:pPr>
              <w:pStyle w:val="108"/>
              <w:tabs>
                <w:tab w:val="bar" w:pos="9540"/>
              </w:tabs>
              <w:snapToGrid w:val="0"/>
              <w:ind w:firstLine="0" w:firstLineChars="0"/>
              <w:jc w:val="center"/>
              <w:rPr>
                <w:rFonts w:ascii="Times New Roman" w:hAnsi="Times New Roman" w:cs="Times New Roman"/>
                <w:color w:val="auto"/>
              </w:rPr>
            </w:pPr>
            <w:r>
              <w:rPr>
                <w:rFonts w:ascii="Times New Roman" w:hAnsi="Times New Roman" w:cs="Times New Roman"/>
                <w:color w:val="auto"/>
              </w:rPr>
              <w:t>L</w:t>
            </w:r>
            <w:r>
              <w:rPr>
                <w:rFonts w:ascii="Times New Roman" w:hAnsi="Times New Roman" w:cs="Times New Roman"/>
                <w:color w:val="auto"/>
                <w:vertAlign w:val="subscript"/>
              </w:rPr>
              <w:t>A</w:t>
            </w:r>
            <w:r>
              <w:rPr>
                <w:rFonts w:ascii="Times New Roman" w:hAnsi="Times New Roman" w:cs="Times New Roman"/>
                <w:color w:val="auto"/>
              </w:rPr>
              <w:t>(r)=L</w:t>
            </w:r>
            <w:r>
              <w:rPr>
                <w:rFonts w:ascii="Times New Roman" w:hAnsi="Times New Roman" w:cs="Times New Roman"/>
                <w:color w:val="auto"/>
                <w:vertAlign w:val="subscript"/>
              </w:rPr>
              <w:t>A</w:t>
            </w:r>
            <w:r>
              <w:rPr>
                <w:rFonts w:ascii="Times New Roman" w:hAnsi="Times New Roman" w:cs="Times New Roman"/>
                <w:color w:val="auto"/>
              </w:rPr>
              <w:t>（r</w:t>
            </w:r>
            <w:r>
              <w:rPr>
                <w:rFonts w:ascii="Times New Roman" w:hAnsi="Times New Roman" w:cs="Times New Roman"/>
                <w:color w:val="auto"/>
                <w:vertAlign w:val="subscript"/>
              </w:rPr>
              <w:t>0</w:t>
            </w:r>
            <w:r>
              <w:rPr>
                <w:rFonts w:ascii="Times New Roman" w:hAnsi="Times New Roman" w:cs="Times New Roman"/>
                <w:color w:val="auto"/>
              </w:rPr>
              <w:t>）－A</w:t>
            </w:r>
            <w:r>
              <w:rPr>
                <w:rFonts w:ascii="Times New Roman" w:hAnsi="Times New Roman" w:cs="Times New Roman"/>
                <w:color w:val="auto"/>
                <w:vertAlign w:val="subscript"/>
              </w:rPr>
              <w:t>div</w:t>
            </w:r>
          </w:p>
          <w:p w14:paraId="59BD94D2">
            <w:pPr>
              <w:pStyle w:val="19"/>
              <w:adjustRightInd w:val="0"/>
              <w:snapToGrid w:val="0"/>
              <w:spacing w:after="0" w:line="360" w:lineRule="auto"/>
              <w:ind w:left="0" w:leftChars="0" w:right="0" w:rightChars="0" w:firstLine="480" w:firstLineChars="200"/>
              <w:jc w:val="left"/>
              <w:rPr>
                <w:rFonts w:ascii="Times New Roman" w:hAnsi="Times New Roman" w:cs="Times New Roman"/>
                <w:color w:val="auto"/>
                <w:sz w:val="24"/>
              </w:rPr>
            </w:pPr>
            <w:r>
              <w:rPr>
                <w:rFonts w:ascii="Times New Roman" w:hAnsi="Times New Roman" w:cs="Times New Roman"/>
                <w:color w:val="auto"/>
                <w:sz w:val="24"/>
              </w:rPr>
              <w:t>式中：L</w:t>
            </w:r>
            <w:r>
              <w:rPr>
                <w:rFonts w:ascii="Times New Roman" w:hAnsi="Times New Roman" w:cs="Times New Roman"/>
                <w:color w:val="auto"/>
                <w:sz w:val="24"/>
                <w:vertAlign w:val="subscript"/>
              </w:rPr>
              <w:t>A</w:t>
            </w:r>
            <w:r>
              <w:rPr>
                <w:rFonts w:ascii="Times New Roman" w:hAnsi="Times New Roman" w:cs="Times New Roman"/>
                <w:color w:val="auto"/>
                <w:sz w:val="24"/>
              </w:rPr>
              <w:t>(r)——距声源r处的A声级，dB（A）；</w:t>
            </w:r>
          </w:p>
          <w:p w14:paraId="4268F5F0">
            <w:pPr>
              <w:pStyle w:val="19"/>
              <w:adjustRightInd w:val="0"/>
              <w:snapToGrid w:val="0"/>
              <w:spacing w:after="0" w:line="360" w:lineRule="auto"/>
              <w:ind w:left="0" w:leftChars="0" w:right="0" w:rightChars="0" w:firstLine="1200" w:firstLineChars="500"/>
              <w:jc w:val="left"/>
              <w:rPr>
                <w:rFonts w:ascii="Times New Roman" w:hAnsi="Times New Roman" w:cs="Times New Roman"/>
                <w:color w:val="auto"/>
                <w:sz w:val="24"/>
              </w:rPr>
            </w:pPr>
            <w:r>
              <w:rPr>
                <w:rFonts w:ascii="Times New Roman" w:hAnsi="Times New Roman" w:cs="Times New Roman"/>
                <w:color w:val="auto"/>
                <w:sz w:val="24"/>
              </w:rPr>
              <w:t>L</w:t>
            </w:r>
            <w:r>
              <w:rPr>
                <w:rFonts w:ascii="Times New Roman" w:hAnsi="Times New Roman" w:cs="Times New Roman"/>
                <w:color w:val="auto"/>
                <w:sz w:val="24"/>
                <w:vertAlign w:val="subscript"/>
              </w:rPr>
              <w:t>A</w:t>
            </w:r>
            <w:r>
              <w:rPr>
                <w:rFonts w:ascii="Times New Roman" w:hAnsi="Times New Roman" w:cs="Times New Roman"/>
                <w:color w:val="auto"/>
                <w:sz w:val="24"/>
              </w:rPr>
              <w:t>(r</w:t>
            </w:r>
            <w:r>
              <w:rPr>
                <w:rFonts w:ascii="Times New Roman" w:hAnsi="Times New Roman" w:cs="Times New Roman"/>
                <w:color w:val="auto"/>
                <w:sz w:val="24"/>
                <w:vertAlign w:val="subscript"/>
              </w:rPr>
              <w:t>0</w:t>
            </w:r>
            <w:r>
              <w:rPr>
                <w:rFonts w:ascii="Times New Roman" w:hAnsi="Times New Roman" w:cs="Times New Roman"/>
                <w:color w:val="auto"/>
                <w:sz w:val="24"/>
              </w:rPr>
              <w:t>)——参考位置r</w:t>
            </w:r>
            <w:r>
              <w:rPr>
                <w:rFonts w:ascii="Times New Roman" w:hAnsi="Times New Roman" w:cs="Times New Roman"/>
                <w:color w:val="auto"/>
                <w:sz w:val="24"/>
                <w:vertAlign w:val="subscript"/>
              </w:rPr>
              <w:t>0</w:t>
            </w:r>
            <w:r>
              <w:rPr>
                <w:rFonts w:ascii="Times New Roman" w:hAnsi="Times New Roman" w:cs="Times New Roman"/>
                <w:color w:val="auto"/>
                <w:sz w:val="24"/>
              </w:rPr>
              <w:t>处的A声级，dB（A）；</w:t>
            </w:r>
          </w:p>
          <w:p w14:paraId="090219DD">
            <w:pPr>
              <w:pStyle w:val="108"/>
              <w:tabs>
                <w:tab w:val="bar" w:pos="9540"/>
              </w:tabs>
              <w:snapToGrid w:val="0"/>
              <w:ind w:firstLine="1200" w:firstLineChars="500"/>
              <w:jc w:val="left"/>
              <w:rPr>
                <w:rFonts w:ascii="Times New Roman" w:hAnsi="Times New Roman" w:cs="Times New Roman"/>
                <w:color w:val="auto"/>
              </w:rPr>
            </w:pPr>
            <w:r>
              <w:rPr>
                <w:rFonts w:ascii="Times New Roman" w:hAnsi="Times New Roman" w:cs="Times New Roman"/>
                <w:color w:val="auto"/>
              </w:rPr>
              <w:t>A</w:t>
            </w:r>
            <w:r>
              <w:rPr>
                <w:rFonts w:ascii="Times New Roman" w:hAnsi="Times New Roman" w:cs="Times New Roman"/>
                <w:color w:val="auto"/>
                <w:vertAlign w:val="subscript"/>
              </w:rPr>
              <w:t>div</w:t>
            </w:r>
            <w:r>
              <w:rPr>
                <w:rFonts w:ascii="Times New Roman" w:hAnsi="Times New Roman" w:cs="Times New Roman"/>
                <w:color w:val="auto"/>
              </w:rPr>
              <w:t>——几何发散引起的衰减，dB；</w:t>
            </w:r>
          </w:p>
          <w:p w14:paraId="5E81D6B0">
            <w:pPr>
              <w:pStyle w:val="108"/>
              <w:tabs>
                <w:tab w:val="bar" w:pos="9540"/>
              </w:tabs>
              <w:snapToGrid w:val="0"/>
              <w:ind w:firstLine="480" w:firstLineChars="200"/>
              <w:jc w:val="left"/>
              <w:rPr>
                <w:rFonts w:ascii="Times New Roman" w:hAnsi="Times New Roman" w:cs="Times New Roman"/>
                <w:color w:val="auto"/>
              </w:rPr>
            </w:pPr>
            <w:r>
              <w:rPr>
                <w:rFonts w:ascii="Times New Roman" w:hAnsi="Times New Roman" w:cs="Times New Roman"/>
                <w:color w:val="auto"/>
                <w:kern w:val="0"/>
                <w:lang w:bidi="ar"/>
              </w:rPr>
              <w:t>B、</w:t>
            </w:r>
            <w:r>
              <w:rPr>
                <w:rFonts w:ascii="Times New Roman" w:hAnsi="Times New Roman" w:cs="Times New Roman"/>
                <w:color w:val="auto"/>
              </w:rPr>
              <w:t>声源的几何发散衰减公式：</w:t>
            </w:r>
          </w:p>
          <w:p w14:paraId="694B1473">
            <w:pPr>
              <w:pStyle w:val="19"/>
              <w:spacing w:after="0" w:line="360" w:lineRule="auto"/>
              <w:ind w:left="0" w:leftChars="0" w:right="0" w:rightChars="0"/>
              <w:jc w:val="center"/>
              <w:rPr>
                <w:rFonts w:hint="default" w:ascii="Times New Roman" w:hAnsi="Times New Roman" w:cs="Times New Roman"/>
                <w:color w:val="auto"/>
                <w:sz w:val="24"/>
              </w:rPr>
            </w:pPr>
            <w:r>
              <w:rPr>
                <w:rFonts w:hint="default" w:ascii="Times New Roman" w:hAnsi="Times New Roman" w:cs="Times New Roman"/>
                <w:color w:val="auto"/>
                <w:sz w:val="24"/>
              </w:rPr>
              <w:t>A</w:t>
            </w:r>
            <w:r>
              <w:rPr>
                <w:rFonts w:hint="default" w:ascii="Times New Roman" w:hAnsi="Times New Roman" w:cs="Times New Roman"/>
                <w:color w:val="auto"/>
                <w:sz w:val="24"/>
                <w:vertAlign w:val="subscript"/>
              </w:rPr>
              <w:t>div</w:t>
            </w:r>
            <w:r>
              <w:rPr>
                <w:rFonts w:hint="default" w:ascii="Times New Roman" w:hAnsi="Times New Roman" w:cs="Times New Roman"/>
                <w:color w:val="auto"/>
                <w:sz w:val="24"/>
              </w:rPr>
              <w:t>=20lg（r/r</w:t>
            </w:r>
            <w:r>
              <w:rPr>
                <w:rFonts w:hint="default" w:ascii="Times New Roman" w:hAnsi="Times New Roman" w:cs="Times New Roman"/>
                <w:color w:val="auto"/>
                <w:sz w:val="24"/>
                <w:vertAlign w:val="subscript"/>
              </w:rPr>
              <w:t>0</w:t>
            </w:r>
            <w:r>
              <w:rPr>
                <w:rFonts w:hint="default" w:ascii="Times New Roman" w:hAnsi="Times New Roman" w:cs="Times New Roman"/>
                <w:color w:val="auto"/>
                <w:sz w:val="24"/>
              </w:rPr>
              <w:t>）</w:t>
            </w:r>
          </w:p>
          <w:p w14:paraId="10A8B372">
            <w:pPr>
              <w:pStyle w:val="19"/>
              <w:adjustRightInd w:val="0"/>
              <w:snapToGrid w:val="0"/>
              <w:spacing w:after="0" w:line="360" w:lineRule="auto"/>
              <w:ind w:left="0" w:leftChars="0" w:right="0" w:rightChars="0" w:firstLine="480" w:firstLineChars="200"/>
              <w:jc w:val="left"/>
              <w:rPr>
                <w:rFonts w:ascii="Times New Roman" w:hAnsi="Times New Roman" w:cs="Times New Roman"/>
                <w:color w:val="auto"/>
                <w:sz w:val="24"/>
              </w:rPr>
            </w:pPr>
            <w:r>
              <w:rPr>
                <w:rFonts w:ascii="Times New Roman" w:hAnsi="Times New Roman" w:cs="Times New Roman"/>
                <w:color w:val="auto"/>
                <w:sz w:val="24"/>
              </w:rPr>
              <w:t>式中：A</w:t>
            </w:r>
            <w:r>
              <w:rPr>
                <w:rFonts w:ascii="Times New Roman" w:hAnsi="Times New Roman" w:cs="Times New Roman"/>
                <w:color w:val="auto"/>
                <w:sz w:val="24"/>
                <w:vertAlign w:val="subscript"/>
              </w:rPr>
              <w:t>div</w:t>
            </w:r>
            <w:r>
              <w:rPr>
                <w:rFonts w:ascii="Times New Roman" w:hAnsi="Times New Roman" w:cs="Times New Roman"/>
                <w:color w:val="auto"/>
                <w:sz w:val="24"/>
              </w:rPr>
              <w:t>——几何发散引起的衰减，dB；</w:t>
            </w:r>
          </w:p>
          <w:p w14:paraId="43C64E6B">
            <w:pPr>
              <w:pStyle w:val="108"/>
              <w:tabs>
                <w:tab w:val="bar" w:pos="9540"/>
              </w:tabs>
              <w:snapToGrid w:val="0"/>
              <w:ind w:firstLine="1200" w:firstLineChars="500"/>
              <w:jc w:val="left"/>
              <w:rPr>
                <w:rFonts w:ascii="Times New Roman" w:hAnsi="Times New Roman" w:cs="Times New Roman"/>
                <w:color w:val="auto"/>
              </w:rPr>
            </w:pPr>
            <w:r>
              <w:rPr>
                <w:rFonts w:ascii="Times New Roman" w:hAnsi="Times New Roman" w:cs="Times New Roman"/>
                <w:color w:val="auto"/>
              </w:rPr>
              <w:t>r——预测点距声源的距离；</w:t>
            </w:r>
          </w:p>
          <w:p w14:paraId="3557EEE4">
            <w:pPr>
              <w:pStyle w:val="19"/>
              <w:adjustRightInd w:val="0"/>
              <w:snapToGrid w:val="0"/>
              <w:spacing w:after="0" w:line="360" w:lineRule="auto"/>
              <w:ind w:left="0" w:leftChars="0" w:right="0" w:rightChars="0" w:firstLine="1200" w:firstLineChars="500"/>
              <w:jc w:val="left"/>
              <w:rPr>
                <w:rFonts w:ascii="Times New Roman" w:hAnsi="Times New Roman" w:cs="Times New Roman"/>
                <w:color w:val="auto"/>
                <w:sz w:val="24"/>
              </w:rPr>
            </w:pPr>
            <w:r>
              <w:rPr>
                <w:rFonts w:ascii="Times New Roman" w:hAnsi="Times New Roman" w:cs="Times New Roman"/>
                <w:color w:val="auto"/>
                <w:sz w:val="24"/>
              </w:rPr>
              <w:t>r</w:t>
            </w:r>
            <w:r>
              <w:rPr>
                <w:rFonts w:ascii="Times New Roman" w:hAnsi="Times New Roman" w:cs="Times New Roman"/>
                <w:color w:val="auto"/>
                <w:sz w:val="24"/>
                <w:vertAlign w:val="subscript"/>
              </w:rPr>
              <w:t>0</w:t>
            </w:r>
            <w:r>
              <w:rPr>
                <w:rFonts w:ascii="Times New Roman" w:hAnsi="Times New Roman" w:cs="Times New Roman"/>
                <w:color w:val="auto"/>
                <w:sz w:val="24"/>
              </w:rPr>
              <w:t>——参考位置距声源的距离；</w:t>
            </w:r>
          </w:p>
          <w:p w14:paraId="0AB0E98B">
            <w:pPr>
              <w:pStyle w:val="108"/>
              <w:tabs>
                <w:tab w:val="bar" w:pos="9540"/>
              </w:tabs>
              <w:snapToGrid w:val="0"/>
              <w:ind w:firstLine="480" w:firstLineChars="200"/>
              <w:jc w:val="left"/>
              <w:rPr>
                <w:rFonts w:ascii="Times New Roman" w:hAnsi="Times New Roman" w:cs="Times New Roman"/>
                <w:color w:val="auto"/>
              </w:rPr>
            </w:pPr>
            <w:r>
              <w:rPr>
                <w:rFonts w:ascii="Times New Roman" w:hAnsi="Times New Roman" w:cs="Times New Roman"/>
                <w:color w:val="auto"/>
                <w:kern w:val="0"/>
                <w:lang w:bidi="ar"/>
              </w:rPr>
              <w:t>C、</w:t>
            </w:r>
            <w:r>
              <w:rPr>
                <w:rFonts w:ascii="Times New Roman" w:hAnsi="Times New Roman" w:cs="Times New Roman"/>
                <w:color w:val="auto"/>
              </w:rPr>
              <w:t>工业企业噪声计算公式：</w:t>
            </w:r>
          </w:p>
          <w:p w14:paraId="34B28134">
            <w:pPr>
              <w:pStyle w:val="19"/>
              <w:adjustRightInd w:val="0"/>
              <w:snapToGrid w:val="0"/>
              <w:spacing w:after="0" w:line="360" w:lineRule="auto"/>
              <w:ind w:left="0" w:leftChars="0" w:right="0" w:rightChars="0"/>
              <w:jc w:val="center"/>
              <w:rPr>
                <w:rFonts w:ascii="Times New Roman" w:hAnsi="Times New Roman" w:cs="Times New Roman"/>
                <w:color w:val="auto"/>
                <w:sz w:val="24"/>
              </w:rPr>
            </w:pPr>
            <w:r>
              <w:rPr>
                <w:rFonts w:ascii="Times New Roman" w:hAnsi="Times New Roman" w:cs="Times New Roman"/>
                <w:color w:val="auto"/>
                <w:position w:val="-34"/>
                <w:sz w:val="24"/>
              </w:rPr>
              <w:object>
                <v:shape id="_x0000_i1026" o:spt="75" type="#_x0000_t75" style="height:40pt;width:203pt;" o:ole="t" filled="f" o:preferrelative="t" stroked="f" coordsize="21600,21600">
                  <v:path/>
                  <v:fill on="f" focussize="0,0"/>
                  <v:stroke on="f"/>
                  <v:imagedata r:id="rId18" o:title=""/>
                  <o:lock v:ext="edit" aspectratio="t"/>
                  <w10:wrap type="none"/>
                  <w10:anchorlock/>
                </v:shape>
                <o:OLEObject Type="Embed" ProgID="Equation.KSEE3" ShapeID="_x0000_i1026" DrawAspect="Content" ObjectID="_1468075726" r:id="rId17">
                  <o:LockedField>false</o:LockedField>
                </o:OLEObject>
              </w:object>
            </w:r>
          </w:p>
          <w:p w14:paraId="6F829783">
            <w:pPr>
              <w:pStyle w:val="19"/>
              <w:adjustRightInd w:val="0"/>
              <w:snapToGrid w:val="0"/>
              <w:spacing w:after="0" w:line="360" w:lineRule="auto"/>
              <w:ind w:left="0" w:leftChars="0" w:right="0" w:rightChars="0" w:firstLine="480" w:firstLineChars="200"/>
              <w:rPr>
                <w:rFonts w:ascii="Times New Roman" w:hAnsi="Times New Roman" w:cs="Times New Roman"/>
                <w:color w:val="auto"/>
                <w:sz w:val="24"/>
              </w:rPr>
            </w:pPr>
            <w:r>
              <w:rPr>
                <w:rFonts w:ascii="Times New Roman" w:hAnsi="Times New Roman" w:cs="Times New Roman"/>
                <w:color w:val="auto"/>
                <w:sz w:val="24"/>
              </w:rPr>
              <w:t>式中：L</w:t>
            </w:r>
            <w:r>
              <w:rPr>
                <w:rFonts w:ascii="Times New Roman" w:hAnsi="Times New Roman" w:cs="Times New Roman"/>
                <w:color w:val="auto"/>
                <w:sz w:val="24"/>
                <w:vertAlign w:val="subscript"/>
              </w:rPr>
              <w:t>eqg</w:t>
            </w:r>
            <w:r>
              <w:rPr>
                <w:rFonts w:ascii="Times New Roman" w:hAnsi="Times New Roman" w:cs="Times New Roman"/>
                <w:color w:val="auto"/>
                <w:sz w:val="24"/>
              </w:rPr>
              <w:t>——建设项目声源在预测点产生的噪声贡献值，dB；</w:t>
            </w:r>
          </w:p>
          <w:p w14:paraId="41B1D4F7">
            <w:pPr>
              <w:pStyle w:val="19"/>
              <w:adjustRightInd w:val="0"/>
              <w:snapToGrid w:val="0"/>
              <w:spacing w:after="0" w:line="360" w:lineRule="auto"/>
              <w:ind w:left="0" w:leftChars="0" w:right="0" w:rightChars="0" w:firstLine="1200" w:firstLineChars="500"/>
              <w:rPr>
                <w:rFonts w:ascii="Times New Roman" w:hAnsi="Times New Roman" w:cs="Times New Roman"/>
                <w:color w:val="auto"/>
                <w:sz w:val="24"/>
              </w:rPr>
            </w:pPr>
            <w:r>
              <w:rPr>
                <w:rFonts w:ascii="Times New Roman" w:hAnsi="Times New Roman" w:cs="Times New Roman"/>
                <w:color w:val="auto"/>
                <w:sz w:val="24"/>
              </w:rPr>
              <w:t>T——用于计算等效声级的时间，s；</w:t>
            </w:r>
          </w:p>
          <w:p w14:paraId="4E4FB2A0">
            <w:pPr>
              <w:pStyle w:val="108"/>
              <w:tabs>
                <w:tab w:val="bar" w:pos="9540"/>
              </w:tabs>
              <w:snapToGrid w:val="0"/>
              <w:ind w:firstLine="1200" w:firstLineChars="500"/>
              <w:jc w:val="left"/>
              <w:rPr>
                <w:rFonts w:ascii="Times New Roman" w:hAnsi="Times New Roman" w:cs="Times New Roman"/>
                <w:color w:val="auto"/>
              </w:rPr>
            </w:pPr>
            <w:r>
              <w:rPr>
                <w:rFonts w:ascii="Times New Roman" w:hAnsi="Times New Roman" w:cs="Times New Roman"/>
                <w:color w:val="auto"/>
              </w:rPr>
              <w:t>N——室外声源个数；</w:t>
            </w:r>
          </w:p>
          <w:p w14:paraId="1AB3C18B">
            <w:pPr>
              <w:pStyle w:val="108"/>
              <w:tabs>
                <w:tab w:val="bar" w:pos="9540"/>
              </w:tabs>
              <w:snapToGrid w:val="0"/>
              <w:ind w:firstLine="1200" w:firstLineChars="500"/>
              <w:jc w:val="left"/>
              <w:rPr>
                <w:rFonts w:ascii="Times New Roman" w:hAnsi="Times New Roman" w:cs="Times New Roman"/>
                <w:color w:val="auto"/>
              </w:rPr>
            </w:pPr>
            <w:r>
              <w:rPr>
                <w:rFonts w:ascii="Times New Roman" w:hAnsi="Times New Roman" w:cs="Times New Roman"/>
                <w:color w:val="auto"/>
              </w:rPr>
              <w:t>t</w:t>
            </w:r>
            <w:r>
              <w:rPr>
                <w:rFonts w:ascii="Times New Roman" w:hAnsi="Times New Roman" w:cs="Times New Roman"/>
                <w:color w:val="auto"/>
                <w:vertAlign w:val="subscript"/>
              </w:rPr>
              <w:t>i</w:t>
            </w:r>
            <w:r>
              <w:rPr>
                <w:rFonts w:ascii="Times New Roman" w:hAnsi="Times New Roman" w:cs="Times New Roman"/>
                <w:color w:val="auto"/>
              </w:rPr>
              <w:t>——在T时间内i声源工作时间，s；</w:t>
            </w:r>
          </w:p>
          <w:p w14:paraId="30798E75">
            <w:pPr>
              <w:pStyle w:val="108"/>
              <w:tabs>
                <w:tab w:val="bar" w:pos="9540"/>
              </w:tabs>
              <w:snapToGrid w:val="0"/>
              <w:ind w:firstLine="1200" w:firstLineChars="500"/>
              <w:jc w:val="left"/>
              <w:rPr>
                <w:rFonts w:ascii="Times New Roman" w:hAnsi="Times New Roman" w:cs="Times New Roman"/>
                <w:color w:val="auto"/>
              </w:rPr>
            </w:pPr>
            <w:r>
              <w:rPr>
                <w:rFonts w:ascii="Times New Roman" w:hAnsi="Times New Roman" w:cs="Times New Roman"/>
                <w:color w:val="auto"/>
              </w:rPr>
              <w:t>M——等效室外声源个数；</w:t>
            </w:r>
          </w:p>
          <w:p w14:paraId="264E61DE">
            <w:pPr>
              <w:spacing w:line="360" w:lineRule="auto"/>
              <w:ind w:firstLine="1260" w:firstLineChars="600"/>
              <w:rPr>
                <w:rFonts w:ascii="Times New Roman" w:hAnsi="Times New Roman" w:cs="Times New Roman"/>
                <w:bCs/>
                <w:snapToGrid w:val="0"/>
                <w:color w:val="auto"/>
                <w:kern w:val="0"/>
                <w:sz w:val="24"/>
                <w:highlight w:val="none"/>
                <w:u w:val="none"/>
              </w:rPr>
            </w:pPr>
            <w:r>
              <w:rPr>
                <w:rFonts w:ascii="Times New Roman" w:hAnsi="Times New Roman" w:cs="Times New Roman"/>
                <w:color w:val="auto"/>
              </w:rPr>
              <w:t>tj——在T时间内j声源工作时间，s</w:t>
            </w:r>
            <w:r>
              <w:rPr>
                <w:rFonts w:ascii="Times New Roman" w:hAnsi="Times New Roman" w:cs="Times New Roman"/>
                <w:bCs/>
                <w:snapToGrid w:val="0"/>
                <w:color w:val="auto"/>
                <w:kern w:val="0"/>
                <w:sz w:val="24"/>
                <w:highlight w:val="none"/>
                <w:u w:val="none"/>
              </w:rPr>
              <w:t>。</w:t>
            </w:r>
          </w:p>
          <w:p w14:paraId="618EE0B6">
            <w:pPr>
              <w:keepNext w:val="0"/>
              <w:keepLines w:val="0"/>
              <w:widowControl/>
              <w:suppressLineNumbers w:val="0"/>
              <w:spacing w:line="360" w:lineRule="auto"/>
              <w:ind w:firstLine="420" w:firstLineChars="200"/>
              <w:jc w:val="left"/>
              <w:rPr>
                <w:color w:val="auto"/>
                <w:highlight w:val="none"/>
                <w:u w:val="none" w:color="auto"/>
              </w:rPr>
            </w:pPr>
          </w:p>
          <w:p w14:paraId="38A6C164">
            <w:pPr>
              <w:keepNext w:val="0"/>
              <w:keepLines w:val="0"/>
              <w:widowControl/>
              <w:suppressLineNumbers w:val="0"/>
              <w:spacing w:line="360" w:lineRule="auto"/>
              <w:ind w:firstLine="480" w:firstLineChars="200"/>
              <w:jc w:val="left"/>
              <w:rPr>
                <w:color w:val="auto"/>
                <w:highlight w:val="none"/>
                <w:u w:val="none" w:color="auto"/>
              </w:rPr>
            </w:pPr>
            <w:r>
              <w:rPr>
                <w:rFonts w:hint="eastAsia" w:ascii="Times New Roman" w:hAnsi="Times New Roman" w:eastAsia="宋体" w:cs="Times New Roman"/>
                <w:color w:val="auto"/>
                <w:kern w:val="0"/>
                <w:sz w:val="24"/>
                <w:szCs w:val="21"/>
                <w:lang w:val="en-US" w:eastAsia="zh-CN" w:bidi="ar"/>
              </w:rPr>
              <w:t>D、</w:t>
            </w:r>
            <w:r>
              <w:rPr>
                <w:rFonts w:hint="eastAsia" w:ascii="宋体" w:hAnsi="宋体" w:eastAsia="宋体" w:cs="宋体"/>
                <w:color w:val="auto"/>
                <w:kern w:val="0"/>
                <w:sz w:val="24"/>
                <w:szCs w:val="24"/>
                <w:highlight w:val="none"/>
                <w:u w:val="none" w:color="auto"/>
                <w:lang w:val="en-US" w:eastAsia="zh-CN" w:bidi="ar"/>
              </w:rPr>
              <w:t>参考点</w:t>
            </w:r>
            <w:r>
              <w:rPr>
                <w:rFonts w:hint="default" w:ascii="Times New Roman" w:hAnsi="Times New Roman" w:eastAsia="宋体" w:cs="Times New Roman"/>
                <w:color w:val="auto"/>
                <w:kern w:val="0"/>
                <w:sz w:val="24"/>
                <w:szCs w:val="24"/>
                <w:highlight w:val="none"/>
                <w:u w:val="none" w:color="auto"/>
                <w:lang w:val="en-US" w:eastAsia="zh-CN" w:bidi="ar"/>
              </w:rPr>
              <w:t>r</w:t>
            </w:r>
            <w:r>
              <w:rPr>
                <w:rFonts w:hint="default" w:ascii="Times New Roman" w:hAnsi="Times New Roman" w:eastAsia="宋体" w:cs="Times New Roman"/>
                <w:color w:val="auto"/>
                <w:kern w:val="0"/>
                <w:sz w:val="24"/>
                <w:szCs w:val="24"/>
                <w:highlight w:val="none"/>
                <w:u w:val="none" w:color="auto"/>
                <w:vertAlign w:val="subscript"/>
                <w:lang w:val="en-US" w:eastAsia="zh-CN" w:bidi="ar"/>
              </w:rPr>
              <w:t>0</w:t>
            </w:r>
            <w:r>
              <w:rPr>
                <w:rFonts w:hint="eastAsia" w:ascii="宋体" w:hAnsi="宋体" w:eastAsia="宋体" w:cs="宋体"/>
                <w:color w:val="auto"/>
                <w:kern w:val="0"/>
                <w:sz w:val="24"/>
                <w:szCs w:val="24"/>
                <w:highlight w:val="none"/>
                <w:u w:val="none" w:color="auto"/>
                <w:lang w:val="en-US" w:eastAsia="zh-CN" w:bidi="ar"/>
              </w:rPr>
              <w:t>到预测点</w:t>
            </w:r>
            <w:r>
              <w:rPr>
                <w:rFonts w:hint="default" w:ascii="Times New Roman" w:hAnsi="Times New Roman" w:eastAsia="宋体" w:cs="Times New Roman"/>
                <w:color w:val="auto"/>
                <w:kern w:val="0"/>
                <w:sz w:val="24"/>
                <w:szCs w:val="24"/>
                <w:highlight w:val="none"/>
                <w:u w:val="none" w:color="auto"/>
                <w:lang w:val="en-US" w:eastAsia="zh-CN" w:bidi="ar"/>
              </w:rPr>
              <w:t>r</w:t>
            </w:r>
            <w:r>
              <w:rPr>
                <w:rFonts w:hint="eastAsia" w:ascii="宋体" w:hAnsi="宋体" w:eastAsia="宋体" w:cs="宋体"/>
                <w:color w:val="auto"/>
                <w:kern w:val="0"/>
                <w:sz w:val="24"/>
                <w:szCs w:val="24"/>
                <w:highlight w:val="none"/>
                <w:u w:val="none" w:color="auto"/>
                <w:lang w:val="en-US" w:eastAsia="zh-CN" w:bidi="ar"/>
              </w:rPr>
              <w:t>处之间的户外传播衰减量</w:t>
            </w:r>
          </w:p>
          <w:p w14:paraId="0205434F">
            <w:pPr>
              <w:bidi w:val="0"/>
              <w:ind w:left="0" w:leftChars="0" w:firstLine="0" w:firstLineChars="0"/>
              <w:jc w:val="center"/>
              <w:rPr>
                <w:color w:val="auto"/>
                <w:highlight w:val="none"/>
                <w:u w:val="none" w:color="auto"/>
              </w:rPr>
            </w:pPr>
            <w:r>
              <w:rPr>
                <w:color w:val="auto"/>
                <w:position w:val="-14"/>
                <w:highlight w:val="none"/>
                <w:u w:val="none" w:color="auto"/>
              </w:rPr>
              <w:object>
                <v:shape id="_x0000_i1027" o:spt="75" type="#_x0000_t75" style="height:19pt;width:226pt;" o:ole="t" filled="f" o:preferrelative="t" stroked="f" coordsize="21600,21600">
                  <v:path/>
                  <v:fill on="f" focussize="0,0"/>
                  <v:stroke on="f"/>
                  <v:imagedata r:id="rId20" o:title=""/>
                  <o:lock v:ext="edit" aspectratio="t"/>
                  <w10:wrap type="none"/>
                  <w10:anchorlock/>
                </v:shape>
                <o:OLEObject Type="Embed" ProgID="Equation.KSEE3" ShapeID="_x0000_i1027" DrawAspect="Content" ObjectID="_1468075727" r:id="rId19">
                  <o:LockedField>false</o:LockedField>
                </o:OLEObject>
              </w:object>
            </w:r>
          </w:p>
          <w:p w14:paraId="7C29661D">
            <w:pPr>
              <w:keepNext w:val="0"/>
              <w:keepLines w:val="0"/>
              <w:widowControl/>
              <w:suppressLineNumbers w:val="0"/>
              <w:spacing w:line="360" w:lineRule="auto"/>
              <w:ind w:firstLine="480" w:firstLineChars="200"/>
              <w:jc w:val="left"/>
              <w:rPr>
                <w:color w:val="auto"/>
                <w:highlight w:val="none"/>
                <w:u w:val="none" w:color="auto"/>
              </w:rPr>
            </w:pPr>
            <w:r>
              <w:rPr>
                <w:rFonts w:hint="eastAsia" w:ascii="宋体" w:hAnsi="宋体" w:eastAsia="宋体" w:cs="宋体"/>
                <w:color w:val="auto"/>
                <w:kern w:val="0"/>
                <w:sz w:val="24"/>
                <w:szCs w:val="24"/>
                <w:highlight w:val="none"/>
                <w:u w:val="none" w:color="auto"/>
                <w:lang w:val="en-US" w:eastAsia="zh-CN" w:bidi="ar"/>
              </w:rPr>
              <w:t>式中：</w:t>
            </w:r>
            <w:r>
              <w:rPr>
                <w:rFonts w:hint="default" w:ascii="Times New Roman" w:hAnsi="Times New Roman" w:eastAsia="宋体" w:cs="Times New Roman"/>
                <w:i/>
                <w:iCs/>
                <w:color w:val="auto"/>
                <w:kern w:val="0"/>
                <w:sz w:val="24"/>
                <w:szCs w:val="24"/>
                <w:highlight w:val="none"/>
                <w:u w:val="none" w:color="auto"/>
                <w:lang w:val="en-US" w:eastAsia="zh-CN" w:bidi="ar"/>
              </w:rPr>
              <w:t>L</w:t>
            </w:r>
            <w:r>
              <w:rPr>
                <w:rFonts w:hint="default" w:ascii="Times New Roman" w:hAnsi="Times New Roman" w:eastAsia="宋体" w:cs="Times New Roman"/>
                <w:i/>
                <w:iCs/>
                <w:color w:val="auto"/>
                <w:kern w:val="0"/>
                <w:sz w:val="15"/>
                <w:szCs w:val="15"/>
                <w:highlight w:val="none"/>
                <w:u w:val="none" w:color="auto"/>
                <w:lang w:val="en-US" w:eastAsia="zh-CN" w:bidi="ar"/>
              </w:rPr>
              <w:t>P</w:t>
            </w:r>
            <w:r>
              <w:rPr>
                <w:rFonts w:hint="eastAsia" w:ascii="宋体" w:hAnsi="宋体" w:eastAsia="宋体" w:cs="宋体"/>
                <w:i/>
                <w:iCs/>
                <w:color w:val="auto"/>
                <w:kern w:val="0"/>
                <w:sz w:val="24"/>
                <w:szCs w:val="24"/>
                <w:highlight w:val="none"/>
                <w:u w:val="none" w:color="auto"/>
                <w:lang w:val="en-US" w:eastAsia="zh-CN" w:bidi="ar"/>
              </w:rPr>
              <w:t>(</w:t>
            </w:r>
            <w:r>
              <w:rPr>
                <w:rFonts w:hint="default" w:ascii="Times New Roman" w:hAnsi="Times New Roman" w:eastAsia="宋体" w:cs="Times New Roman"/>
                <w:i/>
                <w:iCs/>
                <w:color w:val="auto"/>
                <w:kern w:val="0"/>
                <w:sz w:val="24"/>
                <w:szCs w:val="24"/>
                <w:highlight w:val="none"/>
                <w:u w:val="none" w:color="auto"/>
                <w:lang w:val="en-US" w:eastAsia="zh-CN" w:bidi="ar"/>
              </w:rPr>
              <w:t>r</w:t>
            </w:r>
            <w:r>
              <w:rPr>
                <w:rFonts w:hint="eastAsia" w:ascii="宋体" w:hAnsi="宋体" w:eastAsia="宋体" w:cs="宋体"/>
                <w:i/>
                <w:iCs/>
                <w:color w:val="auto"/>
                <w:kern w:val="0"/>
                <w:sz w:val="24"/>
                <w:szCs w:val="24"/>
                <w:highlight w:val="none"/>
                <w:u w:val="none" w:color="auto"/>
                <w:lang w:val="en-US" w:eastAsia="zh-CN" w:bidi="ar"/>
              </w:rPr>
              <w:t>)</w:t>
            </w:r>
            <w:r>
              <w:rPr>
                <w:rFonts w:hint="eastAsia" w:ascii="Times New Roman" w:hAnsi="Times New Roman" w:eastAsia="宋体" w:cs="Times New Roman"/>
                <w:color w:val="auto"/>
                <w:kern w:val="0"/>
                <w:sz w:val="24"/>
                <w:szCs w:val="24"/>
                <w:highlight w:val="none"/>
                <w:u w:val="none" w:color="auto"/>
                <w:lang w:val="en-US" w:eastAsia="zh-CN" w:bidi="ar"/>
              </w:rPr>
              <w:t>--</w:t>
            </w:r>
            <w:r>
              <w:rPr>
                <w:rFonts w:hint="eastAsia" w:ascii="宋体" w:hAnsi="宋体" w:eastAsia="宋体" w:cs="宋体"/>
                <w:color w:val="auto"/>
                <w:kern w:val="0"/>
                <w:sz w:val="24"/>
                <w:szCs w:val="24"/>
                <w:highlight w:val="none"/>
                <w:u w:val="none" w:color="auto"/>
                <w:lang w:val="en-US" w:eastAsia="zh-CN" w:bidi="ar"/>
              </w:rPr>
              <w:t>距声源</w:t>
            </w:r>
            <w:r>
              <w:rPr>
                <w:rFonts w:hint="default" w:ascii="Times New Roman" w:hAnsi="Times New Roman" w:eastAsia="宋体" w:cs="Times New Roman"/>
                <w:color w:val="auto"/>
                <w:kern w:val="0"/>
                <w:sz w:val="24"/>
                <w:szCs w:val="24"/>
                <w:highlight w:val="none"/>
                <w:u w:val="none" w:color="auto"/>
                <w:lang w:val="en-US" w:eastAsia="zh-CN" w:bidi="ar"/>
              </w:rPr>
              <w:t>r</w:t>
            </w:r>
            <w:r>
              <w:rPr>
                <w:rFonts w:hint="eastAsia" w:ascii="宋体" w:hAnsi="宋体" w:eastAsia="宋体" w:cs="宋体"/>
                <w:color w:val="auto"/>
                <w:kern w:val="0"/>
                <w:sz w:val="24"/>
                <w:szCs w:val="24"/>
                <w:highlight w:val="none"/>
                <w:u w:val="none" w:color="auto"/>
                <w:lang w:val="en-US" w:eastAsia="zh-CN" w:bidi="ar"/>
              </w:rPr>
              <w:t>处的倍频带声压级，</w:t>
            </w:r>
            <w:r>
              <w:rPr>
                <w:rFonts w:hint="default" w:ascii="Times New Roman" w:hAnsi="Times New Roman" w:eastAsia="宋体" w:cs="Times New Roman"/>
                <w:color w:val="auto"/>
                <w:kern w:val="0"/>
                <w:sz w:val="24"/>
                <w:szCs w:val="24"/>
                <w:highlight w:val="none"/>
                <w:u w:val="none" w:color="auto"/>
                <w:lang w:val="en-US" w:eastAsia="zh-CN" w:bidi="ar"/>
              </w:rPr>
              <w:t>dB</w:t>
            </w:r>
            <w:r>
              <w:rPr>
                <w:rFonts w:hint="eastAsia" w:ascii="宋体" w:hAnsi="宋体" w:eastAsia="宋体" w:cs="宋体"/>
                <w:color w:val="auto"/>
                <w:kern w:val="0"/>
                <w:sz w:val="24"/>
                <w:szCs w:val="24"/>
                <w:highlight w:val="none"/>
                <w:u w:val="none" w:color="auto"/>
                <w:lang w:val="en-US" w:eastAsia="zh-CN" w:bidi="ar"/>
              </w:rPr>
              <w:t xml:space="preserve">； </w:t>
            </w:r>
          </w:p>
          <w:p w14:paraId="3A0B46BF">
            <w:pPr>
              <w:keepNext w:val="0"/>
              <w:keepLines w:val="0"/>
              <w:widowControl/>
              <w:suppressLineNumbers w:val="0"/>
              <w:spacing w:line="360" w:lineRule="auto"/>
              <w:ind w:firstLine="1200" w:firstLineChars="500"/>
              <w:jc w:val="left"/>
              <w:rPr>
                <w:color w:val="auto"/>
                <w:highlight w:val="none"/>
                <w:u w:val="none" w:color="auto"/>
              </w:rPr>
            </w:pPr>
            <w:r>
              <w:rPr>
                <w:rFonts w:hint="default" w:ascii="Times New Roman" w:hAnsi="Times New Roman" w:eastAsia="宋体" w:cs="Times New Roman"/>
                <w:i/>
                <w:iCs/>
                <w:color w:val="auto"/>
                <w:kern w:val="0"/>
                <w:sz w:val="24"/>
                <w:szCs w:val="24"/>
                <w:highlight w:val="none"/>
                <w:u w:val="none" w:color="auto"/>
                <w:lang w:val="en-US" w:eastAsia="zh-CN" w:bidi="ar"/>
              </w:rPr>
              <w:t>L</w:t>
            </w:r>
            <w:r>
              <w:rPr>
                <w:rFonts w:hint="default" w:ascii="Times New Roman" w:hAnsi="Times New Roman" w:eastAsia="宋体" w:cs="Times New Roman"/>
                <w:i/>
                <w:iCs/>
                <w:color w:val="auto"/>
                <w:kern w:val="0"/>
                <w:sz w:val="15"/>
                <w:szCs w:val="15"/>
                <w:highlight w:val="none"/>
                <w:u w:val="none" w:color="auto"/>
                <w:lang w:val="en-US" w:eastAsia="zh-CN" w:bidi="ar"/>
              </w:rPr>
              <w:t>P</w:t>
            </w:r>
            <w:r>
              <w:rPr>
                <w:rFonts w:hint="eastAsia" w:ascii="宋体" w:hAnsi="宋体" w:eastAsia="宋体" w:cs="宋体"/>
                <w:i/>
                <w:iCs/>
                <w:color w:val="auto"/>
                <w:kern w:val="0"/>
                <w:sz w:val="24"/>
                <w:szCs w:val="24"/>
                <w:highlight w:val="none"/>
                <w:u w:val="none" w:color="auto"/>
                <w:lang w:val="en-US" w:eastAsia="zh-CN" w:bidi="ar"/>
              </w:rPr>
              <w:t>(</w:t>
            </w:r>
            <w:r>
              <w:rPr>
                <w:rFonts w:hint="default" w:ascii="Times New Roman" w:hAnsi="Times New Roman" w:eastAsia="宋体" w:cs="Times New Roman"/>
                <w:i/>
                <w:iCs/>
                <w:color w:val="auto"/>
                <w:kern w:val="0"/>
                <w:sz w:val="24"/>
                <w:szCs w:val="24"/>
                <w:highlight w:val="none"/>
                <w:u w:val="none" w:color="auto"/>
                <w:lang w:val="en-US" w:eastAsia="zh-CN" w:bidi="ar"/>
              </w:rPr>
              <w:t>r</w:t>
            </w:r>
            <w:r>
              <w:rPr>
                <w:rFonts w:hint="default" w:ascii="Times New Roman" w:hAnsi="Times New Roman" w:eastAsia="宋体" w:cs="Times New Roman"/>
                <w:i/>
                <w:iCs/>
                <w:color w:val="auto"/>
                <w:kern w:val="0"/>
                <w:sz w:val="24"/>
                <w:szCs w:val="24"/>
                <w:highlight w:val="none"/>
                <w:u w:val="none" w:color="auto"/>
                <w:vertAlign w:val="subscript"/>
                <w:lang w:val="en-US" w:eastAsia="zh-CN" w:bidi="ar"/>
              </w:rPr>
              <w:t>o</w:t>
            </w:r>
            <w:r>
              <w:rPr>
                <w:rFonts w:hint="eastAsia" w:ascii="宋体" w:hAnsi="宋体" w:eastAsia="宋体" w:cs="宋体"/>
                <w:i/>
                <w:iCs/>
                <w:color w:val="auto"/>
                <w:kern w:val="0"/>
                <w:sz w:val="24"/>
                <w:szCs w:val="24"/>
                <w:highlight w:val="none"/>
                <w:u w:val="none" w:color="auto"/>
                <w:lang w:val="en-US" w:eastAsia="zh-CN" w:bidi="ar"/>
              </w:rPr>
              <w:t>)</w:t>
            </w:r>
            <w:r>
              <w:rPr>
                <w:rFonts w:hint="eastAsia" w:ascii="Times New Roman" w:hAnsi="Times New Roman" w:eastAsia="宋体" w:cs="Times New Roman"/>
                <w:color w:val="auto"/>
                <w:kern w:val="0"/>
                <w:sz w:val="24"/>
                <w:szCs w:val="24"/>
                <w:highlight w:val="none"/>
                <w:u w:val="none" w:color="auto"/>
                <w:lang w:val="en-US" w:eastAsia="zh-CN" w:bidi="ar"/>
              </w:rPr>
              <w:t>-</w:t>
            </w:r>
            <w:r>
              <w:rPr>
                <w:rFonts w:hint="eastAsia" w:cs="Times New Roman"/>
                <w:color w:val="auto"/>
                <w:kern w:val="0"/>
                <w:sz w:val="24"/>
                <w:szCs w:val="24"/>
                <w:highlight w:val="none"/>
                <w:u w:val="none" w:color="auto"/>
                <w:lang w:val="en-US" w:eastAsia="zh-CN" w:bidi="ar"/>
              </w:rPr>
              <w:t>－</w:t>
            </w:r>
            <w:r>
              <w:rPr>
                <w:rFonts w:hint="eastAsia" w:ascii="宋体" w:hAnsi="宋体" w:eastAsia="宋体" w:cs="宋体"/>
                <w:color w:val="auto"/>
                <w:kern w:val="0"/>
                <w:sz w:val="24"/>
                <w:szCs w:val="24"/>
                <w:highlight w:val="none"/>
                <w:u w:val="none" w:color="auto"/>
                <w:lang w:val="en-US" w:eastAsia="zh-CN" w:bidi="ar"/>
              </w:rPr>
              <w:t>参考位置</w:t>
            </w:r>
            <w:r>
              <w:rPr>
                <w:rFonts w:hint="default" w:ascii="Times New Roman" w:hAnsi="Times New Roman" w:eastAsia="宋体" w:cs="Times New Roman"/>
                <w:color w:val="auto"/>
                <w:kern w:val="0"/>
                <w:sz w:val="24"/>
                <w:szCs w:val="24"/>
                <w:highlight w:val="none"/>
                <w:u w:val="none" w:color="auto"/>
                <w:lang w:val="en-US" w:eastAsia="zh-CN" w:bidi="ar"/>
              </w:rPr>
              <w:t>r</w:t>
            </w:r>
            <w:r>
              <w:rPr>
                <w:rFonts w:hint="default" w:ascii="Times New Roman" w:hAnsi="Times New Roman" w:eastAsia="宋体" w:cs="Times New Roman"/>
                <w:color w:val="auto"/>
                <w:kern w:val="0"/>
                <w:sz w:val="24"/>
                <w:szCs w:val="24"/>
                <w:highlight w:val="none"/>
                <w:u w:val="none" w:color="auto"/>
                <w:vertAlign w:val="subscript"/>
                <w:lang w:val="en-US" w:eastAsia="zh-CN" w:bidi="ar"/>
              </w:rPr>
              <w:t>o</w:t>
            </w:r>
            <w:r>
              <w:rPr>
                <w:rFonts w:hint="eastAsia" w:ascii="宋体" w:hAnsi="宋体" w:eastAsia="宋体" w:cs="宋体"/>
                <w:color w:val="auto"/>
                <w:kern w:val="0"/>
                <w:sz w:val="24"/>
                <w:szCs w:val="24"/>
                <w:highlight w:val="none"/>
                <w:u w:val="none" w:color="auto"/>
                <w:lang w:val="en-US" w:eastAsia="zh-CN" w:bidi="ar"/>
              </w:rPr>
              <w:t>处的倍频带声压级，</w:t>
            </w:r>
            <w:r>
              <w:rPr>
                <w:rFonts w:hint="default" w:ascii="Times New Roman" w:hAnsi="Times New Roman" w:eastAsia="宋体" w:cs="Times New Roman"/>
                <w:color w:val="auto"/>
                <w:kern w:val="0"/>
                <w:sz w:val="24"/>
                <w:szCs w:val="24"/>
                <w:highlight w:val="none"/>
                <w:u w:val="none" w:color="auto"/>
                <w:lang w:val="en-US" w:eastAsia="zh-CN" w:bidi="ar"/>
              </w:rPr>
              <w:t>dB</w:t>
            </w:r>
            <w:r>
              <w:rPr>
                <w:rFonts w:hint="eastAsia" w:ascii="宋体" w:hAnsi="宋体" w:eastAsia="宋体" w:cs="宋体"/>
                <w:color w:val="auto"/>
                <w:kern w:val="0"/>
                <w:sz w:val="24"/>
                <w:szCs w:val="24"/>
                <w:highlight w:val="none"/>
                <w:u w:val="none" w:color="auto"/>
                <w:lang w:val="en-US" w:eastAsia="zh-CN" w:bidi="ar"/>
              </w:rPr>
              <w:t xml:space="preserve">； </w:t>
            </w:r>
          </w:p>
          <w:p w14:paraId="14879925">
            <w:pPr>
              <w:keepNext w:val="0"/>
              <w:keepLines w:val="0"/>
              <w:widowControl/>
              <w:suppressLineNumbers w:val="0"/>
              <w:spacing w:line="360" w:lineRule="auto"/>
              <w:ind w:firstLine="1200" w:firstLineChars="500"/>
              <w:jc w:val="left"/>
              <w:rPr>
                <w:color w:val="auto"/>
                <w:highlight w:val="none"/>
                <w:u w:val="none" w:color="auto"/>
              </w:rPr>
            </w:pPr>
            <w:r>
              <w:rPr>
                <w:rFonts w:hint="default" w:ascii="Times New Roman" w:hAnsi="Times New Roman" w:eastAsia="宋体" w:cs="Times New Roman"/>
                <w:i/>
                <w:iCs/>
                <w:color w:val="auto"/>
                <w:kern w:val="0"/>
                <w:sz w:val="24"/>
                <w:szCs w:val="24"/>
                <w:highlight w:val="none"/>
                <w:u w:val="none" w:color="auto"/>
                <w:lang w:val="en-US" w:eastAsia="zh-CN" w:bidi="ar"/>
              </w:rPr>
              <w:t>A</w:t>
            </w:r>
            <w:r>
              <w:rPr>
                <w:rFonts w:hint="default" w:ascii="Times New Roman" w:hAnsi="Times New Roman" w:eastAsia="宋体" w:cs="Times New Roman"/>
                <w:i/>
                <w:iCs/>
                <w:color w:val="auto"/>
                <w:kern w:val="0"/>
                <w:sz w:val="15"/>
                <w:szCs w:val="15"/>
                <w:highlight w:val="none"/>
                <w:u w:val="none" w:color="auto"/>
                <w:lang w:val="en-US" w:eastAsia="zh-CN" w:bidi="ar"/>
              </w:rPr>
              <w:t>div</w:t>
            </w:r>
            <w:r>
              <w:rPr>
                <w:rFonts w:hint="eastAsia" w:ascii="Times New Roman" w:hAnsi="Times New Roman" w:eastAsia="宋体" w:cs="Times New Roman"/>
                <w:color w:val="auto"/>
                <w:kern w:val="0"/>
                <w:sz w:val="24"/>
                <w:szCs w:val="24"/>
                <w:highlight w:val="none"/>
                <w:u w:val="none" w:color="auto"/>
                <w:lang w:val="en-US" w:eastAsia="zh-CN" w:bidi="ar"/>
              </w:rPr>
              <w:t>--</w:t>
            </w:r>
            <w:r>
              <w:rPr>
                <w:rFonts w:hint="eastAsia" w:ascii="宋体" w:hAnsi="宋体" w:eastAsia="宋体" w:cs="宋体"/>
                <w:color w:val="auto"/>
                <w:kern w:val="0"/>
                <w:sz w:val="24"/>
                <w:szCs w:val="24"/>
                <w:highlight w:val="none"/>
                <w:u w:val="none" w:color="auto"/>
                <w:lang w:val="en-US" w:eastAsia="zh-CN" w:bidi="ar"/>
              </w:rPr>
              <w:t>几何发散引起的倍频带衰减量，</w:t>
            </w:r>
            <w:r>
              <w:rPr>
                <w:rFonts w:hint="default" w:ascii="Times New Roman" w:hAnsi="Times New Roman" w:eastAsia="宋体" w:cs="Times New Roman"/>
                <w:color w:val="auto"/>
                <w:kern w:val="0"/>
                <w:sz w:val="24"/>
                <w:szCs w:val="24"/>
                <w:highlight w:val="none"/>
                <w:u w:val="none" w:color="auto"/>
                <w:lang w:val="en-US" w:eastAsia="zh-CN" w:bidi="ar"/>
              </w:rPr>
              <w:t>dB</w:t>
            </w:r>
            <w:r>
              <w:rPr>
                <w:rFonts w:hint="eastAsia" w:ascii="宋体" w:hAnsi="宋体" w:eastAsia="宋体" w:cs="宋体"/>
                <w:color w:val="auto"/>
                <w:kern w:val="0"/>
                <w:sz w:val="24"/>
                <w:szCs w:val="24"/>
                <w:highlight w:val="none"/>
                <w:u w:val="none" w:color="auto"/>
                <w:lang w:val="en-US" w:eastAsia="zh-CN" w:bidi="ar"/>
              </w:rPr>
              <w:t xml:space="preserve">； </w:t>
            </w:r>
          </w:p>
          <w:p w14:paraId="48FB3384">
            <w:pPr>
              <w:keepNext w:val="0"/>
              <w:keepLines w:val="0"/>
              <w:widowControl/>
              <w:suppressLineNumbers w:val="0"/>
              <w:spacing w:line="360" w:lineRule="auto"/>
              <w:ind w:firstLine="1200" w:firstLineChars="500"/>
              <w:jc w:val="left"/>
              <w:rPr>
                <w:color w:val="auto"/>
                <w:highlight w:val="none"/>
                <w:u w:val="none" w:color="auto"/>
              </w:rPr>
            </w:pPr>
            <w:r>
              <w:rPr>
                <w:rFonts w:hint="default" w:ascii="Times New Roman" w:hAnsi="Times New Roman" w:eastAsia="宋体" w:cs="Times New Roman"/>
                <w:i/>
                <w:iCs/>
                <w:color w:val="auto"/>
                <w:kern w:val="0"/>
                <w:sz w:val="24"/>
                <w:szCs w:val="24"/>
                <w:highlight w:val="none"/>
                <w:u w:val="none" w:color="auto"/>
                <w:lang w:val="en-US" w:eastAsia="zh-CN" w:bidi="ar"/>
              </w:rPr>
              <w:t>A</w:t>
            </w:r>
            <w:r>
              <w:rPr>
                <w:rFonts w:hint="default" w:ascii="Times New Roman" w:hAnsi="Times New Roman" w:eastAsia="宋体" w:cs="Times New Roman"/>
                <w:i/>
                <w:iCs/>
                <w:color w:val="auto"/>
                <w:kern w:val="0"/>
                <w:sz w:val="15"/>
                <w:szCs w:val="15"/>
                <w:highlight w:val="none"/>
                <w:u w:val="none" w:color="auto"/>
                <w:lang w:val="en-US" w:eastAsia="zh-CN" w:bidi="ar"/>
              </w:rPr>
              <w:t>atm</w:t>
            </w:r>
            <w:r>
              <w:rPr>
                <w:rFonts w:hint="eastAsia" w:ascii="Times New Roman" w:hAnsi="Times New Roman" w:eastAsia="宋体" w:cs="Times New Roman"/>
                <w:color w:val="auto"/>
                <w:kern w:val="0"/>
                <w:sz w:val="24"/>
                <w:szCs w:val="24"/>
                <w:highlight w:val="none"/>
                <w:u w:val="none" w:color="auto"/>
                <w:lang w:val="en-US" w:eastAsia="zh-CN" w:bidi="ar"/>
              </w:rPr>
              <w:t>--</w:t>
            </w:r>
            <w:r>
              <w:rPr>
                <w:rFonts w:hint="eastAsia" w:ascii="宋体" w:hAnsi="宋体" w:eastAsia="宋体" w:cs="宋体"/>
                <w:color w:val="auto"/>
                <w:kern w:val="0"/>
                <w:sz w:val="24"/>
                <w:szCs w:val="24"/>
                <w:highlight w:val="none"/>
                <w:u w:val="none" w:color="auto"/>
                <w:lang w:val="en-US" w:eastAsia="zh-CN" w:bidi="ar"/>
              </w:rPr>
              <w:t>大气吸收引起的倍频带衰减量，</w:t>
            </w:r>
            <w:r>
              <w:rPr>
                <w:rFonts w:hint="default" w:ascii="Times New Roman" w:hAnsi="Times New Roman" w:eastAsia="宋体" w:cs="Times New Roman"/>
                <w:color w:val="auto"/>
                <w:kern w:val="0"/>
                <w:sz w:val="24"/>
                <w:szCs w:val="24"/>
                <w:highlight w:val="none"/>
                <w:u w:val="none" w:color="auto"/>
                <w:lang w:val="en-US" w:eastAsia="zh-CN" w:bidi="ar"/>
              </w:rPr>
              <w:t>dB</w:t>
            </w:r>
            <w:r>
              <w:rPr>
                <w:rFonts w:hint="eastAsia" w:ascii="宋体" w:hAnsi="宋体" w:eastAsia="宋体" w:cs="宋体"/>
                <w:color w:val="auto"/>
                <w:kern w:val="0"/>
                <w:sz w:val="24"/>
                <w:szCs w:val="24"/>
                <w:highlight w:val="none"/>
                <w:u w:val="none" w:color="auto"/>
                <w:lang w:val="en-US" w:eastAsia="zh-CN" w:bidi="ar"/>
              </w:rPr>
              <w:t xml:space="preserve">； </w:t>
            </w:r>
          </w:p>
          <w:p w14:paraId="747CA277">
            <w:pPr>
              <w:keepNext w:val="0"/>
              <w:keepLines w:val="0"/>
              <w:widowControl/>
              <w:suppressLineNumbers w:val="0"/>
              <w:spacing w:line="360" w:lineRule="auto"/>
              <w:ind w:firstLine="1200" w:firstLineChars="500"/>
              <w:jc w:val="left"/>
              <w:rPr>
                <w:color w:val="auto"/>
                <w:highlight w:val="none"/>
                <w:u w:val="none" w:color="auto"/>
              </w:rPr>
            </w:pPr>
            <w:r>
              <w:rPr>
                <w:rFonts w:hint="default" w:ascii="Times New Roman" w:hAnsi="Times New Roman" w:eastAsia="宋体" w:cs="Times New Roman"/>
                <w:i/>
                <w:iCs/>
                <w:color w:val="auto"/>
                <w:kern w:val="0"/>
                <w:sz w:val="24"/>
                <w:szCs w:val="24"/>
                <w:highlight w:val="none"/>
                <w:u w:val="none" w:color="auto"/>
                <w:lang w:val="en-US" w:eastAsia="zh-CN" w:bidi="ar"/>
              </w:rPr>
              <w:t>A</w:t>
            </w:r>
            <w:r>
              <w:rPr>
                <w:rFonts w:hint="default" w:ascii="Times New Roman" w:hAnsi="Times New Roman" w:eastAsia="宋体" w:cs="Times New Roman"/>
                <w:i/>
                <w:iCs/>
                <w:color w:val="auto"/>
                <w:kern w:val="0"/>
                <w:sz w:val="15"/>
                <w:szCs w:val="15"/>
                <w:highlight w:val="none"/>
                <w:u w:val="none" w:color="auto"/>
                <w:lang w:val="en-US" w:eastAsia="zh-CN" w:bidi="ar"/>
              </w:rPr>
              <w:t>bar</w:t>
            </w:r>
            <w:r>
              <w:rPr>
                <w:rFonts w:hint="eastAsia" w:ascii="Times New Roman" w:hAnsi="Times New Roman" w:eastAsia="宋体" w:cs="Times New Roman"/>
                <w:color w:val="auto"/>
                <w:kern w:val="0"/>
                <w:sz w:val="24"/>
                <w:szCs w:val="24"/>
                <w:highlight w:val="none"/>
                <w:u w:val="none" w:color="auto"/>
                <w:lang w:val="en-US" w:eastAsia="zh-CN" w:bidi="ar"/>
              </w:rPr>
              <w:t>--</w:t>
            </w:r>
            <w:r>
              <w:rPr>
                <w:rFonts w:hint="eastAsia" w:ascii="宋体" w:hAnsi="宋体" w:eastAsia="宋体" w:cs="宋体"/>
                <w:color w:val="auto"/>
                <w:kern w:val="0"/>
                <w:sz w:val="24"/>
                <w:szCs w:val="24"/>
                <w:highlight w:val="none"/>
                <w:u w:val="none" w:color="auto"/>
                <w:lang w:val="en-US" w:eastAsia="zh-CN" w:bidi="ar"/>
              </w:rPr>
              <w:t>声屏障引起的倍频带衰减量，</w:t>
            </w:r>
            <w:r>
              <w:rPr>
                <w:rFonts w:hint="default" w:ascii="Times New Roman" w:hAnsi="Times New Roman" w:eastAsia="宋体" w:cs="Times New Roman"/>
                <w:color w:val="auto"/>
                <w:kern w:val="0"/>
                <w:sz w:val="24"/>
                <w:szCs w:val="24"/>
                <w:highlight w:val="none"/>
                <w:u w:val="none" w:color="auto"/>
                <w:lang w:val="en-US" w:eastAsia="zh-CN" w:bidi="ar"/>
              </w:rPr>
              <w:t>dB</w:t>
            </w:r>
            <w:r>
              <w:rPr>
                <w:rFonts w:hint="eastAsia" w:ascii="宋体" w:hAnsi="宋体" w:eastAsia="宋体" w:cs="宋体"/>
                <w:color w:val="auto"/>
                <w:kern w:val="0"/>
                <w:sz w:val="24"/>
                <w:szCs w:val="24"/>
                <w:highlight w:val="none"/>
                <w:u w:val="none" w:color="auto"/>
                <w:lang w:val="en-US" w:eastAsia="zh-CN" w:bidi="ar"/>
              </w:rPr>
              <w:t xml:space="preserve">； </w:t>
            </w:r>
          </w:p>
          <w:p w14:paraId="7A5CAE15">
            <w:pPr>
              <w:keepNext w:val="0"/>
              <w:keepLines w:val="0"/>
              <w:widowControl/>
              <w:suppressLineNumbers w:val="0"/>
              <w:spacing w:line="360" w:lineRule="auto"/>
              <w:ind w:firstLine="1200" w:firstLineChars="500"/>
              <w:jc w:val="left"/>
              <w:rPr>
                <w:color w:val="auto"/>
                <w:highlight w:val="none"/>
                <w:u w:val="none" w:color="auto"/>
              </w:rPr>
            </w:pPr>
            <w:r>
              <w:rPr>
                <w:rFonts w:hint="default" w:ascii="Times New Roman" w:hAnsi="Times New Roman" w:eastAsia="宋体" w:cs="Times New Roman"/>
                <w:i/>
                <w:iCs/>
                <w:color w:val="auto"/>
                <w:kern w:val="0"/>
                <w:sz w:val="24"/>
                <w:szCs w:val="24"/>
                <w:highlight w:val="none"/>
                <w:u w:val="none" w:color="auto"/>
                <w:lang w:val="en-US" w:eastAsia="zh-CN" w:bidi="ar"/>
              </w:rPr>
              <w:t>A</w:t>
            </w:r>
            <w:r>
              <w:rPr>
                <w:rFonts w:hint="default" w:ascii="Times New Roman" w:hAnsi="Times New Roman" w:eastAsia="宋体" w:cs="Times New Roman"/>
                <w:i/>
                <w:iCs/>
                <w:color w:val="auto"/>
                <w:kern w:val="0"/>
                <w:sz w:val="15"/>
                <w:szCs w:val="15"/>
                <w:highlight w:val="none"/>
                <w:u w:val="none" w:color="auto"/>
                <w:lang w:val="en-US" w:eastAsia="zh-CN" w:bidi="ar"/>
              </w:rPr>
              <w:t>gr</w:t>
            </w:r>
            <w:r>
              <w:rPr>
                <w:rFonts w:hint="eastAsia" w:ascii="Times New Roman" w:hAnsi="Times New Roman" w:eastAsia="宋体" w:cs="Times New Roman"/>
                <w:color w:val="auto"/>
                <w:kern w:val="0"/>
                <w:sz w:val="24"/>
                <w:szCs w:val="24"/>
                <w:highlight w:val="none"/>
                <w:u w:val="none" w:color="auto"/>
                <w:lang w:val="en-US" w:eastAsia="zh-CN" w:bidi="ar"/>
              </w:rPr>
              <w:t>--</w:t>
            </w:r>
            <w:r>
              <w:rPr>
                <w:rFonts w:hint="eastAsia" w:ascii="宋体" w:hAnsi="宋体" w:eastAsia="宋体" w:cs="宋体"/>
                <w:color w:val="auto"/>
                <w:kern w:val="0"/>
                <w:sz w:val="24"/>
                <w:szCs w:val="24"/>
                <w:highlight w:val="none"/>
                <w:u w:val="none" w:color="auto"/>
                <w:lang w:val="en-US" w:eastAsia="zh-CN" w:bidi="ar"/>
              </w:rPr>
              <w:t>地面效应引起的倍频带衰减量，</w:t>
            </w:r>
            <w:r>
              <w:rPr>
                <w:rFonts w:hint="default" w:ascii="Times New Roman" w:hAnsi="Times New Roman" w:eastAsia="宋体" w:cs="Times New Roman"/>
                <w:color w:val="auto"/>
                <w:kern w:val="0"/>
                <w:sz w:val="24"/>
                <w:szCs w:val="24"/>
                <w:highlight w:val="none"/>
                <w:u w:val="none" w:color="auto"/>
                <w:lang w:val="en-US" w:eastAsia="zh-CN" w:bidi="ar"/>
              </w:rPr>
              <w:t>dB</w:t>
            </w:r>
            <w:r>
              <w:rPr>
                <w:rFonts w:hint="eastAsia" w:ascii="宋体" w:hAnsi="宋体" w:eastAsia="宋体" w:cs="宋体"/>
                <w:color w:val="auto"/>
                <w:kern w:val="0"/>
                <w:sz w:val="24"/>
                <w:szCs w:val="24"/>
                <w:highlight w:val="none"/>
                <w:u w:val="none" w:color="auto"/>
                <w:lang w:val="en-US" w:eastAsia="zh-CN" w:bidi="ar"/>
              </w:rPr>
              <w:t xml:space="preserve">； </w:t>
            </w:r>
          </w:p>
          <w:p w14:paraId="24CEB9FC">
            <w:pPr>
              <w:keepNext w:val="0"/>
              <w:keepLines w:val="0"/>
              <w:widowControl/>
              <w:suppressLineNumbers w:val="0"/>
              <w:spacing w:line="360" w:lineRule="auto"/>
              <w:ind w:firstLine="1200" w:firstLineChars="500"/>
              <w:jc w:val="left"/>
              <w:rPr>
                <w:color w:val="auto"/>
                <w:highlight w:val="none"/>
                <w:u w:val="none" w:color="auto"/>
              </w:rPr>
            </w:pPr>
            <w:r>
              <w:rPr>
                <w:rFonts w:hint="default" w:ascii="Times New Roman" w:hAnsi="Times New Roman" w:eastAsia="宋体" w:cs="Times New Roman"/>
                <w:i/>
                <w:iCs/>
                <w:color w:val="auto"/>
                <w:kern w:val="0"/>
                <w:sz w:val="24"/>
                <w:szCs w:val="24"/>
                <w:highlight w:val="none"/>
                <w:u w:val="none" w:color="auto"/>
                <w:lang w:val="en-US" w:eastAsia="zh-CN" w:bidi="ar"/>
              </w:rPr>
              <w:t>A</w:t>
            </w:r>
            <w:r>
              <w:rPr>
                <w:rFonts w:hint="default" w:ascii="Times New Roman" w:hAnsi="Times New Roman" w:eastAsia="宋体" w:cs="Times New Roman"/>
                <w:i/>
                <w:iCs/>
                <w:color w:val="auto"/>
                <w:kern w:val="0"/>
                <w:sz w:val="15"/>
                <w:szCs w:val="15"/>
                <w:highlight w:val="none"/>
                <w:u w:val="none" w:color="auto"/>
                <w:lang w:val="en-US" w:eastAsia="zh-CN" w:bidi="ar"/>
              </w:rPr>
              <w:t>misc</w:t>
            </w:r>
            <w:r>
              <w:rPr>
                <w:rFonts w:hint="eastAsia" w:ascii="Times New Roman" w:hAnsi="Times New Roman" w:eastAsia="宋体" w:cs="Times New Roman"/>
                <w:color w:val="auto"/>
                <w:kern w:val="0"/>
                <w:sz w:val="24"/>
                <w:szCs w:val="24"/>
                <w:highlight w:val="none"/>
                <w:u w:val="none" w:color="auto"/>
                <w:lang w:val="en-US" w:eastAsia="zh-CN" w:bidi="ar"/>
              </w:rPr>
              <w:t>--</w:t>
            </w:r>
            <w:r>
              <w:rPr>
                <w:rFonts w:hint="eastAsia" w:ascii="宋体" w:hAnsi="宋体" w:eastAsia="宋体" w:cs="宋体"/>
                <w:color w:val="auto"/>
                <w:kern w:val="0"/>
                <w:sz w:val="24"/>
                <w:szCs w:val="24"/>
                <w:highlight w:val="none"/>
                <w:u w:val="none" w:color="auto"/>
                <w:lang w:val="en-US" w:eastAsia="zh-CN" w:bidi="ar"/>
              </w:rPr>
              <w:t>其他多方面效应引起的倍频带衰减量，</w:t>
            </w:r>
            <w:r>
              <w:rPr>
                <w:rFonts w:hint="default" w:ascii="Times New Roman" w:hAnsi="Times New Roman" w:eastAsia="宋体" w:cs="Times New Roman"/>
                <w:color w:val="auto"/>
                <w:kern w:val="0"/>
                <w:sz w:val="24"/>
                <w:szCs w:val="24"/>
                <w:highlight w:val="none"/>
                <w:u w:val="none" w:color="auto"/>
                <w:lang w:val="en-US" w:eastAsia="zh-CN" w:bidi="ar"/>
              </w:rPr>
              <w:t>dB</w:t>
            </w:r>
            <w:r>
              <w:rPr>
                <w:rFonts w:hint="eastAsia" w:ascii="宋体" w:hAnsi="宋体" w:eastAsia="宋体" w:cs="宋体"/>
                <w:color w:val="auto"/>
                <w:kern w:val="0"/>
                <w:sz w:val="24"/>
                <w:szCs w:val="24"/>
                <w:highlight w:val="none"/>
                <w:u w:val="none" w:color="auto"/>
                <w:lang w:val="en-US" w:eastAsia="zh-CN" w:bidi="ar"/>
              </w:rPr>
              <w:t>；</w:t>
            </w:r>
          </w:p>
          <w:p w14:paraId="06120D65">
            <w:pPr>
              <w:keepNext w:val="0"/>
              <w:keepLines w:val="0"/>
              <w:widowControl/>
              <w:suppressLineNumbers w:val="0"/>
              <w:spacing w:line="360" w:lineRule="auto"/>
              <w:ind w:firstLine="480" w:firstLineChars="200"/>
              <w:jc w:val="left"/>
              <w:rPr>
                <w:color w:val="auto"/>
                <w:highlight w:val="none"/>
                <w:u w:val="none" w:color="auto"/>
              </w:rPr>
            </w:pPr>
            <w:r>
              <w:rPr>
                <w:rFonts w:hint="eastAsia" w:ascii="宋体" w:hAnsi="宋体" w:eastAsia="宋体" w:cs="宋体"/>
                <w:color w:val="auto"/>
                <w:kern w:val="0"/>
                <w:sz w:val="24"/>
                <w:szCs w:val="24"/>
                <w:highlight w:val="none"/>
                <w:u w:val="none" w:color="auto"/>
                <w:lang w:val="en-US" w:eastAsia="zh-CN" w:bidi="ar"/>
              </w:rPr>
              <w:t>③室内声源等效室外声源后声压级</w:t>
            </w:r>
          </w:p>
          <w:p w14:paraId="71FA4DD6">
            <w:pPr>
              <w:pStyle w:val="17"/>
              <w:spacing w:before="0" w:after="0" w:line="360" w:lineRule="auto"/>
              <w:ind w:right="0"/>
              <w:jc w:val="center"/>
              <w:rPr>
                <w:color w:val="auto"/>
                <w:highlight w:val="none"/>
                <w:u w:val="none" w:color="auto"/>
              </w:rPr>
            </w:pPr>
            <w:r>
              <w:rPr>
                <w:color w:val="auto"/>
                <w:position w:val="-12"/>
                <w:highlight w:val="none"/>
                <w:u w:val="none" w:color="auto"/>
              </w:rPr>
              <w:object>
                <v:shape id="_x0000_i1028" o:spt="75" type="#_x0000_t75" style="height:18pt;width:101pt;" o:ole="t" filled="f" o:preferrelative="t" stroked="f" coordsize="21600,21600">
                  <v:path/>
                  <v:fill on="f" focussize="0,0"/>
                  <v:stroke on="f"/>
                  <v:imagedata r:id="rId22" o:title=""/>
                  <o:lock v:ext="edit" aspectratio="t"/>
                  <w10:wrap type="none"/>
                  <w10:anchorlock/>
                </v:shape>
                <o:OLEObject Type="Embed" ProgID="Equation.KSEE3" ShapeID="_x0000_i1028" DrawAspect="Content" ObjectID="_1468075728" r:id="rId21">
                  <o:LockedField>false</o:LockedField>
                </o:OLEObject>
              </w:object>
            </w:r>
          </w:p>
          <w:p w14:paraId="6F57ECEC">
            <w:pPr>
              <w:keepNext w:val="0"/>
              <w:keepLines w:val="0"/>
              <w:widowControl/>
              <w:suppressLineNumbers w:val="0"/>
              <w:spacing w:line="360" w:lineRule="auto"/>
              <w:ind w:firstLine="480" w:firstLineChars="200"/>
              <w:jc w:val="left"/>
              <w:rPr>
                <w:color w:val="auto"/>
                <w:highlight w:val="none"/>
                <w:u w:val="none" w:color="auto"/>
              </w:rPr>
            </w:pPr>
            <w:r>
              <w:rPr>
                <w:rFonts w:hint="eastAsia" w:ascii="宋体" w:hAnsi="宋体" w:eastAsia="宋体" w:cs="宋体"/>
                <w:color w:val="auto"/>
                <w:kern w:val="0"/>
                <w:sz w:val="24"/>
                <w:szCs w:val="24"/>
                <w:highlight w:val="none"/>
                <w:u w:val="none" w:color="auto"/>
                <w:lang w:val="en-US" w:eastAsia="zh-CN" w:bidi="ar"/>
              </w:rPr>
              <w:t>式中：</w:t>
            </w:r>
            <w:r>
              <w:rPr>
                <w:rFonts w:hint="default" w:ascii="Times New Roman" w:hAnsi="Times New Roman" w:eastAsia="宋体" w:cs="Times New Roman"/>
                <w:i/>
                <w:iCs/>
                <w:color w:val="auto"/>
                <w:kern w:val="0"/>
                <w:sz w:val="24"/>
                <w:szCs w:val="24"/>
                <w:highlight w:val="none"/>
                <w:u w:val="none" w:color="auto"/>
                <w:lang w:val="en-US" w:eastAsia="zh-CN" w:bidi="ar"/>
              </w:rPr>
              <w:t>L</w:t>
            </w:r>
            <w:r>
              <w:rPr>
                <w:rFonts w:hint="default" w:ascii="Times New Roman" w:hAnsi="Times New Roman" w:eastAsia="宋体" w:cs="Times New Roman"/>
                <w:i/>
                <w:iCs/>
                <w:color w:val="auto"/>
                <w:kern w:val="0"/>
                <w:sz w:val="15"/>
                <w:szCs w:val="15"/>
                <w:highlight w:val="none"/>
                <w:u w:val="none" w:color="auto"/>
                <w:lang w:val="en-US" w:eastAsia="zh-CN" w:bidi="ar"/>
              </w:rPr>
              <w:t>p2i</w:t>
            </w:r>
            <w:r>
              <w:rPr>
                <w:rFonts w:hint="eastAsia" w:ascii="Times New Roman" w:hAnsi="Times New Roman" w:eastAsia="宋体" w:cs="Times New Roman"/>
                <w:color w:val="auto"/>
                <w:kern w:val="0"/>
                <w:sz w:val="24"/>
                <w:szCs w:val="24"/>
                <w:highlight w:val="none"/>
                <w:u w:val="none" w:color="auto"/>
                <w:lang w:val="en-US" w:eastAsia="zh-CN" w:bidi="ar"/>
              </w:rPr>
              <w:t>-</w:t>
            </w:r>
            <w:r>
              <w:rPr>
                <w:rFonts w:hint="eastAsia" w:ascii="宋体" w:hAnsi="宋体" w:eastAsia="宋体" w:cs="宋体"/>
                <w:color w:val="auto"/>
                <w:kern w:val="0"/>
                <w:sz w:val="24"/>
                <w:szCs w:val="24"/>
                <w:highlight w:val="none"/>
                <w:u w:val="none" w:color="auto"/>
                <w:lang w:val="en-US" w:eastAsia="zh-CN" w:bidi="ar"/>
              </w:rPr>
              <w:t>室外</w:t>
            </w:r>
            <w:r>
              <w:rPr>
                <w:rFonts w:hint="default" w:ascii="Times New Roman" w:hAnsi="Times New Roman" w:eastAsia="宋体" w:cs="Times New Roman"/>
                <w:color w:val="auto"/>
                <w:kern w:val="0"/>
                <w:sz w:val="24"/>
                <w:szCs w:val="24"/>
                <w:highlight w:val="none"/>
                <w:u w:val="none" w:color="auto"/>
                <w:lang w:val="en-US" w:eastAsia="zh-CN" w:bidi="ar"/>
              </w:rPr>
              <w:t>i</w:t>
            </w:r>
            <w:r>
              <w:rPr>
                <w:rFonts w:hint="eastAsia" w:ascii="宋体" w:hAnsi="宋体" w:eastAsia="宋体" w:cs="宋体"/>
                <w:color w:val="auto"/>
                <w:kern w:val="0"/>
                <w:sz w:val="24"/>
                <w:szCs w:val="24"/>
                <w:highlight w:val="none"/>
                <w:u w:val="none" w:color="auto"/>
                <w:lang w:val="en-US" w:eastAsia="zh-CN" w:bidi="ar"/>
              </w:rPr>
              <w:t>倍频带的声压级，</w:t>
            </w:r>
            <w:r>
              <w:rPr>
                <w:rFonts w:hint="default" w:ascii="Times New Roman" w:hAnsi="Times New Roman" w:eastAsia="宋体" w:cs="Times New Roman"/>
                <w:color w:val="auto"/>
                <w:kern w:val="0"/>
                <w:sz w:val="24"/>
                <w:szCs w:val="24"/>
                <w:highlight w:val="none"/>
                <w:u w:val="none" w:color="auto"/>
                <w:lang w:val="en-US" w:eastAsia="zh-CN" w:bidi="ar"/>
              </w:rPr>
              <w:t>dB</w:t>
            </w:r>
            <w:r>
              <w:rPr>
                <w:rFonts w:hint="eastAsia" w:ascii="宋体" w:hAnsi="宋体" w:eastAsia="宋体" w:cs="宋体"/>
                <w:color w:val="auto"/>
                <w:kern w:val="0"/>
                <w:sz w:val="24"/>
                <w:szCs w:val="24"/>
                <w:highlight w:val="none"/>
                <w:u w:val="none" w:color="auto"/>
                <w:lang w:val="en-US" w:eastAsia="zh-CN" w:bidi="ar"/>
              </w:rPr>
              <w:t xml:space="preserve">； </w:t>
            </w:r>
          </w:p>
          <w:p w14:paraId="611256E6">
            <w:pPr>
              <w:keepNext w:val="0"/>
              <w:keepLines w:val="0"/>
              <w:widowControl/>
              <w:suppressLineNumbers w:val="0"/>
              <w:spacing w:line="360" w:lineRule="auto"/>
              <w:ind w:firstLine="1200" w:firstLineChars="500"/>
              <w:jc w:val="left"/>
              <w:rPr>
                <w:color w:val="auto"/>
                <w:highlight w:val="none"/>
                <w:u w:val="none" w:color="auto"/>
              </w:rPr>
            </w:pPr>
            <w:r>
              <w:rPr>
                <w:rFonts w:hint="default" w:ascii="Times New Roman" w:hAnsi="Times New Roman" w:eastAsia="宋体" w:cs="Times New Roman"/>
                <w:i/>
                <w:iCs/>
                <w:color w:val="auto"/>
                <w:kern w:val="0"/>
                <w:sz w:val="24"/>
                <w:szCs w:val="24"/>
                <w:highlight w:val="none"/>
                <w:u w:val="none" w:color="auto"/>
                <w:lang w:val="en-US" w:eastAsia="zh-CN" w:bidi="ar"/>
              </w:rPr>
              <w:t>L</w:t>
            </w:r>
            <w:r>
              <w:rPr>
                <w:rFonts w:hint="default" w:ascii="Times New Roman" w:hAnsi="Times New Roman" w:eastAsia="宋体" w:cs="Times New Roman"/>
                <w:i/>
                <w:iCs/>
                <w:color w:val="auto"/>
                <w:kern w:val="0"/>
                <w:sz w:val="15"/>
                <w:szCs w:val="15"/>
                <w:highlight w:val="none"/>
                <w:u w:val="none" w:color="auto"/>
                <w:lang w:val="en-US" w:eastAsia="zh-CN" w:bidi="ar"/>
              </w:rPr>
              <w:t>p1i</w:t>
            </w:r>
            <w:r>
              <w:rPr>
                <w:rFonts w:hint="eastAsia" w:ascii="Times New Roman" w:hAnsi="Times New Roman" w:eastAsia="宋体" w:cs="Times New Roman"/>
                <w:color w:val="auto"/>
                <w:kern w:val="0"/>
                <w:sz w:val="24"/>
                <w:szCs w:val="24"/>
                <w:highlight w:val="none"/>
                <w:u w:val="none" w:color="auto"/>
                <w:lang w:val="en-US" w:eastAsia="zh-CN" w:bidi="ar"/>
              </w:rPr>
              <w:t>-</w:t>
            </w:r>
            <w:r>
              <w:rPr>
                <w:rFonts w:hint="eastAsia" w:ascii="宋体" w:hAnsi="宋体" w:eastAsia="宋体" w:cs="宋体"/>
                <w:color w:val="auto"/>
                <w:kern w:val="0"/>
                <w:sz w:val="24"/>
                <w:szCs w:val="24"/>
                <w:highlight w:val="none"/>
                <w:u w:val="none" w:color="auto"/>
                <w:lang w:val="en-US" w:eastAsia="zh-CN" w:bidi="ar"/>
              </w:rPr>
              <w:t>室内</w:t>
            </w:r>
            <w:r>
              <w:rPr>
                <w:rFonts w:hint="default" w:ascii="Times New Roman" w:hAnsi="Times New Roman" w:eastAsia="宋体" w:cs="Times New Roman"/>
                <w:color w:val="auto"/>
                <w:kern w:val="0"/>
                <w:sz w:val="24"/>
                <w:szCs w:val="24"/>
                <w:highlight w:val="none"/>
                <w:u w:val="none" w:color="auto"/>
                <w:lang w:val="en-US" w:eastAsia="zh-CN" w:bidi="ar"/>
              </w:rPr>
              <w:t>i</w:t>
            </w:r>
            <w:r>
              <w:rPr>
                <w:rFonts w:hint="eastAsia" w:ascii="宋体" w:hAnsi="宋体" w:eastAsia="宋体" w:cs="宋体"/>
                <w:color w:val="auto"/>
                <w:kern w:val="0"/>
                <w:sz w:val="24"/>
                <w:szCs w:val="24"/>
                <w:highlight w:val="none"/>
                <w:u w:val="none" w:color="auto"/>
                <w:lang w:val="en-US" w:eastAsia="zh-CN" w:bidi="ar"/>
              </w:rPr>
              <w:t>倍频带的声压级，</w:t>
            </w:r>
            <w:r>
              <w:rPr>
                <w:rFonts w:hint="default" w:ascii="Times New Roman" w:hAnsi="Times New Roman" w:eastAsia="宋体" w:cs="Times New Roman"/>
                <w:color w:val="auto"/>
                <w:kern w:val="0"/>
                <w:sz w:val="24"/>
                <w:szCs w:val="24"/>
                <w:highlight w:val="none"/>
                <w:u w:val="none" w:color="auto"/>
                <w:lang w:val="en-US" w:eastAsia="zh-CN" w:bidi="ar"/>
              </w:rPr>
              <w:t>dB</w:t>
            </w:r>
            <w:r>
              <w:rPr>
                <w:rFonts w:hint="eastAsia" w:ascii="宋体" w:hAnsi="宋体" w:eastAsia="宋体" w:cs="宋体"/>
                <w:color w:val="auto"/>
                <w:kern w:val="0"/>
                <w:sz w:val="24"/>
                <w:szCs w:val="24"/>
                <w:highlight w:val="none"/>
                <w:u w:val="none" w:color="auto"/>
                <w:lang w:val="en-US" w:eastAsia="zh-CN" w:bidi="ar"/>
              </w:rPr>
              <w:t xml:space="preserve">； </w:t>
            </w:r>
          </w:p>
          <w:p w14:paraId="7F3407D6">
            <w:pPr>
              <w:keepNext w:val="0"/>
              <w:keepLines w:val="0"/>
              <w:widowControl/>
              <w:suppressLineNumbers w:val="0"/>
              <w:spacing w:line="360" w:lineRule="auto"/>
              <w:ind w:firstLine="1200" w:firstLineChars="500"/>
              <w:jc w:val="left"/>
              <w:rPr>
                <w:color w:val="auto"/>
                <w:highlight w:val="none"/>
                <w:u w:val="none" w:color="auto"/>
              </w:rPr>
            </w:pPr>
            <w:r>
              <w:rPr>
                <w:rFonts w:hint="default" w:ascii="Times New Roman" w:hAnsi="Times New Roman" w:eastAsia="宋体" w:cs="Times New Roman"/>
                <w:i/>
                <w:iCs/>
                <w:color w:val="auto"/>
                <w:kern w:val="0"/>
                <w:sz w:val="24"/>
                <w:szCs w:val="24"/>
                <w:highlight w:val="none"/>
                <w:u w:val="none" w:color="auto"/>
                <w:lang w:val="en-US" w:eastAsia="zh-CN" w:bidi="ar"/>
              </w:rPr>
              <w:t>TL</w:t>
            </w:r>
            <w:r>
              <w:rPr>
                <w:rFonts w:hint="default" w:ascii="Times New Roman" w:hAnsi="Times New Roman" w:eastAsia="宋体" w:cs="Times New Roman"/>
                <w:i/>
                <w:iCs/>
                <w:color w:val="auto"/>
                <w:kern w:val="0"/>
                <w:sz w:val="15"/>
                <w:szCs w:val="15"/>
                <w:highlight w:val="none"/>
                <w:u w:val="none" w:color="auto"/>
                <w:lang w:val="en-US" w:eastAsia="zh-CN" w:bidi="ar"/>
              </w:rPr>
              <w:t>i</w:t>
            </w:r>
            <w:r>
              <w:rPr>
                <w:rFonts w:hint="eastAsia" w:ascii="Times New Roman" w:hAnsi="Times New Roman" w:eastAsia="宋体" w:cs="Times New Roman"/>
                <w:color w:val="auto"/>
                <w:kern w:val="0"/>
                <w:sz w:val="24"/>
                <w:szCs w:val="24"/>
                <w:highlight w:val="none"/>
                <w:u w:val="none" w:color="auto"/>
                <w:lang w:val="en-US" w:eastAsia="zh-CN" w:bidi="ar"/>
              </w:rPr>
              <w:t>-</w:t>
            </w:r>
            <w:r>
              <w:rPr>
                <w:rFonts w:hint="eastAsia" w:ascii="宋体" w:hAnsi="宋体" w:eastAsia="宋体" w:cs="宋体"/>
                <w:color w:val="auto"/>
                <w:kern w:val="0"/>
                <w:sz w:val="24"/>
                <w:szCs w:val="24"/>
                <w:highlight w:val="none"/>
                <w:u w:val="none" w:color="auto"/>
                <w:lang w:val="en-US" w:eastAsia="zh-CN" w:bidi="ar"/>
              </w:rPr>
              <w:t>围护结构</w:t>
            </w:r>
            <w:r>
              <w:rPr>
                <w:rFonts w:hint="default" w:ascii="Times New Roman" w:hAnsi="Times New Roman" w:eastAsia="宋体" w:cs="Times New Roman"/>
                <w:color w:val="auto"/>
                <w:kern w:val="0"/>
                <w:sz w:val="24"/>
                <w:szCs w:val="24"/>
                <w:highlight w:val="none"/>
                <w:u w:val="none" w:color="auto"/>
                <w:lang w:val="en-US" w:eastAsia="zh-CN" w:bidi="ar"/>
              </w:rPr>
              <w:t>i</w:t>
            </w:r>
            <w:r>
              <w:rPr>
                <w:rFonts w:hint="eastAsia" w:ascii="宋体" w:hAnsi="宋体" w:eastAsia="宋体" w:cs="宋体"/>
                <w:color w:val="auto"/>
                <w:kern w:val="0"/>
                <w:sz w:val="24"/>
                <w:szCs w:val="24"/>
                <w:highlight w:val="none"/>
                <w:u w:val="none" w:color="auto"/>
                <w:lang w:val="en-US" w:eastAsia="zh-CN" w:bidi="ar"/>
              </w:rPr>
              <w:t>倍频带的隔声量，</w:t>
            </w:r>
            <w:r>
              <w:rPr>
                <w:rFonts w:hint="default" w:ascii="Times New Roman" w:hAnsi="Times New Roman" w:eastAsia="宋体" w:cs="Times New Roman"/>
                <w:color w:val="auto"/>
                <w:kern w:val="0"/>
                <w:sz w:val="24"/>
                <w:szCs w:val="24"/>
                <w:highlight w:val="none"/>
                <w:u w:val="none" w:color="auto"/>
                <w:lang w:val="en-US" w:eastAsia="zh-CN" w:bidi="ar"/>
              </w:rPr>
              <w:t>dB</w:t>
            </w:r>
            <w:r>
              <w:rPr>
                <w:rFonts w:hint="eastAsia" w:ascii="宋体" w:hAnsi="宋体" w:eastAsia="宋体" w:cs="宋体"/>
                <w:color w:val="auto"/>
                <w:kern w:val="0"/>
                <w:sz w:val="24"/>
                <w:szCs w:val="24"/>
                <w:highlight w:val="none"/>
                <w:u w:val="none" w:color="auto"/>
                <w:lang w:val="en-US" w:eastAsia="zh-CN" w:bidi="ar"/>
              </w:rPr>
              <w:t>。</w:t>
            </w:r>
          </w:p>
          <w:p w14:paraId="484106AE">
            <w:pPr>
              <w:pStyle w:val="60"/>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1"/>
                <w:highlight w:val="none"/>
                <w:u w:val="none" w:color="auto"/>
                <w:lang w:val="en-US" w:eastAsia="zh-CN" w:bidi="ar-SA"/>
              </w:rPr>
            </w:pPr>
            <w:r>
              <w:rPr>
                <w:rFonts w:hint="eastAsia" w:ascii="Times New Roman" w:hAnsi="Times New Roman" w:eastAsia="宋体" w:cs="Times New Roman"/>
                <w:color w:val="auto"/>
                <w:kern w:val="0"/>
                <w:sz w:val="24"/>
                <w:szCs w:val="21"/>
                <w:highlight w:val="none"/>
                <w:u w:val="none" w:color="auto"/>
                <w:lang w:val="en-US" w:eastAsia="zh-CN" w:bidi="ar-SA"/>
              </w:rPr>
              <w:t>噪声在向外传播过程中将受到厂房或</w:t>
            </w:r>
            <w:r>
              <w:rPr>
                <w:rFonts w:hint="eastAsia" w:cs="Times New Roman"/>
                <w:color w:val="auto"/>
                <w:kern w:val="0"/>
                <w:sz w:val="24"/>
                <w:szCs w:val="21"/>
                <w:highlight w:val="none"/>
                <w:u w:val="none" w:color="auto"/>
                <w:lang w:val="en-US" w:eastAsia="zh-CN" w:bidi="ar-SA"/>
              </w:rPr>
              <w:t>其他</w:t>
            </w:r>
            <w:r>
              <w:rPr>
                <w:rFonts w:hint="eastAsia" w:ascii="Times New Roman" w:hAnsi="Times New Roman" w:eastAsia="宋体" w:cs="Times New Roman"/>
                <w:color w:val="auto"/>
                <w:kern w:val="0"/>
                <w:sz w:val="24"/>
                <w:szCs w:val="21"/>
                <w:highlight w:val="none"/>
                <w:u w:val="none" w:color="auto"/>
                <w:lang w:val="en-US" w:eastAsia="zh-CN" w:bidi="ar-SA"/>
              </w:rPr>
              <w:t>车间的阻挡影响，从而引起声能量的较大衰减，具体衰减根据不同声级的传播途径而定，一般取</w:t>
            </w:r>
            <w:r>
              <w:rPr>
                <w:rFonts w:hint="default" w:ascii="Times New Roman" w:hAnsi="Times New Roman" w:eastAsia="宋体" w:cs="Times New Roman"/>
                <w:color w:val="auto"/>
                <w:kern w:val="0"/>
                <w:sz w:val="24"/>
                <w:szCs w:val="21"/>
                <w:highlight w:val="none"/>
                <w:u w:val="none" w:color="auto"/>
                <w:lang w:val="en-US" w:eastAsia="zh-CN" w:bidi="ar-SA"/>
              </w:rPr>
              <w:t>1</w:t>
            </w:r>
            <w:r>
              <w:rPr>
                <w:rFonts w:hint="eastAsia" w:cs="Times New Roman"/>
                <w:color w:val="auto"/>
                <w:kern w:val="0"/>
                <w:sz w:val="24"/>
                <w:szCs w:val="21"/>
                <w:highlight w:val="none"/>
                <w:u w:val="none" w:color="auto"/>
                <w:lang w:val="en-US" w:eastAsia="zh-CN" w:bidi="ar-SA"/>
              </w:rPr>
              <w:t>5</w:t>
            </w:r>
            <w:r>
              <w:rPr>
                <w:rFonts w:hint="eastAsia" w:ascii="Times New Roman" w:hAnsi="Times New Roman" w:eastAsia="宋体" w:cs="Times New Roman"/>
                <w:color w:val="auto"/>
                <w:kern w:val="0"/>
                <w:sz w:val="24"/>
                <w:szCs w:val="21"/>
                <w:highlight w:val="none"/>
                <w:u w:val="none" w:color="auto"/>
                <w:lang w:val="en-US" w:eastAsia="zh-CN" w:bidi="ar-SA"/>
              </w:rPr>
              <w:t>～</w:t>
            </w:r>
            <w:r>
              <w:rPr>
                <w:rFonts w:hint="default" w:ascii="Times New Roman" w:hAnsi="Times New Roman" w:eastAsia="宋体" w:cs="Times New Roman"/>
                <w:color w:val="auto"/>
                <w:kern w:val="0"/>
                <w:sz w:val="24"/>
                <w:szCs w:val="21"/>
                <w:highlight w:val="none"/>
                <w:u w:val="none" w:color="auto"/>
                <w:lang w:val="en-US" w:eastAsia="zh-CN" w:bidi="ar-SA"/>
              </w:rPr>
              <w:t>20dB(A</w:t>
            </w:r>
            <w:r>
              <w:rPr>
                <w:rFonts w:hint="eastAsia" w:cs="Times New Roman"/>
                <w:color w:val="auto"/>
                <w:kern w:val="0"/>
                <w:sz w:val="24"/>
                <w:szCs w:val="21"/>
                <w:highlight w:val="none"/>
                <w:u w:val="none" w:color="auto"/>
                <w:lang w:val="en-US" w:eastAsia="zh-CN" w:bidi="ar-SA"/>
              </w:rPr>
              <w:t>）</w:t>
            </w:r>
            <w:r>
              <w:rPr>
                <w:rFonts w:hint="default" w:ascii="Times New Roman" w:hAnsi="Times New Roman" w:eastAsia="宋体" w:cs="Times New Roman"/>
                <w:color w:val="auto"/>
                <w:kern w:val="0"/>
                <w:sz w:val="24"/>
                <w:szCs w:val="21"/>
                <w:highlight w:val="none"/>
                <w:u w:val="none" w:color="auto"/>
                <w:lang w:val="en-US" w:eastAsia="zh-CN" w:bidi="ar-SA"/>
              </w:rPr>
              <w:t>。</w:t>
            </w:r>
          </w:p>
          <w:p w14:paraId="7A78286D">
            <w:pPr>
              <w:pStyle w:val="60"/>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1"/>
                <w:highlight w:val="none"/>
                <w:u w:val="none" w:color="auto"/>
                <w:lang w:val="en-US" w:eastAsia="zh-CN" w:bidi="ar-SA"/>
              </w:rPr>
            </w:pPr>
            <w:r>
              <w:rPr>
                <w:rFonts w:hint="default" w:ascii="Times New Roman" w:hAnsi="Times New Roman" w:eastAsia="宋体" w:cs="Times New Roman"/>
                <w:color w:val="auto"/>
                <w:kern w:val="0"/>
                <w:sz w:val="24"/>
                <w:szCs w:val="21"/>
                <w:highlight w:val="none"/>
                <w:u w:val="none" w:color="auto"/>
                <w:lang w:val="en-US" w:eastAsia="zh-CN" w:bidi="ar-SA"/>
              </w:rPr>
              <w:t>采用噪声预测模式，综合考虑减震、隔声和距离衰减的因素，计算得出项目东、南、西、北厂界各声源的预测值</w:t>
            </w:r>
            <w:r>
              <w:rPr>
                <w:rFonts w:hint="eastAsia" w:ascii="Times New Roman" w:hAnsi="Times New Roman" w:eastAsia="宋体" w:cs="Times New Roman"/>
                <w:color w:val="auto"/>
                <w:kern w:val="0"/>
                <w:sz w:val="24"/>
                <w:szCs w:val="21"/>
                <w:highlight w:val="none"/>
                <w:u w:val="none" w:color="auto"/>
                <w:lang w:val="en-US" w:eastAsia="zh-CN" w:bidi="ar-SA"/>
              </w:rPr>
              <w:t>详见下表</w:t>
            </w:r>
            <w:r>
              <w:rPr>
                <w:rFonts w:hint="default" w:ascii="Times New Roman" w:hAnsi="Times New Roman" w:eastAsia="宋体" w:cs="Times New Roman"/>
                <w:color w:val="auto"/>
                <w:kern w:val="0"/>
                <w:sz w:val="24"/>
                <w:szCs w:val="21"/>
                <w:highlight w:val="none"/>
                <w:u w:val="none" w:color="auto"/>
                <w:lang w:val="en-US" w:eastAsia="zh-CN" w:bidi="ar-SA"/>
              </w:rPr>
              <w:t>。</w:t>
            </w:r>
          </w:p>
          <w:p w14:paraId="6B213317">
            <w:pPr>
              <w:pStyle w:val="93"/>
              <w:spacing w:line="240" w:lineRule="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z w:val="21"/>
                <w:szCs w:val="21"/>
                <w:highlight w:val="none"/>
                <w:u w:val="none" w:color="auto"/>
              </w:rPr>
              <w:t>表4-</w:t>
            </w:r>
            <w:r>
              <w:rPr>
                <w:rFonts w:hint="eastAsia" w:cs="Times New Roman"/>
                <w:color w:val="auto"/>
                <w:sz w:val="21"/>
                <w:szCs w:val="21"/>
                <w:highlight w:val="none"/>
                <w:u w:val="none" w:color="auto"/>
                <w:lang w:val="en-US" w:eastAsia="zh-CN"/>
              </w:rPr>
              <w:t>6</w:t>
            </w:r>
            <w:r>
              <w:rPr>
                <w:rFonts w:hint="default" w:ascii="Times New Roman" w:hAnsi="Times New Roman" w:cs="Times New Roman"/>
                <w:color w:val="auto"/>
                <w:sz w:val="21"/>
                <w:szCs w:val="21"/>
                <w:highlight w:val="none"/>
                <w:u w:val="none" w:color="auto"/>
              </w:rPr>
              <w:t xml:space="preserve">  </w:t>
            </w:r>
            <w:r>
              <w:rPr>
                <w:rFonts w:hint="default" w:ascii="Times New Roman" w:hAnsi="Times New Roman" w:eastAsia="宋体" w:cs="Times New Roman"/>
                <w:color w:val="auto"/>
                <w:sz w:val="21"/>
                <w:szCs w:val="21"/>
                <w:highlight w:val="none"/>
                <w:u w:val="none" w:color="auto"/>
              </w:rPr>
              <w:t>声环境</w:t>
            </w:r>
            <w:r>
              <w:rPr>
                <w:rFonts w:hint="default" w:ascii="Times New Roman" w:hAnsi="Times New Roman" w:cs="Times New Roman"/>
                <w:color w:val="auto"/>
                <w:sz w:val="21"/>
                <w:szCs w:val="21"/>
                <w:highlight w:val="none"/>
                <w:u w:val="none" w:color="auto"/>
              </w:rPr>
              <w:t>影响预测结果表</w:t>
            </w:r>
          </w:p>
          <w:tbl>
            <w:tblPr>
              <w:tblStyle w:val="3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1509"/>
              <w:gridCol w:w="1084"/>
              <w:gridCol w:w="1382"/>
              <w:gridCol w:w="1885"/>
              <w:gridCol w:w="1153"/>
            </w:tblGrid>
            <w:tr w14:paraId="1EBCD4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76" w:type="pct"/>
                  <w:tcBorders>
                    <w:tl2br w:val="nil"/>
                    <w:tr2bl w:val="nil"/>
                  </w:tcBorders>
                  <w:noWrap w:val="0"/>
                  <w:vAlign w:val="center"/>
                </w:tcPr>
                <w:p w14:paraId="4E69EABC">
                  <w:pPr>
                    <w:widowControl/>
                    <w:jc w:val="center"/>
                    <w:rPr>
                      <w:rFonts w:hint="eastAsia" w:ascii="Times New Roman" w:hAnsi="Times New Roman" w:eastAsia="宋体" w:cs="Times New Roman"/>
                      <w:b/>
                      <w:bCs/>
                      <w:color w:val="auto"/>
                      <w:szCs w:val="21"/>
                      <w:highlight w:val="none"/>
                      <w:u w:val="none"/>
                    </w:rPr>
                  </w:pPr>
                  <w:r>
                    <w:rPr>
                      <w:rFonts w:hint="eastAsia" w:ascii="Times New Roman" w:hAnsi="Times New Roman" w:eastAsia="宋体" w:cs="Times New Roman"/>
                      <w:b/>
                      <w:bCs/>
                      <w:color w:val="auto"/>
                      <w:szCs w:val="21"/>
                      <w:highlight w:val="none"/>
                      <w:u w:val="none"/>
                    </w:rPr>
                    <w:t>预测方位</w:t>
                  </w:r>
                </w:p>
              </w:tc>
              <w:tc>
                <w:tcPr>
                  <w:tcW w:w="844" w:type="pct"/>
                  <w:tcBorders>
                    <w:tl2br w:val="nil"/>
                    <w:tr2bl w:val="nil"/>
                  </w:tcBorders>
                  <w:noWrap w:val="0"/>
                  <w:vAlign w:val="center"/>
                </w:tcPr>
                <w:p w14:paraId="15695AFA">
                  <w:pPr>
                    <w:widowControl/>
                    <w:jc w:val="center"/>
                    <w:rPr>
                      <w:rFonts w:hint="default" w:ascii="Times New Roman" w:hAnsi="Times New Roman" w:eastAsia="宋体" w:cs="Times New Roman"/>
                      <w:b/>
                      <w:bCs/>
                      <w:color w:val="auto"/>
                      <w:szCs w:val="21"/>
                      <w:highlight w:val="none"/>
                      <w:u w:val="none"/>
                      <w:lang w:val="en-US" w:eastAsia="zh-CN"/>
                    </w:rPr>
                  </w:pPr>
                  <w:r>
                    <w:rPr>
                      <w:rFonts w:hint="default" w:ascii="Times New Roman" w:hAnsi="Times New Roman" w:eastAsia="宋体" w:cs="Times New Roman"/>
                      <w:b/>
                      <w:bCs/>
                      <w:color w:val="auto"/>
                      <w:szCs w:val="21"/>
                      <w:highlight w:val="none"/>
                      <w:u w:val="none"/>
                      <w:lang w:val="en-US" w:eastAsia="zh-CN"/>
                    </w:rPr>
                    <w:t>空间相对位置/m</w:t>
                  </w:r>
                  <w:r>
                    <w:rPr>
                      <w:rFonts w:hint="eastAsia" w:ascii="Times New Roman" w:hAnsi="Times New Roman" w:eastAsia="宋体" w:cs="Times New Roman"/>
                      <w:color w:val="auto"/>
                      <w:sz w:val="21"/>
                      <w:szCs w:val="21"/>
                      <w:highlight w:val="none"/>
                      <w:u w:val="none" w:color="auto"/>
                      <w:lang w:val="en-US" w:eastAsia="zh-CN"/>
                    </w:rPr>
                    <w:t>（X/Y/Z）</w:t>
                  </w:r>
                </w:p>
              </w:tc>
              <w:tc>
                <w:tcPr>
                  <w:tcW w:w="606" w:type="pct"/>
                  <w:tcBorders>
                    <w:tl2br w:val="nil"/>
                    <w:tr2bl w:val="nil"/>
                  </w:tcBorders>
                  <w:noWrap w:val="0"/>
                  <w:vAlign w:val="center"/>
                </w:tcPr>
                <w:p w14:paraId="076FF174">
                  <w:pPr>
                    <w:widowControl/>
                    <w:jc w:val="center"/>
                    <w:rPr>
                      <w:rFonts w:hint="eastAsia" w:ascii="Times New Roman" w:hAnsi="Times New Roman" w:eastAsia="宋体" w:cs="Times New Roman"/>
                      <w:b/>
                      <w:bCs/>
                      <w:color w:val="auto"/>
                      <w:szCs w:val="21"/>
                      <w:highlight w:val="none"/>
                      <w:u w:val="none"/>
                    </w:rPr>
                  </w:pPr>
                  <w:r>
                    <w:rPr>
                      <w:rFonts w:hint="eastAsia" w:ascii="Times New Roman" w:hAnsi="Times New Roman" w:eastAsia="宋体" w:cs="Times New Roman"/>
                      <w:b/>
                      <w:bCs/>
                      <w:color w:val="auto"/>
                      <w:szCs w:val="21"/>
                      <w:highlight w:val="none"/>
                      <w:u w:val="none"/>
                    </w:rPr>
                    <w:t>时段</w:t>
                  </w:r>
                </w:p>
              </w:tc>
              <w:tc>
                <w:tcPr>
                  <w:tcW w:w="773" w:type="pct"/>
                  <w:tcBorders>
                    <w:tl2br w:val="nil"/>
                    <w:tr2bl w:val="nil"/>
                  </w:tcBorders>
                  <w:noWrap w:val="0"/>
                  <w:vAlign w:val="center"/>
                </w:tcPr>
                <w:p w14:paraId="2A866B8C">
                  <w:pPr>
                    <w:widowControl/>
                    <w:jc w:val="center"/>
                    <w:rPr>
                      <w:rFonts w:hint="eastAsia" w:ascii="Times New Roman" w:hAnsi="Times New Roman" w:eastAsia="宋体" w:cs="Times New Roman"/>
                      <w:b/>
                      <w:bCs/>
                      <w:color w:val="auto"/>
                      <w:szCs w:val="21"/>
                      <w:highlight w:val="none"/>
                      <w:u w:val="none"/>
                    </w:rPr>
                  </w:pPr>
                  <w:r>
                    <w:rPr>
                      <w:rFonts w:hint="eastAsia" w:ascii="Times New Roman" w:hAnsi="Times New Roman" w:eastAsia="宋体" w:cs="Times New Roman"/>
                      <w:b/>
                      <w:bCs/>
                      <w:color w:val="auto"/>
                      <w:szCs w:val="21"/>
                      <w:highlight w:val="none"/>
                      <w:u w:val="none"/>
                    </w:rPr>
                    <w:t>预测</w:t>
                  </w:r>
                  <w:r>
                    <w:rPr>
                      <w:rFonts w:hint="eastAsia" w:ascii="Times New Roman" w:hAnsi="Times New Roman" w:eastAsia="宋体" w:cs="Times New Roman"/>
                      <w:b/>
                      <w:bCs/>
                      <w:color w:val="auto"/>
                      <w:szCs w:val="21"/>
                      <w:highlight w:val="none"/>
                      <w:u w:val="none"/>
                      <w:lang w:val="en-US" w:eastAsia="zh-CN"/>
                    </w:rPr>
                    <w:t>贡献</w:t>
                  </w:r>
                  <w:r>
                    <w:rPr>
                      <w:rFonts w:hint="eastAsia" w:ascii="Times New Roman" w:hAnsi="Times New Roman" w:eastAsia="宋体" w:cs="Times New Roman"/>
                      <w:b/>
                      <w:bCs/>
                      <w:color w:val="auto"/>
                      <w:szCs w:val="21"/>
                      <w:highlight w:val="none"/>
                      <w:u w:val="none"/>
                    </w:rPr>
                    <w:t>值（dB(A</w:t>
                  </w:r>
                  <w:r>
                    <w:rPr>
                      <w:rFonts w:hint="eastAsia" w:cs="Times New Roman"/>
                      <w:b/>
                      <w:bCs/>
                      <w:color w:val="auto"/>
                      <w:szCs w:val="21"/>
                      <w:highlight w:val="none"/>
                      <w:u w:val="none"/>
                      <w:lang w:eastAsia="zh-CN"/>
                    </w:rPr>
                    <w:t>）</w:t>
                  </w:r>
                  <w:r>
                    <w:rPr>
                      <w:rFonts w:hint="eastAsia" w:ascii="Times New Roman" w:hAnsi="Times New Roman" w:eastAsia="宋体" w:cs="Times New Roman"/>
                      <w:b/>
                      <w:bCs/>
                      <w:color w:val="auto"/>
                      <w:szCs w:val="21"/>
                      <w:highlight w:val="none"/>
                      <w:u w:val="none"/>
                    </w:rPr>
                    <w:t>）</w:t>
                  </w:r>
                </w:p>
              </w:tc>
              <w:tc>
                <w:tcPr>
                  <w:tcW w:w="1054" w:type="pct"/>
                  <w:tcBorders>
                    <w:tl2br w:val="nil"/>
                    <w:tr2bl w:val="nil"/>
                  </w:tcBorders>
                  <w:noWrap w:val="0"/>
                  <w:vAlign w:val="center"/>
                </w:tcPr>
                <w:p w14:paraId="761B2E28">
                  <w:pPr>
                    <w:widowControl/>
                    <w:jc w:val="center"/>
                    <w:rPr>
                      <w:rFonts w:hint="eastAsia" w:ascii="Times New Roman" w:hAnsi="Times New Roman" w:eastAsia="宋体" w:cs="Times New Roman"/>
                      <w:b/>
                      <w:bCs/>
                      <w:color w:val="auto"/>
                      <w:szCs w:val="21"/>
                      <w:highlight w:val="none"/>
                      <w:u w:val="none"/>
                    </w:rPr>
                  </w:pPr>
                  <w:r>
                    <w:rPr>
                      <w:rFonts w:hint="eastAsia" w:ascii="Times New Roman" w:hAnsi="Times New Roman" w:eastAsia="宋体" w:cs="Times New Roman"/>
                      <w:b/>
                      <w:bCs/>
                      <w:color w:val="auto"/>
                      <w:szCs w:val="21"/>
                      <w:highlight w:val="none"/>
                      <w:u w:val="none"/>
                    </w:rPr>
                    <w:t>标准限值（dB(A</w:t>
                  </w:r>
                  <w:r>
                    <w:rPr>
                      <w:rFonts w:hint="eastAsia" w:cs="Times New Roman"/>
                      <w:b/>
                      <w:bCs/>
                      <w:color w:val="auto"/>
                      <w:szCs w:val="21"/>
                      <w:highlight w:val="none"/>
                      <w:u w:val="none"/>
                      <w:lang w:eastAsia="zh-CN"/>
                    </w:rPr>
                    <w:t>）</w:t>
                  </w:r>
                  <w:r>
                    <w:rPr>
                      <w:rFonts w:hint="eastAsia" w:ascii="Times New Roman" w:hAnsi="Times New Roman" w:eastAsia="宋体" w:cs="Times New Roman"/>
                      <w:b/>
                      <w:bCs/>
                      <w:color w:val="auto"/>
                      <w:szCs w:val="21"/>
                      <w:highlight w:val="none"/>
                      <w:u w:val="none"/>
                    </w:rPr>
                    <w:t>）</w:t>
                  </w:r>
                </w:p>
              </w:tc>
              <w:tc>
                <w:tcPr>
                  <w:tcW w:w="645" w:type="pct"/>
                  <w:tcBorders>
                    <w:tl2br w:val="nil"/>
                    <w:tr2bl w:val="nil"/>
                  </w:tcBorders>
                  <w:noWrap w:val="0"/>
                  <w:vAlign w:val="center"/>
                </w:tcPr>
                <w:p w14:paraId="0A6B61F6">
                  <w:pPr>
                    <w:widowControl/>
                    <w:jc w:val="center"/>
                    <w:rPr>
                      <w:rFonts w:hint="eastAsia" w:ascii="Times New Roman" w:hAnsi="Times New Roman" w:eastAsia="宋体" w:cs="Times New Roman"/>
                      <w:b/>
                      <w:bCs/>
                      <w:color w:val="auto"/>
                      <w:szCs w:val="21"/>
                      <w:highlight w:val="none"/>
                      <w:u w:val="none"/>
                    </w:rPr>
                  </w:pPr>
                  <w:r>
                    <w:rPr>
                      <w:rFonts w:hint="eastAsia" w:ascii="Times New Roman" w:hAnsi="Times New Roman" w:eastAsia="宋体" w:cs="Times New Roman"/>
                      <w:b/>
                      <w:bCs/>
                      <w:color w:val="auto"/>
                      <w:szCs w:val="21"/>
                      <w:highlight w:val="none"/>
                      <w:u w:val="none"/>
                    </w:rPr>
                    <w:t>达标情况</w:t>
                  </w:r>
                </w:p>
              </w:tc>
            </w:tr>
            <w:tr w14:paraId="2B03D8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1076" w:type="pct"/>
                  <w:tcBorders>
                    <w:tl2br w:val="nil"/>
                    <w:tr2bl w:val="nil"/>
                  </w:tcBorders>
                  <w:shd w:val="clear" w:color="auto" w:fill="FFFFFF"/>
                  <w:noWrap w:val="0"/>
                  <w:vAlign w:val="center"/>
                </w:tcPr>
                <w:p w14:paraId="7C61C411">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场地厂界</w:t>
                  </w:r>
                  <w:r>
                    <w:rPr>
                      <w:rFonts w:hint="eastAsia" w:ascii="Times New Roman" w:hAnsi="Times New Roman" w:eastAsia="宋体" w:cs="Times New Roman"/>
                      <w:b w:val="0"/>
                      <w:bCs w:val="0"/>
                      <w:color w:val="auto"/>
                      <w:szCs w:val="21"/>
                      <w:highlight w:val="none"/>
                      <w:u w:val="none"/>
                    </w:rPr>
                    <w:t>东侧</w:t>
                  </w:r>
                </w:p>
              </w:tc>
              <w:tc>
                <w:tcPr>
                  <w:tcW w:w="844" w:type="pct"/>
                  <w:tcBorders>
                    <w:tl2br w:val="nil"/>
                    <w:tr2bl w:val="nil"/>
                  </w:tcBorders>
                  <w:shd w:val="clear" w:color="auto" w:fill="FFFFFF"/>
                  <w:noWrap w:val="0"/>
                  <w:vAlign w:val="center"/>
                </w:tcPr>
                <w:p w14:paraId="63D66BF4">
                  <w:pPr>
                    <w:widowControl/>
                    <w:jc w:val="center"/>
                    <w:rPr>
                      <w:rFonts w:hint="default" w:ascii="Times New Roman" w:hAnsi="Times New Roman" w:eastAsia="宋体" w:cs="Times New Roman"/>
                      <w:b w:val="0"/>
                      <w:bCs w:val="0"/>
                      <w:color w:val="auto"/>
                      <w:szCs w:val="21"/>
                      <w:highlight w:val="none"/>
                      <w:u w:val="none"/>
                      <w:lang w:val="en-US" w:eastAsia="zh-CN"/>
                    </w:rPr>
                  </w:pPr>
                  <w:r>
                    <w:rPr>
                      <w:rFonts w:hint="eastAsia" w:ascii="Times New Roman" w:hAnsi="Times New Roman" w:eastAsia="宋体" w:cs="Times New Roman"/>
                      <w:b w:val="0"/>
                      <w:bCs w:val="0"/>
                      <w:color w:val="auto"/>
                      <w:szCs w:val="21"/>
                      <w:highlight w:val="none"/>
                      <w:u w:val="none"/>
                      <w:lang w:val="en-US" w:eastAsia="zh-CN"/>
                    </w:rPr>
                    <w:t>（41，0，12）</w:t>
                  </w:r>
                </w:p>
              </w:tc>
              <w:tc>
                <w:tcPr>
                  <w:tcW w:w="606" w:type="pct"/>
                  <w:tcBorders>
                    <w:tl2br w:val="nil"/>
                    <w:tr2bl w:val="nil"/>
                  </w:tcBorders>
                  <w:shd w:val="clear" w:color="auto" w:fill="FFFFFF"/>
                  <w:noWrap w:val="0"/>
                  <w:vAlign w:val="center"/>
                </w:tcPr>
                <w:p w14:paraId="27AFCBB3">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昼间</w:t>
                  </w:r>
                </w:p>
              </w:tc>
              <w:tc>
                <w:tcPr>
                  <w:tcW w:w="773" w:type="pct"/>
                  <w:tcBorders>
                    <w:tl2br w:val="nil"/>
                    <w:tr2bl w:val="nil"/>
                  </w:tcBorders>
                  <w:shd w:val="clear" w:color="auto" w:fill="FFFFFF"/>
                  <w:noWrap w:val="0"/>
                  <w:vAlign w:val="center"/>
                </w:tcPr>
                <w:p w14:paraId="2B7F40EC">
                  <w:pPr>
                    <w:keepNext w:val="0"/>
                    <w:keepLines w:val="0"/>
                    <w:widowControl/>
                    <w:suppressLineNumbers w:val="0"/>
                    <w:jc w:val="center"/>
                    <w:textAlignment w:val="center"/>
                    <w:rPr>
                      <w:rFonts w:hint="eastAsia" w:ascii="Times New Roman" w:hAnsi="Times New Roman" w:eastAsia="宋体" w:cs="Times New Roman"/>
                      <w:b w:val="0"/>
                      <w:bCs w:val="0"/>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47.8 </w:t>
                  </w:r>
                </w:p>
              </w:tc>
              <w:tc>
                <w:tcPr>
                  <w:tcW w:w="1054" w:type="pct"/>
                  <w:tcBorders>
                    <w:tl2br w:val="nil"/>
                    <w:tr2bl w:val="nil"/>
                  </w:tcBorders>
                  <w:shd w:val="clear" w:color="auto" w:fill="FFFFFF"/>
                  <w:noWrap w:val="0"/>
                  <w:vAlign w:val="center"/>
                </w:tcPr>
                <w:p w14:paraId="0C0C0AA8">
                  <w:pPr>
                    <w:widowControl/>
                    <w:jc w:val="center"/>
                    <w:rPr>
                      <w:rFonts w:hint="default" w:ascii="Times New Roman" w:hAnsi="Times New Roman" w:eastAsia="宋体" w:cs="Times New Roman"/>
                      <w:b w:val="0"/>
                      <w:bCs w:val="0"/>
                      <w:color w:val="auto"/>
                      <w:szCs w:val="21"/>
                      <w:highlight w:val="none"/>
                      <w:u w:val="none"/>
                      <w:lang w:val="en-US" w:eastAsia="zh-CN"/>
                    </w:rPr>
                  </w:pPr>
                  <w:r>
                    <w:rPr>
                      <w:rFonts w:hint="eastAsia" w:ascii="Times New Roman" w:hAnsi="Times New Roman" w:eastAsia="宋体" w:cs="Times New Roman"/>
                      <w:b w:val="0"/>
                      <w:bCs w:val="0"/>
                      <w:color w:val="auto"/>
                      <w:szCs w:val="21"/>
                      <w:highlight w:val="none"/>
                      <w:u w:val="none"/>
                      <w:lang w:val="en-US" w:eastAsia="zh-CN"/>
                    </w:rPr>
                    <w:t>昼间65/夜间55</w:t>
                  </w:r>
                </w:p>
              </w:tc>
              <w:tc>
                <w:tcPr>
                  <w:tcW w:w="645" w:type="pct"/>
                  <w:tcBorders>
                    <w:tl2br w:val="nil"/>
                    <w:tr2bl w:val="nil"/>
                  </w:tcBorders>
                  <w:shd w:val="clear" w:color="auto" w:fill="FFFFFF"/>
                  <w:noWrap w:val="0"/>
                  <w:vAlign w:val="center"/>
                </w:tcPr>
                <w:p w14:paraId="6AEF2E3D">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达标</w:t>
                  </w:r>
                </w:p>
              </w:tc>
            </w:tr>
            <w:tr w14:paraId="305A27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1076" w:type="pct"/>
                  <w:tcBorders>
                    <w:tl2br w:val="nil"/>
                    <w:tr2bl w:val="nil"/>
                  </w:tcBorders>
                  <w:shd w:val="clear" w:color="auto" w:fill="FFFFFF"/>
                  <w:noWrap w:val="0"/>
                  <w:vAlign w:val="center"/>
                </w:tcPr>
                <w:p w14:paraId="777F879C">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场地厂界</w:t>
                  </w:r>
                  <w:r>
                    <w:rPr>
                      <w:rFonts w:hint="eastAsia" w:ascii="Times New Roman" w:hAnsi="Times New Roman" w:eastAsia="宋体" w:cs="Times New Roman"/>
                      <w:b w:val="0"/>
                      <w:bCs w:val="0"/>
                      <w:color w:val="auto"/>
                      <w:szCs w:val="21"/>
                      <w:highlight w:val="none"/>
                      <w:u w:val="none"/>
                    </w:rPr>
                    <w:t>南侧</w:t>
                  </w:r>
                </w:p>
              </w:tc>
              <w:tc>
                <w:tcPr>
                  <w:tcW w:w="844" w:type="pct"/>
                  <w:tcBorders>
                    <w:tl2br w:val="nil"/>
                    <w:tr2bl w:val="nil"/>
                  </w:tcBorders>
                  <w:shd w:val="clear" w:color="auto" w:fill="FFFFFF"/>
                  <w:noWrap w:val="0"/>
                  <w:vAlign w:val="center"/>
                </w:tcPr>
                <w:p w14:paraId="1E08D9AD">
                  <w:pPr>
                    <w:widowControl/>
                    <w:jc w:val="center"/>
                    <w:rPr>
                      <w:rFonts w:hint="eastAsia" w:ascii="Times New Roman" w:hAnsi="Times New Roman" w:eastAsia="宋体" w:cs="Times New Roman"/>
                      <w:b w:val="0"/>
                      <w:bCs w:val="0"/>
                      <w:color w:val="auto"/>
                      <w:szCs w:val="21"/>
                      <w:highlight w:val="none"/>
                      <w:u w:val="none"/>
                      <w:lang w:val="en-US" w:eastAsia="zh-CN"/>
                    </w:rPr>
                  </w:pPr>
                  <w:r>
                    <w:rPr>
                      <w:rFonts w:hint="eastAsia" w:ascii="Times New Roman" w:hAnsi="Times New Roman" w:eastAsia="宋体" w:cs="Times New Roman"/>
                      <w:b w:val="0"/>
                      <w:bCs w:val="0"/>
                      <w:color w:val="auto"/>
                      <w:szCs w:val="21"/>
                      <w:highlight w:val="none"/>
                      <w:u w:val="none"/>
                      <w:lang w:val="en-US" w:eastAsia="zh-CN"/>
                    </w:rPr>
                    <w:t>（0，-19，12）</w:t>
                  </w:r>
                </w:p>
              </w:tc>
              <w:tc>
                <w:tcPr>
                  <w:tcW w:w="606" w:type="pct"/>
                  <w:tcBorders>
                    <w:tl2br w:val="nil"/>
                    <w:tr2bl w:val="nil"/>
                  </w:tcBorders>
                  <w:shd w:val="clear" w:color="auto" w:fill="FFFFFF"/>
                  <w:noWrap w:val="0"/>
                  <w:vAlign w:val="center"/>
                </w:tcPr>
                <w:p w14:paraId="4ABDF5D8">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昼间</w:t>
                  </w:r>
                </w:p>
              </w:tc>
              <w:tc>
                <w:tcPr>
                  <w:tcW w:w="773" w:type="pct"/>
                  <w:tcBorders>
                    <w:tl2br w:val="nil"/>
                    <w:tr2bl w:val="nil"/>
                  </w:tcBorders>
                  <w:shd w:val="clear" w:color="auto" w:fill="FFFFFF"/>
                  <w:noWrap w:val="0"/>
                  <w:vAlign w:val="center"/>
                </w:tcPr>
                <w:p w14:paraId="5F421835">
                  <w:pPr>
                    <w:keepNext w:val="0"/>
                    <w:keepLines w:val="0"/>
                    <w:widowControl/>
                    <w:suppressLineNumbers w:val="0"/>
                    <w:jc w:val="center"/>
                    <w:textAlignment w:val="center"/>
                    <w:rPr>
                      <w:rFonts w:hint="eastAsia" w:ascii="Times New Roman" w:hAnsi="Times New Roman" w:eastAsia="宋体" w:cs="Times New Roman"/>
                      <w:b w:val="0"/>
                      <w:bCs w:val="0"/>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61.8 </w:t>
                  </w:r>
                </w:p>
              </w:tc>
              <w:tc>
                <w:tcPr>
                  <w:tcW w:w="1054" w:type="pct"/>
                  <w:tcBorders>
                    <w:tl2br w:val="nil"/>
                    <w:tr2bl w:val="nil"/>
                  </w:tcBorders>
                  <w:shd w:val="clear" w:color="auto" w:fill="FFFFFF"/>
                  <w:noWrap w:val="0"/>
                  <w:vAlign w:val="center"/>
                </w:tcPr>
                <w:p w14:paraId="23375C68">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昼间65/夜间55</w:t>
                  </w:r>
                </w:p>
              </w:tc>
              <w:tc>
                <w:tcPr>
                  <w:tcW w:w="645" w:type="pct"/>
                  <w:tcBorders>
                    <w:tl2br w:val="nil"/>
                    <w:tr2bl w:val="nil"/>
                  </w:tcBorders>
                  <w:shd w:val="clear" w:color="auto" w:fill="FFFFFF"/>
                  <w:noWrap w:val="0"/>
                  <w:vAlign w:val="center"/>
                </w:tcPr>
                <w:p w14:paraId="0BC1363E">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达标</w:t>
                  </w:r>
                </w:p>
              </w:tc>
            </w:tr>
            <w:tr w14:paraId="4F728C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1076" w:type="pct"/>
                  <w:tcBorders>
                    <w:tl2br w:val="nil"/>
                    <w:tr2bl w:val="nil"/>
                  </w:tcBorders>
                  <w:shd w:val="clear" w:color="auto" w:fill="FFFFFF"/>
                  <w:noWrap w:val="0"/>
                  <w:vAlign w:val="center"/>
                </w:tcPr>
                <w:p w14:paraId="7C150873">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场地厂界</w:t>
                  </w:r>
                  <w:r>
                    <w:rPr>
                      <w:rFonts w:hint="eastAsia" w:ascii="Times New Roman" w:hAnsi="Times New Roman" w:eastAsia="宋体" w:cs="Times New Roman"/>
                      <w:b w:val="0"/>
                      <w:bCs w:val="0"/>
                      <w:color w:val="auto"/>
                      <w:szCs w:val="21"/>
                      <w:highlight w:val="none"/>
                      <w:u w:val="none"/>
                    </w:rPr>
                    <w:t>西侧</w:t>
                  </w:r>
                </w:p>
              </w:tc>
              <w:tc>
                <w:tcPr>
                  <w:tcW w:w="844" w:type="pct"/>
                  <w:tcBorders>
                    <w:tl2br w:val="nil"/>
                    <w:tr2bl w:val="nil"/>
                  </w:tcBorders>
                  <w:shd w:val="clear" w:color="auto" w:fill="FFFFFF"/>
                  <w:noWrap w:val="0"/>
                  <w:vAlign w:val="center"/>
                </w:tcPr>
                <w:p w14:paraId="45C318B3">
                  <w:pPr>
                    <w:widowControl/>
                    <w:jc w:val="center"/>
                    <w:rPr>
                      <w:rFonts w:hint="default" w:ascii="Times New Roman" w:hAnsi="Times New Roman" w:eastAsia="宋体" w:cs="Times New Roman"/>
                      <w:b w:val="0"/>
                      <w:bCs w:val="0"/>
                      <w:color w:val="auto"/>
                      <w:szCs w:val="21"/>
                      <w:highlight w:val="none"/>
                      <w:u w:val="none"/>
                      <w:lang w:val="en-US" w:eastAsia="zh-CN"/>
                    </w:rPr>
                  </w:pPr>
                  <w:r>
                    <w:rPr>
                      <w:rFonts w:hint="eastAsia" w:ascii="Times New Roman" w:hAnsi="Times New Roman" w:eastAsia="宋体" w:cs="Times New Roman"/>
                      <w:b w:val="0"/>
                      <w:bCs w:val="0"/>
                      <w:color w:val="auto"/>
                      <w:szCs w:val="21"/>
                      <w:highlight w:val="none"/>
                      <w:u w:val="none"/>
                      <w:lang w:val="en-US" w:eastAsia="zh-CN"/>
                    </w:rPr>
                    <w:t>（-41，0，12）</w:t>
                  </w:r>
                </w:p>
              </w:tc>
              <w:tc>
                <w:tcPr>
                  <w:tcW w:w="606" w:type="pct"/>
                  <w:tcBorders>
                    <w:tl2br w:val="nil"/>
                    <w:tr2bl w:val="nil"/>
                  </w:tcBorders>
                  <w:shd w:val="clear" w:color="auto" w:fill="FFFFFF"/>
                  <w:noWrap w:val="0"/>
                  <w:vAlign w:val="center"/>
                </w:tcPr>
                <w:p w14:paraId="68ECEF73">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昼间</w:t>
                  </w:r>
                </w:p>
              </w:tc>
              <w:tc>
                <w:tcPr>
                  <w:tcW w:w="773" w:type="pct"/>
                  <w:tcBorders>
                    <w:tl2br w:val="nil"/>
                    <w:tr2bl w:val="nil"/>
                  </w:tcBorders>
                  <w:shd w:val="clear" w:color="auto" w:fill="FFFFFF"/>
                  <w:noWrap w:val="0"/>
                  <w:vAlign w:val="center"/>
                </w:tcPr>
                <w:p w14:paraId="5976071E">
                  <w:pPr>
                    <w:keepNext w:val="0"/>
                    <w:keepLines w:val="0"/>
                    <w:widowControl/>
                    <w:suppressLineNumbers w:val="0"/>
                    <w:jc w:val="center"/>
                    <w:textAlignment w:val="center"/>
                    <w:rPr>
                      <w:rFonts w:hint="eastAsia" w:ascii="Times New Roman" w:hAnsi="Times New Roman" w:eastAsia="宋体" w:cs="Times New Roman"/>
                      <w:b w:val="0"/>
                      <w:bCs w:val="0"/>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44.4 </w:t>
                  </w:r>
                </w:p>
              </w:tc>
              <w:tc>
                <w:tcPr>
                  <w:tcW w:w="1054" w:type="pct"/>
                  <w:tcBorders>
                    <w:tl2br w:val="nil"/>
                    <w:tr2bl w:val="nil"/>
                  </w:tcBorders>
                  <w:shd w:val="clear" w:color="auto" w:fill="FFFFFF"/>
                  <w:noWrap w:val="0"/>
                  <w:vAlign w:val="center"/>
                </w:tcPr>
                <w:p w14:paraId="6F7CECC3">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昼间65/夜间55</w:t>
                  </w:r>
                </w:p>
              </w:tc>
              <w:tc>
                <w:tcPr>
                  <w:tcW w:w="645" w:type="pct"/>
                  <w:tcBorders>
                    <w:tl2br w:val="nil"/>
                    <w:tr2bl w:val="nil"/>
                  </w:tcBorders>
                  <w:shd w:val="clear" w:color="auto" w:fill="FFFFFF"/>
                  <w:noWrap w:val="0"/>
                  <w:vAlign w:val="center"/>
                </w:tcPr>
                <w:p w14:paraId="2EE69B70">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达标</w:t>
                  </w:r>
                </w:p>
              </w:tc>
            </w:tr>
            <w:tr w14:paraId="4BD055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1076" w:type="pct"/>
                  <w:tcBorders>
                    <w:tl2br w:val="nil"/>
                    <w:tr2bl w:val="nil"/>
                  </w:tcBorders>
                  <w:shd w:val="clear" w:color="auto" w:fill="FFFFFF"/>
                  <w:noWrap w:val="0"/>
                  <w:vAlign w:val="center"/>
                </w:tcPr>
                <w:p w14:paraId="6A06AB0F">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场地厂界</w:t>
                  </w:r>
                  <w:r>
                    <w:rPr>
                      <w:rFonts w:hint="eastAsia" w:ascii="Times New Roman" w:hAnsi="Times New Roman" w:eastAsia="宋体" w:cs="Times New Roman"/>
                      <w:b w:val="0"/>
                      <w:bCs w:val="0"/>
                      <w:color w:val="auto"/>
                      <w:szCs w:val="21"/>
                      <w:highlight w:val="none"/>
                      <w:u w:val="none"/>
                    </w:rPr>
                    <w:t>北侧</w:t>
                  </w:r>
                </w:p>
              </w:tc>
              <w:tc>
                <w:tcPr>
                  <w:tcW w:w="844" w:type="pct"/>
                  <w:tcBorders>
                    <w:tl2br w:val="nil"/>
                    <w:tr2bl w:val="nil"/>
                  </w:tcBorders>
                  <w:shd w:val="clear" w:color="auto" w:fill="FFFFFF"/>
                  <w:noWrap w:val="0"/>
                  <w:vAlign w:val="center"/>
                </w:tcPr>
                <w:p w14:paraId="28BBDC1C">
                  <w:pPr>
                    <w:widowControl/>
                    <w:jc w:val="center"/>
                    <w:rPr>
                      <w:rFonts w:hint="default" w:ascii="Times New Roman" w:hAnsi="Times New Roman" w:eastAsia="宋体" w:cs="Times New Roman"/>
                      <w:b w:val="0"/>
                      <w:bCs w:val="0"/>
                      <w:color w:val="auto"/>
                      <w:szCs w:val="21"/>
                      <w:highlight w:val="none"/>
                      <w:u w:val="none"/>
                      <w:lang w:val="en-US" w:eastAsia="zh-CN"/>
                    </w:rPr>
                  </w:pPr>
                  <w:r>
                    <w:rPr>
                      <w:rFonts w:hint="eastAsia" w:ascii="Times New Roman" w:hAnsi="Times New Roman" w:eastAsia="宋体" w:cs="Times New Roman"/>
                      <w:b w:val="0"/>
                      <w:bCs w:val="0"/>
                      <w:color w:val="auto"/>
                      <w:szCs w:val="21"/>
                      <w:highlight w:val="none"/>
                      <w:u w:val="none"/>
                      <w:lang w:val="en-US" w:eastAsia="zh-CN"/>
                    </w:rPr>
                    <w:t>（0，19，12）</w:t>
                  </w:r>
                </w:p>
              </w:tc>
              <w:tc>
                <w:tcPr>
                  <w:tcW w:w="606" w:type="pct"/>
                  <w:tcBorders>
                    <w:tl2br w:val="nil"/>
                    <w:tr2bl w:val="nil"/>
                  </w:tcBorders>
                  <w:shd w:val="clear" w:color="auto" w:fill="FFFFFF"/>
                  <w:noWrap w:val="0"/>
                  <w:vAlign w:val="center"/>
                </w:tcPr>
                <w:p w14:paraId="42109D1E">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昼间</w:t>
                  </w:r>
                </w:p>
              </w:tc>
              <w:tc>
                <w:tcPr>
                  <w:tcW w:w="773" w:type="pct"/>
                  <w:tcBorders>
                    <w:tl2br w:val="nil"/>
                    <w:tr2bl w:val="nil"/>
                  </w:tcBorders>
                  <w:shd w:val="clear" w:color="auto" w:fill="FFFFFF"/>
                  <w:noWrap w:val="0"/>
                  <w:vAlign w:val="center"/>
                </w:tcPr>
                <w:p w14:paraId="33FB0156">
                  <w:pPr>
                    <w:keepNext w:val="0"/>
                    <w:keepLines w:val="0"/>
                    <w:widowControl/>
                    <w:suppressLineNumbers w:val="0"/>
                    <w:jc w:val="center"/>
                    <w:textAlignment w:val="center"/>
                    <w:rPr>
                      <w:rFonts w:hint="eastAsia" w:ascii="Times New Roman" w:hAnsi="Times New Roman" w:eastAsia="宋体" w:cs="Times New Roman"/>
                      <w:b w:val="0"/>
                      <w:bCs w:val="0"/>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62.0 </w:t>
                  </w:r>
                </w:p>
              </w:tc>
              <w:tc>
                <w:tcPr>
                  <w:tcW w:w="1054" w:type="pct"/>
                  <w:tcBorders>
                    <w:tl2br w:val="nil"/>
                    <w:tr2bl w:val="nil"/>
                  </w:tcBorders>
                  <w:shd w:val="clear" w:color="auto" w:fill="FFFFFF"/>
                  <w:noWrap w:val="0"/>
                  <w:vAlign w:val="center"/>
                </w:tcPr>
                <w:p w14:paraId="12D672E7">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lang w:val="en-US" w:eastAsia="zh-CN"/>
                    </w:rPr>
                    <w:t>昼间65/夜间55</w:t>
                  </w:r>
                </w:p>
              </w:tc>
              <w:tc>
                <w:tcPr>
                  <w:tcW w:w="645" w:type="pct"/>
                  <w:tcBorders>
                    <w:tl2br w:val="nil"/>
                    <w:tr2bl w:val="nil"/>
                  </w:tcBorders>
                  <w:shd w:val="clear" w:color="auto" w:fill="FFFFFF"/>
                  <w:noWrap w:val="0"/>
                  <w:vAlign w:val="center"/>
                </w:tcPr>
                <w:p w14:paraId="3B44E894">
                  <w:pPr>
                    <w:widowControl/>
                    <w:jc w:val="center"/>
                    <w:rPr>
                      <w:rFonts w:hint="eastAsia" w:ascii="Times New Roman" w:hAnsi="Times New Roman" w:eastAsia="宋体" w:cs="Times New Roman"/>
                      <w:b w:val="0"/>
                      <w:bCs w:val="0"/>
                      <w:color w:val="auto"/>
                      <w:szCs w:val="21"/>
                      <w:highlight w:val="none"/>
                      <w:u w:val="none"/>
                    </w:rPr>
                  </w:pPr>
                  <w:r>
                    <w:rPr>
                      <w:rFonts w:hint="eastAsia" w:ascii="Times New Roman" w:hAnsi="Times New Roman" w:eastAsia="宋体" w:cs="Times New Roman"/>
                      <w:b w:val="0"/>
                      <w:bCs w:val="0"/>
                      <w:color w:val="auto"/>
                      <w:szCs w:val="21"/>
                      <w:highlight w:val="none"/>
                      <w:u w:val="none"/>
                    </w:rPr>
                    <w:t>达标</w:t>
                  </w:r>
                </w:p>
              </w:tc>
            </w:tr>
          </w:tbl>
          <w:p w14:paraId="610CDEBC">
            <w:pPr>
              <w:pStyle w:val="60"/>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1"/>
                <w:highlight w:val="none"/>
                <w:u w:val="none" w:color="auto"/>
                <w:lang w:val="en-US" w:eastAsia="zh-CN" w:bidi="ar-SA"/>
              </w:rPr>
            </w:pPr>
            <w:r>
              <w:rPr>
                <w:rFonts w:hint="default" w:ascii="Times New Roman" w:hAnsi="Times New Roman" w:eastAsia="宋体" w:cs="Times New Roman"/>
                <w:color w:val="auto"/>
                <w:kern w:val="0"/>
                <w:sz w:val="24"/>
                <w:szCs w:val="21"/>
                <w:highlight w:val="none"/>
                <w:u w:val="none" w:color="auto"/>
                <w:lang w:val="en-US" w:eastAsia="zh-CN" w:bidi="ar-SA"/>
              </w:rPr>
              <w:t>通过上述预测可知，本项目生产设备均位于</w:t>
            </w:r>
            <w:r>
              <w:rPr>
                <w:rFonts w:hint="eastAsia" w:cs="Times New Roman"/>
                <w:color w:val="auto"/>
                <w:kern w:val="0"/>
                <w:sz w:val="24"/>
                <w:szCs w:val="21"/>
                <w:highlight w:val="none"/>
                <w:u w:val="none" w:color="auto"/>
                <w:lang w:val="en-US" w:eastAsia="zh-CN" w:bidi="ar-SA"/>
              </w:rPr>
              <w:t>厂房</w:t>
            </w:r>
            <w:r>
              <w:rPr>
                <w:rFonts w:hint="default" w:ascii="Times New Roman" w:hAnsi="Times New Roman" w:eastAsia="宋体" w:cs="Times New Roman"/>
                <w:color w:val="auto"/>
                <w:kern w:val="0"/>
                <w:sz w:val="24"/>
                <w:szCs w:val="21"/>
                <w:highlight w:val="none"/>
                <w:u w:val="none" w:color="auto"/>
                <w:lang w:val="en-US" w:eastAsia="zh-CN" w:bidi="ar-SA"/>
              </w:rPr>
              <w:t>车间内，墙体可起到一定隔声作用，</w:t>
            </w:r>
            <w:r>
              <w:rPr>
                <w:rFonts w:hint="eastAsia" w:cs="Times New Roman"/>
                <w:color w:val="auto"/>
                <w:kern w:val="0"/>
                <w:sz w:val="24"/>
                <w:szCs w:val="21"/>
                <w:highlight w:val="none"/>
                <w:u w:val="none" w:color="auto"/>
                <w:lang w:val="en-US" w:eastAsia="zh-CN" w:bidi="ar-SA"/>
              </w:rPr>
              <w:t>在</w:t>
            </w:r>
            <w:r>
              <w:rPr>
                <w:rFonts w:hint="default" w:ascii="Times New Roman" w:hAnsi="Times New Roman" w:eastAsia="宋体" w:cs="Times New Roman"/>
                <w:color w:val="auto"/>
                <w:kern w:val="0"/>
                <w:sz w:val="24"/>
                <w:szCs w:val="21"/>
                <w:highlight w:val="none"/>
                <w:u w:val="none" w:color="auto"/>
                <w:lang w:val="en-US" w:eastAsia="zh-CN" w:bidi="ar-SA"/>
              </w:rPr>
              <w:t>合理布局、选用低噪声设备、基础</w:t>
            </w:r>
            <w:r>
              <w:rPr>
                <w:rFonts w:hint="eastAsia" w:cs="Times New Roman"/>
                <w:color w:val="auto"/>
                <w:kern w:val="0"/>
                <w:sz w:val="24"/>
                <w:szCs w:val="21"/>
                <w:highlight w:val="none"/>
                <w:u w:val="none" w:color="auto"/>
                <w:lang w:val="en-US" w:eastAsia="zh-CN" w:bidi="ar-SA"/>
              </w:rPr>
              <w:t>减振</w:t>
            </w:r>
            <w:r>
              <w:rPr>
                <w:rFonts w:hint="default" w:ascii="Times New Roman" w:hAnsi="Times New Roman" w:eastAsia="宋体" w:cs="Times New Roman"/>
                <w:color w:val="auto"/>
                <w:kern w:val="0"/>
                <w:sz w:val="24"/>
                <w:szCs w:val="21"/>
                <w:highlight w:val="none"/>
                <w:u w:val="none" w:color="auto"/>
                <w:lang w:val="en-US" w:eastAsia="zh-CN" w:bidi="ar-SA"/>
              </w:rPr>
              <w:t>措施后，一般降噪量在20dB(A</w:t>
            </w:r>
            <w:r>
              <w:rPr>
                <w:rFonts w:hint="eastAsia" w:cs="Times New Roman"/>
                <w:color w:val="auto"/>
                <w:kern w:val="0"/>
                <w:sz w:val="24"/>
                <w:szCs w:val="21"/>
                <w:highlight w:val="none"/>
                <w:u w:val="none" w:color="auto"/>
                <w:lang w:val="en-US" w:eastAsia="zh-CN" w:bidi="ar-SA"/>
              </w:rPr>
              <w:t>）</w:t>
            </w:r>
            <w:r>
              <w:rPr>
                <w:rFonts w:hint="default" w:ascii="Times New Roman" w:hAnsi="Times New Roman" w:eastAsia="宋体" w:cs="Times New Roman"/>
                <w:color w:val="auto"/>
                <w:kern w:val="0"/>
                <w:sz w:val="24"/>
                <w:szCs w:val="21"/>
                <w:highlight w:val="none"/>
                <w:u w:val="none" w:color="auto"/>
                <w:lang w:val="en-US" w:eastAsia="zh-CN" w:bidi="ar-SA"/>
              </w:rPr>
              <w:t>左右；经降噪后本项目</w:t>
            </w:r>
            <w:r>
              <w:rPr>
                <w:rFonts w:hint="eastAsia" w:cs="Times New Roman"/>
                <w:color w:val="auto"/>
                <w:kern w:val="0"/>
                <w:sz w:val="24"/>
                <w:szCs w:val="21"/>
                <w:highlight w:val="none"/>
                <w:u w:val="none" w:color="auto"/>
                <w:lang w:val="en-US" w:eastAsia="zh-CN" w:bidi="ar-SA"/>
              </w:rPr>
              <w:t>昼间</w:t>
            </w:r>
            <w:r>
              <w:rPr>
                <w:rFonts w:hint="default" w:ascii="Times New Roman" w:hAnsi="Times New Roman" w:eastAsia="宋体" w:cs="Times New Roman"/>
                <w:color w:val="auto"/>
                <w:kern w:val="0"/>
                <w:sz w:val="24"/>
                <w:szCs w:val="21"/>
                <w:highlight w:val="none"/>
                <w:u w:val="none" w:color="auto"/>
                <w:lang w:val="en-US" w:eastAsia="zh-CN" w:bidi="ar-SA"/>
              </w:rPr>
              <w:t>东、南、西、北厂界噪声贡献值能满足《工业企业厂界环境噪声排放标准》</w:t>
            </w:r>
            <w:r>
              <w:rPr>
                <w:rFonts w:hint="eastAsia" w:cs="Times New Roman"/>
                <w:color w:val="auto"/>
                <w:kern w:val="0"/>
                <w:sz w:val="24"/>
                <w:szCs w:val="21"/>
                <w:highlight w:val="none"/>
                <w:u w:val="none" w:color="auto"/>
                <w:lang w:val="en-US" w:eastAsia="zh-CN" w:bidi="ar-SA"/>
              </w:rPr>
              <w:t>（</w:t>
            </w:r>
            <w:r>
              <w:rPr>
                <w:rFonts w:hint="default" w:ascii="Times New Roman" w:hAnsi="Times New Roman" w:eastAsia="宋体" w:cs="Times New Roman"/>
                <w:color w:val="auto"/>
                <w:kern w:val="0"/>
                <w:sz w:val="24"/>
                <w:szCs w:val="21"/>
                <w:highlight w:val="none"/>
                <w:u w:val="none" w:color="auto"/>
                <w:lang w:val="en-US" w:eastAsia="zh-CN" w:bidi="ar-SA"/>
              </w:rPr>
              <w:t>GB12348-2008</w:t>
            </w:r>
            <w:r>
              <w:rPr>
                <w:rFonts w:hint="eastAsia" w:cs="Times New Roman"/>
                <w:color w:val="auto"/>
                <w:kern w:val="0"/>
                <w:sz w:val="24"/>
                <w:szCs w:val="21"/>
                <w:highlight w:val="none"/>
                <w:u w:val="none" w:color="auto"/>
                <w:lang w:val="en-US" w:eastAsia="zh-CN" w:bidi="ar-SA"/>
              </w:rPr>
              <w:t>）</w:t>
            </w:r>
            <w:r>
              <w:rPr>
                <w:rFonts w:hint="default" w:ascii="Times New Roman" w:hAnsi="Times New Roman" w:eastAsia="宋体" w:cs="Times New Roman"/>
                <w:color w:val="auto"/>
                <w:kern w:val="0"/>
                <w:sz w:val="24"/>
                <w:szCs w:val="21"/>
                <w:highlight w:val="none"/>
                <w:u w:val="none" w:color="auto"/>
                <w:lang w:val="en-US" w:eastAsia="zh-CN" w:bidi="ar-SA"/>
              </w:rPr>
              <w:t>中</w:t>
            </w:r>
            <w:r>
              <w:rPr>
                <w:rFonts w:hint="eastAsia" w:hAnsi="Times New Roman" w:cs="Times New Roman"/>
                <w:color w:val="auto"/>
                <w:kern w:val="0"/>
                <w:sz w:val="24"/>
                <w:szCs w:val="21"/>
                <w:highlight w:val="none"/>
                <w:u w:val="none" w:color="auto"/>
                <w:lang w:val="en-US" w:eastAsia="zh-CN" w:bidi="ar-SA"/>
              </w:rPr>
              <w:t>3</w:t>
            </w:r>
            <w:r>
              <w:rPr>
                <w:rFonts w:hint="default" w:ascii="Times New Roman" w:hAnsi="Times New Roman" w:eastAsia="宋体" w:cs="Times New Roman"/>
                <w:color w:val="auto"/>
                <w:kern w:val="0"/>
                <w:sz w:val="24"/>
                <w:szCs w:val="21"/>
                <w:highlight w:val="none"/>
                <w:u w:val="none" w:color="auto"/>
                <w:lang w:val="en-US" w:eastAsia="zh-CN" w:bidi="ar-SA"/>
              </w:rPr>
              <w:t>类标准限值</w:t>
            </w:r>
            <w:r>
              <w:rPr>
                <w:rFonts w:hint="eastAsia" w:cs="Times New Roman"/>
                <w:color w:val="auto"/>
                <w:kern w:val="0"/>
                <w:sz w:val="24"/>
                <w:szCs w:val="21"/>
                <w:highlight w:val="none"/>
                <w:u w:val="none" w:color="auto"/>
                <w:lang w:val="en-US" w:eastAsia="zh-CN" w:bidi="ar-SA"/>
              </w:rPr>
              <w:t>，而项目夜间不生产，不会产生噪声</w:t>
            </w:r>
            <w:r>
              <w:rPr>
                <w:rFonts w:hint="default" w:ascii="Times New Roman" w:hAnsi="Times New Roman" w:eastAsia="宋体" w:cs="Times New Roman"/>
                <w:color w:val="auto"/>
                <w:kern w:val="0"/>
                <w:sz w:val="24"/>
                <w:szCs w:val="21"/>
                <w:highlight w:val="none"/>
                <w:u w:val="none" w:color="auto"/>
                <w:lang w:val="en-US" w:eastAsia="zh-CN" w:bidi="ar-SA"/>
              </w:rPr>
              <w:t>。</w:t>
            </w:r>
          </w:p>
          <w:p w14:paraId="1A81EEFD">
            <w:pPr>
              <w:pStyle w:val="45"/>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1"/>
                <w:highlight w:val="none"/>
                <w:u w:val="none" w:color="auto"/>
                <w:lang w:val="en-US" w:eastAsia="zh-CN" w:bidi="ar-SA"/>
              </w:rPr>
            </w:pPr>
            <w:r>
              <w:rPr>
                <w:rFonts w:hint="default" w:ascii="Times New Roman" w:hAnsi="Times New Roman" w:eastAsia="宋体" w:cs="Times New Roman"/>
                <w:color w:val="auto"/>
                <w:kern w:val="0"/>
                <w:sz w:val="24"/>
                <w:szCs w:val="21"/>
                <w:highlight w:val="none"/>
                <w:u w:val="none" w:color="auto"/>
                <w:lang w:val="en-US" w:eastAsia="zh-CN" w:bidi="ar-SA"/>
              </w:rPr>
              <w:t>综上，经采取合理布局、选用低噪声</w:t>
            </w:r>
            <w:r>
              <w:rPr>
                <w:rFonts w:hint="eastAsia" w:cs="Times New Roman"/>
                <w:color w:val="auto"/>
                <w:kern w:val="0"/>
                <w:sz w:val="24"/>
                <w:szCs w:val="21"/>
                <w:highlight w:val="none"/>
                <w:u w:val="none" w:color="auto"/>
                <w:lang w:val="en-US" w:eastAsia="zh-CN" w:bidi="ar-SA"/>
              </w:rPr>
              <w:t>设备、基础减振</w:t>
            </w:r>
            <w:r>
              <w:rPr>
                <w:rFonts w:hint="default" w:ascii="Times New Roman" w:hAnsi="Times New Roman" w:eastAsia="宋体" w:cs="Times New Roman"/>
                <w:color w:val="auto"/>
                <w:kern w:val="0"/>
                <w:sz w:val="24"/>
                <w:szCs w:val="21"/>
                <w:highlight w:val="none"/>
                <w:u w:val="none" w:color="auto"/>
                <w:lang w:val="en-US" w:eastAsia="zh-CN" w:bidi="ar-SA"/>
              </w:rPr>
              <w:t>、密闭隔声</w:t>
            </w:r>
            <w:r>
              <w:rPr>
                <w:rFonts w:hint="eastAsia" w:ascii="Times New Roman" w:hAnsi="Times New Roman" w:eastAsia="宋体" w:cs="Times New Roman"/>
                <w:color w:val="auto"/>
                <w:kern w:val="0"/>
                <w:sz w:val="24"/>
                <w:szCs w:val="21"/>
                <w:highlight w:val="none"/>
                <w:u w:val="none" w:color="auto"/>
                <w:lang w:val="en-US" w:eastAsia="zh-CN" w:bidi="ar-SA"/>
              </w:rPr>
              <w:t>、加强对噪声设备的维护和保养，减少因机械磨损而增加的噪声。要求运输车进出厂区时要减速行驶，做好厂区内、外部车流的疏通，设置机动车禁鸣喇叭等标记，加强运输车辆司机的教育，提高驾驶员素质；进行装卸作业时要严格实行降噪措施，避免人为原因造成的作业噪声</w:t>
            </w:r>
            <w:r>
              <w:rPr>
                <w:rFonts w:hint="default" w:ascii="Times New Roman" w:hAnsi="Times New Roman" w:eastAsia="宋体" w:cs="Times New Roman"/>
                <w:color w:val="auto"/>
                <w:kern w:val="0"/>
                <w:sz w:val="24"/>
                <w:szCs w:val="21"/>
                <w:highlight w:val="none"/>
                <w:u w:val="none" w:color="auto"/>
                <w:lang w:val="en-US" w:eastAsia="zh-CN" w:bidi="ar-SA"/>
              </w:rPr>
              <w:t>等措施后，项目营运期噪声对周围声环境敏感点影响较小。</w:t>
            </w:r>
          </w:p>
          <w:p w14:paraId="41DD9806">
            <w:pPr>
              <w:spacing w:line="360" w:lineRule="auto"/>
              <w:ind w:firstLine="480" w:firstLineChars="200"/>
              <w:rPr>
                <w:color w:val="auto"/>
                <w:sz w:val="24"/>
                <w:highlight w:val="none"/>
                <w:u w:val="none"/>
                <w:lang w:val="en-GB"/>
              </w:rPr>
            </w:pPr>
            <w:r>
              <w:rPr>
                <w:rFonts w:hint="eastAsia"/>
                <w:color w:val="auto"/>
                <w:sz w:val="24"/>
                <w:highlight w:val="none"/>
                <w:u w:val="none"/>
                <w:lang w:val="en-GB"/>
              </w:rPr>
              <w:t>（</w:t>
            </w:r>
            <w:r>
              <w:rPr>
                <w:rFonts w:hint="eastAsia"/>
                <w:color w:val="auto"/>
                <w:sz w:val="24"/>
                <w:highlight w:val="none"/>
                <w:u w:val="none"/>
              </w:rPr>
              <w:t>3</w:t>
            </w:r>
            <w:r>
              <w:rPr>
                <w:rFonts w:hint="eastAsia"/>
                <w:color w:val="auto"/>
                <w:sz w:val="24"/>
                <w:highlight w:val="none"/>
                <w:u w:val="none"/>
                <w:lang w:val="en-GB"/>
              </w:rPr>
              <w:t>）监测要求</w:t>
            </w:r>
          </w:p>
          <w:p w14:paraId="37CED4B2">
            <w:pPr>
              <w:pStyle w:val="17"/>
              <w:jc w:val="center"/>
              <w:rPr>
                <w:b/>
                <w:bCs/>
                <w:color w:val="auto"/>
                <w:sz w:val="21"/>
                <w:highlight w:val="none"/>
                <w:u w:val="none"/>
              </w:rPr>
            </w:pPr>
            <w:r>
              <w:rPr>
                <w:rFonts w:hint="eastAsia"/>
                <w:b/>
                <w:bCs/>
                <w:color w:val="auto"/>
                <w:sz w:val="21"/>
                <w:highlight w:val="none"/>
                <w:u w:val="none"/>
                <w:lang w:val="en-GB"/>
              </w:rPr>
              <w:t>表</w:t>
            </w:r>
            <w:r>
              <w:rPr>
                <w:rFonts w:hint="eastAsia"/>
                <w:b/>
                <w:bCs/>
                <w:color w:val="auto"/>
                <w:sz w:val="21"/>
                <w:highlight w:val="none"/>
                <w:u w:val="none"/>
              </w:rPr>
              <w:t>4-</w:t>
            </w:r>
            <w:r>
              <w:rPr>
                <w:rFonts w:hint="eastAsia"/>
                <w:b/>
                <w:bCs/>
                <w:color w:val="auto"/>
                <w:sz w:val="21"/>
                <w:highlight w:val="none"/>
                <w:u w:val="none"/>
                <w:lang w:val="en-US" w:eastAsia="zh-CN"/>
              </w:rPr>
              <w:t>7</w:t>
            </w:r>
            <w:r>
              <w:rPr>
                <w:rFonts w:hint="eastAsia"/>
                <w:b/>
                <w:bCs/>
                <w:color w:val="auto"/>
                <w:sz w:val="21"/>
                <w:highlight w:val="none"/>
                <w:u w:val="none"/>
              </w:rPr>
              <w:t xml:space="preserve">  噪声监测要求一览表</w:t>
            </w:r>
          </w:p>
          <w:tbl>
            <w:tblPr>
              <w:tblStyle w:val="3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995"/>
              <w:gridCol w:w="1331"/>
              <w:gridCol w:w="1331"/>
              <w:gridCol w:w="3477"/>
            </w:tblGrid>
            <w:tr w14:paraId="3773FF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450" w:type="pct"/>
                  <w:vAlign w:val="center"/>
                </w:tcPr>
                <w:p w14:paraId="3DBE8360">
                  <w:pPr>
                    <w:spacing w:line="360" w:lineRule="auto"/>
                    <w:jc w:val="center"/>
                    <w:rPr>
                      <w:bCs/>
                      <w:color w:val="auto"/>
                      <w:highlight w:val="none"/>
                      <w:u w:val="none"/>
                    </w:rPr>
                  </w:pPr>
                  <w:r>
                    <w:rPr>
                      <w:rFonts w:hint="eastAsia"/>
                      <w:bCs/>
                      <w:color w:val="auto"/>
                      <w:highlight w:val="none"/>
                      <w:u w:val="none"/>
                    </w:rPr>
                    <w:t>监测类别</w:t>
                  </w:r>
                </w:p>
              </w:tc>
              <w:tc>
                <w:tcPr>
                  <w:tcW w:w="1116" w:type="pct"/>
                  <w:vAlign w:val="center"/>
                </w:tcPr>
                <w:p w14:paraId="76246E46">
                  <w:pPr>
                    <w:spacing w:line="360" w:lineRule="auto"/>
                    <w:jc w:val="center"/>
                    <w:rPr>
                      <w:bCs/>
                      <w:color w:val="auto"/>
                      <w:highlight w:val="none"/>
                      <w:u w:val="none"/>
                    </w:rPr>
                  </w:pPr>
                  <w:r>
                    <w:rPr>
                      <w:rFonts w:hint="eastAsia"/>
                      <w:bCs/>
                      <w:color w:val="auto"/>
                      <w:highlight w:val="none"/>
                      <w:u w:val="none"/>
                    </w:rPr>
                    <w:t>监测点位</w:t>
                  </w:r>
                </w:p>
              </w:tc>
              <w:tc>
                <w:tcPr>
                  <w:tcW w:w="744" w:type="pct"/>
                  <w:vAlign w:val="center"/>
                </w:tcPr>
                <w:p w14:paraId="4B7E87AB">
                  <w:pPr>
                    <w:spacing w:line="360" w:lineRule="auto"/>
                    <w:jc w:val="center"/>
                    <w:rPr>
                      <w:bCs/>
                      <w:color w:val="auto"/>
                      <w:highlight w:val="none"/>
                      <w:u w:val="none"/>
                    </w:rPr>
                  </w:pPr>
                  <w:r>
                    <w:rPr>
                      <w:rFonts w:hint="eastAsia"/>
                      <w:bCs/>
                      <w:color w:val="auto"/>
                      <w:highlight w:val="none"/>
                      <w:u w:val="none"/>
                    </w:rPr>
                    <w:t>监测项目</w:t>
                  </w:r>
                </w:p>
              </w:tc>
              <w:tc>
                <w:tcPr>
                  <w:tcW w:w="744" w:type="pct"/>
                  <w:vAlign w:val="center"/>
                </w:tcPr>
                <w:p w14:paraId="44D4800C">
                  <w:pPr>
                    <w:spacing w:line="360" w:lineRule="auto"/>
                    <w:jc w:val="center"/>
                    <w:rPr>
                      <w:bCs/>
                      <w:color w:val="auto"/>
                      <w:highlight w:val="none"/>
                      <w:u w:val="none"/>
                    </w:rPr>
                  </w:pPr>
                  <w:r>
                    <w:rPr>
                      <w:rFonts w:hint="eastAsia"/>
                      <w:bCs/>
                      <w:color w:val="auto"/>
                      <w:highlight w:val="none"/>
                      <w:u w:val="none"/>
                    </w:rPr>
                    <w:t>监测频次</w:t>
                  </w:r>
                </w:p>
              </w:tc>
              <w:tc>
                <w:tcPr>
                  <w:tcW w:w="1944" w:type="pct"/>
                  <w:vAlign w:val="center"/>
                </w:tcPr>
                <w:p w14:paraId="754E95C2">
                  <w:pPr>
                    <w:spacing w:line="360" w:lineRule="auto"/>
                    <w:jc w:val="center"/>
                    <w:rPr>
                      <w:bCs/>
                      <w:color w:val="auto"/>
                      <w:highlight w:val="none"/>
                      <w:u w:val="none"/>
                    </w:rPr>
                  </w:pPr>
                  <w:r>
                    <w:rPr>
                      <w:rFonts w:hint="eastAsia"/>
                      <w:bCs/>
                      <w:color w:val="auto"/>
                      <w:highlight w:val="none"/>
                      <w:u w:val="none"/>
                    </w:rPr>
                    <w:t>执行标准</w:t>
                  </w:r>
                </w:p>
              </w:tc>
            </w:tr>
            <w:tr w14:paraId="5E6A0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67274C0D">
                  <w:pPr>
                    <w:spacing w:line="240" w:lineRule="auto"/>
                    <w:jc w:val="center"/>
                    <w:rPr>
                      <w:bCs/>
                      <w:color w:val="auto"/>
                      <w:highlight w:val="none"/>
                      <w:u w:val="none"/>
                    </w:rPr>
                  </w:pPr>
                  <w:r>
                    <w:rPr>
                      <w:rFonts w:hint="eastAsia"/>
                      <w:bCs/>
                      <w:color w:val="auto"/>
                      <w:highlight w:val="none"/>
                      <w:u w:val="none"/>
                      <w:lang w:val="en-US" w:eastAsia="zh-CN"/>
                    </w:rPr>
                    <w:t>厂界</w:t>
                  </w:r>
                  <w:r>
                    <w:rPr>
                      <w:rFonts w:hint="eastAsia"/>
                      <w:bCs/>
                      <w:color w:val="auto"/>
                      <w:highlight w:val="none"/>
                      <w:u w:val="none"/>
                    </w:rPr>
                    <w:t>噪声</w:t>
                  </w:r>
                </w:p>
              </w:tc>
              <w:tc>
                <w:tcPr>
                  <w:tcW w:w="1116" w:type="pct"/>
                  <w:vAlign w:val="center"/>
                </w:tcPr>
                <w:p w14:paraId="6A59A87B">
                  <w:pPr>
                    <w:spacing w:line="240" w:lineRule="auto"/>
                    <w:jc w:val="center"/>
                    <w:rPr>
                      <w:bCs/>
                      <w:color w:val="auto"/>
                      <w:highlight w:val="none"/>
                      <w:u w:val="none"/>
                    </w:rPr>
                  </w:pPr>
                  <w:r>
                    <w:rPr>
                      <w:rFonts w:hint="eastAsia"/>
                      <w:bCs/>
                      <w:color w:val="auto"/>
                      <w:highlight w:val="none"/>
                      <w:u w:val="none"/>
                    </w:rPr>
                    <w:t>厂界东侧、南侧、西侧、北侧</w:t>
                  </w:r>
                </w:p>
              </w:tc>
              <w:tc>
                <w:tcPr>
                  <w:tcW w:w="744" w:type="pct"/>
                  <w:vAlign w:val="center"/>
                </w:tcPr>
                <w:p w14:paraId="54248FE8">
                  <w:pPr>
                    <w:spacing w:line="240" w:lineRule="auto"/>
                    <w:jc w:val="center"/>
                    <w:rPr>
                      <w:bCs/>
                      <w:color w:val="auto"/>
                      <w:highlight w:val="none"/>
                      <w:u w:val="none"/>
                    </w:rPr>
                  </w:pPr>
                  <w:r>
                    <w:rPr>
                      <w:rFonts w:hint="eastAsia"/>
                      <w:bCs/>
                      <w:color w:val="auto"/>
                      <w:highlight w:val="none"/>
                      <w:u w:val="none"/>
                    </w:rPr>
                    <w:t>等效连续A声级</w:t>
                  </w:r>
                </w:p>
              </w:tc>
              <w:tc>
                <w:tcPr>
                  <w:tcW w:w="744" w:type="pct"/>
                  <w:vAlign w:val="center"/>
                </w:tcPr>
                <w:p w14:paraId="2AA4DF53">
                  <w:pPr>
                    <w:spacing w:line="360" w:lineRule="auto"/>
                    <w:jc w:val="center"/>
                    <w:rPr>
                      <w:bCs/>
                      <w:color w:val="auto"/>
                      <w:highlight w:val="none"/>
                      <w:u w:val="none"/>
                    </w:rPr>
                  </w:pPr>
                  <w:r>
                    <w:rPr>
                      <w:rFonts w:hint="eastAsia"/>
                      <w:bCs/>
                      <w:color w:val="auto"/>
                      <w:highlight w:val="none"/>
                      <w:u w:val="none"/>
                    </w:rPr>
                    <w:t>每季一次</w:t>
                  </w:r>
                </w:p>
              </w:tc>
              <w:tc>
                <w:tcPr>
                  <w:tcW w:w="1944" w:type="pct"/>
                  <w:vAlign w:val="center"/>
                </w:tcPr>
                <w:p w14:paraId="2D14B1A5">
                  <w:pPr>
                    <w:spacing w:line="360" w:lineRule="auto"/>
                    <w:jc w:val="center"/>
                    <w:rPr>
                      <w:bCs/>
                      <w:color w:val="auto"/>
                      <w:highlight w:val="none"/>
                      <w:u w:val="none"/>
                    </w:rPr>
                  </w:pPr>
                  <w:r>
                    <w:rPr>
                      <w:rFonts w:hint="eastAsia"/>
                      <w:color w:val="auto"/>
                      <w:highlight w:val="none"/>
                      <w:u w:val="none"/>
                      <w:lang w:val="en-GB"/>
                    </w:rPr>
                    <w:t>《工业企业厂界环境噪声排放标准》</w:t>
                  </w:r>
                  <w:r>
                    <w:rPr>
                      <w:rFonts w:hint="eastAsia"/>
                      <w:color w:val="auto"/>
                      <w:highlight w:val="none"/>
                      <w:u w:val="none"/>
                      <w:lang w:val="en-GB" w:eastAsia="zh-CN"/>
                    </w:rPr>
                    <w:t>（</w:t>
                  </w:r>
                  <w:r>
                    <w:rPr>
                      <w:rFonts w:hint="eastAsia"/>
                      <w:color w:val="auto"/>
                      <w:highlight w:val="none"/>
                      <w:u w:val="none"/>
                      <w:lang w:val="en-GB"/>
                    </w:rPr>
                    <w:t>GB12348-2008)</w:t>
                  </w:r>
                </w:p>
              </w:tc>
            </w:tr>
          </w:tbl>
          <w:p w14:paraId="0A43BF3F">
            <w:pPr>
              <w:spacing w:line="360" w:lineRule="auto"/>
              <w:ind w:firstLine="482" w:firstLineChars="200"/>
              <w:jc w:val="left"/>
              <w:rPr>
                <w:b/>
                <w:color w:val="auto"/>
                <w:sz w:val="24"/>
                <w:highlight w:val="none"/>
                <w:u w:val="none"/>
              </w:rPr>
            </w:pPr>
            <w:r>
              <w:rPr>
                <w:rFonts w:hint="eastAsia"/>
                <w:b/>
                <w:color w:val="auto"/>
                <w:sz w:val="24"/>
                <w:highlight w:val="none"/>
                <w:u w:val="none"/>
              </w:rPr>
              <w:t>6、固体废物</w:t>
            </w:r>
          </w:p>
          <w:p w14:paraId="79D1B60E">
            <w:pPr>
              <w:spacing w:line="360" w:lineRule="auto"/>
              <w:ind w:firstLine="482" w:firstLineChars="200"/>
              <w:jc w:val="left"/>
              <w:rPr>
                <w:b/>
                <w:color w:val="auto"/>
                <w:sz w:val="24"/>
                <w:highlight w:val="none"/>
                <w:u w:val="none"/>
              </w:rPr>
            </w:pPr>
            <w:r>
              <w:rPr>
                <w:rFonts w:hint="eastAsia"/>
                <w:b/>
                <w:color w:val="auto"/>
                <w:sz w:val="24"/>
                <w:highlight w:val="none"/>
                <w:u w:val="none"/>
              </w:rPr>
              <w:t>6.1固体废物产排情况</w:t>
            </w:r>
          </w:p>
          <w:p w14:paraId="0201D2B7">
            <w:pPr>
              <w:snapToGrid w:val="0"/>
              <w:spacing w:line="360" w:lineRule="auto"/>
              <w:ind w:firstLine="480" w:firstLineChars="200"/>
              <w:rPr>
                <w:rFonts w:hint="default" w:eastAsia="宋体"/>
                <w:color w:val="auto"/>
                <w:sz w:val="24"/>
                <w:highlight w:val="none"/>
                <w:u w:val="none"/>
                <w:lang w:val="en-US" w:eastAsia="zh-CN"/>
              </w:rPr>
            </w:pPr>
            <w:r>
              <w:rPr>
                <w:rFonts w:hint="eastAsia"/>
                <w:color w:val="auto"/>
                <w:sz w:val="24"/>
                <w:highlight w:val="none"/>
                <w:u w:val="none"/>
              </w:rPr>
              <w:t>本项目固体废物主要有</w:t>
            </w:r>
            <w:r>
              <w:rPr>
                <w:rFonts w:hint="eastAsia" w:eastAsia="宋体"/>
                <w:color w:val="auto"/>
                <w:sz w:val="24"/>
                <w:highlight w:val="none"/>
                <w:u w:val="none"/>
              </w:rPr>
              <w:t>废包装材料</w:t>
            </w:r>
            <w:r>
              <w:rPr>
                <w:rFonts w:hint="eastAsia" w:eastAsia="宋体"/>
                <w:color w:val="auto"/>
                <w:sz w:val="24"/>
                <w:highlight w:val="none"/>
                <w:u w:val="none"/>
                <w:lang w:eastAsia="zh-CN"/>
              </w:rPr>
              <w:t>、</w:t>
            </w:r>
            <w:r>
              <w:rPr>
                <w:rFonts w:hint="eastAsia" w:eastAsia="宋体"/>
                <w:color w:val="auto"/>
                <w:sz w:val="24"/>
                <w:highlight w:val="none"/>
                <w:u w:val="none"/>
              </w:rPr>
              <w:t>注塑边角料、锡渣</w:t>
            </w:r>
            <w:r>
              <w:rPr>
                <w:rFonts w:hint="eastAsia" w:eastAsia="宋体"/>
                <w:color w:val="auto"/>
                <w:sz w:val="24"/>
                <w:highlight w:val="none"/>
                <w:u w:val="none"/>
                <w:lang w:eastAsia="zh-CN"/>
              </w:rPr>
              <w:t>、</w:t>
            </w:r>
            <w:r>
              <w:rPr>
                <w:rFonts w:hint="default" w:eastAsia="宋体"/>
                <w:color w:val="auto"/>
                <w:sz w:val="24"/>
                <w:highlight w:val="none"/>
                <w:u w:val="none"/>
                <w:lang w:val="en-US" w:eastAsia="zh-CN"/>
              </w:rPr>
              <w:t>废喷砂产尘</w:t>
            </w:r>
            <w:r>
              <w:rPr>
                <w:rFonts w:hint="eastAsia" w:eastAsia="宋体"/>
                <w:color w:val="auto"/>
                <w:sz w:val="24"/>
                <w:highlight w:val="none"/>
                <w:u w:val="none"/>
                <w:lang w:val="en-US" w:eastAsia="zh-CN"/>
              </w:rPr>
              <w:t>、</w:t>
            </w:r>
            <w:r>
              <w:rPr>
                <w:rFonts w:hint="default" w:eastAsia="宋体"/>
                <w:color w:val="auto"/>
                <w:sz w:val="24"/>
                <w:highlight w:val="none"/>
                <w:u w:val="none"/>
                <w:lang w:val="en-US" w:eastAsia="zh-CN"/>
              </w:rPr>
              <w:t>废化学品包装</w:t>
            </w:r>
            <w:r>
              <w:rPr>
                <w:rFonts w:hint="eastAsia" w:eastAsia="宋体"/>
                <w:color w:val="auto"/>
                <w:sz w:val="24"/>
                <w:highlight w:val="none"/>
                <w:u w:val="none"/>
                <w:lang w:val="en-US" w:eastAsia="zh-CN"/>
              </w:rPr>
              <w:t>、</w:t>
            </w:r>
            <w:r>
              <w:rPr>
                <w:rFonts w:hint="default" w:eastAsia="宋体"/>
                <w:color w:val="auto"/>
                <w:sz w:val="24"/>
                <w:highlight w:val="none"/>
                <w:u w:val="none"/>
                <w:lang w:val="en-US" w:eastAsia="zh-CN"/>
              </w:rPr>
              <w:t>废</w:t>
            </w:r>
            <w:r>
              <w:rPr>
                <w:rFonts w:hint="eastAsia" w:eastAsia="宋体"/>
                <w:color w:val="auto"/>
                <w:sz w:val="24"/>
                <w:highlight w:val="none"/>
                <w:u w:val="none"/>
                <w:lang w:val="en-US" w:eastAsia="zh-CN"/>
              </w:rPr>
              <w:t>液压</w:t>
            </w:r>
            <w:r>
              <w:rPr>
                <w:rFonts w:hint="default" w:eastAsia="宋体"/>
                <w:color w:val="auto"/>
                <w:sz w:val="24"/>
                <w:highlight w:val="none"/>
                <w:u w:val="none"/>
                <w:lang w:val="en-US" w:eastAsia="zh-CN"/>
              </w:rPr>
              <w:t>油</w:t>
            </w:r>
            <w:r>
              <w:rPr>
                <w:rFonts w:hint="eastAsia" w:eastAsia="宋体"/>
                <w:color w:val="auto"/>
                <w:sz w:val="24"/>
                <w:highlight w:val="none"/>
                <w:u w:val="none"/>
                <w:lang w:val="en-US" w:eastAsia="zh-CN"/>
              </w:rPr>
              <w:t>、液压油废桶、</w:t>
            </w:r>
            <w:r>
              <w:rPr>
                <w:rFonts w:hint="default" w:eastAsia="宋体"/>
                <w:color w:val="auto"/>
                <w:sz w:val="24"/>
                <w:highlight w:val="none"/>
                <w:u w:val="none"/>
                <w:lang w:val="en-US" w:eastAsia="zh-CN"/>
              </w:rPr>
              <w:t>废活性炭</w:t>
            </w:r>
            <w:r>
              <w:rPr>
                <w:rFonts w:hint="eastAsia" w:eastAsia="宋体"/>
                <w:color w:val="auto"/>
                <w:sz w:val="24"/>
                <w:highlight w:val="none"/>
                <w:u w:val="none"/>
                <w:lang w:val="en-US" w:eastAsia="zh-CN"/>
              </w:rPr>
              <w:t>、</w:t>
            </w:r>
            <w:r>
              <w:rPr>
                <w:rFonts w:hint="eastAsia" w:eastAsia="宋体"/>
                <w:color w:val="auto"/>
                <w:sz w:val="24"/>
                <w:highlight w:val="none"/>
                <w:u w:val="none"/>
              </w:rPr>
              <w:t>废润滑油</w:t>
            </w:r>
            <w:r>
              <w:rPr>
                <w:rFonts w:hint="eastAsia" w:eastAsia="宋体"/>
                <w:color w:val="auto"/>
                <w:sz w:val="24"/>
                <w:highlight w:val="none"/>
                <w:u w:val="none"/>
                <w:lang w:eastAsia="zh-CN"/>
              </w:rPr>
              <w:t>、</w:t>
            </w:r>
            <w:r>
              <w:rPr>
                <w:rFonts w:hint="default" w:eastAsia="宋体"/>
                <w:color w:val="auto"/>
                <w:sz w:val="24"/>
                <w:highlight w:val="none"/>
                <w:u w:val="none"/>
              </w:rPr>
              <w:t>机修废机油</w:t>
            </w:r>
            <w:r>
              <w:rPr>
                <w:rFonts w:hint="eastAsia" w:eastAsia="宋体"/>
                <w:color w:val="auto"/>
                <w:sz w:val="24"/>
                <w:highlight w:val="none"/>
                <w:u w:val="none"/>
                <w:lang w:eastAsia="zh-CN"/>
              </w:rPr>
              <w:t>、</w:t>
            </w:r>
            <w:r>
              <w:rPr>
                <w:rFonts w:hint="default" w:eastAsia="宋体"/>
                <w:color w:val="auto"/>
                <w:sz w:val="24"/>
                <w:highlight w:val="none"/>
                <w:u w:val="none"/>
                <w:lang w:eastAsia="zh-CN"/>
              </w:rPr>
              <w:t>含油废抹布</w:t>
            </w:r>
            <w:r>
              <w:rPr>
                <w:rFonts w:hint="eastAsia" w:eastAsia="宋体"/>
                <w:color w:val="auto"/>
                <w:sz w:val="24"/>
                <w:highlight w:val="none"/>
                <w:u w:val="none"/>
                <w:lang w:val="en-US" w:eastAsia="zh-CN"/>
              </w:rPr>
              <w:t>及</w:t>
            </w:r>
            <w:r>
              <w:rPr>
                <w:rFonts w:hint="default" w:eastAsia="宋体"/>
                <w:color w:val="auto"/>
                <w:sz w:val="24"/>
                <w:highlight w:val="none"/>
                <w:u w:val="none"/>
                <w:lang w:eastAsia="zh-CN"/>
              </w:rPr>
              <w:t>手套</w:t>
            </w:r>
            <w:r>
              <w:rPr>
                <w:rFonts w:hint="eastAsia" w:eastAsia="宋体"/>
                <w:color w:val="auto"/>
                <w:sz w:val="24"/>
                <w:highlight w:val="none"/>
                <w:u w:val="none"/>
                <w:lang w:eastAsia="zh-CN"/>
              </w:rPr>
              <w:t>、</w:t>
            </w:r>
            <w:r>
              <w:rPr>
                <w:rFonts w:hint="eastAsia" w:eastAsia="宋体"/>
                <w:color w:val="auto"/>
                <w:sz w:val="24"/>
                <w:highlight w:val="none"/>
                <w:u w:val="none"/>
              </w:rPr>
              <w:t>生活垃圾。</w:t>
            </w:r>
            <w:r>
              <w:rPr>
                <w:rFonts w:hint="eastAsia"/>
                <w:color w:val="auto"/>
                <w:sz w:val="24"/>
                <w:highlight w:val="none"/>
                <w:u w:val="none"/>
                <w:lang w:val="en-US" w:eastAsia="zh-CN"/>
              </w:rPr>
              <w:t>本次变更工程增加的固体废物主要是</w:t>
            </w:r>
            <w:r>
              <w:rPr>
                <w:rFonts w:hint="eastAsia" w:eastAsia="宋体"/>
                <w:color w:val="auto"/>
                <w:sz w:val="24"/>
                <w:highlight w:val="none"/>
                <w:u w:val="none"/>
              </w:rPr>
              <w:t>废包装材料</w:t>
            </w:r>
            <w:r>
              <w:rPr>
                <w:rFonts w:hint="eastAsia" w:eastAsia="宋体"/>
                <w:color w:val="auto"/>
                <w:sz w:val="24"/>
                <w:highlight w:val="none"/>
                <w:u w:val="none"/>
                <w:lang w:eastAsia="zh-CN"/>
              </w:rPr>
              <w:t>、</w:t>
            </w:r>
            <w:r>
              <w:rPr>
                <w:rFonts w:hint="eastAsia" w:eastAsia="宋体"/>
                <w:color w:val="auto"/>
                <w:sz w:val="24"/>
                <w:highlight w:val="none"/>
                <w:u w:val="none"/>
              </w:rPr>
              <w:t>注塑边角料、</w:t>
            </w:r>
            <w:r>
              <w:rPr>
                <w:rFonts w:hint="default" w:eastAsia="宋体"/>
                <w:color w:val="auto"/>
                <w:sz w:val="24"/>
                <w:highlight w:val="none"/>
                <w:u w:val="none"/>
                <w:lang w:val="en-US" w:eastAsia="zh-CN"/>
              </w:rPr>
              <w:t>废</w:t>
            </w:r>
            <w:r>
              <w:rPr>
                <w:rFonts w:hint="eastAsia" w:eastAsia="宋体"/>
                <w:color w:val="auto"/>
                <w:sz w:val="24"/>
                <w:highlight w:val="none"/>
                <w:u w:val="none"/>
                <w:lang w:val="en-US" w:eastAsia="zh-CN"/>
              </w:rPr>
              <w:t>液压</w:t>
            </w:r>
            <w:r>
              <w:rPr>
                <w:rFonts w:hint="default" w:eastAsia="宋体"/>
                <w:color w:val="auto"/>
                <w:sz w:val="24"/>
                <w:highlight w:val="none"/>
                <w:u w:val="none"/>
                <w:lang w:val="en-US" w:eastAsia="zh-CN"/>
              </w:rPr>
              <w:t>油</w:t>
            </w:r>
            <w:r>
              <w:rPr>
                <w:rFonts w:hint="eastAsia" w:eastAsia="宋体"/>
                <w:color w:val="auto"/>
                <w:sz w:val="24"/>
                <w:highlight w:val="none"/>
                <w:u w:val="none"/>
                <w:lang w:val="en-US" w:eastAsia="zh-CN"/>
              </w:rPr>
              <w:t>、液压油废桶、</w:t>
            </w:r>
            <w:r>
              <w:rPr>
                <w:rFonts w:hint="default" w:eastAsia="宋体"/>
                <w:color w:val="auto"/>
                <w:sz w:val="24"/>
                <w:highlight w:val="none"/>
                <w:u w:val="none"/>
                <w:lang w:val="en-US" w:eastAsia="zh-CN"/>
              </w:rPr>
              <w:t>废活性炭</w:t>
            </w:r>
            <w:r>
              <w:rPr>
                <w:rFonts w:hint="eastAsia" w:eastAsia="宋体"/>
                <w:color w:val="auto"/>
                <w:sz w:val="24"/>
                <w:highlight w:val="none"/>
                <w:u w:val="none"/>
                <w:lang w:val="en-US" w:eastAsia="zh-CN"/>
              </w:rPr>
              <w:t>、</w:t>
            </w:r>
            <w:r>
              <w:rPr>
                <w:rFonts w:hint="eastAsia" w:eastAsia="宋体"/>
                <w:color w:val="auto"/>
                <w:sz w:val="24"/>
                <w:highlight w:val="none"/>
                <w:u w:val="none"/>
              </w:rPr>
              <w:t>废润滑油</w:t>
            </w:r>
            <w:r>
              <w:rPr>
                <w:rFonts w:hint="eastAsia" w:eastAsia="宋体"/>
                <w:color w:val="auto"/>
                <w:sz w:val="24"/>
                <w:highlight w:val="none"/>
                <w:u w:val="none"/>
                <w:lang w:eastAsia="zh-CN"/>
              </w:rPr>
              <w:t>、</w:t>
            </w:r>
            <w:r>
              <w:rPr>
                <w:rFonts w:hint="default" w:eastAsia="宋体"/>
                <w:color w:val="auto"/>
                <w:sz w:val="24"/>
                <w:highlight w:val="none"/>
                <w:u w:val="none"/>
              </w:rPr>
              <w:t>机修废机油</w:t>
            </w:r>
            <w:r>
              <w:rPr>
                <w:rFonts w:hint="eastAsia" w:eastAsia="宋体"/>
                <w:color w:val="auto"/>
                <w:sz w:val="24"/>
                <w:highlight w:val="none"/>
                <w:u w:val="none"/>
                <w:lang w:eastAsia="zh-CN"/>
              </w:rPr>
              <w:t>、</w:t>
            </w:r>
            <w:r>
              <w:rPr>
                <w:rFonts w:hint="default" w:eastAsia="宋体"/>
                <w:color w:val="auto"/>
                <w:sz w:val="24"/>
                <w:highlight w:val="none"/>
                <w:u w:val="none"/>
                <w:lang w:eastAsia="zh-CN"/>
              </w:rPr>
              <w:t>含油废抹布</w:t>
            </w:r>
            <w:r>
              <w:rPr>
                <w:rFonts w:hint="eastAsia" w:eastAsia="宋体"/>
                <w:color w:val="auto"/>
                <w:sz w:val="24"/>
                <w:highlight w:val="none"/>
                <w:u w:val="none"/>
                <w:lang w:val="en-US" w:eastAsia="zh-CN"/>
              </w:rPr>
              <w:t>及</w:t>
            </w:r>
            <w:r>
              <w:rPr>
                <w:rFonts w:hint="default" w:eastAsia="宋体"/>
                <w:color w:val="auto"/>
                <w:sz w:val="24"/>
                <w:highlight w:val="none"/>
                <w:u w:val="none"/>
                <w:lang w:eastAsia="zh-CN"/>
              </w:rPr>
              <w:t>手套</w:t>
            </w:r>
            <w:r>
              <w:rPr>
                <w:rFonts w:hint="eastAsia" w:eastAsia="宋体"/>
                <w:color w:val="auto"/>
                <w:sz w:val="24"/>
                <w:highlight w:val="none"/>
                <w:u w:val="none"/>
                <w:lang w:val="en-US" w:eastAsia="zh-CN"/>
              </w:rPr>
              <w:t>等。</w:t>
            </w:r>
          </w:p>
          <w:p w14:paraId="7036ECF5">
            <w:pPr>
              <w:snapToGrid w:val="0"/>
              <w:spacing w:line="360" w:lineRule="auto"/>
              <w:ind w:firstLine="482" w:firstLineChars="200"/>
              <w:rPr>
                <w:b/>
                <w:color w:val="auto"/>
                <w:sz w:val="24"/>
                <w:highlight w:val="none"/>
                <w:u w:val="none"/>
              </w:rPr>
            </w:pPr>
            <w:r>
              <w:rPr>
                <w:rFonts w:hint="eastAsia"/>
                <w:b/>
                <w:color w:val="auto"/>
                <w:sz w:val="24"/>
                <w:highlight w:val="none"/>
                <w:u w:val="none"/>
              </w:rPr>
              <w:t>1）一般固体废物</w:t>
            </w:r>
          </w:p>
          <w:p w14:paraId="4F514A72">
            <w:pPr>
              <w:pStyle w:val="87"/>
              <w:snapToGrid w:val="0"/>
              <w:spacing w:line="360" w:lineRule="auto"/>
              <w:ind w:left="0" w:right="0" w:firstLine="480"/>
              <w:jc w:val="both"/>
              <w:rPr>
                <w:rFonts w:hint="default" w:eastAsia="宋体"/>
                <w:color w:val="auto"/>
                <w:szCs w:val="24"/>
                <w:highlight w:val="none"/>
                <w:u w:val="none"/>
                <w:lang w:val="en-US" w:eastAsia="zh-CN"/>
              </w:rPr>
            </w:pPr>
            <w:r>
              <w:rPr>
                <w:rFonts w:hint="eastAsia"/>
                <w:b/>
                <w:color w:val="auto"/>
                <w:highlight w:val="none"/>
                <w:u w:val="none"/>
              </w:rPr>
              <w:t>①废喷砂产尘</w:t>
            </w:r>
          </w:p>
          <w:p w14:paraId="6CFC0677">
            <w:pPr>
              <w:snapToGrid w:val="0"/>
              <w:spacing w:line="360" w:lineRule="auto"/>
              <w:ind w:firstLine="480" w:firstLineChars="200"/>
              <w:rPr>
                <w:color w:val="auto"/>
                <w:sz w:val="24"/>
                <w:highlight w:val="none"/>
                <w:u w:val="none"/>
              </w:rPr>
            </w:pPr>
            <w:r>
              <w:rPr>
                <w:color w:val="auto"/>
                <w:sz w:val="24"/>
                <w:highlight w:val="none"/>
                <w:u w:val="none"/>
              </w:rPr>
              <w:t>根据建设单位提供的资料，</w:t>
            </w:r>
            <w:r>
              <w:rPr>
                <w:rFonts w:ascii="Times New Roman" w:hAnsi="Times New Roman"/>
                <w:bCs/>
                <w:sz w:val="24"/>
                <w:highlight w:val="none"/>
              </w:rPr>
              <w:t>喷砂机</w:t>
            </w:r>
            <w:r>
              <w:rPr>
                <w:rFonts w:hint="eastAsia"/>
                <w:bCs/>
                <w:sz w:val="24"/>
                <w:highlight w:val="none"/>
                <w:lang w:val="en-US" w:eastAsia="zh-CN"/>
              </w:rPr>
              <w:t>对胶壳</w:t>
            </w:r>
            <w:r>
              <w:rPr>
                <w:rFonts w:ascii="Times New Roman" w:hAnsi="Times New Roman"/>
                <w:bCs/>
                <w:sz w:val="24"/>
                <w:highlight w:val="none"/>
              </w:rPr>
              <w:t>件进行喷砂修边</w:t>
            </w:r>
            <w:r>
              <w:rPr>
                <w:rFonts w:hint="default" w:ascii="Times New Roman" w:hAnsi="Times New Roman" w:eastAsia="宋体" w:cs="Times New Roman"/>
                <w:color w:val="auto"/>
                <w:sz w:val="24"/>
                <w:highlight w:val="none"/>
                <w:lang w:val="en-US" w:eastAsia="zh-CN"/>
              </w:rPr>
              <w:t>过程中会产生</w:t>
            </w:r>
            <w:r>
              <w:rPr>
                <w:rFonts w:hint="eastAsia" w:cs="Times New Roman"/>
                <w:color w:val="auto"/>
                <w:sz w:val="24"/>
                <w:highlight w:val="none"/>
                <w:lang w:val="en-US" w:eastAsia="zh-CN"/>
              </w:rPr>
              <w:t>粉尘</w:t>
            </w:r>
            <w:r>
              <w:rPr>
                <w:rFonts w:hint="default" w:ascii="Times New Roman" w:hAnsi="Times New Roman" w:eastAsia="宋体" w:cs="Times New Roman"/>
                <w:color w:val="auto"/>
                <w:sz w:val="24"/>
                <w:highlight w:val="none"/>
                <w:lang w:val="en-US" w:eastAsia="zh-CN"/>
              </w:rPr>
              <w:t>，产生量约</w:t>
            </w:r>
            <w:r>
              <w:rPr>
                <w:rFonts w:hint="eastAsia" w:cs="Times New Roman"/>
                <w:color w:val="auto"/>
                <w:sz w:val="24"/>
                <w:highlight w:val="none"/>
                <w:lang w:val="en-US" w:eastAsia="zh-CN"/>
              </w:rPr>
              <w:t>0.351</w:t>
            </w:r>
            <w:r>
              <w:rPr>
                <w:rFonts w:hint="default" w:ascii="Times New Roman" w:hAnsi="Times New Roman" w:eastAsia="宋体" w:cs="Times New Roman"/>
                <w:color w:val="auto"/>
                <w:sz w:val="24"/>
                <w:highlight w:val="none"/>
                <w:lang w:val="en-US" w:eastAsia="zh-CN"/>
              </w:rPr>
              <w:t>t/a，</w:t>
            </w:r>
            <w:r>
              <w:rPr>
                <w:rFonts w:hint="eastAsia" w:cs="Times New Roman"/>
                <w:color w:val="auto"/>
                <w:sz w:val="24"/>
                <w:highlight w:val="none"/>
                <w:lang w:val="en-US" w:eastAsia="zh-CN"/>
              </w:rPr>
              <w:t>交物资回收单位回收处理</w:t>
            </w:r>
            <w:r>
              <w:rPr>
                <w:rFonts w:hint="default" w:ascii="Times New Roman" w:hAnsi="Times New Roman" w:eastAsia="宋体" w:cs="Times New Roman"/>
                <w:color w:val="auto"/>
                <w:sz w:val="24"/>
                <w:highlight w:val="none"/>
                <w:lang w:val="en-US" w:eastAsia="zh-CN"/>
              </w:rPr>
              <w:t>。</w:t>
            </w:r>
          </w:p>
          <w:p w14:paraId="77F64F05">
            <w:pPr>
              <w:snapToGrid w:val="0"/>
              <w:spacing w:line="360" w:lineRule="auto"/>
              <w:ind w:firstLine="482" w:firstLineChars="200"/>
              <w:rPr>
                <w:b/>
                <w:color w:val="auto"/>
                <w:sz w:val="24"/>
                <w:highlight w:val="none"/>
                <w:u w:val="none"/>
              </w:rPr>
            </w:pPr>
            <w:r>
              <w:rPr>
                <w:rFonts w:hint="eastAsia"/>
                <w:b/>
                <w:color w:val="auto"/>
                <w:sz w:val="24"/>
                <w:highlight w:val="none"/>
                <w:u w:val="none"/>
              </w:rPr>
              <w:t>②废包装材料</w:t>
            </w:r>
          </w:p>
          <w:p w14:paraId="5C2B7E33">
            <w:pPr>
              <w:spacing w:line="360" w:lineRule="auto"/>
              <w:ind w:firstLine="480" w:firstLineChars="200"/>
              <w:rPr>
                <w:color w:val="auto"/>
                <w:sz w:val="24"/>
                <w:highlight w:val="none"/>
                <w:u w:val="none"/>
              </w:rPr>
            </w:pPr>
            <w:r>
              <w:rPr>
                <w:rFonts w:hint="eastAsia"/>
                <w:color w:val="auto"/>
                <w:sz w:val="24"/>
                <w:highlight w:val="none"/>
                <w:u w:val="none"/>
              </w:rPr>
              <w:t>废包材包括原辅材料废弃包装箱，以及产品包装废弃箱，有纸、塑料、金属等材质，产生量约为</w:t>
            </w:r>
            <w:r>
              <w:rPr>
                <w:rFonts w:hint="eastAsia"/>
                <w:color w:val="auto"/>
                <w:sz w:val="24"/>
                <w:highlight w:val="none"/>
                <w:u w:val="none"/>
                <w:lang w:val="en-US" w:eastAsia="zh-CN"/>
              </w:rPr>
              <w:t>1.5</w:t>
            </w:r>
            <w:r>
              <w:rPr>
                <w:rFonts w:hint="eastAsia"/>
                <w:color w:val="auto"/>
                <w:sz w:val="24"/>
                <w:highlight w:val="none"/>
                <w:u w:val="none"/>
              </w:rPr>
              <w:t>t/a，均可进行分类回收后由废品收购单位收购利用。</w:t>
            </w:r>
          </w:p>
          <w:p w14:paraId="2788499E">
            <w:pPr>
              <w:spacing w:line="360" w:lineRule="auto"/>
              <w:ind w:firstLine="482" w:firstLineChars="200"/>
              <w:rPr>
                <w:b/>
                <w:color w:val="auto"/>
                <w:sz w:val="24"/>
                <w:highlight w:val="none"/>
                <w:u w:val="none"/>
              </w:rPr>
            </w:pPr>
            <w:r>
              <w:rPr>
                <w:rFonts w:hint="eastAsia" w:hAnsi="宋体"/>
                <w:b/>
                <w:bCs/>
                <w:color w:val="auto"/>
                <w:sz w:val="24"/>
                <w:highlight w:val="none"/>
                <w:u w:val="none"/>
              </w:rPr>
              <w:t>③</w:t>
            </w:r>
            <w:r>
              <w:rPr>
                <w:rFonts w:hint="eastAsia"/>
                <w:b/>
                <w:bCs/>
                <w:color w:val="auto"/>
                <w:sz w:val="24"/>
                <w:highlight w:val="none"/>
                <w:u w:val="none"/>
              </w:rPr>
              <w:t>注塑边角料</w:t>
            </w:r>
          </w:p>
          <w:p w14:paraId="6D526240">
            <w:pPr>
              <w:spacing w:line="360" w:lineRule="auto"/>
              <w:ind w:firstLine="480" w:firstLineChars="200"/>
              <w:jc w:val="left"/>
              <w:rPr>
                <w:color w:val="auto"/>
                <w:sz w:val="24"/>
                <w:szCs w:val="24"/>
                <w:highlight w:val="none"/>
                <w:u w:val="none"/>
              </w:rPr>
            </w:pPr>
            <w:r>
              <w:rPr>
                <w:rFonts w:hint="eastAsia"/>
                <w:color w:val="auto"/>
                <w:sz w:val="24"/>
                <w:szCs w:val="24"/>
                <w:highlight w:val="none"/>
                <w:u w:val="none"/>
              </w:rPr>
              <w:t>本项目在注塑工序会产生</w:t>
            </w:r>
            <w:r>
              <w:rPr>
                <w:rFonts w:hint="eastAsia"/>
                <w:color w:val="auto"/>
                <w:sz w:val="24"/>
                <w:szCs w:val="24"/>
                <w:highlight w:val="none"/>
                <w:u w:val="none"/>
                <w:lang w:eastAsia="zh-CN"/>
              </w:rPr>
              <w:t>部分边角料，</w:t>
            </w:r>
            <w:r>
              <w:rPr>
                <w:rFonts w:hint="eastAsia"/>
                <w:color w:val="auto"/>
                <w:sz w:val="24"/>
                <w:highlight w:val="none"/>
                <w:u w:val="none"/>
              </w:rPr>
              <w:t>根据建设单位提供的相关资料，废边角料产生量约为</w:t>
            </w:r>
            <w:r>
              <w:rPr>
                <w:rFonts w:hint="eastAsia"/>
                <w:color w:val="auto"/>
                <w:sz w:val="24"/>
                <w:highlight w:val="none"/>
                <w:u w:val="none"/>
                <w:lang w:val="en-US" w:eastAsia="zh-CN"/>
              </w:rPr>
              <w:t>0</w:t>
            </w:r>
            <w:r>
              <w:rPr>
                <w:rFonts w:hint="eastAsia"/>
                <w:color w:val="auto"/>
                <w:sz w:val="24"/>
                <w:highlight w:val="none"/>
                <w:u w:val="none"/>
              </w:rPr>
              <w:t>.2t/a，经集中收集</w:t>
            </w:r>
            <w:r>
              <w:rPr>
                <w:rFonts w:hint="eastAsia"/>
                <w:color w:val="auto"/>
                <w:sz w:val="24"/>
                <w:highlight w:val="none"/>
                <w:u w:val="none"/>
                <w:lang w:val="en-US" w:eastAsia="zh-CN"/>
              </w:rPr>
              <w:t>后回用于生产</w:t>
            </w:r>
            <w:r>
              <w:rPr>
                <w:rFonts w:hint="eastAsia"/>
                <w:color w:val="auto"/>
                <w:sz w:val="24"/>
                <w:highlight w:val="none"/>
                <w:u w:val="none"/>
              </w:rPr>
              <w:t>。</w:t>
            </w:r>
          </w:p>
          <w:p w14:paraId="173A68DE">
            <w:pPr>
              <w:spacing w:line="360" w:lineRule="auto"/>
              <w:ind w:firstLine="480" w:firstLineChars="200"/>
              <w:jc w:val="left"/>
              <w:rPr>
                <w:rFonts w:hint="eastAsia"/>
                <w:b/>
                <w:bCs/>
                <w:color w:val="auto"/>
                <w:sz w:val="24"/>
                <w:highlight w:val="none"/>
                <w:u w:val="none"/>
              </w:rPr>
            </w:pPr>
            <w:r>
              <w:rPr>
                <w:rFonts w:hint="eastAsia" w:ascii="微软雅黑" w:hAnsi="微软雅黑" w:eastAsia="微软雅黑" w:cs="微软雅黑"/>
                <w:b/>
                <w:bCs/>
                <w:color w:val="auto"/>
                <w:sz w:val="24"/>
                <w:highlight w:val="none"/>
                <w:u w:val="none"/>
              </w:rPr>
              <w:t>④</w:t>
            </w:r>
            <w:r>
              <w:rPr>
                <w:rFonts w:hint="eastAsia" w:eastAsia="微软雅黑"/>
                <w:b/>
                <w:bCs/>
                <w:color w:val="auto"/>
                <w:sz w:val="24"/>
                <w:highlight w:val="none"/>
                <w:u w:val="none"/>
                <w:lang w:val="en-US" w:eastAsia="zh-CN"/>
              </w:rPr>
              <w:t>焊</w:t>
            </w:r>
            <w:r>
              <w:rPr>
                <w:rFonts w:hint="eastAsia"/>
                <w:b/>
                <w:bCs/>
                <w:color w:val="auto"/>
                <w:sz w:val="24"/>
                <w:highlight w:val="none"/>
                <w:u w:val="none"/>
              </w:rPr>
              <w:t>渣</w:t>
            </w:r>
          </w:p>
          <w:p w14:paraId="0F5CB9C7">
            <w:pPr>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锡焊过程产生废</w:t>
            </w:r>
            <w:r>
              <w:rPr>
                <w:rFonts w:hint="eastAsia" w:cs="Times New Roman"/>
                <w:color w:val="auto"/>
                <w:sz w:val="24"/>
                <w:highlight w:val="none"/>
                <w:lang w:val="en-US" w:eastAsia="zh-CN"/>
              </w:rPr>
              <w:t>焊</w:t>
            </w:r>
            <w:r>
              <w:rPr>
                <w:rFonts w:hint="default" w:ascii="Times New Roman" w:hAnsi="Times New Roman" w:eastAsia="宋体" w:cs="Times New Roman"/>
                <w:color w:val="auto"/>
                <w:sz w:val="24"/>
                <w:highlight w:val="none"/>
                <w:lang w:val="en-US" w:eastAsia="zh-CN"/>
              </w:rPr>
              <w:t>渣的量约为0.0</w:t>
            </w:r>
            <w:r>
              <w:rPr>
                <w:rFonts w:hint="eastAsia" w:ascii="Times New Roman" w:hAnsi="Times New Roman"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/a，主要成分为金属锡，集中收集后由供货商回收。</w:t>
            </w:r>
          </w:p>
          <w:p w14:paraId="4EA60F39">
            <w:pPr>
              <w:spacing w:line="360" w:lineRule="auto"/>
              <w:ind w:firstLine="482" w:firstLineChars="200"/>
              <w:rPr>
                <w:rFonts w:hint="default" w:eastAsia="宋体"/>
                <w:b/>
                <w:bCs/>
                <w:color w:val="auto"/>
                <w:sz w:val="24"/>
                <w:highlight w:val="none"/>
                <w:lang w:val="en-US" w:eastAsia="zh-CN"/>
              </w:rPr>
            </w:pPr>
            <w:r>
              <w:rPr>
                <w:rFonts w:hint="eastAsia"/>
                <w:b/>
                <w:bCs/>
                <w:color w:val="auto"/>
                <w:sz w:val="24"/>
                <w:highlight w:val="none"/>
                <w:lang w:val="en-US" w:eastAsia="zh-CN"/>
              </w:rPr>
              <w:t>⑤不合格品</w:t>
            </w:r>
          </w:p>
          <w:p w14:paraId="76C44649">
            <w:pPr>
              <w:pStyle w:val="10"/>
              <w:ind w:firstLine="480" w:firstLineChars="200"/>
              <w:rPr>
                <w:rFonts w:hint="default" w:ascii="Times New Roman" w:hAnsi="Times New Roman" w:eastAsia="宋体" w:cs="Times New Roman"/>
                <w:b w:val="0"/>
                <w:color w:val="auto"/>
                <w:kern w:val="2"/>
                <w:sz w:val="24"/>
                <w:szCs w:val="24"/>
                <w:highlight w:val="none"/>
                <w:u w:val="none"/>
                <w:lang w:val="en-US" w:eastAsia="zh-CN" w:bidi="ar-SA"/>
              </w:rPr>
            </w:pPr>
            <w:r>
              <w:rPr>
                <w:rFonts w:hint="eastAsia" w:ascii="Times New Roman" w:hAnsi="Times New Roman" w:eastAsia="宋体" w:cs="Times New Roman"/>
                <w:b w:val="0"/>
                <w:color w:val="auto"/>
                <w:kern w:val="2"/>
                <w:sz w:val="24"/>
                <w:szCs w:val="24"/>
                <w:highlight w:val="none"/>
                <w:u w:val="none"/>
                <w:lang w:val="en-US" w:eastAsia="zh-CN" w:bidi="ar-SA"/>
              </w:rPr>
              <w:t>本项目生产过程中会产生少量的不合格品，能返修的尽量返修，不能返修的暂存后交物资回收单位回收处理。根据建设单位提供的相关资料，产生量约为0.2t/a。</w:t>
            </w:r>
          </w:p>
          <w:p w14:paraId="34CFC1A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auto"/>
                <w:sz w:val="24"/>
                <w:highlight w:val="none"/>
                <w:u w:val="none"/>
              </w:rPr>
            </w:pPr>
            <w:r>
              <w:rPr>
                <w:rFonts w:hint="eastAsia"/>
                <w:b/>
                <w:color w:val="auto"/>
                <w:sz w:val="24"/>
                <w:highlight w:val="none"/>
                <w:u w:val="none"/>
              </w:rPr>
              <w:t>2）危险废物</w:t>
            </w:r>
          </w:p>
          <w:p w14:paraId="0BDD9313">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 xml:space="preserve"> </w:t>
            </w:r>
            <w:r>
              <w:rPr>
                <w:rFonts w:hint="default" w:ascii="Times New Roman" w:hAnsi="Times New Roman" w:eastAsia="宋体" w:cs="Times New Roman"/>
                <w:b/>
                <w:bCs/>
                <w:color w:val="auto"/>
                <w:sz w:val="24"/>
                <w:highlight w:val="none"/>
                <w:lang w:val="en-US" w:eastAsia="zh-CN"/>
              </w:rPr>
              <w:fldChar w:fldCharType="begin"/>
            </w:r>
            <w:r>
              <w:rPr>
                <w:rFonts w:hint="default" w:ascii="Times New Roman" w:hAnsi="Times New Roman" w:eastAsia="宋体" w:cs="Times New Roman"/>
                <w:b/>
                <w:bCs/>
                <w:color w:val="auto"/>
                <w:sz w:val="24"/>
                <w:highlight w:val="none"/>
                <w:lang w:val="en-US" w:eastAsia="zh-CN"/>
              </w:rPr>
              <w:instrText xml:space="preserve"> = 1 \* GB3 </w:instrText>
            </w:r>
            <w:r>
              <w:rPr>
                <w:rFonts w:hint="default" w:ascii="Times New Roman" w:hAnsi="Times New Roman" w:eastAsia="宋体" w:cs="Times New Roman"/>
                <w:b/>
                <w:bCs/>
                <w:color w:val="auto"/>
                <w:sz w:val="24"/>
                <w:highlight w:val="none"/>
                <w:lang w:val="en-US" w:eastAsia="zh-CN"/>
              </w:rPr>
              <w:fldChar w:fldCharType="separate"/>
            </w:r>
            <w:r>
              <w:rPr>
                <w:rFonts w:hint="default" w:ascii="Times New Roman" w:hAnsi="Times New Roman" w:eastAsia="宋体" w:cs="Times New Roman"/>
                <w:b/>
                <w:bCs/>
                <w:color w:val="auto"/>
                <w:sz w:val="24"/>
                <w:highlight w:val="none"/>
                <w:lang w:val="en-US" w:eastAsia="zh-CN"/>
              </w:rPr>
              <w:t>①</w:t>
            </w:r>
            <w:r>
              <w:rPr>
                <w:rFonts w:hint="default" w:ascii="Times New Roman" w:hAnsi="Times New Roman" w:eastAsia="宋体" w:cs="Times New Roman"/>
                <w:b/>
                <w:bCs/>
                <w:color w:val="auto"/>
                <w:sz w:val="24"/>
                <w:highlight w:val="none"/>
                <w:lang w:val="en-US" w:eastAsia="zh-CN"/>
              </w:rPr>
              <w:fldChar w:fldCharType="end"/>
            </w:r>
            <w:r>
              <w:rPr>
                <w:rFonts w:hint="default" w:ascii="Times New Roman" w:hAnsi="Times New Roman" w:eastAsia="宋体" w:cs="Times New Roman"/>
                <w:b/>
                <w:bCs/>
                <w:color w:val="auto"/>
                <w:sz w:val="24"/>
                <w:highlight w:val="none"/>
                <w:lang w:val="en-US" w:eastAsia="zh-CN"/>
              </w:rPr>
              <w:t>废化学品包装</w:t>
            </w:r>
          </w:p>
          <w:p w14:paraId="0985EC85">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eastAsia"/>
                <w:bCs/>
                <w:color w:val="auto"/>
                <w:sz w:val="24"/>
                <w:highlight w:val="none"/>
                <w:u w:val="none"/>
              </w:rPr>
            </w:pPr>
            <w:r>
              <w:rPr>
                <w:rFonts w:hint="eastAsia"/>
                <w:color w:val="auto"/>
                <w:sz w:val="24"/>
                <w:highlight w:val="none"/>
                <w:u w:val="none"/>
                <w:lang w:val="en-US" w:eastAsia="zh-CN"/>
              </w:rPr>
              <w:t>拟建</w:t>
            </w:r>
            <w:r>
              <w:rPr>
                <w:rFonts w:hint="eastAsia"/>
                <w:color w:val="auto"/>
                <w:sz w:val="24"/>
                <w:highlight w:val="none"/>
                <w:u w:val="none"/>
              </w:rPr>
              <w:t>项目使用</w:t>
            </w:r>
            <w:r>
              <w:rPr>
                <w:rFonts w:hint="eastAsia"/>
                <w:color w:val="auto"/>
                <w:sz w:val="24"/>
                <w:highlight w:val="none"/>
                <w:u w:val="none"/>
                <w:lang w:val="en-US" w:eastAsia="zh-CN"/>
              </w:rPr>
              <w:t>凡立水、黑胶、助焊剂、脱模剂等</w:t>
            </w:r>
            <w:r>
              <w:rPr>
                <w:rFonts w:hint="eastAsia"/>
                <w:color w:val="auto"/>
                <w:sz w:val="24"/>
                <w:highlight w:val="none"/>
                <w:u w:val="none"/>
              </w:rPr>
              <w:t>进行</w:t>
            </w:r>
            <w:r>
              <w:rPr>
                <w:rFonts w:hint="eastAsia"/>
                <w:color w:val="auto"/>
                <w:sz w:val="24"/>
                <w:highlight w:val="none"/>
                <w:u w:val="none"/>
                <w:lang w:val="en-US" w:eastAsia="zh-CN"/>
              </w:rPr>
              <w:t>生产，</w:t>
            </w:r>
            <w:r>
              <w:rPr>
                <w:color w:val="auto"/>
                <w:sz w:val="24"/>
                <w:highlight w:val="none"/>
                <w:u w:val="none"/>
              </w:rPr>
              <w:t>过程中会产生少量废</w:t>
            </w:r>
            <w:r>
              <w:rPr>
                <w:rFonts w:hint="eastAsia"/>
                <w:color w:val="auto"/>
                <w:sz w:val="24"/>
                <w:highlight w:val="none"/>
                <w:u w:val="none"/>
                <w:lang w:val="en-US" w:eastAsia="zh-CN"/>
              </w:rPr>
              <w:t>包装</w:t>
            </w:r>
            <w:r>
              <w:rPr>
                <w:color w:val="auto"/>
                <w:sz w:val="24"/>
                <w:highlight w:val="none"/>
                <w:u w:val="none"/>
              </w:rPr>
              <w:t>，属于危险废物</w:t>
            </w:r>
            <w:r>
              <w:rPr>
                <w:rFonts w:hint="eastAsia"/>
                <w:color w:val="auto"/>
                <w:sz w:val="24"/>
                <w:highlight w:val="none"/>
                <w:u w:val="none"/>
              </w:rPr>
              <w:t>，</w:t>
            </w:r>
            <w:r>
              <w:rPr>
                <w:rFonts w:hint="eastAsia"/>
                <w:color w:val="auto"/>
                <w:sz w:val="24"/>
                <w:highlight w:val="none"/>
                <w:u w:val="none"/>
                <w:lang w:val="en-US" w:eastAsia="zh-CN"/>
              </w:rPr>
              <w:t>拟建</w:t>
            </w:r>
            <w:r>
              <w:rPr>
                <w:rFonts w:hint="eastAsia"/>
                <w:color w:val="auto"/>
                <w:sz w:val="24"/>
                <w:highlight w:val="none"/>
                <w:u w:val="none"/>
              </w:rPr>
              <w:t>项目</w:t>
            </w:r>
            <w:r>
              <w:rPr>
                <w:rFonts w:hint="eastAsia"/>
                <w:color w:val="auto"/>
                <w:sz w:val="24"/>
                <w:highlight w:val="none"/>
                <w:u w:val="none"/>
                <w:lang w:val="en-US" w:eastAsia="zh-CN"/>
              </w:rPr>
              <w:t>凡立水、黑胶、助焊剂、脱模剂</w:t>
            </w:r>
            <w:r>
              <w:rPr>
                <w:rFonts w:hint="eastAsia"/>
                <w:color w:val="auto"/>
                <w:sz w:val="24"/>
                <w:highlight w:val="none"/>
                <w:u w:val="none"/>
              </w:rPr>
              <w:t>包装规格均为</w:t>
            </w:r>
            <w:r>
              <w:rPr>
                <w:rFonts w:hint="eastAsia"/>
                <w:color w:val="auto"/>
                <w:sz w:val="24"/>
                <w:highlight w:val="none"/>
                <w:u w:val="none"/>
                <w:lang w:val="en-US" w:eastAsia="zh-CN"/>
              </w:rPr>
              <w:t>17</w:t>
            </w:r>
            <w:r>
              <w:rPr>
                <w:rFonts w:hint="eastAsia"/>
                <w:color w:val="auto"/>
                <w:sz w:val="24"/>
                <w:highlight w:val="none"/>
                <w:u w:val="none"/>
              </w:rPr>
              <w:t>kg/</w:t>
            </w:r>
            <w:r>
              <w:rPr>
                <w:rFonts w:hint="eastAsia"/>
                <w:color w:val="auto"/>
                <w:sz w:val="24"/>
                <w:highlight w:val="none"/>
                <w:u w:val="none"/>
                <w:lang w:val="en-US" w:eastAsia="zh-CN"/>
              </w:rPr>
              <w:t>桶</w:t>
            </w:r>
            <w:r>
              <w:rPr>
                <w:rFonts w:hint="eastAsia"/>
                <w:color w:val="auto"/>
                <w:sz w:val="24"/>
                <w:highlight w:val="none"/>
                <w:u w:val="none"/>
              </w:rPr>
              <w:t>，</w:t>
            </w:r>
            <w:r>
              <w:rPr>
                <w:color w:val="auto"/>
                <w:sz w:val="24"/>
                <w:highlight w:val="none"/>
                <w:u w:val="none"/>
              </w:rPr>
              <w:t>生产过程中</w:t>
            </w:r>
            <w:r>
              <w:rPr>
                <w:rFonts w:hint="eastAsia"/>
                <w:color w:val="auto"/>
                <w:sz w:val="24"/>
                <w:highlight w:val="none"/>
                <w:u w:val="none"/>
              </w:rPr>
              <w:t>使用量</w:t>
            </w:r>
            <w:r>
              <w:rPr>
                <w:rFonts w:hint="eastAsia"/>
                <w:color w:val="auto"/>
                <w:sz w:val="24"/>
                <w:highlight w:val="none"/>
                <w:u w:val="none"/>
                <w:lang w:val="en-US" w:eastAsia="zh-CN"/>
              </w:rPr>
              <w:t>分别</w:t>
            </w:r>
            <w:r>
              <w:rPr>
                <w:rFonts w:hint="eastAsia"/>
                <w:color w:val="auto"/>
                <w:sz w:val="24"/>
                <w:highlight w:val="none"/>
                <w:u w:val="none"/>
              </w:rPr>
              <w:t>为</w:t>
            </w:r>
            <w:r>
              <w:rPr>
                <w:rFonts w:hint="eastAsia"/>
                <w:color w:val="auto"/>
                <w:sz w:val="24"/>
                <w:highlight w:val="none"/>
                <w:u w:val="none"/>
                <w:lang w:val="en-US" w:eastAsia="zh-CN"/>
              </w:rPr>
              <w:t>680kg/a，300kg/a，1400kg/a</w:t>
            </w:r>
            <w:r>
              <w:rPr>
                <w:rFonts w:hint="eastAsia"/>
                <w:color w:val="auto"/>
                <w:sz w:val="24"/>
                <w:highlight w:val="none"/>
                <w:u w:val="none"/>
              </w:rPr>
              <w:t>，</w:t>
            </w:r>
            <w:r>
              <w:rPr>
                <w:rFonts w:hint="eastAsia"/>
                <w:color w:val="auto"/>
                <w:sz w:val="24"/>
                <w:highlight w:val="none"/>
                <w:u w:val="none"/>
                <w:lang w:val="en-US" w:eastAsia="zh-CN"/>
              </w:rPr>
              <w:t>64.8kg/a</w:t>
            </w:r>
            <w:r>
              <w:rPr>
                <w:rFonts w:hint="eastAsia"/>
                <w:color w:val="auto"/>
                <w:sz w:val="24"/>
                <w:highlight w:val="none"/>
                <w:u w:val="none"/>
              </w:rPr>
              <w:t>，则废</w:t>
            </w:r>
            <w:r>
              <w:rPr>
                <w:rFonts w:hint="eastAsia"/>
                <w:color w:val="auto"/>
                <w:sz w:val="24"/>
                <w:highlight w:val="none"/>
                <w:u w:val="none"/>
                <w:lang w:val="en-US" w:eastAsia="zh-CN"/>
              </w:rPr>
              <w:t>桶产出</w:t>
            </w:r>
            <w:r>
              <w:rPr>
                <w:rFonts w:hint="eastAsia"/>
                <w:color w:val="auto"/>
                <w:sz w:val="24"/>
                <w:highlight w:val="none"/>
                <w:u w:val="none"/>
              </w:rPr>
              <w:t>约为</w:t>
            </w:r>
            <w:r>
              <w:rPr>
                <w:rFonts w:hint="eastAsia"/>
                <w:color w:val="auto"/>
                <w:sz w:val="24"/>
                <w:highlight w:val="none"/>
                <w:u w:val="none"/>
                <w:lang w:val="en-US" w:eastAsia="zh-CN"/>
              </w:rPr>
              <w:t>144</w:t>
            </w:r>
            <w:r>
              <w:rPr>
                <w:rFonts w:hint="eastAsia"/>
                <w:color w:val="auto"/>
                <w:sz w:val="24"/>
                <w:highlight w:val="none"/>
                <w:u w:val="none"/>
              </w:rPr>
              <w:t>个，每个空</w:t>
            </w:r>
            <w:r>
              <w:rPr>
                <w:rFonts w:hint="eastAsia"/>
                <w:color w:val="auto"/>
                <w:sz w:val="24"/>
                <w:highlight w:val="none"/>
                <w:u w:val="none"/>
                <w:lang w:val="en-US" w:eastAsia="zh-CN"/>
              </w:rPr>
              <w:t>桶</w:t>
            </w:r>
            <w:r>
              <w:rPr>
                <w:rFonts w:hint="eastAsia"/>
                <w:color w:val="auto"/>
                <w:sz w:val="24"/>
                <w:highlight w:val="none"/>
                <w:u w:val="none"/>
              </w:rPr>
              <w:t>重量约为</w:t>
            </w:r>
            <w:r>
              <w:rPr>
                <w:rFonts w:hint="eastAsia"/>
                <w:color w:val="auto"/>
                <w:sz w:val="24"/>
                <w:highlight w:val="none"/>
                <w:u w:val="none"/>
                <w:lang w:val="en-US" w:eastAsia="zh-CN"/>
              </w:rPr>
              <w:t>2</w:t>
            </w:r>
            <w:r>
              <w:rPr>
                <w:rFonts w:hint="eastAsia"/>
                <w:color w:val="auto"/>
                <w:sz w:val="24"/>
                <w:highlight w:val="none"/>
                <w:u w:val="none"/>
              </w:rPr>
              <w:t>kg，</w:t>
            </w:r>
            <w:r>
              <w:rPr>
                <w:rStyle w:val="39"/>
                <w:rFonts w:hint="eastAsia"/>
                <w:color w:val="auto"/>
                <w:sz w:val="24"/>
                <w:highlight w:val="none"/>
                <w:u w:val="none"/>
              </w:rPr>
              <w:t>则</w:t>
            </w:r>
            <w:r>
              <w:rPr>
                <w:rFonts w:hint="eastAsia"/>
                <w:color w:val="auto"/>
                <w:sz w:val="24"/>
                <w:highlight w:val="none"/>
                <w:u w:val="none"/>
                <w:lang w:val="en-US" w:eastAsia="zh-CN"/>
              </w:rPr>
              <w:t>化学品</w:t>
            </w:r>
            <w:r>
              <w:rPr>
                <w:rFonts w:hint="eastAsia"/>
                <w:color w:val="auto"/>
                <w:sz w:val="24"/>
                <w:highlight w:val="none"/>
                <w:u w:val="none"/>
              </w:rPr>
              <w:t>废</w:t>
            </w:r>
            <w:r>
              <w:rPr>
                <w:rFonts w:hint="eastAsia"/>
                <w:color w:val="auto"/>
                <w:sz w:val="24"/>
                <w:highlight w:val="none"/>
                <w:u w:val="none"/>
                <w:lang w:val="en-US" w:eastAsia="zh-CN"/>
              </w:rPr>
              <w:t>桶</w:t>
            </w:r>
            <w:r>
              <w:rPr>
                <w:rFonts w:hint="eastAsia"/>
                <w:color w:val="auto"/>
                <w:sz w:val="24"/>
                <w:highlight w:val="none"/>
                <w:u w:val="none"/>
              </w:rPr>
              <w:t>的产生量约</w:t>
            </w:r>
            <w:r>
              <w:rPr>
                <w:color w:val="auto"/>
                <w:sz w:val="24"/>
                <w:highlight w:val="none"/>
                <w:u w:val="none"/>
              </w:rPr>
              <w:t>为</w:t>
            </w:r>
            <w:r>
              <w:rPr>
                <w:bCs/>
                <w:color w:val="auto"/>
                <w:sz w:val="24"/>
                <w:highlight w:val="none"/>
                <w:u w:val="none"/>
              </w:rPr>
              <w:t>0.</w:t>
            </w:r>
            <w:r>
              <w:rPr>
                <w:rFonts w:hint="eastAsia"/>
                <w:bCs/>
                <w:color w:val="auto"/>
                <w:sz w:val="24"/>
                <w:highlight w:val="none"/>
                <w:u w:val="none"/>
                <w:lang w:val="en-US" w:eastAsia="zh-CN"/>
              </w:rPr>
              <w:t>288t/a；化学品</w:t>
            </w:r>
            <w:r>
              <w:rPr>
                <w:rFonts w:hint="eastAsia"/>
                <w:color w:val="auto"/>
                <w:sz w:val="24"/>
                <w:highlight w:val="none"/>
                <w:u w:val="none"/>
              </w:rPr>
              <w:t>废</w:t>
            </w:r>
            <w:r>
              <w:rPr>
                <w:rFonts w:hint="eastAsia"/>
                <w:color w:val="auto"/>
                <w:sz w:val="24"/>
                <w:highlight w:val="none"/>
                <w:u w:val="none"/>
                <w:lang w:val="en-US" w:eastAsia="zh-CN"/>
              </w:rPr>
              <w:t>桶</w:t>
            </w:r>
            <w:r>
              <w:rPr>
                <w:color w:val="auto"/>
                <w:sz w:val="24"/>
                <w:highlight w:val="none"/>
                <w:u w:val="none"/>
              </w:rPr>
              <w:t>属于</w:t>
            </w:r>
            <w:r>
              <w:rPr>
                <w:bCs/>
                <w:color w:val="auto"/>
                <w:sz w:val="24"/>
                <w:highlight w:val="none"/>
                <w:u w:val="none"/>
              </w:rPr>
              <w:t>《国家危险废物名录》（20</w:t>
            </w:r>
            <w:r>
              <w:rPr>
                <w:rFonts w:hint="eastAsia"/>
                <w:bCs/>
                <w:color w:val="auto"/>
                <w:sz w:val="24"/>
                <w:highlight w:val="none"/>
                <w:u w:val="none"/>
              </w:rPr>
              <w:t>2</w:t>
            </w:r>
            <w:r>
              <w:rPr>
                <w:rFonts w:hint="eastAsia"/>
                <w:bCs/>
                <w:color w:val="auto"/>
                <w:sz w:val="24"/>
                <w:highlight w:val="none"/>
                <w:u w:val="none"/>
                <w:lang w:val="en-US" w:eastAsia="zh-CN"/>
              </w:rPr>
              <w:t>5</w:t>
            </w:r>
            <w:r>
              <w:rPr>
                <w:rFonts w:hint="eastAsia"/>
                <w:bCs/>
                <w:color w:val="auto"/>
                <w:sz w:val="24"/>
                <w:highlight w:val="none"/>
                <w:u w:val="none"/>
              </w:rPr>
              <w:t>年</w:t>
            </w:r>
            <w:r>
              <w:rPr>
                <w:bCs/>
                <w:color w:val="auto"/>
                <w:sz w:val="24"/>
                <w:highlight w:val="none"/>
                <w:u w:val="none"/>
              </w:rPr>
              <w:t>）中编号</w:t>
            </w:r>
            <w:r>
              <w:rPr>
                <w:color w:val="auto"/>
                <w:sz w:val="24"/>
                <w:highlight w:val="none"/>
                <w:u w:val="none"/>
              </w:rPr>
              <w:t>HW49_其他废物，</w:t>
            </w:r>
            <w:r>
              <w:rPr>
                <w:rFonts w:ascii="Times New Roman" w:hAnsi="Times New Roman" w:cs="Times New Roman"/>
                <w:color w:val="auto"/>
                <w:sz w:val="24"/>
                <w:szCs w:val="24"/>
                <w:highlight w:val="none"/>
                <w:u w:val="none"/>
              </w:rPr>
              <w:t>危废代码900-</w:t>
            </w:r>
            <w:r>
              <w:rPr>
                <w:rFonts w:hint="eastAsia" w:cs="Times New Roman"/>
                <w:color w:val="auto"/>
                <w:sz w:val="24"/>
                <w:szCs w:val="24"/>
                <w:highlight w:val="none"/>
                <w:u w:val="none"/>
                <w:lang w:val="en-US" w:eastAsia="zh-CN"/>
              </w:rPr>
              <w:t>041</w:t>
            </w:r>
            <w:r>
              <w:rPr>
                <w:rFonts w:ascii="Times New Roman" w:hAnsi="Times New Roman" w:cs="Times New Roman"/>
                <w:color w:val="auto"/>
                <w:sz w:val="24"/>
                <w:szCs w:val="24"/>
                <w:highlight w:val="none"/>
                <w:u w:val="none"/>
              </w:rPr>
              <w:t>-</w:t>
            </w:r>
            <w:r>
              <w:rPr>
                <w:rFonts w:hint="eastAsia" w:cs="Times New Roman"/>
                <w:color w:val="auto"/>
                <w:sz w:val="24"/>
                <w:szCs w:val="24"/>
                <w:highlight w:val="none"/>
                <w:u w:val="none"/>
                <w:lang w:val="en-US" w:eastAsia="zh-CN"/>
              </w:rPr>
              <w:t>49含有或沾染毒性、感染性危险废物的废弃包装物、容器、过滤吸附介质，</w:t>
            </w:r>
            <w:r>
              <w:rPr>
                <w:color w:val="auto"/>
                <w:sz w:val="24"/>
                <w:highlight w:val="none"/>
                <w:u w:val="none"/>
              </w:rPr>
              <w:t>经统一收集后交有危险废物经营许可证的单位回收处理</w:t>
            </w:r>
            <w:r>
              <w:rPr>
                <w:rFonts w:hint="eastAsia"/>
                <w:bCs/>
                <w:color w:val="auto"/>
                <w:sz w:val="24"/>
                <w:highlight w:val="none"/>
                <w:u w:val="none"/>
              </w:rPr>
              <w:t>。</w:t>
            </w:r>
          </w:p>
          <w:p w14:paraId="651AA349">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fldChar w:fldCharType="begin"/>
            </w:r>
            <w:r>
              <w:rPr>
                <w:rFonts w:hint="default" w:ascii="Times New Roman" w:hAnsi="Times New Roman" w:eastAsia="宋体" w:cs="Times New Roman"/>
                <w:b/>
                <w:bCs/>
                <w:color w:val="auto"/>
                <w:sz w:val="24"/>
                <w:highlight w:val="none"/>
                <w:lang w:val="en-US" w:eastAsia="zh-CN"/>
              </w:rPr>
              <w:instrText xml:space="preserve"> = 2 \* GB3 </w:instrText>
            </w:r>
            <w:r>
              <w:rPr>
                <w:rFonts w:hint="default" w:ascii="Times New Roman" w:hAnsi="Times New Roman" w:eastAsia="宋体" w:cs="Times New Roman"/>
                <w:b/>
                <w:bCs/>
                <w:color w:val="auto"/>
                <w:sz w:val="24"/>
                <w:highlight w:val="none"/>
                <w:lang w:val="en-US" w:eastAsia="zh-CN"/>
              </w:rPr>
              <w:fldChar w:fldCharType="separate"/>
            </w:r>
            <w:r>
              <w:rPr>
                <w:rFonts w:hint="default" w:ascii="Times New Roman" w:hAnsi="Times New Roman" w:eastAsia="宋体" w:cs="Times New Roman"/>
                <w:b/>
                <w:bCs/>
                <w:color w:val="auto"/>
                <w:sz w:val="24"/>
                <w:highlight w:val="none"/>
                <w:lang w:val="en-US" w:eastAsia="zh-CN"/>
              </w:rPr>
              <w:t>②</w:t>
            </w:r>
            <w:r>
              <w:rPr>
                <w:rFonts w:hint="default" w:ascii="Times New Roman" w:hAnsi="Times New Roman" w:eastAsia="宋体" w:cs="Times New Roman"/>
                <w:b/>
                <w:bCs/>
                <w:color w:val="auto"/>
                <w:sz w:val="24"/>
                <w:highlight w:val="none"/>
                <w:lang w:val="en-US" w:eastAsia="zh-CN"/>
              </w:rPr>
              <w:fldChar w:fldCharType="end"/>
            </w:r>
            <w:r>
              <w:rPr>
                <w:rFonts w:hint="default" w:ascii="Times New Roman" w:hAnsi="Times New Roman" w:eastAsia="宋体" w:cs="Times New Roman"/>
                <w:b/>
                <w:bCs/>
                <w:color w:val="auto"/>
                <w:sz w:val="24"/>
                <w:highlight w:val="none"/>
                <w:lang w:val="en-US" w:eastAsia="zh-CN"/>
              </w:rPr>
              <w:t>废</w:t>
            </w:r>
            <w:r>
              <w:rPr>
                <w:rFonts w:hint="eastAsia" w:cs="Times New Roman"/>
                <w:b/>
                <w:bCs/>
                <w:color w:val="auto"/>
                <w:sz w:val="24"/>
                <w:highlight w:val="none"/>
                <w:lang w:val="en-US" w:eastAsia="zh-CN"/>
              </w:rPr>
              <w:t>液压</w:t>
            </w:r>
            <w:r>
              <w:rPr>
                <w:rFonts w:hint="default" w:ascii="Times New Roman" w:hAnsi="Times New Roman" w:eastAsia="宋体" w:cs="Times New Roman"/>
                <w:b/>
                <w:bCs/>
                <w:color w:val="auto"/>
                <w:sz w:val="24"/>
                <w:highlight w:val="none"/>
                <w:lang w:val="en-US" w:eastAsia="zh-CN"/>
              </w:rPr>
              <w:t>油</w:t>
            </w:r>
          </w:p>
          <w:p w14:paraId="29D83891">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eastAsia"/>
                <w:color w:val="auto"/>
                <w:sz w:val="24"/>
                <w:highlight w:val="none"/>
              </w:rPr>
            </w:pPr>
            <w:r>
              <w:rPr>
                <w:rFonts w:hint="eastAsia"/>
                <w:sz w:val="24"/>
                <w:szCs w:val="24"/>
                <w:highlight w:val="none"/>
                <w:lang w:val="en-US" w:eastAsia="zh-CN"/>
              </w:rPr>
              <w:t>拟建项目的废液压油</w:t>
            </w:r>
            <w:r>
              <w:rPr>
                <w:rFonts w:ascii="Times New Roman" w:hAnsi="Times New Roman"/>
                <w:sz w:val="24"/>
                <w:szCs w:val="24"/>
                <w:highlight w:val="none"/>
              </w:rPr>
              <w:t>产生量约0.1t/a，</w:t>
            </w:r>
            <w:r>
              <w:rPr>
                <w:rFonts w:hint="eastAsia"/>
                <w:color w:val="auto"/>
                <w:sz w:val="24"/>
                <w:highlight w:val="none"/>
                <w:lang w:val="en-US" w:eastAsia="zh-CN"/>
              </w:rPr>
              <w:t>为</w:t>
            </w:r>
            <w:r>
              <w:rPr>
                <w:color w:val="auto"/>
                <w:sz w:val="24"/>
                <w:highlight w:val="none"/>
              </w:rPr>
              <w:t>危险废物</w:t>
            </w:r>
            <w:r>
              <w:rPr>
                <w:rFonts w:hint="eastAsia"/>
                <w:color w:val="auto"/>
                <w:sz w:val="24"/>
                <w:highlight w:val="none"/>
              </w:rPr>
              <w:t>，</w:t>
            </w:r>
            <w:r>
              <w:rPr>
                <w:sz w:val="24"/>
                <w:highlight w:val="none"/>
              </w:rPr>
              <w:t>属于</w:t>
            </w:r>
            <w:r>
              <w:rPr>
                <w:bCs/>
                <w:sz w:val="24"/>
                <w:highlight w:val="none"/>
              </w:rPr>
              <w:t>《国家危险废物名录》（20</w:t>
            </w:r>
            <w:r>
              <w:rPr>
                <w:rFonts w:hint="eastAsia"/>
                <w:bCs/>
                <w:sz w:val="24"/>
                <w:highlight w:val="none"/>
              </w:rPr>
              <w:t>2</w:t>
            </w:r>
            <w:r>
              <w:rPr>
                <w:rFonts w:hint="eastAsia"/>
                <w:bCs/>
                <w:sz w:val="24"/>
                <w:highlight w:val="none"/>
                <w:lang w:val="en-US" w:eastAsia="zh-CN"/>
              </w:rPr>
              <w:t>5</w:t>
            </w:r>
            <w:r>
              <w:rPr>
                <w:rFonts w:hint="eastAsia"/>
                <w:bCs/>
                <w:sz w:val="24"/>
                <w:highlight w:val="none"/>
              </w:rPr>
              <w:t>年</w:t>
            </w:r>
            <w:r>
              <w:rPr>
                <w:bCs/>
                <w:sz w:val="24"/>
                <w:highlight w:val="none"/>
              </w:rPr>
              <w:t>）中编号</w:t>
            </w:r>
            <w:r>
              <w:rPr>
                <w:sz w:val="24"/>
                <w:highlight w:val="none"/>
              </w:rPr>
              <w:t>HW</w:t>
            </w:r>
            <w:r>
              <w:rPr>
                <w:rFonts w:hint="eastAsia"/>
                <w:sz w:val="24"/>
                <w:highlight w:val="none"/>
                <w:lang w:val="en-US" w:eastAsia="zh-CN"/>
              </w:rPr>
              <w:t>08</w:t>
            </w:r>
            <w:r>
              <w:rPr>
                <w:sz w:val="24"/>
                <w:highlight w:val="none"/>
              </w:rPr>
              <w:t>_</w:t>
            </w:r>
            <w:r>
              <w:rPr>
                <w:rFonts w:hint="eastAsia"/>
                <w:sz w:val="24"/>
                <w:highlight w:val="none"/>
              </w:rPr>
              <w:t>废矿物油与含矿物油废物</w:t>
            </w:r>
            <w:r>
              <w:rPr>
                <w:sz w:val="24"/>
                <w:highlight w:val="none"/>
              </w:rPr>
              <w:t>，</w:t>
            </w:r>
            <w:r>
              <w:rPr>
                <w:rFonts w:ascii="Times New Roman" w:hAnsi="Times New Roman" w:cs="Times New Roman"/>
                <w:sz w:val="24"/>
                <w:szCs w:val="24"/>
                <w:highlight w:val="none"/>
              </w:rPr>
              <w:t>危废代码900-</w:t>
            </w:r>
            <w:r>
              <w:rPr>
                <w:rFonts w:hint="eastAsia" w:cs="Times New Roman"/>
                <w:sz w:val="24"/>
                <w:szCs w:val="24"/>
                <w:highlight w:val="none"/>
                <w:lang w:val="en-US" w:eastAsia="zh-CN"/>
              </w:rPr>
              <w:t>249</w:t>
            </w:r>
            <w:r>
              <w:rPr>
                <w:rFonts w:ascii="Times New Roman" w:hAnsi="Times New Roman" w:cs="Times New Roman"/>
                <w:sz w:val="24"/>
                <w:szCs w:val="24"/>
                <w:highlight w:val="none"/>
              </w:rPr>
              <w:t>-</w:t>
            </w:r>
            <w:r>
              <w:rPr>
                <w:rFonts w:hint="eastAsia" w:cs="Times New Roman"/>
                <w:sz w:val="24"/>
                <w:szCs w:val="24"/>
                <w:highlight w:val="none"/>
                <w:lang w:val="en-US" w:eastAsia="zh-CN"/>
              </w:rPr>
              <w:t>08其他生产、销售、使用过程中产生的废矿物油及沾染矿物油的废弃包装物，</w:t>
            </w:r>
            <w:r>
              <w:rPr>
                <w:sz w:val="24"/>
                <w:highlight w:val="none"/>
              </w:rPr>
              <w:t>经统一收集后交有危险废物经营许可证的单位回收处理</w:t>
            </w:r>
            <w:r>
              <w:rPr>
                <w:rFonts w:hint="eastAsia"/>
                <w:bCs/>
                <w:sz w:val="24"/>
                <w:highlight w:val="none"/>
              </w:rPr>
              <w:t>。</w:t>
            </w:r>
          </w:p>
          <w:p w14:paraId="7008BD00">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eastAsia"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③液压油废桶</w:t>
            </w:r>
          </w:p>
          <w:p w14:paraId="42E53219">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eastAsia" w:ascii="Times New Roman" w:hAnsi="Times New Roman" w:cs="Times New Roman"/>
                <w:sz w:val="24"/>
                <w:szCs w:val="24"/>
                <w:highlight w:val="none"/>
                <w:lang w:val="en-US" w:eastAsia="zh-CN"/>
              </w:rPr>
            </w:pPr>
            <w:r>
              <w:rPr>
                <w:rFonts w:hint="eastAsia"/>
                <w:sz w:val="24"/>
                <w:szCs w:val="24"/>
                <w:highlight w:val="none"/>
                <w:lang w:val="en-US" w:eastAsia="zh-CN"/>
              </w:rPr>
              <w:t>拟建项目的废液压油</w:t>
            </w:r>
            <w:r>
              <w:rPr>
                <w:rFonts w:ascii="Times New Roman" w:hAnsi="Times New Roman"/>
                <w:sz w:val="24"/>
                <w:szCs w:val="24"/>
                <w:highlight w:val="none"/>
              </w:rPr>
              <w:t>产生量约</w:t>
            </w:r>
            <w:r>
              <w:rPr>
                <w:rFonts w:ascii="Times New Roman" w:hAnsi="Times New Roman" w:cs="Times New Roman"/>
                <w:sz w:val="24"/>
                <w:szCs w:val="24"/>
                <w:highlight w:val="none"/>
              </w:rPr>
              <w:t>0.0</w:t>
            </w:r>
            <w:r>
              <w:rPr>
                <w:rFonts w:hint="eastAsia" w:cs="Times New Roman"/>
                <w:sz w:val="24"/>
                <w:szCs w:val="24"/>
                <w:highlight w:val="none"/>
                <w:lang w:val="en-US" w:eastAsia="zh-CN"/>
              </w:rPr>
              <w:t>2</w:t>
            </w:r>
            <w:r>
              <w:rPr>
                <w:rFonts w:ascii="Times New Roman" w:hAnsi="Times New Roman" w:cs="Times New Roman"/>
                <w:sz w:val="24"/>
                <w:szCs w:val="24"/>
                <w:highlight w:val="none"/>
              </w:rPr>
              <w:t>t/a，</w:t>
            </w:r>
            <w:r>
              <w:rPr>
                <w:rFonts w:hint="eastAsia"/>
                <w:color w:val="auto"/>
                <w:sz w:val="24"/>
                <w:highlight w:val="none"/>
                <w:lang w:val="en-US" w:eastAsia="zh-CN"/>
              </w:rPr>
              <w:t>为</w:t>
            </w:r>
            <w:r>
              <w:rPr>
                <w:color w:val="auto"/>
                <w:sz w:val="24"/>
                <w:highlight w:val="none"/>
              </w:rPr>
              <w:t>危险废物</w:t>
            </w:r>
            <w:r>
              <w:rPr>
                <w:rFonts w:hint="eastAsia"/>
                <w:color w:val="auto"/>
                <w:sz w:val="24"/>
                <w:highlight w:val="none"/>
              </w:rPr>
              <w:t>，</w:t>
            </w:r>
            <w:r>
              <w:rPr>
                <w:sz w:val="24"/>
                <w:highlight w:val="none"/>
              </w:rPr>
              <w:t>属于</w:t>
            </w:r>
            <w:r>
              <w:rPr>
                <w:bCs/>
                <w:sz w:val="24"/>
                <w:highlight w:val="none"/>
              </w:rPr>
              <w:t>《国家危险废物名录》（20</w:t>
            </w:r>
            <w:r>
              <w:rPr>
                <w:rFonts w:hint="eastAsia"/>
                <w:bCs/>
                <w:sz w:val="24"/>
                <w:highlight w:val="none"/>
              </w:rPr>
              <w:t>2</w:t>
            </w:r>
            <w:r>
              <w:rPr>
                <w:rFonts w:hint="eastAsia"/>
                <w:bCs/>
                <w:sz w:val="24"/>
                <w:highlight w:val="none"/>
                <w:lang w:val="en-US" w:eastAsia="zh-CN"/>
              </w:rPr>
              <w:t>5</w:t>
            </w:r>
            <w:r>
              <w:rPr>
                <w:rFonts w:hint="eastAsia"/>
                <w:bCs/>
                <w:sz w:val="24"/>
                <w:highlight w:val="none"/>
              </w:rPr>
              <w:t>年</w:t>
            </w:r>
            <w:r>
              <w:rPr>
                <w:bCs/>
                <w:sz w:val="24"/>
                <w:highlight w:val="none"/>
              </w:rPr>
              <w:t>）中编号</w:t>
            </w:r>
            <w:r>
              <w:rPr>
                <w:sz w:val="24"/>
                <w:highlight w:val="none"/>
              </w:rPr>
              <w:t>HW49_其他废物，</w:t>
            </w:r>
            <w:r>
              <w:rPr>
                <w:rFonts w:ascii="Times New Roman" w:hAnsi="Times New Roman" w:cs="Times New Roman"/>
                <w:sz w:val="24"/>
                <w:szCs w:val="24"/>
                <w:highlight w:val="none"/>
              </w:rPr>
              <w:t>危废代码900-</w:t>
            </w:r>
            <w:r>
              <w:rPr>
                <w:rFonts w:hint="eastAsia" w:cs="Times New Roman"/>
                <w:sz w:val="24"/>
                <w:szCs w:val="24"/>
                <w:highlight w:val="none"/>
                <w:lang w:val="en-US" w:eastAsia="zh-CN"/>
              </w:rPr>
              <w:t>041</w:t>
            </w:r>
            <w:r>
              <w:rPr>
                <w:rFonts w:ascii="Times New Roman" w:hAnsi="Times New Roman" w:cs="Times New Roman"/>
                <w:sz w:val="24"/>
                <w:szCs w:val="24"/>
                <w:highlight w:val="none"/>
              </w:rPr>
              <w:t>-</w:t>
            </w:r>
            <w:r>
              <w:rPr>
                <w:rFonts w:hint="eastAsia" w:cs="Times New Roman"/>
                <w:sz w:val="24"/>
                <w:szCs w:val="24"/>
                <w:highlight w:val="none"/>
                <w:lang w:val="en-US" w:eastAsia="zh-CN"/>
              </w:rPr>
              <w:t>49，含有或沾染毒性、感染性危险废物的废弃包装物、容器、过滤吸附介质，</w:t>
            </w:r>
            <w:r>
              <w:rPr>
                <w:sz w:val="24"/>
                <w:highlight w:val="none"/>
              </w:rPr>
              <w:t>经统一收集后交有危险废物经营许可证的单位回收处理</w:t>
            </w:r>
            <w:r>
              <w:rPr>
                <w:rFonts w:hint="eastAsia"/>
                <w:bCs/>
                <w:sz w:val="24"/>
                <w:highlight w:val="none"/>
              </w:rPr>
              <w:t>。</w:t>
            </w:r>
          </w:p>
          <w:p w14:paraId="2AA0E07D">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eastAsia="宋体" w:cs="Times New Roman"/>
                <w:b/>
                <w:bCs/>
                <w:color w:val="auto"/>
                <w:sz w:val="24"/>
                <w:highlight w:val="none"/>
                <w:lang w:val="en-US" w:eastAsia="zh-CN"/>
              </w:rPr>
            </w:pPr>
            <w:r>
              <w:rPr>
                <w:rFonts w:hint="eastAsia" w:cs="Times New Roman"/>
                <w:b/>
                <w:bCs/>
                <w:color w:val="auto"/>
                <w:sz w:val="24"/>
                <w:highlight w:val="none"/>
                <w:lang w:val="en-US" w:eastAsia="zh-CN"/>
              </w:rPr>
              <w:t>④</w:t>
            </w:r>
            <w:r>
              <w:rPr>
                <w:rFonts w:hint="default" w:ascii="Times New Roman" w:hAnsi="Times New Roman" w:eastAsia="宋体" w:cs="Times New Roman"/>
                <w:b/>
                <w:bCs/>
                <w:color w:val="auto"/>
                <w:sz w:val="24"/>
                <w:highlight w:val="none"/>
                <w:lang w:val="en-US" w:eastAsia="zh-CN"/>
              </w:rPr>
              <w:t>废活性炭</w:t>
            </w:r>
          </w:p>
          <w:p w14:paraId="1FFDFDBE">
            <w:pPr>
              <w:tabs>
                <w:tab w:val="left" w:pos="195"/>
                <w:tab w:val="center" w:pos="4677"/>
              </w:tabs>
              <w:spacing w:line="360" w:lineRule="auto"/>
              <w:ind w:firstLine="480" w:firstLineChars="200"/>
              <w:jc w:val="left"/>
              <w:rPr>
                <w:color w:val="auto"/>
                <w:sz w:val="24"/>
                <w:highlight w:val="none"/>
              </w:rPr>
            </w:pPr>
            <w:r>
              <w:rPr>
                <w:rFonts w:hint="eastAsia"/>
                <w:color w:val="auto"/>
                <w:sz w:val="24"/>
                <w:highlight w:val="none"/>
                <w:lang w:val="en-US" w:eastAsia="zh-CN"/>
              </w:rPr>
              <w:t>拟建</w:t>
            </w:r>
            <w:r>
              <w:rPr>
                <w:color w:val="auto"/>
                <w:sz w:val="24"/>
                <w:highlight w:val="none"/>
              </w:rPr>
              <w:t>项目有机废气处理设施（</w:t>
            </w:r>
            <w:r>
              <w:rPr>
                <w:rFonts w:hint="eastAsia"/>
                <w:color w:val="auto"/>
                <w:sz w:val="24"/>
                <w:highlight w:val="none"/>
              </w:rPr>
              <w:t>活性炭</w:t>
            </w:r>
            <w:r>
              <w:rPr>
                <w:color w:val="auto"/>
                <w:sz w:val="24"/>
                <w:highlight w:val="none"/>
              </w:rPr>
              <w:t>吸附装置）在经过一段时间的运行后，</w:t>
            </w:r>
            <w:r>
              <w:rPr>
                <w:rFonts w:hint="eastAsia"/>
                <w:color w:val="auto"/>
                <w:sz w:val="24"/>
                <w:highlight w:val="none"/>
              </w:rPr>
              <w:t>活性炭</w:t>
            </w:r>
            <w:r>
              <w:rPr>
                <w:color w:val="auto"/>
                <w:sz w:val="24"/>
                <w:highlight w:val="none"/>
              </w:rPr>
              <w:t>吸附装置工作量达到饱和后需要更换活性炭，</w:t>
            </w:r>
            <w:r>
              <w:rPr>
                <w:rFonts w:hint="eastAsia"/>
                <w:color w:val="auto"/>
                <w:sz w:val="24"/>
                <w:highlight w:val="none"/>
                <w:lang w:val="en-US" w:eastAsia="zh-CN"/>
              </w:rPr>
              <w:t>按1kg活性炭吸附250g有机废气核算，项目活性炭吸附的有机废气量约为0.812t/a，则</w:t>
            </w:r>
            <w:r>
              <w:rPr>
                <w:rFonts w:hint="eastAsia"/>
                <w:color w:val="auto"/>
                <w:sz w:val="24"/>
                <w:highlight w:val="none"/>
                <w:u w:val="none"/>
              </w:rPr>
              <w:t>项目废气处理过程中</w:t>
            </w:r>
            <w:r>
              <w:rPr>
                <w:rFonts w:hint="eastAsia"/>
                <w:color w:val="auto"/>
                <w:sz w:val="24"/>
                <w:highlight w:val="none"/>
                <w:u w:val="none"/>
                <w:lang w:val="en-US" w:eastAsia="zh-CN"/>
              </w:rPr>
              <w:t>需要</w:t>
            </w:r>
            <w:r>
              <w:rPr>
                <w:rFonts w:hint="eastAsia"/>
                <w:color w:val="auto"/>
                <w:sz w:val="24"/>
                <w:highlight w:val="none"/>
                <w:u w:val="none"/>
              </w:rPr>
              <w:t>活性炭</w:t>
            </w:r>
            <w:r>
              <w:rPr>
                <w:rFonts w:hint="eastAsia"/>
                <w:color w:val="auto"/>
                <w:sz w:val="24"/>
                <w:highlight w:val="none"/>
                <w:u w:val="none"/>
                <w:lang w:val="en-US" w:eastAsia="zh-CN"/>
              </w:rPr>
              <w:t>3.248</w:t>
            </w:r>
            <w:r>
              <w:rPr>
                <w:rFonts w:hint="eastAsia"/>
                <w:color w:val="auto"/>
                <w:sz w:val="24"/>
                <w:highlight w:val="none"/>
                <w:u w:val="none"/>
              </w:rPr>
              <w:t>t/a</w:t>
            </w:r>
            <w:r>
              <w:rPr>
                <w:rFonts w:hint="eastAsia" w:ascii="Times New Roman" w:hAnsi="Times New Roman" w:cs="Times New Roman"/>
                <w:color w:val="auto"/>
                <w:sz w:val="24"/>
                <w:highlight w:val="none"/>
                <w:lang w:val="en-US" w:eastAsia="zh-CN"/>
              </w:rPr>
              <w:t>，则产生的废活性炭量为</w:t>
            </w:r>
            <w:r>
              <w:rPr>
                <w:rFonts w:hint="eastAsia" w:cs="Times New Roman"/>
                <w:color w:val="auto"/>
                <w:sz w:val="24"/>
                <w:highlight w:val="none"/>
                <w:lang w:val="en-US" w:eastAsia="zh-CN"/>
              </w:rPr>
              <w:t>4.06</w:t>
            </w:r>
            <w:r>
              <w:rPr>
                <w:rFonts w:hint="eastAsia" w:ascii="Times New Roman" w:hAnsi="Times New Roman" w:cs="Times New Roman"/>
                <w:color w:val="auto"/>
                <w:sz w:val="24"/>
                <w:highlight w:val="none"/>
                <w:lang w:val="en-US" w:eastAsia="zh-CN"/>
              </w:rPr>
              <w:t>t/a</w:t>
            </w:r>
            <w:r>
              <w:rPr>
                <w:rFonts w:hint="eastAsia"/>
                <w:color w:val="auto"/>
                <w:sz w:val="24"/>
                <w:highlight w:val="none"/>
                <w:lang w:val="en-US" w:eastAsia="zh-CN"/>
              </w:rPr>
              <w:t>；</w:t>
            </w:r>
            <w:r>
              <w:rPr>
                <w:rFonts w:hint="eastAsia" w:ascii="Times New Roman" w:hAnsi="Times New Roman" w:cs="Times New Roman"/>
                <w:color w:val="auto"/>
                <w:sz w:val="24"/>
                <w:highlight w:val="none"/>
                <w:lang w:val="en-US" w:eastAsia="zh-CN"/>
              </w:rPr>
              <w:t>活性炭箱</w:t>
            </w:r>
            <w:r>
              <w:rPr>
                <w:rFonts w:hint="eastAsia" w:cs="Times New Roman"/>
                <w:color w:val="auto"/>
                <w:sz w:val="24"/>
                <w:highlight w:val="none"/>
                <w:lang w:val="en-US" w:eastAsia="zh-CN"/>
              </w:rPr>
              <w:t>装置</w:t>
            </w:r>
            <w:r>
              <w:rPr>
                <w:rFonts w:hint="eastAsia" w:ascii="Times New Roman" w:hAnsi="Times New Roman" w:cs="Times New Roman"/>
                <w:color w:val="auto"/>
                <w:sz w:val="24"/>
                <w:highlight w:val="none"/>
                <w:lang w:val="en-US" w:eastAsia="zh-CN"/>
              </w:rPr>
              <w:t>活性炭0.</w:t>
            </w:r>
            <w:r>
              <w:rPr>
                <w:rFonts w:hint="eastAsia" w:cs="Times New Roman"/>
                <w:color w:val="auto"/>
                <w:sz w:val="24"/>
                <w:highlight w:val="none"/>
                <w:lang w:val="en-US" w:eastAsia="zh-CN"/>
              </w:rPr>
              <w:t>32</w:t>
            </w:r>
            <w:r>
              <w:rPr>
                <w:rFonts w:hint="eastAsia" w:ascii="Times New Roman" w:hAnsi="Times New Roman" w:cs="Times New Roman"/>
                <w:color w:val="auto"/>
                <w:sz w:val="24"/>
                <w:highlight w:val="none"/>
                <w:lang w:val="en-US" w:eastAsia="zh-CN"/>
              </w:rPr>
              <w:t>t/次，每个月</w:t>
            </w:r>
            <w:r>
              <w:rPr>
                <w:rFonts w:hint="eastAsia" w:cs="Times New Roman"/>
                <w:color w:val="auto"/>
                <w:sz w:val="24"/>
                <w:highlight w:val="none"/>
                <w:lang w:val="en-US" w:eastAsia="zh-CN"/>
              </w:rPr>
              <w:t>更</w:t>
            </w:r>
            <w:r>
              <w:rPr>
                <w:rFonts w:hint="eastAsia" w:ascii="Times New Roman" w:hAnsi="Times New Roman" w:cs="Times New Roman"/>
                <w:color w:val="auto"/>
                <w:sz w:val="24"/>
                <w:highlight w:val="none"/>
                <w:lang w:val="en-US" w:eastAsia="zh-CN"/>
              </w:rPr>
              <w:t>换1次</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废活</w:t>
            </w:r>
            <w:r>
              <w:rPr>
                <w:color w:val="auto"/>
                <w:sz w:val="24"/>
                <w:highlight w:val="none"/>
              </w:rPr>
              <w:t>性炭属于HW49其他废物，</w:t>
            </w:r>
            <w:r>
              <w:rPr>
                <w:rFonts w:ascii="Times New Roman" w:hAnsi="Times New Roman" w:cs="Times New Roman"/>
                <w:sz w:val="24"/>
                <w:szCs w:val="24"/>
                <w:highlight w:val="none"/>
              </w:rPr>
              <w:t>危废代码</w:t>
            </w:r>
            <w:r>
              <w:rPr>
                <w:rFonts w:hint="eastAsia" w:ascii="Times New Roman" w:hAnsi="Times New Roman" w:cs="Times New Roman"/>
                <w:color w:val="auto"/>
                <w:sz w:val="24"/>
                <w:highlight w:val="none"/>
                <w:lang w:val="en-US" w:eastAsia="zh-CN"/>
              </w:rPr>
              <w:t>900-039-49</w:t>
            </w:r>
            <w:r>
              <w:rPr>
                <w:rFonts w:hint="eastAsia"/>
                <w:color w:val="auto"/>
                <w:sz w:val="24"/>
                <w:highlight w:val="none"/>
                <w:u w:val="none"/>
              </w:rPr>
              <w:t>烟气、VOCs</w:t>
            </w:r>
            <w:r>
              <w:rPr>
                <w:rFonts w:hint="eastAsia"/>
                <w:color w:val="auto"/>
                <w:sz w:val="24"/>
                <w:highlight w:val="none"/>
                <w:u w:val="none"/>
                <w:lang w:eastAsia="zh-CN"/>
              </w:rPr>
              <w:t>治理</w:t>
            </w:r>
            <w:r>
              <w:rPr>
                <w:rFonts w:hint="eastAsia"/>
                <w:color w:val="auto"/>
                <w:sz w:val="24"/>
                <w:highlight w:val="none"/>
                <w:u w:val="none"/>
              </w:rPr>
              <w:t>过程</w:t>
            </w:r>
            <w:r>
              <w:rPr>
                <w:rFonts w:hint="eastAsia"/>
                <w:color w:val="auto"/>
                <w:sz w:val="24"/>
                <w:highlight w:val="none"/>
                <w:u w:val="none"/>
                <w:lang w:eastAsia="zh-CN"/>
              </w:rPr>
              <w:t>（</w:t>
            </w:r>
            <w:r>
              <w:rPr>
                <w:rFonts w:hint="eastAsia"/>
                <w:color w:val="auto"/>
                <w:sz w:val="24"/>
                <w:highlight w:val="none"/>
                <w:u w:val="none"/>
              </w:rPr>
              <w:t>不包括餐饮行业油烟治理过程</w:t>
            </w:r>
            <w:r>
              <w:rPr>
                <w:rFonts w:hint="eastAsia"/>
                <w:color w:val="auto"/>
                <w:sz w:val="24"/>
                <w:highlight w:val="none"/>
                <w:u w:val="none"/>
                <w:lang w:eastAsia="zh-CN"/>
              </w:rPr>
              <w:t>）</w:t>
            </w:r>
            <w:r>
              <w:rPr>
                <w:rFonts w:hint="eastAsia"/>
                <w:color w:val="auto"/>
                <w:sz w:val="24"/>
                <w:highlight w:val="none"/>
                <w:u w:val="none"/>
              </w:rPr>
              <w:t>产生的废活性炭</w:t>
            </w:r>
            <w:r>
              <w:rPr>
                <w:rFonts w:hint="eastAsia" w:ascii="Times New Roman" w:hAnsi="Times New Roman" w:cs="Times New Roman"/>
                <w:color w:val="auto"/>
                <w:sz w:val="24"/>
                <w:highlight w:val="none"/>
                <w:lang w:val="en-US" w:eastAsia="zh-CN"/>
              </w:rPr>
              <w:t>，</w:t>
            </w:r>
            <w:r>
              <w:rPr>
                <w:rFonts w:ascii="Times New Roman" w:hAnsi="Times New Roman" w:cs="Times New Roman"/>
                <w:color w:val="auto"/>
                <w:sz w:val="24"/>
                <w:highlight w:val="none"/>
              </w:rPr>
              <w:t>经统一</w:t>
            </w:r>
            <w:r>
              <w:rPr>
                <w:color w:val="auto"/>
                <w:sz w:val="24"/>
                <w:highlight w:val="none"/>
              </w:rPr>
              <w:t>收集后交有危险废物经营许可证的单位回收处理。</w:t>
            </w:r>
          </w:p>
          <w:p w14:paraId="71E42527">
            <w:pPr>
              <w:spacing w:line="360" w:lineRule="auto"/>
              <w:ind w:firstLine="482" w:firstLineChars="200"/>
              <w:rPr>
                <w:b/>
                <w:bCs/>
                <w:color w:val="auto"/>
                <w:sz w:val="24"/>
                <w:highlight w:val="none"/>
              </w:rPr>
            </w:pPr>
            <w:r>
              <w:rPr>
                <w:rFonts w:hint="eastAsia"/>
                <w:b/>
                <w:bCs/>
                <w:color w:val="auto"/>
                <w:sz w:val="24"/>
                <w:highlight w:val="none"/>
                <w:lang w:val="en-US" w:eastAsia="zh-CN"/>
              </w:rPr>
              <w:t>⑤</w:t>
            </w:r>
            <w:r>
              <w:rPr>
                <w:b/>
                <w:bCs/>
                <w:color w:val="auto"/>
                <w:sz w:val="24"/>
                <w:highlight w:val="none"/>
              </w:rPr>
              <w:t>废润滑油</w:t>
            </w:r>
          </w:p>
          <w:p w14:paraId="02856FE8">
            <w:pPr>
              <w:spacing w:line="360" w:lineRule="auto"/>
              <w:ind w:firstLine="480" w:firstLineChars="200"/>
              <w:rPr>
                <w:color w:val="auto"/>
                <w:sz w:val="24"/>
                <w:szCs w:val="24"/>
                <w:highlight w:val="none"/>
              </w:rPr>
            </w:pPr>
            <w:r>
              <w:rPr>
                <w:color w:val="auto"/>
                <w:sz w:val="24"/>
                <w:szCs w:val="24"/>
                <w:highlight w:val="none"/>
                <w:u w:val="none" w:color="auto"/>
              </w:rPr>
              <w:t>本项目</w:t>
            </w:r>
            <w:r>
              <w:rPr>
                <w:rFonts w:hint="eastAsia"/>
                <w:color w:val="auto"/>
                <w:sz w:val="24"/>
                <w:szCs w:val="24"/>
                <w:highlight w:val="none"/>
                <w:u w:val="none" w:color="auto"/>
                <w:lang w:val="en-US" w:eastAsia="zh-CN"/>
              </w:rPr>
              <w:t>生产</w:t>
            </w:r>
            <w:r>
              <w:rPr>
                <w:color w:val="auto"/>
                <w:sz w:val="24"/>
                <w:szCs w:val="24"/>
                <w:highlight w:val="none"/>
                <w:u w:val="none" w:color="auto"/>
              </w:rPr>
              <w:t>设备需定期加润滑油保养，本项目润滑油直接滴加到设备转轴、齿轮等极易磨损的部位，润滑油使用过程中将会产生</w:t>
            </w:r>
            <w:r>
              <w:rPr>
                <w:rFonts w:hint="eastAsia"/>
                <w:color w:val="auto"/>
                <w:sz w:val="24"/>
                <w:szCs w:val="24"/>
                <w:highlight w:val="none"/>
                <w:u w:val="none" w:color="auto"/>
                <w:lang w:val="en-US" w:eastAsia="zh-CN"/>
              </w:rPr>
              <w:t>0.05t</w:t>
            </w:r>
            <w:r>
              <w:rPr>
                <w:color w:val="auto"/>
                <w:sz w:val="24"/>
                <w:szCs w:val="24"/>
                <w:highlight w:val="none"/>
                <w:u w:val="none" w:color="auto"/>
              </w:rPr>
              <w:t>/a的</w:t>
            </w:r>
            <w:r>
              <w:rPr>
                <w:rFonts w:hint="eastAsia"/>
                <w:color w:val="auto"/>
                <w:sz w:val="24"/>
                <w:szCs w:val="24"/>
                <w:highlight w:val="none"/>
                <w:u w:val="none" w:color="auto"/>
                <w:lang w:val="en-US" w:eastAsia="zh-CN"/>
              </w:rPr>
              <w:t>废</w:t>
            </w:r>
            <w:r>
              <w:rPr>
                <w:color w:val="auto"/>
                <w:sz w:val="24"/>
                <w:szCs w:val="24"/>
                <w:highlight w:val="none"/>
                <w:u w:val="none" w:color="auto"/>
              </w:rPr>
              <w:t>润滑油，属于《国家危险废物名录》</w:t>
            </w:r>
            <w:r>
              <w:rPr>
                <w:rFonts w:hint="eastAsia"/>
                <w:color w:val="auto"/>
                <w:sz w:val="24"/>
                <w:szCs w:val="24"/>
                <w:highlight w:val="none"/>
                <w:u w:val="none" w:color="auto"/>
              </w:rPr>
              <w:t>（202</w:t>
            </w:r>
            <w:r>
              <w:rPr>
                <w:rFonts w:hint="eastAsia"/>
                <w:color w:val="auto"/>
                <w:sz w:val="24"/>
                <w:szCs w:val="24"/>
                <w:highlight w:val="none"/>
                <w:u w:val="none" w:color="auto"/>
                <w:lang w:val="en-US" w:eastAsia="zh-CN"/>
              </w:rPr>
              <w:t>5</w:t>
            </w:r>
            <w:r>
              <w:rPr>
                <w:rFonts w:hint="eastAsia"/>
                <w:color w:val="auto"/>
                <w:sz w:val="24"/>
                <w:szCs w:val="24"/>
                <w:highlight w:val="none"/>
                <w:u w:val="none" w:color="auto"/>
              </w:rPr>
              <w:t>版）</w:t>
            </w:r>
            <w:r>
              <w:rPr>
                <w:color w:val="auto"/>
                <w:sz w:val="24"/>
                <w:szCs w:val="24"/>
                <w:highlight w:val="none"/>
                <w:u w:val="none" w:color="auto"/>
              </w:rPr>
              <w:t>中编号为HW08废矿物油与含矿物油废物，危规号为900-217-08使用工业齿轮油进行机械设备润滑过程中产生的废润滑油，经专门的收集桶收集后放置在危废暂存间中暂存，须按危险废物管理有关规定送至有资质的单位进行无害化处理</w:t>
            </w:r>
            <w:r>
              <w:rPr>
                <w:color w:val="auto"/>
                <w:sz w:val="24"/>
                <w:szCs w:val="24"/>
                <w:highlight w:val="none"/>
              </w:rPr>
              <w:t xml:space="preserve">。 </w:t>
            </w:r>
          </w:p>
          <w:p w14:paraId="23B64B57">
            <w:pPr>
              <w:pStyle w:val="30"/>
              <w:spacing w:before="0" w:beforeAutospacing="0" w:after="0" w:afterAutospacing="0" w:line="360" w:lineRule="auto"/>
              <w:ind w:firstLine="482" w:firstLineChars="200"/>
              <w:jc w:val="both"/>
              <w:rPr>
                <w:rFonts w:hint="default" w:ascii="Times New Roman" w:hAnsi="Times New Roman"/>
                <w:b/>
                <w:bCs/>
                <w:color w:val="auto"/>
                <w:kern w:val="2"/>
                <w:szCs w:val="24"/>
                <w:highlight w:val="none"/>
                <w:u w:val="none" w:color="auto"/>
              </w:rPr>
            </w:pPr>
            <w:r>
              <w:rPr>
                <w:rFonts w:hint="eastAsia"/>
                <w:b/>
                <w:color w:val="auto"/>
                <w:sz w:val="24"/>
                <w:szCs w:val="22"/>
                <w:highlight w:val="none"/>
              </w:rPr>
              <w:t>⑥</w:t>
            </w:r>
            <w:r>
              <w:rPr>
                <w:rFonts w:hint="default" w:ascii="Times New Roman" w:hAnsi="Times New Roman"/>
                <w:b/>
                <w:bCs/>
                <w:color w:val="auto"/>
                <w:kern w:val="2"/>
                <w:szCs w:val="24"/>
                <w:highlight w:val="none"/>
                <w:u w:val="none" w:color="auto"/>
              </w:rPr>
              <w:t>机修废机油</w:t>
            </w:r>
          </w:p>
          <w:p w14:paraId="7DCBCF08">
            <w:pPr>
              <w:widowControl/>
              <w:spacing w:line="360" w:lineRule="auto"/>
              <w:ind w:firstLine="480" w:firstLineChars="200"/>
              <w:jc w:val="both"/>
              <w:rPr>
                <w:color w:val="auto"/>
                <w:sz w:val="24"/>
                <w:szCs w:val="24"/>
                <w:highlight w:val="none"/>
                <w:u w:val="none" w:color="auto"/>
              </w:rPr>
            </w:pPr>
            <w:r>
              <w:rPr>
                <w:color w:val="auto"/>
                <w:sz w:val="24"/>
                <w:szCs w:val="24"/>
                <w:highlight w:val="none"/>
                <w:u w:val="none" w:color="auto"/>
              </w:rPr>
              <w:t>本项目厂区机械维修过程中将会产生少量的废机油，产生量约</w:t>
            </w:r>
            <w:r>
              <w:rPr>
                <w:rFonts w:hint="eastAsia"/>
                <w:color w:val="auto"/>
                <w:sz w:val="24"/>
                <w:szCs w:val="24"/>
                <w:highlight w:val="none"/>
                <w:u w:val="none" w:color="auto"/>
                <w:lang w:val="en-US" w:eastAsia="zh-CN"/>
              </w:rPr>
              <w:t>0.1t</w:t>
            </w:r>
            <w:r>
              <w:rPr>
                <w:color w:val="auto"/>
                <w:sz w:val="24"/>
                <w:szCs w:val="24"/>
                <w:highlight w:val="none"/>
                <w:u w:val="none" w:color="auto"/>
              </w:rPr>
              <w:t>/a，属于《国家危险废物名录》</w:t>
            </w:r>
            <w:r>
              <w:rPr>
                <w:rFonts w:hint="eastAsia"/>
                <w:color w:val="auto"/>
                <w:sz w:val="24"/>
                <w:szCs w:val="24"/>
                <w:highlight w:val="none"/>
                <w:u w:val="none" w:color="auto"/>
              </w:rPr>
              <w:t>（202</w:t>
            </w:r>
            <w:r>
              <w:rPr>
                <w:rFonts w:hint="eastAsia"/>
                <w:color w:val="auto"/>
                <w:sz w:val="24"/>
                <w:szCs w:val="24"/>
                <w:highlight w:val="none"/>
                <w:u w:val="none" w:color="auto"/>
                <w:lang w:val="en-US" w:eastAsia="zh-CN"/>
              </w:rPr>
              <w:t>5</w:t>
            </w:r>
            <w:r>
              <w:rPr>
                <w:rFonts w:hint="eastAsia"/>
                <w:color w:val="auto"/>
                <w:sz w:val="24"/>
                <w:szCs w:val="24"/>
                <w:highlight w:val="none"/>
                <w:u w:val="none" w:color="auto"/>
              </w:rPr>
              <w:t>年版）</w:t>
            </w:r>
            <w:r>
              <w:rPr>
                <w:color w:val="auto"/>
                <w:sz w:val="24"/>
                <w:szCs w:val="24"/>
                <w:highlight w:val="none"/>
                <w:u w:val="none" w:color="auto"/>
              </w:rPr>
              <w:t>中编号为HW08废矿物油与含矿物油废物，危规号为900-214-08</w:t>
            </w:r>
            <w:r>
              <w:rPr>
                <w:rFonts w:hint="eastAsia"/>
                <w:color w:val="auto"/>
                <w:sz w:val="24"/>
                <w:szCs w:val="24"/>
                <w:highlight w:val="none"/>
                <w:u w:val="none" w:color="auto"/>
              </w:rPr>
              <w:t>车辆、轮船及其它机械维修过程中产生的废发动机油、制动器油、自动变速器油、齿轮油等废润滑油</w:t>
            </w:r>
            <w:r>
              <w:rPr>
                <w:color w:val="auto"/>
                <w:sz w:val="24"/>
                <w:szCs w:val="24"/>
                <w:highlight w:val="none"/>
                <w:u w:val="none" w:color="auto"/>
              </w:rPr>
              <w:t xml:space="preserve">，经专门的收集桶收集后放置在危废暂存间中暂存，须按危险废物管理有关规定送至有资质的单位进行无害化处理。 </w:t>
            </w:r>
          </w:p>
          <w:p w14:paraId="18F3D402">
            <w:pPr>
              <w:pStyle w:val="30"/>
              <w:spacing w:before="0" w:beforeAutospacing="0" w:after="0" w:afterAutospacing="0" w:line="360" w:lineRule="auto"/>
              <w:ind w:firstLine="482" w:firstLineChars="200"/>
              <w:jc w:val="both"/>
              <w:rPr>
                <w:rFonts w:hint="default" w:ascii="Times New Roman" w:hAnsi="Times New Roman" w:eastAsia="宋体" w:cs="Times New Roman"/>
                <w:b/>
                <w:bCs/>
                <w:color w:val="auto"/>
                <w:highlight w:val="none"/>
                <w:u w:val="none" w:color="auto"/>
                <w:lang w:eastAsia="zh-CN"/>
              </w:rPr>
            </w:pPr>
            <w:r>
              <w:rPr>
                <w:rFonts w:hint="eastAsia"/>
                <w:b/>
                <w:bCs/>
                <w:color w:val="auto"/>
                <w:sz w:val="24"/>
                <w:highlight w:val="none"/>
              </w:rPr>
              <w:t>⑦</w:t>
            </w:r>
            <w:r>
              <w:rPr>
                <w:rFonts w:hint="default" w:ascii="Times New Roman" w:hAnsi="Times New Roman" w:eastAsia="宋体" w:cs="Times New Roman"/>
                <w:b/>
                <w:bCs/>
                <w:color w:val="auto"/>
                <w:highlight w:val="none"/>
                <w:u w:val="none" w:color="auto"/>
                <w:lang w:eastAsia="zh-CN"/>
              </w:rPr>
              <w:t>含油废抹布</w:t>
            </w:r>
            <w:r>
              <w:rPr>
                <w:rFonts w:hint="eastAsia" w:ascii="Times New Roman" w:hAnsi="Times New Roman" w:eastAsia="宋体" w:cs="Times New Roman"/>
                <w:b/>
                <w:bCs/>
                <w:color w:val="auto"/>
                <w:highlight w:val="none"/>
                <w:u w:val="none" w:color="auto"/>
                <w:lang w:val="en-US" w:eastAsia="zh-CN"/>
              </w:rPr>
              <w:t>及</w:t>
            </w:r>
            <w:r>
              <w:rPr>
                <w:rFonts w:hint="default" w:ascii="Times New Roman" w:hAnsi="Times New Roman" w:eastAsia="宋体" w:cs="Times New Roman"/>
                <w:b/>
                <w:bCs/>
                <w:color w:val="auto"/>
                <w:highlight w:val="none"/>
                <w:u w:val="none" w:color="auto"/>
                <w:lang w:eastAsia="zh-CN"/>
              </w:rPr>
              <w:t>手套</w:t>
            </w:r>
          </w:p>
          <w:p w14:paraId="3CA60644">
            <w:pPr>
              <w:autoSpaceDE w:val="0"/>
              <w:autoSpaceDN w:val="0"/>
              <w:adjustRightInd w:val="0"/>
              <w:spacing w:line="360" w:lineRule="auto"/>
              <w:ind w:firstLine="600" w:firstLineChars="250"/>
              <w:rPr>
                <w:color w:val="auto"/>
                <w:highlight w:val="none"/>
                <w:u w:val="none"/>
              </w:rPr>
            </w:pPr>
            <w:r>
              <w:rPr>
                <w:rFonts w:hint="default" w:ascii="Times New Roman" w:hAnsi="Times New Roman" w:eastAsia="宋体" w:cs="Times New Roman"/>
                <w:color w:val="auto"/>
                <w:sz w:val="24"/>
                <w:szCs w:val="24"/>
                <w:highlight w:val="none"/>
                <w:u w:val="none" w:color="auto"/>
                <w:lang w:eastAsia="zh-CN"/>
              </w:rPr>
              <w:t>项目定期对设备进行清洁维护，擦拭完后会产生含油废抹布手套，根据建设单位提供资料，废抹布手套的产生量约为0.00</w:t>
            </w:r>
            <w:r>
              <w:rPr>
                <w:rFonts w:hint="eastAsia" w:cs="Times New Roman"/>
                <w:color w:val="auto"/>
                <w:sz w:val="24"/>
                <w:szCs w:val="24"/>
                <w:highlight w:val="none"/>
                <w:u w:val="none" w:color="auto"/>
                <w:lang w:val="en-US" w:eastAsia="zh-CN"/>
              </w:rPr>
              <w:t>2</w:t>
            </w:r>
            <w:r>
              <w:rPr>
                <w:rFonts w:hint="default" w:ascii="Times New Roman" w:hAnsi="Times New Roman" w:eastAsia="宋体" w:cs="Times New Roman"/>
                <w:color w:val="auto"/>
                <w:sz w:val="24"/>
                <w:szCs w:val="24"/>
                <w:highlight w:val="none"/>
                <w:u w:val="none" w:color="auto"/>
                <w:lang w:eastAsia="zh-CN"/>
              </w:rPr>
              <w:t>t/a，废抹布手套属于《国家危险废物名录》</w:t>
            </w:r>
            <w:r>
              <w:rPr>
                <w:rFonts w:hint="eastAsia" w:cs="Times New Roman"/>
                <w:color w:val="auto"/>
                <w:sz w:val="24"/>
                <w:szCs w:val="24"/>
                <w:highlight w:val="none"/>
                <w:u w:val="none" w:color="auto"/>
                <w:lang w:eastAsia="zh-CN"/>
              </w:rPr>
              <w:t>（</w:t>
            </w:r>
            <w:r>
              <w:rPr>
                <w:rFonts w:hint="default" w:ascii="Times New Roman" w:hAnsi="Times New Roman" w:eastAsia="宋体" w:cs="Times New Roman"/>
                <w:color w:val="auto"/>
                <w:sz w:val="24"/>
                <w:szCs w:val="24"/>
                <w:highlight w:val="none"/>
                <w:u w:val="none" w:color="auto"/>
                <w:lang w:eastAsia="zh-CN"/>
              </w:rPr>
              <w:t>202</w:t>
            </w:r>
            <w:r>
              <w:rPr>
                <w:rFonts w:hint="eastAsia" w:cs="Times New Roman"/>
                <w:color w:val="auto"/>
                <w:sz w:val="24"/>
                <w:szCs w:val="24"/>
                <w:highlight w:val="none"/>
                <w:u w:val="none" w:color="auto"/>
                <w:lang w:val="en-US" w:eastAsia="zh-CN"/>
              </w:rPr>
              <w:t>5</w:t>
            </w:r>
            <w:r>
              <w:rPr>
                <w:rFonts w:hint="default" w:ascii="Times New Roman" w:hAnsi="Times New Roman" w:eastAsia="宋体" w:cs="Times New Roman"/>
                <w:color w:val="auto"/>
                <w:sz w:val="24"/>
                <w:szCs w:val="24"/>
                <w:highlight w:val="none"/>
                <w:u w:val="none" w:color="auto"/>
                <w:lang w:eastAsia="zh-CN"/>
              </w:rPr>
              <w:t>年版</w:t>
            </w:r>
            <w:r>
              <w:rPr>
                <w:rFonts w:hint="eastAsia" w:cs="Times New Roman"/>
                <w:color w:val="auto"/>
                <w:sz w:val="24"/>
                <w:szCs w:val="24"/>
                <w:highlight w:val="none"/>
                <w:u w:val="none" w:color="auto"/>
                <w:lang w:eastAsia="zh-CN"/>
              </w:rPr>
              <w:t>）</w:t>
            </w:r>
            <w:r>
              <w:rPr>
                <w:rFonts w:hint="default" w:ascii="Times New Roman" w:hAnsi="Times New Roman" w:eastAsia="宋体" w:cs="Times New Roman"/>
                <w:color w:val="auto"/>
                <w:sz w:val="24"/>
                <w:szCs w:val="24"/>
                <w:highlight w:val="none"/>
                <w:u w:val="none" w:color="auto"/>
                <w:lang w:eastAsia="zh-CN"/>
              </w:rPr>
              <w:t>中“HW49其他废物</w:t>
            </w:r>
            <w:r>
              <w:rPr>
                <w:rFonts w:hint="eastAsia" w:cs="Times New Roman"/>
                <w:color w:val="auto"/>
                <w:sz w:val="24"/>
                <w:szCs w:val="24"/>
                <w:highlight w:val="none"/>
                <w:u w:val="none" w:color="auto"/>
                <w:lang w:eastAsia="zh-CN"/>
              </w:rPr>
              <w:t>－</w:t>
            </w:r>
            <w:r>
              <w:rPr>
                <w:rFonts w:hint="default" w:ascii="Times New Roman" w:hAnsi="Times New Roman" w:eastAsia="宋体" w:cs="Times New Roman"/>
                <w:color w:val="auto"/>
                <w:sz w:val="24"/>
                <w:szCs w:val="24"/>
                <w:highlight w:val="none"/>
                <w:u w:val="none" w:color="auto"/>
                <w:lang w:eastAsia="zh-CN"/>
              </w:rPr>
              <w:t>非特定行业900-041-49”，收集后</w:t>
            </w:r>
            <w:r>
              <w:rPr>
                <w:rFonts w:hint="eastAsia" w:ascii="Times New Roman" w:eastAsia="宋体" w:cs="Times New Roman"/>
                <w:color w:val="auto"/>
                <w:sz w:val="24"/>
                <w:szCs w:val="24"/>
                <w:highlight w:val="none"/>
                <w:u w:val="none" w:color="auto"/>
                <w:lang w:val="en-US" w:eastAsia="zh-CN"/>
              </w:rPr>
              <w:t>危废间暂存定期</w:t>
            </w:r>
            <w:r>
              <w:rPr>
                <w:rFonts w:hint="default" w:ascii="Times New Roman" w:hAnsi="Times New Roman" w:eastAsia="宋体" w:cs="Times New Roman"/>
                <w:color w:val="auto"/>
                <w:sz w:val="24"/>
                <w:szCs w:val="24"/>
                <w:highlight w:val="none"/>
                <w:u w:val="none" w:color="auto"/>
                <w:lang w:eastAsia="zh-CN"/>
              </w:rPr>
              <w:t>交由危险废物处理资质的公司处理。</w:t>
            </w:r>
          </w:p>
          <w:p w14:paraId="01BF6A91">
            <w:pPr>
              <w:spacing w:line="360" w:lineRule="auto"/>
              <w:ind w:firstLine="482" w:firstLineChars="200"/>
              <w:rPr>
                <w:b/>
                <w:color w:val="auto"/>
                <w:sz w:val="24"/>
                <w:highlight w:val="none"/>
                <w:u w:val="none"/>
              </w:rPr>
            </w:pPr>
            <w:r>
              <w:rPr>
                <w:rFonts w:hint="eastAsia"/>
                <w:b/>
                <w:color w:val="auto"/>
                <w:sz w:val="24"/>
                <w:highlight w:val="none"/>
                <w:u w:val="none"/>
              </w:rPr>
              <w:t>3）生活垃圾</w:t>
            </w:r>
          </w:p>
          <w:p w14:paraId="1AC7007B">
            <w:pPr>
              <w:widowControl/>
              <w:spacing w:line="360" w:lineRule="auto"/>
              <w:ind w:firstLine="480" w:firstLineChars="200"/>
              <w:jc w:val="left"/>
              <w:rPr>
                <w:rFonts w:ascii="宋体" w:hAnsi="宋体" w:cs="宋体"/>
                <w:b/>
                <w:color w:val="auto"/>
                <w:kern w:val="0"/>
                <w:highlight w:val="none"/>
                <w:u w:val="none"/>
                <w:lang w:bidi="ar"/>
              </w:rPr>
            </w:pPr>
            <w:r>
              <w:rPr>
                <w:color w:val="auto"/>
                <w:sz w:val="24"/>
                <w:highlight w:val="none"/>
                <w:u w:val="none"/>
              </w:rPr>
              <w:t>本项目</w:t>
            </w:r>
            <w:r>
              <w:rPr>
                <w:rFonts w:hint="eastAsia"/>
                <w:color w:val="auto"/>
                <w:sz w:val="24"/>
                <w:highlight w:val="none"/>
                <w:u w:val="none"/>
              </w:rPr>
              <w:t>厂区</w:t>
            </w:r>
            <w:r>
              <w:rPr>
                <w:color w:val="auto"/>
                <w:sz w:val="24"/>
                <w:highlight w:val="none"/>
                <w:u w:val="none"/>
              </w:rPr>
              <w:t>员工人数为</w:t>
            </w:r>
            <w:r>
              <w:rPr>
                <w:rFonts w:hint="eastAsia"/>
                <w:color w:val="auto"/>
                <w:sz w:val="24"/>
                <w:highlight w:val="none"/>
                <w:u w:val="none"/>
                <w:lang w:val="en-US" w:eastAsia="zh-CN"/>
              </w:rPr>
              <w:t>100</w:t>
            </w:r>
            <w:r>
              <w:rPr>
                <w:color w:val="auto"/>
                <w:sz w:val="24"/>
                <w:highlight w:val="none"/>
                <w:u w:val="none"/>
              </w:rPr>
              <w:t>人</w:t>
            </w:r>
            <w:r>
              <w:rPr>
                <w:rFonts w:hint="eastAsia"/>
                <w:color w:val="auto"/>
                <w:sz w:val="24"/>
                <w:highlight w:val="none"/>
                <w:u w:val="none"/>
              </w:rPr>
              <w:t>，</w:t>
            </w:r>
            <w:r>
              <w:rPr>
                <w:color w:val="auto"/>
                <w:sz w:val="24"/>
                <w:highlight w:val="none"/>
                <w:u w:val="none"/>
              </w:rPr>
              <w:t>年工作</w:t>
            </w:r>
            <w:r>
              <w:rPr>
                <w:rFonts w:hint="eastAsia"/>
                <w:color w:val="auto"/>
                <w:sz w:val="24"/>
                <w:highlight w:val="none"/>
                <w:u w:val="none"/>
                <w:lang w:val="en-US" w:eastAsia="zh-CN"/>
              </w:rPr>
              <w:t>300</w:t>
            </w:r>
            <w:r>
              <w:rPr>
                <w:color w:val="auto"/>
                <w:sz w:val="24"/>
                <w:highlight w:val="none"/>
                <w:u w:val="none"/>
              </w:rPr>
              <w:t>天，平均每人每天生活垃圾产生量约0.5kg，则项目生活垃圾产生量为</w:t>
            </w:r>
            <w:r>
              <w:rPr>
                <w:rFonts w:hint="eastAsia"/>
                <w:color w:val="auto"/>
                <w:sz w:val="24"/>
                <w:highlight w:val="none"/>
                <w:u w:val="none"/>
                <w:lang w:val="en-US" w:eastAsia="zh-CN"/>
              </w:rPr>
              <w:t>50</w:t>
            </w:r>
            <w:r>
              <w:rPr>
                <w:color w:val="auto"/>
                <w:sz w:val="24"/>
                <w:highlight w:val="none"/>
                <w:u w:val="none"/>
              </w:rPr>
              <w:t>kg/d（</w:t>
            </w:r>
            <w:r>
              <w:rPr>
                <w:rFonts w:hint="eastAsia"/>
                <w:color w:val="auto"/>
                <w:sz w:val="24"/>
                <w:highlight w:val="none"/>
                <w:u w:val="none"/>
                <w:lang w:val="en-US" w:eastAsia="zh-CN"/>
              </w:rPr>
              <w:t>15</w:t>
            </w:r>
            <w:r>
              <w:rPr>
                <w:color w:val="auto"/>
                <w:sz w:val="24"/>
                <w:highlight w:val="none"/>
                <w:u w:val="none"/>
              </w:rPr>
              <w:t>t/a），生活垃圾主要成分是有机物，如不及时清理，会滋生蚊虫、产生恶臭、影响景观、传播疾病等，对环境造成不良影响。经垃圾桶收集后，</w:t>
            </w:r>
            <w:r>
              <w:rPr>
                <w:rFonts w:hint="eastAsia"/>
                <w:color w:val="auto"/>
                <w:sz w:val="24"/>
                <w:highlight w:val="none"/>
                <w:u w:val="none"/>
              </w:rPr>
              <w:t>每天</w:t>
            </w:r>
            <w:r>
              <w:rPr>
                <w:color w:val="auto"/>
                <w:sz w:val="24"/>
                <w:highlight w:val="none"/>
                <w:u w:val="none"/>
              </w:rPr>
              <w:t>清理，委托当地环卫部门进行清运处理。</w:t>
            </w:r>
            <w:r>
              <w:rPr>
                <w:color w:val="auto"/>
                <w:sz w:val="24"/>
                <w:szCs w:val="24"/>
                <w:highlight w:val="none"/>
                <w:u w:val="none"/>
              </w:rPr>
              <w:t xml:space="preserve"> </w:t>
            </w:r>
          </w:p>
          <w:p w14:paraId="4871E974">
            <w:pPr>
              <w:spacing w:line="360" w:lineRule="auto"/>
              <w:ind w:firstLine="422" w:firstLineChars="200"/>
              <w:jc w:val="center"/>
              <w:rPr>
                <w:b/>
                <w:bCs/>
                <w:color w:val="auto"/>
                <w:highlight w:val="none"/>
                <w:u w:val="none"/>
              </w:rPr>
            </w:pPr>
            <w:r>
              <w:rPr>
                <w:rFonts w:hint="eastAsia"/>
                <w:b/>
                <w:bCs/>
                <w:color w:val="auto"/>
                <w:highlight w:val="none"/>
                <w:u w:val="none"/>
              </w:rPr>
              <w:t>表4-</w:t>
            </w:r>
            <w:r>
              <w:rPr>
                <w:rFonts w:hint="eastAsia"/>
                <w:b/>
                <w:bCs/>
                <w:color w:val="auto"/>
                <w:highlight w:val="none"/>
                <w:u w:val="none"/>
                <w:lang w:val="en-US" w:eastAsia="zh-CN"/>
              </w:rPr>
              <w:t>8</w:t>
            </w:r>
            <w:r>
              <w:rPr>
                <w:rFonts w:hint="eastAsia"/>
                <w:b/>
                <w:bCs/>
                <w:color w:val="auto"/>
                <w:highlight w:val="none"/>
                <w:u w:val="none"/>
              </w:rPr>
              <w:t xml:space="preserve">  固废产生及处置情况</w:t>
            </w:r>
          </w:p>
          <w:tbl>
            <w:tblPr>
              <w:tblStyle w:val="3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1678"/>
              <w:gridCol w:w="1291"/>
              <w:gridCol w:w="1331"/>
              <w:gridCol w:w="1729"/>
              <w:gridCol w:w="2314"/>
            </w:tblGrid>
            <w:tr w14:paraId="6C570A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333" w:type="pct"/>
                  <w:tcBorders>
                    <w:tl2br w:val="nil"/>
                    <w:tr2bl w:val="nil"/>
                  </w:tcBorders>
                  <w:vAlign w:val="center"/>
                </w:tcPr>
                <w:p w14:paraId="23631D5C">
                  <w:pPr>
                    <w:jc w:val="center"/>
                    <w:rPr>
                      <w:color w:val="auto"/>
                      <w:sz w:val="21"/>
                      <w:szCs w:val="21"/>
                      <w:highlight w:val="none"/>
                      <w:u w:val="none"/>
                    </w:rPr>
                  </w:pPr>
                  <w:r>
                    <w:rPr>
                      <w:rFonts w:hint="eastAsia"/>
                      <w:color w:val="auto"/>
                      <w:sz w:val="21"/>
                      <w:szCs w:val="21"/>
                      <w:highlight w:val="none"/>
                      <w:u w:val="none"/>
                    </w:rPr>
                    <w:t>序号</w:t>
                  </w:r>
                </w:p>
              </w:tc>
              <w:tc>
                <w:tcPr>
                  <w:tcW w:w="938" w:type="pct"/>
                  <w:tcBorders>
                    <w:tl2br w:val="nil"/>
                    <w:tr2bl w:val="nil"/>
                  </w:tcBorders>
                  <w:vAlign w:val="center"/>
                </w:tcPr>
                <w:p w14:paraId="25F4E8CC">
                  <w:pPr>
                    <w:jc w:val="center"/>
                    <w:rPr>
                      <w:color w:val="auto"/>
                      <w:sz w:val="21"/>
                      <w:szCs w:val="21"/>
                      <w:highlight w:val="none"/>
                      <w:u w:val="none"/>
                    </w:rPr>
                  </w:pPr>
                  <w:r>
                    <w:rPr>
                      <w:rFonts w:hint="eastAsia"/>
                      <w:color w:val="auto"/>
                      <w:sz w:val="21"/>
                      <w:szCs w:val="21"/>
                      <w:highlight w:val="none"/>
                      <w:u w:val="none"/>
                    </w:rPr>
                    <w:t>名称</w:t>
                  </w:r>
                </w:p>
              </w:tc>
              <w:tc>
                <w:tcPr>
                  <w:tcW w:w="722" w:type="pct"/>
                  <w:tcBorders>
                    <w:tl2br w:val="nil"/>
                    <w:tr2bl w:val="nil"/>
                  </w:tcBorders>
                  <w:vAlign w:val="center"/>
                </w:tcPr>
                <w:p w14:paraId="5995EC57">
                  <w:pPr>
                    <w:jc w:val="center"/>
                    <w:rPr>
                      <w:color w:val="auto"/>
                      <w:sz w:val="21"/>
                      <w:szCs w:val="21"/>
                      <w:highlight w:val="none"/>
                      <w:u w:val="none"/>
                    </w:rPr>
                  </w:pPr>
                  <w:r>
                    <w:rPr>
                      <w:rFonts w:hint="eastAsia"/>
                      <w:color w:val="auto"/>
                      <w:sz w:val="21"/>
                      <w:szCs w:val="21"/>
                      <w:highlight w:val="none"/>
                      <w:u w:val="none"/>
                    </w:rPr>
                    <w:t>产生量（t/a）</w:t>
                  </w:r>
                </w:p>
              </w:tc>
              <w:tc>
                <w:tcPr>
                  <w:tcW w:w="744" w:type="pct"/>
                  <w:tcBorders>
                    <w:tl2br w:val="nil"/>
                    <w:tr2bl w:val="nil"/>
                  </w:tcBorders>
                  <w:vAlign w:val="center"/>
                </w:tcPr>
                <w:p w14:paraId="676099D7">
                  <w:pPr>
                    <w:jc w:val="center"/>
                    <w:rPr>
                      <w:color w:val="auto"/>
                      <w:sz w:val="21"/>
                      <w:szCs w:val="21"/>
                      <w:highlight w:val="none"/>
                      <w:u w:val="none"/>
                    </w:rPr>
                  </w:pPr>
                  <w:r>
                    <w:rPr>
                      <w:rFonts w:hint="eastAsia"/>
                      <w:color w:val="auto"/>
                      <w:sz w:val="21"/>
                      <w:szCs w:val="21"/>
                      <w:highlight w:val="none"/>
                      <w:u w:val="none"/>
                    </w:rPr>
                    <w:t>分类编号</w:t>
                  </w:r>
                </w:p>
              </w:tc>
              <w:tc>
                <w:tcPr>
                  <w:tcW w:w="967" w:type="pct"/>
                  <w:tcBorders>
                    <w:tl2br w:val="nil"/>
                    <w:tr2bl w:val="nil"/>
                  </w:tcBorders>
                  <w:vAlign w:val="center"/>
                </w:tcPr>
                <w:p w14:paraId="0EA51844">
                  <w:pPr>
                    <w:jc w:val="center"/>
                    <w:rPr>
                      <w:color w:val="auto"/>
                      <w:sz w:val="21"/>
                      <w:szCs w:val="21"/>
                      <w:highlight w:val="none"/>
                      <w:u w:val="none"/>
                    </w:rPr>
                  </w:pPr>
                  <w:r>
                    <w:rPr>
                      <w:rFonts w:hint="eastAsia"/>
                      <w:color w:val="auto"/>
                      <w:sz w:val="21"/>
                      <w:szCs w:val="21"/>
                      <w:highlight w:val="none"/>
                      <w:u w:val="none"/>
                    </w:rPr>
                    <w:t>代码</w:t>
                  </w:r>
                </w:p>
              </w:tc>
              <w:tc>
                <w:tcPr>
                  <w:tcW w:w="1294" w:type="pct"/>
                  <w:tcBorders>
                    <w:tl2br w:val="nil"/>
                    <w:tr2bl w:val="nil"/>
                  </w:tcBorders>
                  <w:vAlign w:val="center"/>
                </w:tcPr>
                <w:p w14:paraId="6809DC08">
                  <w:pPr>
                    <w:jc w:val="center"/>
                    <w:rPr>
                      <w:color w:val="auto"/>
                      <w:sz w:val="21"/>
                      <w:szCs w:val="21"/>
                      <w:highlight w:val="none"/>
                      <w:u w:val="none"/>
                    </w:rPr>
                  </w:pPr>
                  <w:r>
                    <w:rPr>
                      <w:rFonts w:hint="eastAsia"/>
                      <w:color w:val="auto"/>
                      <w:sz w:val="21"/>
                      <w:szCs w:val="21"/>
                      <w:highlight w:val="none"/>
                      <w:u w:val="none"/>
                    </w:rPr>
                    <w:t>处理处置方式</w:t>
                  </w:r>
                </w:p>
              </w:tc>
            </w:tr>
            <w:tr w14:paraId="659E1A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33" w:type="pct"/>
                  <w:tcBorders>
                    <w:tl2br w:val="nil"/>
                    <w:tr2bl w:val="nil"/>
                  </w:tcBorders>
                  <w:vAlign w:val="center"/>
                </w:tcPr>
                <w:p w14:paraId="55FD258D">
                  <w:pPr>
                    <w:jc w:val="center"/>
                    <w:rPr>
                      <w:color w:val="auto"/>
                      <w:sz w:val="21"/>
                      <w:szCs w:val="21"/>
                      <w:highlight w:val="none"/>
                      <w:u w:val="none"/>
                    </w:rPr>
                  </w:pPr>
                  <w:r>
                    <w:rPr>
                      <w:rFonts w:hint="eastAsia"/>
                      <w:color w:val="auto"/>
                      <w:sz w:val="21"/>
                      <w:szCs w:val="21"/>
                      <w:highlight w:val="none"/>
                      <w:u w:val="none"/>
                    </w:rPr>
                    <w:t>1</w:t>
                  </w:r>
                </w:p>
              </w:tc>
              <w:tc>
                <w:tcPr>
                  <w:tcW w:w="938" w:type="pct"/>
                  <w:tcBorders>
                    <w:tl2br w:val="nil"/>
                    <w:tr2bl w:val="nil"/>
                  </w:tcBorders>
                  <w:vAlign w:val="center"/>
                </w:tcPr>
                <w:p w14:paraId="146A699B">
                  <w:pPr>
                    <w:jc w:val="center"/>
                    <w:rPr>
                      <w:rFonts w:hint="default" w:eastAsia="宋体"/>
                      <w:color w:val="auto"/>
                      <w:sz w:val="21"/>
                      <w:szCs w:val="21"/>
                      <w:highlight w:val="none"/>
                      <w:u w:val="none"/>
                      <w:lang w:val="en-US"/>
                    </w:rPr>
                  </w:pPr>
                  <w:r>
                    <w:rPr>
                      <w:rFonts w:hint="eastAsia"/>
                      <w:color w:val="auto"/>
                      <w:sz w:val="21"/>
                      <w:szCs w:val="21"/>
                      <w:highlight w:val="none"/>
                      <w:u w:val="none"/>
                      <w:lang w:val="en-US" w:eastAsia="zh-CN"/>
                    </w:rPr>
                    <w:t>不合格品</w:t>
                  </w:r>
                </w:p>
              </w:tc>
              <w:tc>
                <w:tcPr>
                  <w:tcW w:w="722" w:type="pct"/>
                  <w:tcBorders>
                    <w:tl2br w:val="nil"/>
                    <w:tr2bl w:val="nil"/>
                  </w:tcBorders>
                  <w:vAlign w:val="center"/>
                </w:tcPr>
                <w:p w14:paraId="550B2ED5">
                  <w:pPr>
                    <w:jc w:val="center"/>
                    <w:rPr>
                      <w:rFonts w:hint="eastAsia" w:eastAsia="宋体"/>
                      <w:color w:val="auto"/>
                      <w:sz w:val="21"/>
                      <w:szCs w:val="21"/>
                      <w:highlight w:val="none"/>
                      <w:u w:val="none"/>
                      <w:lang w:val="en-US" w:eastAsia="zh-CN"/>
                    </w:rPr>
                  </w:pPr>
                  <w:r>
                    <w:rPr>
                      <w:rFonts w:hint="eastAsia"/>
                      <w:color w:val="auto"/>
                      <w:sz w:val="21"/>
                      <w:szCs w:val="21"/>
                      <w:highlight w:val="none"/>
                      <w:u w:val="none"/>
                      <w:lang w:val="en-US" w:eastAsia="zh-CN"/>
                    </w:rPr>
                    <w:t>0.2</w:t>
                  </w:r>
                </w:p>
              </w:tc>
              <w:tc>
                <w:tcPr>
                  <w:tcW w:w="744" w:type="pct"/>
                  <w:tcBorders>
                    <w:tl2br w:val="nil"/>
                    <w:tr2bl w:val="nil"/>
                  </w:tcBorders>
                  <w:vAlign w:val="center"/>
                </w:tcPr>
                <w:p w14:paraId="6F9F1FB8">
                  <w:pPr>
                    <w:jc w:val="center"/>
                    <w:rPr>
                      <w:color w:val="auto"/>
                      <w:sz w:val="21"/>
                      <w:szCs w:val="21"/>
                      <w:highlight w:val="none"/>
                      <w:u w:val="none"/>
                    </w:rPr>
                  </w:pPr>
                  <w:r>
                    <w:rPr>
                      <w:rFonts w:hint="eastAsia"/>
                      <w:color w:val="auto"/>
                      <w:sz w:val="21"/>
                      <w:szCs w:val="21"/>
                      <w:highlight w:val="none"/>
                      <w:u w:val="none"/>
                    </w:rPr>
                    <w:t>一般固体废物</w:t>
                  </w:r>
                </w:p>
              </w:tc>
              <w:tc>
                <w:tcPr>
                  <w:tcW w:w="967" w:type="pct"/>
                  <w:tcBorders>
                    <w:tl2br w:val="nil"/>
                    <w:tr2bl w:val="nil"/>
                  </w:tcBorders>
                  <w:vAlign w:val="center"/>
                </w:tcPr>
                <w:p w14:paraId="0F92C95A">
                  <w:pPr>
                    <w:jc w:val="center"/>
                    <w:rPr>
                      <w:rFonts w:hAnsi="宋体"/>
                      <w:color w:val="auto"/>
                      <w:sz w:val="21"/>
                      <w:szCs w:val="21"/>
                      <w:highlight w:val="none"/>
                      <w:u w:val="none"/>
                    </w:rPr>
                  </w:pPr>
                  <w:r>
                    <w:rPr>
                      <w:rFonts w:hint="eastAsia" w:hAnsi="宋体"/>
                      <w:color w:val="auto"/>
                      <w:sz w:val="21"/>
                      <w:szCs w:val="21"/>
                      <w:highlight w:val="none"/>
                      <w:u w:val="none"/>
                    </w:rPr>
                    <w:t>900-099-S59</w:t>
                  </w:r>
                </w:p>
              </w:tc>
              <w:tc>
                <w:tcPr>
                  <w:tcW w:w="1294" w:type="pct"/>
                  <w:tcBorders>
                    <w:tl2br w:val="nil"/>
                    <w:tr2bl w:val="nil"/>
                  </w:tcBorders>
                  <w:vAlign w:val="center"/>
                </w:tcPr>
                <w:p w14:paraId="2EB9268E">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交物资回收单位处置</w:t>
                  </w:r>
                </w:p>
              </w:tc>
            </w:tr>
            <w:tr w14:paraId="2D726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33" w:type="pct"/>
                  <w:tcBorders>
                    <w:tl2br w:val="nil"/>
                    <w:tr2bl w:val="nil"/>
                  </w:tcBorders>
                  <w:vAlign w:val="center"/>
                </w:tcPr>
                <w:p w14:paraId="0ECB4594">
                  <w:pPr>
                    <w:jc w:val="center"/>
                    <w:rPr>
                      <w:color w:val="auto"/>
                      <w:sz w:val="21"/>
                      <w:szCs w:val="21"/>
                      <w:highlight w:val="none"/>
                      <w:u w:val="none"/>
                    </w:rPr>
                  </w:pPr>
                  <w:r>
                    <w:rPr>
                      <w:rFonts w:hint="eastAsia"/>
                      <w:color w:val="auto"/>
                      <w:sz w:val="21"/>
                      <w:szCs w:val="21"/>
                      <w:highlight w:val="none"/>
                      <w:u w:val="none"/>
                    </w:rPr>
                    <w:t>2</w:t>
                  </w:r>
                </w:p>
              </w:tc>
              <w:tc>
                <w:tcPr>
                  <w:tcW w:w="938" w:type="pct"/>
                  <w:tcBorders>
                    <w:tl2br w:val="nil"/>
                    <w:tr2bl w:val="nil"/>
                  </w:tcBorders>
                  <w:vAlign w:val="center"/>
                </w:tcPr>
                <w:p w14:paraId="5018E96E">
                  <w:pPr>
                    <w:jc w:val="center"/>
                    <w:rPr>
                      <w:rFonts w:hint="eastAsia" w:eastAsia="宋体"/>
                      <w:color w:val="auto"/>
                      <w:sz w:val="21"/>
                      <w:szCs w:val="21"/>
                      <w:highlight w:val="none"/>
                      <w:u w:val="none"/>
                    </w:rPr>
                  </w:pPr>
                  <w:r>
                    <w:rPr>
                      <w:rFonts w:hint="eastAsia" w:eastAsia="宋体"/>
                      <w:color w:val="auto"/>
                      <w:sz w:val="21"/>
                      <w:szCs w:val="21"/>
                      <w:highlight w:val="none"/>
                      <w:u w:val="none"/>
                    </w:rPr>
                    <w:t>废包装材料</w:t>
                  </w:r>
                </w:p>
              </w:tc>
              <w:tc>
                <w:tcPr>
                  <w:tcW w:w="722" w:type="pct"/>
                  <w:tcBorders>
                    <w:tl2br w:val="nil"/>
                    <w:tr2bl w:val="nil"/>
                  </w:tcBorders>
                  <w:vAlign w:val="center"/>
                </w:tcPr>
                <w:p w14:paraId="4BF389EA">
                  <w:pPr>
                    <w:jc w:val="center"/>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1.5</w:t>
                  </w:r>
                </w:p>
              </w:tc>
              <w:tc>
                <w:tcPr>
                  <w:tcW w:w="744" w:type="pct"/>
                  <w:tcBorders>
                    <w:tl2br w:val="nil"/>
                    <w:tr2bl w:val="nil"/>
                  </w:tcBorders>
                  <w:vAlign w:val="center"/>
                </w:tcPr>
                <w:p w14:paraId="7A4E3DB1">
                  <w:pPr>
                    <w:jc w:val="center"/>
                    <w:rPr>
                      <w:color w:val="auto"/>
                      <w:sz w:val="21"/>
                      <w:szCs w:val="21"/>
                      <w:highlight w:val="none"/>
                      <w:u w:val="none"/>
                    </w:rPr>
                  </w:pPr>
                  <w:r>
                    <w:rPr>
                      <w:rFonts w:hint="eastAsia"/>
                      <w:color w:val="auto"/>
                      <w:sz w:val="21"/>
                      <w:szCs w:val="21"/>
                      <w:highlight w:val="none"/>
                      <w:u w:val="none"/>
                    </w:rPr>
                    <w:t>一般固体废物</w:t>
                  </w:r>
                </w:p>
              </w:tc>
              <w:tc>
                <w:tcPr>
                  <w:tcW w:w="967" w:type="pct"/>
                  <w:tcBorders>
                    <w:tl2br w:val="nil"/>
                    <w:tr2bl w:val="nil"/>
                  </w:tcBorders>
                  <w:vAlign w:val="center"/>
                </w:tcPr>
                <w:p w14:paraId="1C137A02">
                  <w:pPr>
                    <w:jc w:val="center"/>
                    <w:rPr>
                      <w:rFonts w:hAnsi="宋体"/>
                      <w:color w:val="auto"/>
                      <w:sz w:val="21"/>
                      <w:szCs w:val="21"/>
                      <w:highlight w:val="none"/>
                      <w:u w:val="none"/>
                    </w:rPr>
                  </w:pPr>
                  <w:r>
                    <w:rPr>
                      <w:rFonts w:hint="eastAsia" w:hAnsi="宋体"/>
                      <w:color w:val="auto"/>
                      <w:sz w:val="21"/>
                      <w:szCs w:val="21"/>
                      <w:highlight w:val="none"/>
                      <w:u w:val="none"/>
                    </w:rPr>
                    <w:t>900-099-S59</w:t>
                  </w:r>
                </w:p>
              </w:tc>
              <w:tc>
                <w:tcPr>
                  <w:tcW w:w="1294" w:type="pct"/>
                  <w:tcBorders>
                    <w:tl2br w:val="nil"/>
                    <w:tr2bl w:val="nil"/>
                  </w:tcBorders>
                  <w:vAlign w:val="center"/>
                </w:tcPr>
                <w:p w14:paraId="4598FBA2">
                  <w:pPr>
                    <w:jc w:val="center"/>
                    <w:rPr>
                      <w:rFonts w:hint="eastAsia" w:eastAsia="宋体"/>
                      <w:color w:val="auto"/>
                      <w:sz w:val="21"/>
                      <w:szCs w:val="21"/>
                      <w:highlight w:val="none"/>
                      <w:u w:val="none"/>
                    </w:rPr>
                  </w:pPr>
                  <w:r>
                    <w:rPr>
                      <w:rFonts w:hint="eastAsia" w:eastAsia="宋体"/>
                      <w:color w:val="auto"/>
                      <w:sz w:val="21"/>
                      <w:szCs w:val="21"/>
                      <w:highlight w:val="none"/>
                      <w:u w:val="none"/>
                    </w:rPr>
                    <w:t>分类回收后由废品收购单位收购利用</w:t>
                  </w:r>
                </w:p>
              </w:tc>
            </w:tr>
            <w:tr w14:paraId="1E2AC1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33" w:type="pct"/>
                  <w:tcBorders>
                    <w:tl2br w:val="nil"/>
                    <w:tr2bl w:val="nil"/>
                  </w:tcBorders>
                  <w:vAlign w:val="center"/>
                </w:tcPr>
                <w:p w14:paraId="31E36725">
                  <w:pPr>
                    <w:jc w:val="center"/>
                    <w:rPr>
                      <w:color w:val="auto"/>
                      <w:sz w:val="21"/>
                      <w:szCs w:val="21"/>
                      <w:highlight w:val="none"/>
                      <w:u w:val="none"/>
                    </w:rPr>
                  </w:pPr>
                  <w:r>
                    <w:rPr>
                      <w:rFonts w:hint="eastAsia"/>
                      <w:color w:val="auto"/>
                      <w:sz w:val="21"/>
                      <w:szCs w:val="21"/>
                      <w:highlight w:val="none"/>
                      <w:u w:val="none"/>
                    </w:rPr>
                    <w:t>3</w:t>
                  </w:r>
                </w:p>
              </w:tc>
              <w:tc>
                <w:tcPr>
                  <w:tcW w:w="938" w:type="pct"/>
                  <w:tcBorders>
                    <w:tl2br w:val="nil"/>
                    <w:tr2bl w:val="nil"/>
                  </w:tcBorders>
                  <w:vAlign w:val="center"/>
                </w:tcPr>
                <w:p w14:paraId="2825DEA6">
                  <w:pPr>
                    <w:jc w:val="center"/>
                    <w:rPr>
                      <w:rFonts w:hint="eastAsia" w:eastAsia="宋体"/>
                      <w:color w:val="auto"/>
                      <w:sz w:val="21"/>
                      <w:szCs w:val="21"/>
                      <w:highlight w:val="none"/>
                      <w:u w:val="none"/>
                    </w:rPr>
                  </w:pPr>
                  <w:r>
                    <w:rPr>
                      <w:rFonts w:hint="eastAsia" w:eastAsia="宋体"/>
                      <w:color w:val="auto"/>
                      <w:sz w:val="21"/>
                      <w:szCs w:val="21"/>
                      <w:highlight w:val="none"/>
                      <w:u w:val="none"/>
                    </w:rPr>
                    <w:t>注塑边角料</w:t>
                  </w:r>
                </w:p>
              </w:tc>
              <w:tc>
                <w:tcPr>
                  <w:tcW w:w="722" w:type="pct"/>
                  <w:tcBorders>
                    <w:tl2br w:val="nil"/>
                    <w:tr2bl w:val="nil"/>
                  </w:tcBorders>
                  <w:vAlign w:val="center"/>
                </w:tcPr>
                <w:p w14:paraId="12CBF71E">
                  <w:pPr>
                    <w:jc w:val="center"/>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0.2</w:t>
                  </w:r>
                </w:p>
              </w:tc>
              <w:tc>
                <w:tcPr>
                  <w:tcW w:w="744" w:type="pct"/>
                  <w:tcBorders>
                    <w:tl2br w:val="nil"/>
                    <w:tr2bl w:val="nil"/>
                  </w:tcBorders>
                  <w:vAlign w:val="center"/>
                </w:tcPr>
                <w:p w14:paraId="545C4CF0">
                  <w:pPr>
                    <w:jc w:val="center"/>
                    <w:rPr>
                      <w:color w:val="auto"/>
                      <w:sz w:val="21"/>
                      <w:szCs w:val="21"/>
                      <w:highlight w:val="none"/>
                      <w:u w:val="none"/>
                    </w:rPr>
                  </w:pPr>
                  <w:r>
                    <w:rPr>
                      <w:rFonts w:hint="eastAsia"/>
                      <w:color w:val="auto"/>
                      <w:sz w:val="21"/>
                      <w:szCs w:val="21"/>
                      <w:highlight w:val="none"/>
                      <w:u w:val="none"/>
                    </w:rPr>
                    <w:t>一般固体废物</w:t>
                  </w:r>
                </w:p>
              </w:tc>
              <w:tc>
                <w:tcPr>
                  <w:tcW w:w="967" w:type="pct"/>
                  <w:tcBorders>
                    <w:tl2br w:val="nil"/>
                    <w:tr2bl w:val="nil"/>
                  </w:tcBorders>
                  <w:vAlign w:val="center"/>
                </w:tcPr>
                <w:p w14:paraId="20C46C06">
                  <w:pPr>
                    <w:jc w:val="center"/>
                    <w:rPr>
                      <w:rFonts w:hAnsi="宋体"/>
                      <w:color w:val="auto"/>
                      <w:sz w:val="21"/>
                      <w:szCs w:val="21"/>
                      <w:highlight w:val="none"/>
                      <w:u w:val="none"/>
                    </w:rPr>
                  </w:pPr>
                  <w:r>
                    <w:rPr>
                      <w:rFonts w:hint="eastAsia" w:hAnsi="宋体"/>
                      <w:color w:val="auto"/>
                      <w:sz w:val="21"/>
                      <w:szCs w:val="21"/>
                      <w:highlight w:val="none"/>
                      <w:u w:val="none"/>
                    </w:rPr>
                    <w:t>900-099-S59</w:t>
                  </w:r>
                </w:p>
              </w:tc>
              <w:tc>
                <w:tcPr>
                  <w:tcW w:w="1294" w:type="pct"/>
                  <w:tcBorders>
                    <w:tl2br w:val="nil"/>
                    <w:tr2bl w:val="nil"/>
                  </w:tcBorders>
                  <w:vAlign w:val="center"/>
                </w:tcPr>
                <w:p w14:paraId="2713A537">
                  <w:pPr>
                    <w:jc w:val="center"/>
                    <w:rPr>
                      <w:rFonts w:hint="default" w:eastAsia="宋体"/>
                      <w:color w:val="auto"/>
                      <w:sz w:val="21"/>
                      <w:szCs w:val="21"/>
                      <w:highlight w:val="none"/>
                      <w:u w:val="none"/>
                      <w:lang w:val="en-US" w:eastAsia="zh-CN"/>
                    </w:rPr>
                  </w:pPr>
                  <w:r>
                    <w:rPr>
                      <w:rFonts w:hint="eastAsia" w:eastAsia="宋体"/>
                      <w:color w:val="auto"/>
                      <w:sz w:val="21"/>
                      <w:szCs w:val="21"/>
                      <w:highlight w:val="none"/>
                      <w:u w:val="none"/>
                    </w:rPr>
                    <w:t>经集中收集，</w:t>
                  </w:r>
                  <w:r>
                    <w:rPr>
                      <w:rFonts w:hint="eastAsia"/>
                      <w:color w:val="auto"/>
                      <w:sz w:val="21"/>
                      <w:szCs w:val="21"/>
                      <w:highlight w:val="none"/>
                      <w:u w:val="none"/>
                      <w:lang w:val="en-US" w:eastAsia="zh-CN"/>
                    </w:rPr>
                    <w:t>回用于生产</w:t>
                  </w:r>
                </w:p>
              </w:tc>
            </w:tr>
            <w:tr w14:paraId="086D30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33" w:type="pct"/>
                  <w:tcBorders>
                    <w:tl2br w:val="nil"/>
                    <w:tr2bl w:val="nil"/>
                  </w:tcBorders>
                  <w:vAlign w:val="center"/>
                </w:tcPr>
                <w:p w14:paraId="56C66C8E">
                  <w:pPr>
                    <w:jc w:val="center"/>
                    <w:rPr>
                      <w:rFonts w:hint="eastAsia"/>
                      <w:color w:val="auto"/>
                      <w:sz w:val="21"/>
                      <w:szCs w:val="21"/>
                      <w:highlight w:val="none"/>
                      <w:u w:val="none"/>
                    </w:rPr>
                  </w:pPr>
                  <w:r>
                    <w:rPr>
                      <w:rFonts w:hint="eastAsia"/>
                      <w:color w:val="auto"/>
                      <w:sz w:val="21"/>
                      <w:szCs w:val="21"/>
                      <w:highlight w:val="none"/>
                      <w:u w:val="none"/>
                    </w:rPr>
                    <w:t>4</w:t>
                  </w:r>
                </w:p>
              </w:tc>
              <w:tc>
                <w:tcPr>
                  <w:tcW w:w="938" w:type="pct"/>
                  <w:tcBorders>
                    <w:tl2br w:val="nil"/>
                    <w:tr2bl w:val="nil"/>
                  </w:tcBorders>
                  <w:vAlign w:val="center"/>
                </w:tcPr>
                <w:p w14:paraId="732E0BF3">
                  <w:pPr>
                    <w:jc w:val="center"/>
                    <w:rPr>
                      <w:rFonts w:hint="eastAsia" w:eastAsia="宋体"/>
                      <w:color w:val="auto"/>
                      <w:sz w:val="21"/>
                      <w:szCs w:val="21"/>
                      <w:highlight w:val="none"/>
                      <w:u w:val="none"/>
                      <w:lang w:eastAsia="zh-CN"/>
                    </w:rPr>
                  </w:pPr>
                  <w:r>
                    <w:rPr>
                      <w:rFonts w:hint="eastAsia"/>
                      <w:color w:val="auto"/>
                      <w:sz w:val="21"/>
                      <w:szCs w:val="21"/>
                      <w:highlight w:val="none"/>
                      <w:u w:val="none"/>
                      <w:lang w:val="en-US" w:eastAsia="zh-CN"/>
                    </w:rPr>
                    <w:t>焊</w:t>
                  </w:r>
                  <w:r>
                    <w:rPr>
                      <w:rFonts w:hint="eastAsia" w:eastAsia="宋体"/>
                      <w:color w:val="auto"/>
                      <w:sz w:val="21"/>
                      <w:szCs w:val="21"/>
                      <w:highlight w:val="none"/>
                      <w:u w:val="none"/>
                    </w:rPr>
                    <w:t>渣</w:t>
                  </w:r>
                </w:p>
              </w:tc>
              <w:tc>
                <w:tcPr>
                  <w:tcW w:w="722" w:type="pct"/>
                  <w:tcBorders>
                    <w:tl2br w:val="nil"/>
                    <w:tr2bl w:val="nil"/>
                  </w:tcBorders>
                  <w:vAlign w:val="center"/>
                </w:tcPr>
                <w:p w14:paraId="7C4750D0">
                  <w:pPr>
                    <w:jc w:val="center"/>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0.05</w:t>
                  </w:r>
                </w:p>
              </w:tc>
              <w:tc>
                <w:tcPr>
                  <w:tcW w:w="744" w:type="pct"/>
                  <w:tcBorders>
                    <w:tl2br w:val="nil"/>
                    <w:tr2bl w:val="nil"/>
                  </w:tcBorders>
                  <w:vAlign w:val="center"/>
                </w:tcPr>
                <w:p w14:paraId="18AE2474">
                  <w:pPr>
                    <w:jc w:val="center"/>
                    <w:rPr>
                      <w:rFonts w:hint="eastAsia"/>
                      <w:color w:val="auto"/>
                      <w:sz w:val="21"/>
                      <w:szCs w:val="21"/>
                      <w:highlight w:val="none"/>
                      <w:u w:val="none"/>
                    </w:rPr>
                  </w:pPr>
                  <w:r>
                    <w:rPr>
                      <w:rFonts w:hint="eastAsia"/>
                      <w:color w:val="auto"/>
                      <w:sz w:val="21"/>
                      <w:szCs w:val="21"/>
                      <w:highlight w:val="none"/>
                      <w:u w:val="none"/>
                    </w:rPr>
                    <w:t>一般固体废物</w:t>
                  </w:r>
                </w:p>
              </w:tc>
              <w:tc>
                <w:tcPr>
                  <w:tcW w:w="967" w:type="pct"/>
                  <w:tcBorders>
                    <w:tl2br w:val="nil"/>
                    <w:tr2bl w:val="nil"/>
                  </w:tcBorders>
                  <w:vAlign w:val="center"/>
                </w:tcPr>
                <w:p w14:paraId="2853817F">
                  <w:pPr>
                    <w:jc w:val="center"/>
                    <w:rPr>
                      <w:rFonts w:hint="eastAsia" w:hAnsi="宋体"/>
                      <w:color w:val="auto"/>
                      <w:sz w:val="21"/>
                      <w:szCs w:val="21"/>
                      <w:highlight w:val="none"/>
                      <w:u w:val="none"/>
                    </w:rPr>
                  </w:pPr>
                  <w:r>
                    <w:rPr>
                      <w:rFonts w:hint="eastAsia" w:hAnsi="宋体"/>
                      <w:color w:val="auto"/>
                      <w:sz w:val="21"/>
                      <w:szCs w:val="21"/>
                      <w:highlight w:val="none"/>
                      <w:u w:val="none"/>
                    </w:rPr>
                    <w:t>900-099-S59</w:t>
                  </w:r>
                </w:p>
              </w:tc>
              <w:tc>
                <w:tcPr>
                  <w:tcW w:w="1294" w:type="pct"/>
                  <w:tcBorders>
                    <w:tl2br w:val="nil"/>
                    <w:tr2bl w:val="nil"/>
                  </w:tcBorders>
                  <w:vAlign w:val="center"/>
                </w:tcPr>
                <w:p w14:paraId="39A2F5AD">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集中收集后由供货商回收</w:t>
                  </w:r>
                </w:p>
              </w:tc>
            </w:tr>
            <w:tr w14:paraId="4B986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33" w:type="pct"/>
                  <w:tcBorders>
                    <w:tl2br w:val="nil"/>
                    <w:tr2bl w:val="nil"/>
                  </w:tcBorders>
                  <w:vAlign w:val="center"/>
                </w:tcPr>
                <w:p w14:paraId="375D20C4">
                  <w:pPr>
                    <w:jc w:val="center"/>
                    <w:rPr>
                      <w:color w:val="auto"/>
                      <w:sz w:val="21"/>
                      <w:szCs w:val="21"/>
                      <w:highlight w:val="none"/>
                      <w:u w:val="none"/>
                    </w:rPr>
                  </w:pPr>
                  <w:r>
                    <w:rPr>
                      <w:rFonts w:hint="eastAsia"/>
                      <w:color w:val="auto"/>
                      <w:sz w:val="21"/>
                      <w:szCs w:val="21"/>
                      <w:highlight w:val="none"/>
                      <w:u w:val="none"/>
                    </w:rPr>
                    <w:t>5</w:t>
                  </w:r>
                </w:p>
              </w:tc>
              <w:tc>
                <w:tcPr>
                  <w:tcW w:w="938" w:type="pct"/>
                  <w:tcBorders>
                    <w:tl2br w:val="nil"/>
                    <w:tr2bl w:val="nil"/>
                  </w:tcBorders>
                  <w:vAlign w:val="center"/>
                </w:tcPr>
                <w:p w14:paraId="4754AE4A">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喷砂产尘</w:t>
                  </w:r>
                </w:p>
              </w:tc>
              <w:tc>
                <w:tcPr>
                  <w:tcW w:w="722" w:type="pct"/>
                  <w:tcBorders>
                    <w:tl2br w:val="nil"/>
                    <w:tr2bl w:val="nil"/>
                  </w:tcBorders>
                  <w:vAlign w:val="center"/>
                </w:tcPr>
                <w:p w14:paraId="6D8CC29A">
                  <w:pPr>
                    <w:jc w:val="center"/>
                    <w:rPr>
                      <w:rFonts w:hint="default" w:eastAsia="宋体"/>
                      <w:color w:val="auto"/>
                      <w:sz w:val="21"/>
                      <w:szCs w:val="21"/>
                      <w:highlight w:val="none"/>
                      <w:u w:val="none"/>
                      <w:lang w:val="en-US" w:eastAsia="zh-CN"/>
                    </w:rPr>
                  </w:pPr>
                  <w:r>
                    <w:rPr>
                      <w:rFonts w:hint="eastAsia"/>
                      <w:color w:val="auto"/>
                      <w:sz w:val="21"/>
                      <w:szCs w:val="21"/>
                      <w:highlight w:val="none"/>
                      <w:u w:val="none"/>
                      <w:lang w:val="en-US" w:eastAsia="zh-CN"/>
                    </w:rPr>
                    <w:t>0.351</w:t>
                  </w:r>
                </w:p>
              </w:tc>
              <w:tc>
                <w:tcPr>
                  <w:tcW w:w="744" w:type="pct"/>
                  <w:tcBorders>
                    <w:tl2br w:val="nil"/>
                    <w:tr2bl w:val="nil"/>
                  </w:tcBorders>
                  <w:vAlign w:val="center"/>
                </w:tcPr>
                <w:p w14:paraId="2DEE28DF">
                  <w:pPr>
                    <w:jc w:val="center"/>
                    <w:rPr>
                      <w:color w:val="auto"/>
                      <w:sz w:val="21"/>
                      <w:szCs w:val="21"/>
                      <w:highlight w:val="none"/>
                      <w:u w:val="none"/>
                    </w:rPr>
                  </w:pPr>
                  <w:r>
                    <w:rPr>
                      <w:rFonts w:hint="eastAsia"/>
                      <w:color w:val="auto"/>
                      <w:sz w:val="21"/>
                      <w:szCs w:val="21"/>
                      <w:highlight w:val="none"/>
                      <w:u w:val="none"/>
                    </w:rPr>
                    <w:t>一般固体废物</w:t>
                  </w:r>
                </w:p>
              </w:tc>
              <w:tc>
                <w:tcPr>
                  <w:tcW w:w="967" w:type="pct"/>
                  <w:tcBorders>
                    <w:tl2br w:val="nil"/>
                    <w:tr2bl w:val="nil"/>
                  </w:tcBorders>
                  <w:vAlign w:val="center"/>
                </w:tcPr>
                <w:p w14:paraId="5D2084C9">
                  <w:pPr>
                    <w:jc w:val="center"/>
                    <w:rPr>
                      <w:rFonts w:hAnsi="宋体"/>
                      <w:color w:val="auto"/>
                      <w:sz w:val="21"/>
                      <w:szCs w:val="21"/>
                      <w:highlight w:val="none"/>
                      <w:u w:val="none"/>
                    </w:rPr>
                  </w:pPr>
                  <w:r>
                    <w:rPr>
                      <w:rFonts w:hint="eastAsia" w:hAnsi="宋体"/>
                      <w:color w:val="auto"/>
                      <w:sz w:val="21"/>
                      <w:szCs w:val="21"/>
                      <w:highlight w:val="none"/>
                      <w:u w:val="none"/>
                    </w:rPr>
                    <w:t>900-099-S17</w:t>
                  </w:r>
                </w:p>
              </w:tc>
              <w:tc>
                <w:tcPr>
                  <w:tcW w:w="1294" w:type="pct"/>
                  <w:tcBorders>
                    <w:tl2br w:val="nil"/>
                    <w:tr2bl w:val="nil"/>
                  </w:tcBorders>
                  <w:vAlign w:val="center"/>
                </w:tcPr>
                <w:p w14:paraId="3319AA7A">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桶装收集后交物资回收单位处置</w:t>
                  </w:r>
                </w:p>
              </w:tc>
            </w:tr>
            <w:tr w14:paraId="406CF9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333" w:type="pct"/>
                  <w:tcBorders>
                    <w:tl2br w:val="nil"/>
                    <w:tr2bl w:val="nil"/>
                  </w:tcBorders>
                  <w:vAlign w:val="center"/>
                </w:tcPr>
                <w:p w14:paraId="2FBF932E">
                  <w:pPr>
                    <w:jc w:val="center"/>
                    <w:rPr>
                      <w:color w:val="auto"/>
                      <w:sz w:val="21"/>
                      <w:szCs w:val="21"/>
                      <w:highlight w:val="none"/>
                      <w:u w:val="none"/>
                    </w:rPr>
                  </w:pPr>
                  <w:r>
                    <w:rPr>
                      <w:rFonts w:hint="eastAsia"/>
                      <w:color w:val="auto"/>
                      <w:sz w:val="21"/>
                      <w:szCs w:val="21"/>
                      <w:highlight w:val="none"/>
                      <w:u w:val="none"/>
                    </w:rPr>
                    <w:t>7</w:t>
                  </w:r>
                </w:p>
              </w:tc>
              <w:tc>
                <w:tcPr>
                  <w:tcW w:w="938" w:type="pct"/>
                  <w:tcBorders>
                    <w:tl2br w:val="nil"/>
                    <w:tr2bl w:val="nil"/>
                  </w:tcBorders>
                  <w:vAlign w:val="center"/>
                </w:tcPr>
                <w:p w14:paraId="520A06A4">
                  <w:pPr>
                    <w:jc w:val="center"/>
                    <w:rPr>
                      <w:rFonts w:hint="eastAsia" w:eastAsia="宋体"/>
                      <w:color w:val="auto"/>
                      <w:sz w:val="21"/>
                      <w:szCs w:val="21"/>
                      <w:highlight w:val="none"/>
                      <w:u w:val="none"/>
                    </w:rPr>
                  </w:pPr>
                  <w:r>
                    <w:rPr>
                      <w:rFonts w:hint="eastAsia" w:eastAsia="宋体"/>
                      <w:color w:val="auto"/>
                      <w:sz w:val="21"/>
                      <w:szCs w:val="21"/>
                      <w:highlight w:val="none"/>
                      <w:u w:val="none"/>
                    </w:rPr>
                    <w:t>生活垃圾</w:t>
                  </w:r>
                </w:p>
              </w:tc>
              <w:tc>
                <w:tcPr>
                  <w:tcW w:w="722" w:type="pct"/>
                  <w:tcBorders>
                    <w:tl2br w:val="nil"/>
                    <w:tr2bl w:val="nil"/>
                  </w:tcBorders>
                  <w:vAlign w:val="center"/>
                </w:tcPr>
                <w:p w14:paraId="20AEC2AA">
                  <w:pPr>
                    <w:jc w:val="center"/>
                    <w:rPr>
                      <w:rFonts w:hint="default"/>
                      <w:color w:val="auto"/>
                      <w:sz w:val="21"/>
                      <w:szCs w:val="21"/>
                      <w:highlight w:val="none"/>
                      <w:u w:val="none"/>
                      <w:lang w:val="en-US"/>
                    </w:rPr>
                  </w:pPr>
                  <w:r>
                    <w:rPr>
                      <w:rFonts w:hint="eastAsia"/>
                      <w:color w:val="auto"/>
                      <w:sz w:val="21"/>
                      <w:szCs w:val="21"/>
                      <w:highlight w:val="none"/>
                      <w:u w:val="none"/>
                      <w:lang w:val="en-US" w:eastAsia="zh-CN"/>
                    </w:rPr>
                    <w:t>15</w:t>
                  </w:r>
                </w:p>
              </w:tc>
              <w:tc>
                <w:tcPr>
                  <w:tcW w:w="744" w:type="pct"/>
                  <w:tcBorders>
                    <w:tl2br w:val="nil"/>
                    <w:tr2bl w:val="nil"/>
                  </w:tcBorders>
                  <w:vAlign w:val="center"/>
                </w:tcPr>
                <w:p w14:paraId="6BFFDDFE">
                  <w:pPr>
                    <w:jc w:val="center"/>
                    <w:rPr>
                      <w:color w:val="auto"/>
                      <w:sz w:val="21"/>
                      <w:szCs w:val="21"/>
                      <w:highlight w:val="none"/>
                      <w:u w:val="none"/>
                    </w:rPr>
                  </w:pPr>
                  <w:r>
                    <w:rPr>
                      <w:rFonts w:hint="eastAsia"/>
                      <w:color w:val="auto"/>
                      <w:sz w:val="21"/>
                      <w:szCs w:val="21"/>
                      <w:highlight w:val="none"/>
                      <w:u w:val="none"/>
                    </w:rPr>
                    <w:t>一般固体废物</w:t>
                  </w:r>
                </w:p>
              </w:tc>
              <w:tc>
                <w:tcPr>
                  <w:tcW w:w="967" w:type="pct"/>
                  <w:tcBorders>
                    <w:tl2br w:val="nil"/>
                    <w:tr2bl w:val="nil"/>
                  </w:tcBorders>
                  <w:vAlign w:val="center"/>
                </w:tcPr>
                <w:p w14:paraId="7AC56733">
                  <w:pPr>
                    <w:jc w:val="center"/>
                    <w:rPr>
                      <w:rFonts w:hAnsi="宋体"/>
                      <w:color w:val="auto"/>
                      <w:sz w:val="21"/>
                      <w:szCs w:val="21"/>
                      <w:highlight w:val="none"/>
                      <w:u w:val="none"/>
                    </w:rPr>
                  </w:pPr>
                  <w:r>
                    <w:rPr>
                      <w:rFonts w:hint="eastAsia" w:hAnsi="宋体"/>
                      <w:color w:val="auto"/>
                      <w:sz w:val="21"/>
                      <w:szCs w:val="21"/>
                      <w:highlight w:val="none"/>
                      <w:u w:val="none"/>
                    </w:rPr>
                    <w:t>900-099-S64</w:t>
                  </w:r>
                </w:p>
              </w:tc>
              <w:tc>
                <w:tcPr>
                  <w:tcW w:w="1294" w:type="pct"/>
                  <w:tcBorders>
                    <w:tl2br w:val="nil"/>
                    <w:tr2bl w:val="nil"/>
                  </w:tcBorders>
                  <w:vAlign w:val="center"/>
                </w:tcPr>
                <w:p w14:paraId="75CDC35D">
                  <w:pPr>
                    <w:jc w:val="center"/>
                    <w:rPr>
                      <w:color w:val="auto"/>
                      <w:sz w:val="21"/>
                      <w:szCs w:val="21"/>
                      <w:highlight w:val="none"/>
                      <w:u w:val="none"/>
                    </w:rPr>
                  </w:pPr>
                  <w:r>
                    <w:rPr>
                      <w:color w:val="auto"/>
                      <w:sz w:val="21"/>
                      <w:szCs w:val="21"/>
                      <w:highlight w:val="none"/>
                      <w:u w:val="none"/>
                    </w:rPr>
                    <w:t>委托当地环卫部门进行清运处理</w:t>
                  </w:r>
                </w:p>
              </w:tc>
            </w:tr>
            <w:tr w14:paraId="17D728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333" w:type="pct"/>
                  <w:tcBorders>
                    <w:tl2br w:val="nil"/>
                    <w:tr2bl w:val="nil"/>
                  </w:tcBorders>
                  <w:vAlign w:val="center"/>
                </w:tcPr>
                <w:p w14:paraId="5BC12D7C">
                  <w:pPr>
                    <w:jc w:val="center"/>
                    <w:rPr>
                      <w:color w:val="auto"/>
                      <w:sz w:val="21"/>
                      <w:szCs w:val="21"/>
                      <w:highlight w:val="none"/>
                      <w:u w:val="none"/>
                    </w:rPr>
                  </w:pPr>
                  <w:r>
                    <w:rPr>
                      <w:rFonts w:hint="eastAsia"/>
                      <w:color w:val="auto"/>
                      <w:sz w:val="21"/>
                      <w:szCs w:val="21"/>
                      <w:highlight w:val="none"/>
                      <w:u w:val="none"/>
                    </w:rPr>
                    <w:t>8</w:t>
                  </w:r>
                </w:p>
              </w:tc>
              <w:tc>
                <w:tcPr>
                  <w:tcW w:w="938" w:type="pct"/>
                  <w:tcBorders>
                    <w:tl2br w:val="nil"/>
                    <w:tr2bl w:val="nil"/>
                  </w:tcBorders>
                  <w:vAlign w:val="center"/>
                </w:tcPr>
                <w:p w14:paraId="1913BA60">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废化学品包装</w:t>
                  </w:r>
                </w:p>
              </w:tc>
              <w:tc>
                <w:tcPr>
                  <w:tcW w:w="722" w:type="pct"/>
                  <w:tcBorders>
                    <w:tl2br w:val="nil"/>
                    <w:tr2bl w:val="nil"/>
                  </w:tcBorders>
                  <w:vAlign w:val="center"/>
                </w:tcPr>
                <w:p w14:paraId="2845778A">
                  <w:pPr>
                    <w:jc w:val="center"/>
                    <w:rPr>
                      <w:rFonts w:hint="default" w:ascii="Times New Roman" w:hAnsi="Times New Roman" w:eastAsia="宋体" w:cs="Times New Roman"/>
                      <w:sz w:val="21"/>
                      <w:szCs w:val="21"/>
                      <w:highlight w:val="none"/>
                      <w:lang w:val="en-US"/>
                    </w:rPr>
                  </w:pPr>
                  <w:r>
                    <w:rPr>
                      <w:rFonts w:ascii="Times New Roman" w:hAnsi="Times New Roman" w:eastAsia="宋体" w:cs="Times New Roman"/>
                      <w:sz w:val="21"/>
                      <w:szCs w:val="21"/>
                      <w:highlight w:val="none"/>
                    </w:rPr>
                    <w:t>0.</w:t>
                  </w:r>
                  <w:r>
                    <w:rPr>
                      <w:rFonts w:hint="eastAsia" w:cs="Times New Roman"/>
                      <w:sz w:val="21"/>
                      <w:szCs w:val="21"/>
                      <w:highlight w:val="none"/>
                      <w:lang w:val="en-US" w:eastAsia="zh-CN"/>
                    </w:rPr>
                    <w:t>288</w:t>
                  </w:r>
                </w:p>
              </w:tc>
              <w:tc>
                <w:tcPr>
                  <w:tcW w:w="744" w:type="pct"/>
                  <w:vMerge w:val="restart"/>
                  <w:tcBorders>
                    <w:tl2br w:val="nil"/>
                    <w:tr2bl w:val="nil"/>
                  </w:tcBorders>
                  <w:vAlign w:val="center"/>
                </w:tcPr>
                <w:p w14:paraId="5CBA5B72">
                  <w:pPr>
                    <w:jc w:val="center"/>
                    <w:rPr>
                      <w:color w:val="auto"/>
                      <w:sz w:val="21"/>
                      <w:szCs w:val="21"/>
                      <w:highlight w:val="none"/>
                      <w:u w:val="none"/>
                    </w:rPr>
                  </w:pPr>
                  <w:r>
                    <w:rPr>
                      <w:rFonts w:hint="eastAsia"/>
                      <w:color w:val="auto"/>
                      <w:sz w:val="21"/>
                      <w:szCs w:val="21"/>
                      <w:highlight w:val="none"/>
                      <w:u w:val="none"/>
                    </w:rPr>
                    <w:t>危险废物</w:t>
                  </w:r>
                </w:p>
              </w:tc>
              <w:tc>
                <w:tcPr>
                  <w:tcW w:w="967" w:type="pct"/>
                  <w:tcBorders>
                    <w:tl2br w:val="nil"/>
                    <w:tr2bl w:val="nil"/>
                  </w:tcBorders>
                  <w:vAlign w:val="center"/>
                </w:tcPr>
                <w:p w14:paraId="46B7A349">
                  <w:pPr>
                    <w:jc w:val="center"/>
                    <w:rPr>
                      <w:rFonts w:hAnsi="宋体"/>
                      <w:color w:val="auto"/>
                      <w:sz w:val="21"/>
                      <w:szCs w:val="21"/>
                      <w:highlight w:val="none"/>
                      <w:u w:val="none"/>
                    </w:rPr>
                  </w:pPr>
                  <w:r>
                    <w:rPr>
                      <w:rFonts w:ascii="Times New Roman" w:hAnsi="Times New Roman" w:cs="Times New Roman"/>
                      <w:sz w:val="21"/>
                      <w:szCs w:val="21"/>
                      <w:highlight w:val="none"/>
                    </w:rPr>
                    <w:t>900-</w:t>
                  </w:r>
                  <w:r>
                    <w:rPr>
                      <w:rFonts w:hint="eastAsia" w:cs="Times New Roman"/>
                      <w:sz w:val="21"/>
                      <w:szCs w:val="21"/>
                      <w:highlight w:val="none"/>
                      <w:lang w:val="en-US" w:eastAsia="zh-CN"/>
                    </w:rPr>
                    <w:t>041</w:t>
                  </w:r>
                  <w:r>
                    <w:rPr>
                      <w:rFonts w:ascii="Times New Roman" w:hAnsi="Times New Roman" w:cs="Times New Roman"/>
                      <w:sz w:val="21"/>
                      <w:szCs w:val="21"/>
                      <w:highlight w:val="none"/>
                    </w:rPr>
                    <w:t>-</w:t>
                  </w:r>
                  <w:r>
                    <w:rPr>
                      <w:rFonts w:hint="eastAsia" w:cs="Times New Roman"/>
                      <w:sz w:val="21"/>
                      <w:szCs w:val="21"/>
                      <w:highlight w:val="none"/>
                      <w:lang w:val="en-US" w:eastAsia="zh-CN"/>
                    </w:rPr>
                    <w:t>49</w:t>
                  </w:r>
                </w:p>
              </w:tc>
              <w:tc>
                <w:tcPr>
                  <w:tcW w:w="1294" w:type="pct"/>
                  <w:vMerge w:val="restart"/>
                  <w:tcBorders>
                    <w:tl2br w:val="nil"/>
                    <w:tr2bl w:val="nil"/>
                  </w:tcBorders>
                  <w:vAlign w:val="center"/>
                </w:tcPr>
                <w:p w14:paraId="08CC6330">
                  <w:pPr>
                    <w:jc w:val="center"/>
                    <w:rPr>
                      <w:color w:val="auto"/>
                      <w:sz w:val="21"/>
                      <w:szCs w:val="21"/>
                      <w:highlight w:val="none"/>
                      <w:u w:val="none"/>
                    </w:rPr>
                  </w:pPr>
                  <w:r>
                    <w:rPr>
                      <w:rFonts w:hint="eastAsia"/>
                      <w:color w:val="auto"/>
                      <w:sz w:val="21"/>
                      <w:szCs w:val="21"/>
                      <w:highlight w:val="none"/>
                      <w:u w:val="none"/>
                      <w:lang w:eastAsia="zh-CN"/>
                    </w:rPr>
                    <w:t>用密闭容器暂存在危废暂存间，</w:t>
                  </w:r>
                  <w:r>
                    <w:rPr>
                      <w:rFonts w:hint="eastAsia"/>
                      <w:color w:val="auto"/>
                      <w:sz w:val="21"/>
                      <w:szCs w:val="21"/>
                      <w:highlight w:val="none"/>
                      <w:u w:val="none"/>
                    </w:rPr>
                    <w:t>定期交有危险废物</w:t>
                  </w:r>
                  <w:r>
                    <w:rPr>
                      <w:rFonts w:hint="eastAsia" w:hAnsi="宋体"/>
                      <w:color w:val="auto"/>
                      <w:sz w:val="21"/>
                      <w:szCs w:val="21"/>
                      <w:highlight w:val="none"/>
                      <w:u w:val="none"/>
                    </w:rPr>
                    <w:t>处理资质的单位处理，不自行处理和外排</w:t>
                  </w:r>
                </w:p>
              </w:tc>
            </w:tr>
            <w:tr w14:paraId="78481B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333" w:type="pct"/>
                  <w:tcBorders>
                    <w:tl2br w:val="nil"/>
                    <w:tr2bl w:val="nil"/>
                  </w:tcBorders>
                  <w:vAlign w:val="center"/>
                </w:tcPr>
                <w:p w14:paraId="06C886EE">
                  <w:pPr>
                    <w:jc w:val="center"/>
                    <w:rPr>
                      <w:color w:val="auto"/>
                      <w:sz w:val="21"/>
                      <w:szCs w:val="21"/>
                      <w:highlight w:val="none"/>
                      <w:u w:val="none"/>
                    </w:rPr>
                  </w:pPr>
                  <w:r>
                    <w:rPr>
                      <w:rFonts w:hint="eastAsia"/>
                      <w:color w:val="auto"/>
                      <w:sz w:val="21"/>
                      <w:szCs w:val="21"/>
                      <w:highlight w:val="none"/>
                      <w:u w:val="none"/>
                    </w:rPr>
                    <w:t>9</w:t>
                  </w:r>
                </w:p>
              </w:tc>
              <w:tc>
                <w:tcPr>
                  <w:tcW w:w="938" w:type="pct"/>
                  <w:tcBorders>
                    <w:tl2br w:val="nil"/>
                    <w:tr2bl w:val="nil"/>
                  </w:tcBorders>
                  <w:vAlign w:val="center"/>
                </w:tcPr>
                <w:p w14:paraId="30472D57">
                  <w:pPr>
                    <w:jc w:val="center"/>
                    <w:rPr>
                      <w:rFonts w:hint="eastAsia" w:eastAsia="宋体"/>
                      <w:color w:val="auto"/>
                      <w:sz w:val="21"/>
                      <w:szCs w:val="21"/>
                      <w:highlight w:val="none"/>
                      <w:u w:val="none"/>
                    </w:rPr>
                  </w:pPr>
                  <w:r>
                    <w:rPr>
                      <w:rFonts w:hint="default" w:eastAsia="宋体"/>
                      <w:color w:val="auto"/>
                      <w:sz w:val="21"/>
                      <w:szCs w:val="21"/>
                      <w:highlight w:val="none"/>
                      <w:u w:val="none"/>
                      <w:lang w:val="en-US" w:eastAsia="zh-CN"/>
                    </w:rPr>
                    <w:t>废</w:t>
                  </w:r>
                  <w:r>
                    <w:rPr>
                      <w:rFonts w:hint="eastAsia" w:eastAsia="宋体"/>
                      <w:color w:val="auto"/>
                      <w:sz w:val="21"/>
                      <w:szCs w:val="21"/>
                      <w:highlight w:val="none"/>
                      <w:u w:val="none"/>
                      <w:lang w:val="en-US" w:eastAsia="zh-CN"/>
                    </w:rPr>
                    <w:t>液压</w:t>
                  </w:r>
                  <w:r>
                    <w:rPr>
                      <w:rFonts w:hint="default" w:eastAsia="宋体"/>
                      <w:color w:val="auto"/>
                      <w:sz w:val="21"/>
                      <w:szCs w:val="21"/>
                      <w:highlight w:val="none"/>
                      <w:u w:val="none"/>
                      <w:lang w:val="en-US" w:eastAsia="zh-CN"/>
                    </w:rPr>
                    <w:t>油</w:t>
                  </w:r>
                </w:p>
              </w:tc>
              <w:tc>
                <w:tcPr>
                  <w:tcW w:w="722" w:type="pct"/>
                  <w:tcBorders>
                    <w:tl2br w:val="nil"/>
                    <w:tr2bl w:val="nil"/>
                  </w:tcBorders>
                  <w:vAlign w:val="center"/>
                </w:tcPr>
                <w:p w14:paraId="1ED93BF2">
                  <w:pPr>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0.1</w:t>
                  </w:r>
                </w:p>
              </w:tc>
              <w:tc>
                <w:tcPr>
                  <w:tcW w:w="744" w:type="pct"/>
                  <w:vMerge w:val="continue"/>
                  <w:tcBorders>
                    <w:tl2br w:val="nil"/>
                    <w:tr2bl w:val="nil"/>
                  </w:tcBorders>
                  <w:vAlign w:val="center"/>
                </w:tcPr>
                <w:p w14:paraId="590A2A18">
                  <w:pPr>
                    <w:jc w:val="center"/>
                    <w:rPr>
                      <w:color w:val="auto"/>
                      <w:sz w:val="21"/>
                      <w:szCs w:val="21"/>
                      <w:highlight w:val="none"/>
                      <w:u w:val="none"/>
                    </w:rPr>
                  </w:pPr>
                </w:p>
              </w:tc>
              <w:tc>
                <w:tcPr>
                  <w:tcW w:w="967" w:type="pct"/>
                  <w:tcBorders>
                    <w:tl2br w:val="nil"/>
                    <w:tr2bl w:val="nil"/>
                  </w:tcBorders>
                  <w:vAlign w:val="center"/>
                </w:tcPr>
                <w:p w14:paraId="2BB71BAF">
                  <w:pPr>
                    <w:jc w:val="center"/>
                    <w:rPr>
                      <w:color w:val="auto"/>
                      <w:sz w:val="21"/>
                      <w:szCs w:val="21"/>
                      <w:highlight w:val="none"/>
                      <w:u w:val="none"/>
                    </w:rPr>
                  </w:pPr>
                  <w:r>
                    <w:rPr>
                      <w:rFonts w:ascii="Times New Roman" w:hAnsi="Times New Roman" w:cs="Times New Roman"/>
                      <w:sz w:val="21"/>
                      <w:szCs w:val="21"/>
                      <w:highlight w:val="none"/>
                    </w:rPr>
                    <w:t>900-</w:t>
                  </w:r>
                  <w:r>
                    <w:rPr>
                      <w:rFonts w:hint="eastAsia" w:cs="Times New Roman"/>
                      <w:sz w:val="21"/>
                      <w:szCs w:val="21"/>
                      <w:highlight w:val="none"/>
                      <w:lang w:val="en-US" w:eastAsia="zh-CN"/>
                    </w:rPr>
                    <w:t>249</w:t>
                  </w:r>
                  <w:r>
                    <w:rPr>
                      <w:rFonts w:ascii="Times New Roman" w:hAnsi="Times New Roman" w:cs="Times New Roman"/>
                      <w:sz w:val="21"/>
                      <w:szCs w:val="21"/>
                      <w:highlight w:val="none"/>
                    </w:rPr>
                    <w:t>-</w:t>
                  </w:r>
                  <w:r>
                    <w:rPr>
                      <w:rFonts w:hint="eastAsia" w:cs="Times New Roman"/>
                      <w:sz w:val="21"/>
                      <w:szCs w:val="21"/>
                      <w:highlight w:val="none"/>
                      <w:lang w:val="en-US" w:eastAsia="zh-CN"/>
                    </w:rPr>
                    <w:t>08</w:t>
                  </w:r>
                </w:p>
              </w:tc>
              <w:tc>
                <w:tcPr>
                  <w:tcW w:w="1294" w:type="pct"/>
                  <w:vMerge w:val="continue"/>
                  <w:tcBorders>
                    <w:tl2br w:val="nil"/>
                    <w:tr2bl w:val="nil"/>
                  </w:tcBorders>
                  <w:vAlign w:val="center"/>
                </w:tcPr>
                <w:p w14:paraId="69E1FBA3">
                  <w:pPr>
                    <w:jc w:val="center"/>
                    <w:rPr>
                      <w:color w:val="auto"/>
                      <w:sz w:val="21"/>
                      <w:szCs w:val="21"/>
                      <w:highlight w:val="none"/>
                      <w:u w:val="none"/>
                    </w:rPr>
                  </w:pPr>
                </w:p>
              </w:tc>
            </w:tr>
            <w:tr w14:paraId="696B9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333" w:type="pct"/>
                  <w:tcBorders>
                    <w:tl2br w:val="nil"/>
                    <w:tr2bl w:val="nil"/>
                  </w:tcBorders>
                  <w:vAlign w:val="center"/>
                </w:tcPr>
                <w:p w14:paraId="4F3939D4">
                  <w:pPr>
                    <w:jc w:val="center"/>
                    <w:rPr>
                      <w:color w:val="auto"/>
                      <w:sz w:val="21"/>
                      <w:szCs w:val="21"/>
                      <w:highlight w:val="none"/>
                      <w:u w:val="none"/>
                    </w:rPr>
                  </w:pPr>
                  <w:r>
                    <w:rPr>
                      <w:rFonts w:hint="eastAsia"/>
                      <w:color w:val="auto"/>
                      <w:sz w:val="21"/>
                      <w:szCs w:val="21"/>
                      <w:highlight w:val="none"/>
                      <w:u w:val="none"/>
                      <w:lang w:val="en-US" w:eastAsia="zh-CN"/>
                    </w:rPr>
                    <w:t>10</w:t>
                  </w:r>
                </w:p>
              </w:tc>
              <w:tc>
                <w:tcPr>
                  <w:tcW w:w="938" w:type="pct"/>
                  <w:tcBorders>
                    <w:tl2br w:val="nil"/>
                    <w:tr2bl w:val="nil"/>
                  </w:tcBorders>
                  <w:vAlign w:val="center"/>
                </w:tcPr>
                <w:p w14:paraId="661AFF8B">
                  <w:pPr>
                    <w:jc w:val="center"/>
                    <w:rPr>
                      <w:rFonts w:hint="eastAsia" w:eastAsia="宋体"/>
                      <w:color w:val="auto"/>
                      <w:sz w:val="21"/>
                      <w:szCs w:val="21"/>
                      <w:highlight w:val="none"/>
                      <w:u w:val="none"/>
                    </w:rPr>
                  </w:pPr>
                  <w:r>
                    <w:rPr>
                      <w:rFonts w:hint="eastAsia" w:eastAsia="宋体"/>
                      <w:color w:val="auto"/>
                      <w:sz w:val="21"/>
                      <w:szCs w:val="21"/>
                      <w:highlight w:val="none"/>
                      <w:u w:val="none"/>
                      <w:lang w:val="en-US" w:eastAsia="zh-CN"/>
                    </w:rPr>
                    <w:t>液压油废桶</w:t>
                  </w:r>
                </w:p>
              </w:tc>
              <w:tc>
                <w:tcPr>
                  <w:tcW w:w="722" w:type="pct"/>
                  <w:tcBorders>
                    <w:tl2br w:val="nil"/>
                    <w:tr2bl w:val="nil"/>
                  </w:tcBorders>
                  <w:vAlign w:val="center"/>
                </w:tcPr>
                <w:p w14:paraId="6308C92E">
                  <w:pPr>
                    <w:jc w:val="center"/>
                    <w:rPr>
                      <w:rFonts w:hint="eastAsia" w:eastAsia="宋体"/>
                      <w:color w:val="auto"/>
                      <w:sz w:val="21"/>
                      <w:szCs w:val="21"/>
                      <w:highlight w:val="none"/>
                      <w:u w:val="none"/>
                      <w:lang w:eastAsia="zh-CN"/>
                    </w:rPr>
                  </w:pPr>
                  <w:r>
                    <w:rPr>
                      <w:rFonts w:ascii="Times New Roman" w:hAnsi="Times New Roman" w:cs="Times New Roman"/>
                      <w:sz w:val="21"/>
                      <w:szCs w:val="21"/>
                      <w:highlight w:val="none"/>
                    </w:rPr>
                    <w:t>0.0</w:t>
                  </w:r>
                  <w:r>
                    <w:rPr>
                      <w:rFonts w:hint="eastAsia" w:cs="Times New Roman"/>
                      <w:sz w:val="21"/>
                      <w:szCs w:val="21"/>
                      <w:highlight w:val="none"/>
                      <w:lang w:val="en-US" w:eastAsia="zh-CN"/>
                    </w:rPr>
                    <w:t>2</w:t>
                  </w:r>
                </w:p>
              </w:tc>
              <w:tc>
                <w:tcPr>
                  <w:tcW w:w="744" w:type="pct"/>
                  <w:vMerge w:val="continue"/>
                  <w:tcBorders>
                    <w:tl2br w:val="nil"/>
                    <w:tr2bl w:val="nil"/>
                  </w:tcBorders>
                  <w:vAlign w:val="center"/>
                </w:tcPr>
                <w:p w14:paraId="3039577C">
                  <w:pPr>
                    <w:jc w:val="center"/>
                    <w:rPr>
                      <w:color w:val="auto"/>
                      <w:sz w:val="21"/>
                      <w:szCs w:val="21"/>
                      <w:highlight w:val="none"/>
                      <w:u w:val="none"/>
                    </w:rPr>
                  </w:pPr>
                </w:p>
              </w:tc>
              <w:tc>
                <w:tcPr>
                  <w:tcW w:w="967" w:type="pct"/>
                  <w:tcBorders>
                    <w:tl2br w:val="nil"/>
                    <w:tr2bl w:val="nil"/>
                  </w:tcBorders>
                  <w:vAlign w:val="center"/>
                </w:tcPr>
                <w:p w14:paraId="670D79CA">
                  <w:pPr>
                    <w:jc w:val="center"/>
                    <w:rPr>
                      <w:color w:val="auto"/>
                      <w:sz w:val="21"/>
                      <w:szCs w:val="21"/>
                      <w:highlight w:val="none"/>
                      <w:u w:val="none"/>
                    </w:rPr>
                  </w:pPr>
                  <w:r>
                    <w:rPr>
                      <w:rFonts w:ascii="Times New Roman" w:hAnsi="Times New Roman" w:cs="Times New Roman"/>
                      <w:sz w:val="21"/>
                      <w:szCs w:val="21"/>
                      <w:highlight w:val="none"/>
                    </w:rPr>
                    <w:t>900-</w:t>
                  </w:r>
                  <w:r>
                    <w:rPr>
                      <w:rFonts w:hint="eastAsia" w:cs="Times New Roman"/>
                      <w:sz w:val="21"/>
                      <w:szCs w:val="21"/>
                      <w:highlight w:val="none"/>
                      <w:lang w:val="en-US" w:eastAsia="zh-CN"/>
                    </w:rPr>
                    <w:t>041</w:t>
                  </w:r>
                  <w:r>
                    <w:rPr>
                      <w:rFonts w:ascii="Times New Roman" w:hAnsi="Times New Roman" w:cs="Times New Roman"/>
                      <w:sz w:val="21"/>
                      <w:szCs w:val="21"/>
                      <w:highlight w:val="none"/>
                    </w:rPr>
                    <w:t>-</w:t>
                  </w:r>
                  <w:r>
                    <w:rPr>
                      <w:rFonts w:hint="eastAsia" w:cs="Times New Roman"/>
                      <w:sz w:val="21"/>
                      <w:szCs w:val="21"/>
                      <w:highlight w:val="none"/>
                      <w:lang w:val="en-US" w:eastAsia="zh-CN"/>
                    </w:rPr>
                    <w:t>49</w:t>
                  </w:r>
                </w:p>
              </w:tc>
              <w:tc>
                <w:tcPr>
                  <w:tcW w:w="1294" w:type="pct"/>
                  <w:vMerge w:val="continue"/>
                  <w:tcBorders>
                    <w:tl2br w:val="nil"/>
                    <w:tr2bl w:val="nil"/>
                  </w:tcBorders>
                  <w:vAlign w:val="center"/>
                </w:tcPr>
                <w:p w14:paraId="42E33AC2">
                  <w:pPr>
                    <w:jc w:val="center"/>
                    <w:rPr>
                      <w:color w:val="auto"/>
                      <w:sz w:val="21"/>
                      <w:szCs w:val="21"/>
                      <w:highlight w:val="none"/>
                      <w:u w:val="none"/>
                    </w:rPr>
                  </w:pPr>
                </w:p>
              </w:tc>
            </w:tr>
            <w:tr w14:paraId="2FADA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333" w:type="pct"/>
                  <w:tcBorders>
                    <w:tl2br w:val="nil"/>
                    <w:tr2bl w:val="nil"/>
                  </w:tcBorders>
                  <w:vAlign w:val="center"/>
                </w:tcPr>
                <w:p w14:paraId="313F0378">
                  <w:pPr>
                    <w:jc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11</w:t>
                  </w:r>
                </w:p>
              </w:tc>
              <w:tc>
                <w:tcPr>
                  <w:tcW w:w="938" w:type="pct"/>
                  <w:tcBorders>
                    <w:tl2br w:val="nil"/>
                    <w:tr2bl w:val="nil"/>
                  </w:tcBorders>
                  <w:vAlign w:val="center"/>
                </w:tcPr>
                <w:p w14:paraId="14A5E64C">
                  <w:pPr>
                    <w:jc w:val="center"/>
                    <w:rPr>
                      <w:rFonts w:hint="eastAsia"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废活性炭</w:t>
                  </w:r>
                </w:p>
              </w:tc>
              <w:tc>
                <w:tcPr>
                  <w:tcW w:w="722" w:type="pct"/>
                  <w:tcBorders>
                    <w:tl2br w:val="nil"/>
                    <w:tr2bl w:val="nil"/>
                  </w:tcBorders>
                  <w:vAlign w:val="center"/>
                </w:tcPr>
                <w:p w14:paraId="65D4AF90">
                  <w:pPr>
                    <w:jc w:val="center"/>
                    <w:rPr>
                      <w:rFonts w:hint="default"/>
                      <w:color w:val="auto"/>
                      <w:sz w:val="21"/>
                      <w:szCs w:val="21"/>
                      <w:highlight w:val="none"/>
                      <w:u w:val="none"/>
                      <w:lang w:val="en-US"/>
                    </w:rPr>
                  </w:pPr>
                  <w:r>
                    <w:rPr>
                      <w:rFonts w:hint="eastAsia" w:cs="Times New Roman"/>
                      <w:color w:val="auto"/>
                      <w:sz w:val="21"/>
                      <w:szCs w:val="21"/>
                      <w:highlight w:val="none"/>
                      <w:lang w:val="en-US" w:eastAsia="zh-CN"/>
                    </w:rPr>
                    <w:t>4.06</w:t>
                  </w:r>
                </w:p>
              </w:tc>
              <w:tc>
                <w:tcPr>
                  <w:tcW w:w="744" w:type="pct"/>
                  <w:vMerge w:val="continue"/>
                  <w:tcBorders>
                    <w:tl2br w:val="nil"/>
                    <w:tr2bl w:val="nil"/>
                  </w:tcBorders>
                  <w:vAlign w:val="center"/>
                </w:tcPr>
                <w:p w14:paraId="07BB1F5A">
                  <w:pPr>
                    <w:jc w:val="center"/>
                    <w:rPr>
                      <w:color w:val="auto"/>
                      <w:sz w:val="21"/>
                      <w:szCs w:val="21"/>
                      <w:highlight w:val="none"/>
                      <w:u w:val="none"/>
                    </w:rPr>
                  </w:pPr>
                </w:p>
              </w:tc>
              <w:tc>
                <w:tcPr>
                  <w:tcW w:w="967" w:type="pct"/>
                  <w:tcBorders>
                    <w:tl2br w:val="nil"/>
                    <w:tr2bl w:val="nil"/>
                  </w:tcBorders>
                  <w:vAlign w:val="center"/>
                </w:tcPr>
                <w:p w14:paraId="1CF58D99">
                  <w:pPr>
                    <w:jc w:val="center"/>
                    <w:rPr>
                      <w:color w:val="auto"/>
                      <w:sz w:val="21"/>
                      <w:szCs w:val="21"/>
                      <w:highlight w:val="none"/>
                      <w:u w:val="none"/>
                    </w:rPr>
                  </w:pPr>
                  <w:r>
                    <w:rPr>
                      <w:rFonts w:hint="eastAsia" w:ascii="Times New Roman" w:hAnsi="Times New Roman" w:cs="Times New Roman"/>
                      <w:color w:val="auto"/>
                      <w:sz w:val="21"/>
                      <w:szCs w:val="21"/>
                      <w:highlight w:val="none"/>
                      <w:lang w:val="en-US" w:eastAsia="zh-CN"/>
                    </w:rPr>
                    <w:t>900-039-49</w:t>
                  </w:r>
                </w:p>
              </w:tc>
              <w:tc>
                <w:tcPr>
                  <w:tcW w:w="1294" w:type="pct"/>
                  <w:vMerge w:val="continue"/>
                  <w:tcBorders>
                    <w:tl2br w:val="nil"/>
                    <w:tr2bl w:val="nil"/>
                  </w:tcBorders>
                  <w:vAlign w:val="center"/>
                </w:tcPr>
                <w:p w14:paraId="416E6493">
                  <w:pPr>
                    <w:jc w:val="center"/>
                    <w:rPr>
                      <w:color w:val="auto"/>
                      <w:sz w:val="21"/>
                      <w:szCs w:val="21"/>
                      <w:highlight w:val="none"/>
                      <w:u w:val="none"/>
                    </w:rPr>
                  </w:pPr>
                </w:p>
              </w:tc>
            </w:tr>
            <w:tr w14:paraId="75E6B3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333" w:type="pct"/>
                  <w:tcBorders>
                    <w:tl2br w:val="nil"/>
                    <w:tr2bl w:val="nil"/>
                  </w:tcBorders>
                  <w:vAlign w:val="center"/>
                </w:tcPr>
                <w:p w14:paraId="47C4793D">
                  <w:pPr>
                    <w:jc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12</w:t>
                  </w:r>
                </w:p>
              </w:tc>
              <w:tc>
                <w:tcPr>
                  <w:tcW w:w="938" w:type="pct"/>
                  <w:tcBorders>
                    <w:tl2br w:val="nil"/>
                    <w:tr2bl w:val="nil"/>
                  </w:tcBorders>
                  <w:vAlign w:val="center"/>
                </w:tcPr>
                <w:p w14:paraId="004780AC">
                  <w:pPr>
                    <w:jc w:val="center"/>
                    <w:rPr>
                      <w:rFonts w:hint="eastAsia"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废润滑油</w:t>
                  </w:r>
                </w:p>
              </w:tc>
              <w:tc>
                <w:tcPr>
                  <w:tcW w:w="722" w:type="pct"/>
                  <w:tcBorders>
                    <w:tl2br w:val="nil"/>
                    <w:tr2bl w:val="nil"/>
                  </w:tcBorders>
                  <w:vAlign w:val="center"/>
                </w:tcPr>
                <w:p w14:paraId="1EADAF6D">
                  <w:pPr>
                    <w:jc w:val="center"/>
                    <w:rPr>
                      <w:color w:val="auto"/>
                      <w:sz w:val="21"/>
                      <w:szCs w:val="21"/>
                      <w:highlight w:val="none"/>
                      <w:u w:val="none"/>
                    </w:rPr>
                  </w:pPr>
                  <w:r>
                    <w:rPr>
                      <w:rFonts w:hint="eastAsia"/>
                      <w:color w:val="auto"/>
                      <w:sz w:val="21"/>
                      <w:szCs w:val="21"/>
                      <w:highlight w:val="none"/>
                      <w:u w:val="none" w:color="auto"/>
                      <w:lang w:val="en-US" w:eastAsia="zh-CN"/>
                    </w:rPr>
                    <w:t>0.05</w:t>
                  </w:r>
                </w:p>
              </w:tc>
              <w:tc>
                <w:tcPr>
                  <w:tcW w:w="744" w:type="pct"/>
                  <w:vMerge w:val="continue"/>
                  <w:tcBorders>
                    <w:tl2br w:val="nil"/>
                    <w:tr2bl w:val="nil"/>
                  </w:tcBorders>
                  <w:vAlign w:val="center"/>
                </w:tcPr>
                <w:p w14:paraId="7EC8BAA9">
                  <w:pPr>
                    <w:jc w:val="center"/>
                    <w:rPr>
                      <w:color w:val="auto"/>
                      <w:sz w:val="21"/>
                      <w:szCs w:val="21"/>
                      <w:highlight w:val="none"/>
                      <w:u w:val="none"/>
                    </w:rPr>
                  </w:pPr>
                </w:p>
              </w:tc>
              <w:tc>
                <w:tcPr>
                  <w:tcW w:w="967" w:type="pct"/>
                  <w:tcBorders>
                    <w:tl2br w:val="nil"/>
                    <w:tr2bl w:val="nil"/>
                  </w:tcBorders>
                  <w:vAlign w:val="center"/>
                </w:tcPr>
                <w:p w14:paraId="4CA6C296">
                  <w:pPr>
                    <w:jc w:val="center"/>
                    <w:rPr>
                      <w:color w:val="auto"/>
                      <w:sz w:val="21"/>
                      <w:szCs w:val="21"/>
                      <w:highlight w:val="none"/>
                      <w:u w:val="none"/>
                    </w:rPr>
                  </w:pPr>
                  <w:r>
                    <w:rPr>
                      <w:color w:val="auto"/>
                      <w:sz w:val="21"/>
                      <w:szCs w:val="21"/>
                      <w:highlight w:val="none"/>
                      <w:u w:val="none" w:color="auto"/>
                    </w:rPr>
                    <w:t>900-217-08</w:t>
                  </w:r>
                </w:p>
              </w:tc>
              <w:tc>
                <w:tcPr>
                  <w:tcW w:w="1294" w:type="pct"/>
                  <w:vMerge w:val="continue"/>
                  <w:tcBorders>
                    <w:tl2br w:val="nil"/>
                    <w:tr2bl w:val="nil"/>
                  </w:tcBorders>
                  <w:vAlign w:val="center"/>
                </w:tcPr>
                <w:p w14:paraId="1B06304A">
                  <w:pPr>
                    <w:jc w:val="center"/>
                    <w:rPr>
                      <w:color w:val="auto"/>
                      <w:sz w:val="21"/>
                      <w:szCs w:val="21"/>
                      <w:highlight w:val="none"/>
                      <w:u w:val="none"/>
                    </w:rPr>
                  </w:pPr>
                </w:p>
              </w:tc>
            </w:tr>
            <w:tr w14:paraId="78289F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333" w:type="pct"/>
                  <w:tcBorders>
                    <w:tl2br w:val="nil"/>
                    <w:tr2bl w:val="nil"/>
                  </w:tcBorders>
                  <w:vAlign w:val="center"/>
                </w:tcPr>
                <w:p w14:paraId="66D7A8FC">
                  <w:pPr>
                    <w:jc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13</w:t>
                  </w:r>
                </w:p>
              </w:tc>
              <w:tc>
                <w:tcPr>
                  <w:tcW w:w="938" w:type="pct"/>
                  <w:tcBorders>
                    <w:tl2br w:val="nil"/>
                    <w:tr2bl w:val="nil"/>
                  </w:tcBorders>
                  <w:vAlign w:val="center"/>
                </w:tcPr>
                <w:p w14:paraId="5E965B1E">
                  <w:pPr>
                    <w:jc w:val="center"/>
                    <w:rPr>
                      <w:rFonts w:hint="eastAsia"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机修废机油</w:t>
                  </w:r>
                </w:p>
              </w:tc>
              <w:tc>
                <w:tcPr>
                  <w:tcW w:w="722" w:type="pct"/>
                  <w:tcBorders>
                    <w:tl2br w:val="nil"/>
                    <w:tr2bl w:val="nil"/>
                  </w:tcBorders>
                  <w:vAlign w:val="center"/>
                </w:tcPr>
                <w:p w14:paraId="6DE72031">
                  <w:pPr>
                    <w:jc w:val="center"/>
                    <w:rPr>
                      <w:color w:val="auto"/>
                      <w:sz w:val="21"/>
                      <w:szCs w:val="21"/>
                      <w:highlight w:val="none"/>
                      <w:u w:val="none"/>
                    </w:rPr>
                  </w:pPr>
                  <w:r>
                    <w:rPr>
                      <w:rFonts w:hint="eastAsia"/>
                      <w:color w:val="auto"/>
                      <w:sz w:val="21"/>
                      <w:szCs w:val="21"/>
                      <w:highlight w:val="none"/>
                      <w:u w:val="none" w:color="auto"/>
                      <w:lang w:val="en-US" w:eastAsia="zh-CN"/>
                    </w:rPr>
                    <w:t>0.1</w:t>
                  </w:r>
                </w:p>
              </w:tc>
              <w:tc>
                <w:tcPr>
                  <w:tcW w:w="744" w:type="pct"/>
                  <w:vMerge w:val="continue"/>
                  <w:tcBorders>
                    <w:tl2br w:val="nil"/>
                    <w:tr2bl w:val="nil"/>
                  </w:tcBorders>
                  <w:vAlign w:val="center"/>
                </w:tcPr>
                <w:p w14:paraId="0C17A89B">
                  <w:pPr>
                    <w:jc w:val="center"/>
                    <w:rPr>
                      <w:color w:val="auto"/>
                      <w:sz w:val="21"/>
                      <w:szCs w:val="21"/>
                      <w:highlight w:val="none"/>
                      <w:u w:val="none"/>
                    </w:rPr>
                  </w:pPr>
                </w:p>
              </w:tc>
              <w:tc>
                <w:tcPr>
                  <w:tcW w:w="967" w:type="pct"/>
                  <w:tcBorders>
                    <w:tl2br w:val="nil"/>
                    <w:tr2bl w:val="nil"/>
                  </w:tcBorders>
                  <w:vAlign w:val="center"/>
                </w:tcPr>
                <w:p w14:paraId="542A6933">
                  <w:pPr>
                    <w:jc w:val="center"/>
                    <w:rPr>
                      <w:color w:val="auto"/>
                      <w:sz w:val="21"/>
                      <w:szCs w:val="21"/>
                      <w:highlight w:val="none"/>
                      <w:u w:val="none"/>
                    </w:rPr>
                  </w:pPr>
                  <w:r>
                    <w:rPr>
                      <w:color w:val="auto"/>
                      <w:sz w:val="21"/>
                      <w:szCs w:val="21"/>
                      <w:highlight w:val="none"/>
                      <w:u w:val="none" w:color="auto"/>
                    </w:rPr>
                    <w:t>900-214-08</w:t>
                  </w:r>
                </w:p>
              </w:tc>
              <w:tc>
                <w:tcPr>
                  <w:tcW w:w="1294" w:type="pct"/>
                  <w:vMerge w:val="continue"/>
                  <w:tcBorders>
                    <w:tl2br w:val="nil"/>
                    <w:tr2bl w:val="nil"/>
                  </w:tcBorders>
                  <w:vAlign w:val="center"/>
                </w:tcPr>
                <w:p w14:paraId="69115ED7">
                  <w:pPr>
                    <w:jc w:val="center"/>
                    <w:rPr>
                      <w:color w:val="auto"/>
                      <w:sz w:val="21"/>
                      <w:szCs w:val="21"/>
                      <w:highlight w:val="none"/>
                      <w:u w:val="none"/>
                    </w:rPr>
                  </w:pPr>
                </w:p>
              </w:tc>
            </w:tr>
            <w:tr w14:paraId="23F6E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333" w:type="pct"/>
                  <w:tcBorders>
                    <w:tl2br w:val="nil"/>
                    <w:tr2bl w:val="nil"/>
                  </w:tcBorders>
                  <w:vAlign w:val="center"/>
                </w:tcPr>
                <w:p w14:paraId="25BD34AB">
                  <w:pPr>
                    <w:jc w:val="center"/>
                    <w:rPr>
                      <w:rFonts w:hint="default"/>
                      <w:color w:val="auto"/>
                      <w:sz w:val="21"/>
                      <w:szCs w:val="21"/>
                      <w:highlight w:val="none"/>
                      <w:u w:val="none"/>
                      <w:lang w:val="en-US" w:eastAsia="zh-CN"/>
                    </w:rPr>
                  </w:pPr>
                  <w:r>
                    <w:rPr>
                      <w:rFonts w:hint="eastAsia"/>
                      <w:color w:val="auto"/>
                      <w:sz w:val="21"/>
                      <w:szCs w:val="21"/>
                      <w:highlight w:val="none"/>
                      <w:u w:val="none"/>
                      <w:lang w:val="en-US" w:eastAsia="zh-CN"/>
                    </w:rPr>
                    <w:t>14</w:t>
                  </w:r>
                </w:p>
              </w:tc>
              <w:tc>
                <w:tcPr>
                  <w:tcW w:w="938" w:type="pct"/>
                  <w:tcBorders>
                    <w:tl2br w:val="nil"/>
                    <w:tr2bl w:val="nil"/>
                  </w:tcBorders>
                  <w:vAlign w:val="center"/>
                </w:tcPr>
                <w:p w14:paraId="4328C70A">
                  <w:pPr>
                    <w:jc w:val="center"/>
                    <w:rPr>
                      <w:rFonts w:hint="eastAsia" w:eastAsia="宋体"/>
                      <w:color w:val="auto"/>
                      <w:sz w:val="21"/>
                      <w:szCs w:val="21"/>
                      <w:highlight w:val="none"/>
                      <w:u w:val="none"/>
                      <w:lang w:val="en-US" w:eastAsia="zh-CN"/>
                    </w:rPr>
                  </w:pPr>
                  <w:r>
                    <w:rPr>
                      <w:rFonts w:hint="default" w:eastAsia="宋体"/>
                      <w:color w:val="auto"/>
                      <w:sz w:val="21"/>
                      <w:szCs w:val="21"/>
                      <w:highlight w:val="none"/>
                      <w:u w:val="none"/>
                      <w:lang w:val="en-US" w:eastAsia="zh-CN"/>
                    </w:rPr>
                    <w:t>含油废抹布</w:t>
                  </w:r>
                  <w:r>
                    <w:rPr>
                      <w:rFonts w:hint="eastAsia" w:eastAsia="宋体"/>
                      <w:color w:val="auto"/>
                      <w:sz w:val="21"/>
                      <w:szCs w:val="21"/>
                      <w:highlight w:val="none"/>
                      <w:u w:val="none"/>
                      <w:lang w:val="en-US" w:eastAsia="zh-CN"/>
                    </w:rPr>
                    <w:t>及</w:t>
                  </w:r>
                  <w:r>
                    <w:rPr>
                      <w:rFonts w:hint="default" w:eastAsia="宋体"/>
                      <w:color w:val="auto"/>
                      <w:sz w:val="21"/>
                      <w:szCs w:val="21"/>
                      <w:highlight w:val="none"/>
                      <w:u w:val="none"/>
                      <w:lang w:val="en-US" w:eastAsia="zh-CN"/>
                    </w:rPr>
                    <w:t>手套</w:t>
                  </w:r>
                </w:p>
              </w:tc>
              <w:tc>
                <w:tcPr>
                  <w:tcW w:w="722" w:type="pct"/>
                  <w:tcBorders>
                    <w:tl2br w:val="nil"/>
                    <w:tr2bl w:val="nil"/>
                  </w:tcBorders>
                  <w:vAlign w:val="center"/>
                </w:tcPr>
                <w:p w14:paraId="1B48BE62">
                  <w:pPr>
                    <w:jc w:val="center"/>
                    <w:rPr>
                      <w:color w:val="auto"/>
                      <w:sz w:val="21"/>
                      <w:szCs w:val="21"/>
                      <w:highlight w:val="none"/>
                      <w:u w:val="none"/>
                    </w:rPr>
                  </w:pPr>
                  <w:r>
                    <w:rPr>
                      <w:rFonts w:hint="default" w:ascii="Times New Roman" w:hAnsi="Times New Roman" w:eastAsia="宋体" w:cs="Times New Roman"/>
                      <w:color w:val="auto"/>
                      <w:sz w:val="21"/>
                      <w:szCs w:val="21"/>
                      <w:highlight w:val="none"/>
                      <w:u w:val="none" w:color="auto"/>
                      <w:lang w:eastAsia="zh-CN"/>
                    </w:rPr>
                    <w:t>0.00</w:t>
                  </w:r>
                  <w:r>
                    <w:rPr>
                      <w:rFonts w:hint="eastAsia" w:cs="Times New Roman"/>
                      <w:color w:val="auto"/>
                      <w:sz w:val="21"/>
                      <w:szCs w:val="21"/>
                      <w:highlight w:val="none"/>
                      <w:u w:val="none" w:color="auto"/>
                      <w:lang w:val="en-US" w:eastAsia="zh-CN"/>
                    </w:rPr>
                    <w:t>2</w:t>
                  </w:r>
                </w:p>
              </w:tc>
              <w:tc>
                <w:tcPr>
                  <w:tcW w:w="744" w:type="pct"/>
                  <w:vMerge w:val="continue"/>
                  <w:tcBorders>
                    <w:tl2br w:val="nil"/>
                    <w:tr2bl w:val="nil"/>
                  </w:tcBorders>
                  <w:vAlign w:val="center"/>
                </w:tcPr>
                <w:p w14:paraId="37C14E90">
                  <w:pPr>
                    <w:jc w:val="center"/>
                    <w:rPr>
                      <w:color w:val="auto"/>
                      <w:sz w:val="21"/>
                      <w:szCs w:val="21"/>
                      <w:highlight w:val="none"/>
                      <w:u w:val="none"/>
                    </w:rPr>
                  </w:pPr>
                </w:p>
              </w:tc>
              <w:tc>
                <w:tcPr>
                  <w:tcW w:w="967" w:type="pct"/>
                  <w:tcBorders>
                    <w:tl2br w:val="nil"/>
                    <w:tr2bl w:val="nil"/>
                  </w:tcBorders>
                  <w:vAlign w:val="center"/>
                </w:tcPr>
                <w:p w14:paraId="25FD166A">
                  <w:pPr>
                    <w:jc w:val="center"/>
                    <w:rPr>
                      <w:color w:val="auto"/>
                      <w:sz w:val="21"/>
                      <w:szCs w:val="21"/>
                      <w:highlight w:val="none"/>
                      <w:u w:val="none"/>
                    </w:rPr>
                  </w:pPr>
                  <w:r>
                    <w:rPr>
                      <w:rFonts w:hint="default" w:ascii="Times New Roman" w:hAnsi="Times New Roman" w:eastAsia="宋体" w:cs="Times New Roman"/>
                      <w:color w:val="auto"/>
                      <w:sz w:val="21"/>
                      <w:szCs w:val="21"/>
                      <w:highlight w:val="none"/>
                      <w:u w:val="none" w:color="auto"/>
                      <w:lang w:eastAsia="zh-CN"/>
                    </w:rPr>
                    <w:t>900-041-49</w:t>
                  </w:r>
                </w:p>
              </w:tc>
              <w:tc>
                <w:tcPr>
                  <w:tcW w:w="1294" w:type="pct"/>
                  <w:vMerge w:val="continue"/>
                  <w:tcBorders>
                    <w:tl2br w:val="nil"/>
                    <w:tr2bl w:val="nil"/>
                  </w:tcBorders>
                  <w:vAlign w:val="center"/>
                </w:tcPr>
                <w:p w14:paraId="17E40CA2">
                  <w:pPr>
                    <w:jc w:val="center"/>
                    <w:rPr>
                      <w:color w:val="auto"/>
                      <w:sz w:val="21"/>
                      <w:szCs w:val="21"/>
                      <w:highlight w:val="none"/>
                      <w:u w:val="none"/>
                    </w:rPr>
                  </w:pPr>
                </w:p>
              </w:tc>
            </w:tr>
          </w:tbl>
          <w:p w14:paraId="3411380A">
            <w:pPr>
              <w:spacing w:line="360" w:lineRule="auto"/>
              <w:ind w:firstLine="482" w:firstLineChars="200"/>
              <w:jc w:val="left"/>
              <w:rPr>
                <w:b/>
                <w:bCs/>
                <w:color w:val="auto"/>
                <w:sz w:val="24"/>
                <w:highlight w:val="none"/>
                <w:u w:val="none"/>
              </w:rPr>
            </w:pPr>
            <w:r>
              <w:rPr>
                <w:rFonts w:hint="eastAsia"/>
                <w:b/>
                <w:bCs/>
                <w:color w:val="auto"/>
                <w:sz w:val="24"/>
                <w:highlight w:val="none"/>
                <w:u w:val="none"/>
              </w:rPr>
              <w:t>6.2固废处理处置措施</w:t>
            </w:r>
          </w:p>
          <w:p w14:paraId="10AFB0C2">
            <w:pPr>
              <w:spacing w:line="360" w:lineRule="auto"/>
              <w:ind w:firstLine="480" w:firstLineChars="200"/>
              <w:jc w:val="left"/>
              <w:rPr>
                <w:color w:val="auto"/>
                <w:sz w:val="24"/>
                <w:highlight w:val="none"/>
                <w:u w:val="none"/>
              </w:rPr>
            </w:pPr>
            <w:r>
              <w:rPr>
                <w:rFonts w:hint="eastAsia"/>
                <w:color w:val="auto"/>
                <w:sz w:val="24"/>
                <w:highlight w:val="none"/>
                <w:u w:val="none"/>
              </w:rPr>
              <w:t>①一般工业固废</w:t>
            </w:r>
          </w:p>
          <w:p w14:paraId="44D6E12B">
            <w:pPr>
              <w:spacing w:line="360" w:lineRule="auto"/>
              <w:ind w:firstLine="480" w:firstLineChars="200"/>
              <w:jc w:val="left"/>
              <w:rPr>
                <w:rFonts w:hint="default" w:eastAsia="宋体"/>
                <w:color w:val="auto"/>
                <w:sz w:val="24"/>
                <w:szCs w:val="24"/>
                <w:highlight w:val="none"/>
                <w:u w:val="none"/>
                <w:lang w:val="en-US" w:eastAsia="zh-CN"/>
              </w:rPr>
            </w:pPr>
            <w:r>
              <w:rPr>
                <w:rFonts w:hint="eastAsia"/>
                <w:color w:val="auto"/>
                <w:sz w:val="24"/>
                <w:highlight w:val="none"/>
                <w:u w:val="none"/>
              </w:rPr>
              <w:t>本项目产</w:t>
            </w:r>
            <w:r>
              <w:rPr>
                <w:rFonts w:hint="eastAsia" w:eastAsia="宋体"/>
                <w:color w:val="auto"/>
                <w:sz w:val="24"/>
                <w:szCs w:val="24"/>
                <w:highlight w:val="none"/>
                <w:u w:val="none"/>
              </w:rPr>
              <w:t>生的</w:t>
            </w:r>
            <w:r>
              <w:rPr>
                <w:rFonts w:hint="eastAsia"/>
                <w:color w:val="auto"/>
                <w:sz w:val="24"/>
                <w:szCs w:val="24"/>
                <w:highlight w:val="none"/>
                <w:u w:val="none"/>
                <w:lang w:val="en-US" w:eastAsia="zh-CN"/>
              </w:rPr>
              <w:t>喷砂产生的粉尘</w:t>
            </w:r>
            <w:r>
              <w:rPr>
                <w:rFonts w:hint="eastAsia" w:eastAsia="宋体"/>
                <w:color w:val="auto"/>
                <w:sz w:val="24"/>
                <w:szCs w:val="24"/>
                <w:highlight w:val="none"/>
                <w:u w:val="none"/>
              </w:rPr>
              <w:t>、废包装材料</w:t>
            </w:r>
            <w:r>
              <w:rPr>
                <w:rFonts w:hint="eastAsia" w:eastAsia="宋体"/>
                <w:color w:val="auto"/>
                <w:sz w:val="24"/>
                <w:szCs w:val="24"/>
                <w:highlight w:val="none"/>
                <w:u w:val="none"/>
                <w:lang w:eastAsia="zh-CN"/>
              </w:rPr>
              <w:t>、</w:t>
            </w:r>
            <w:r>
              <w:rPr>
                <w:rFonts w:hint="eastAsia" w:eastAsia="宋体"/>
                <w:color w:val="auto"/>
                <w:sz w:val="24"/>
                <w:szCs w:val="24"/>
                <w:highlight w:val="none"/>
                <w:u w:val="none"/>
              </w:rPr>
              <w:t>注塑边角料</w:t>
            </w:r>
            <w:r>
              <w:rPr>
                <w:rFonts w:hint="eastAsia" w:eastAsia="宋体"/>
                <w:color w:val="auto"/>
                <w:sz w:val="24"/>
                <w:szCs w:val="24"/>
                <w:highlight w:val="none"/>
                <w:u w:val="none"/>
                <w:lang w:eastAsia="zh-CN"/>
              </w:rPr>
              <w:t>、</w:t>
            </w:r>
            <w:r>
              <w:rPr>
                <w:rFonts w:hint="eastAsia"/>
                <w:color w:val="auto"/>
                <w:sz w:val="24"/>
                <w:szCs w:val="24"/>
                <w:highlight w:val="none"/>
                <w:u w:val="none"/>
                <w:lang w:val="en-US" w:eastAsia="zh-CN"/>
              </w:rPr>
              <w:t>焊</w:t>
            </w:r>
            <w:r>
              <w:rPr>
                <w:rFonts w:hint="eastAsia" w:eastAsia="宋体"/>
                <w:color w:val="auto"/>
                <w:sz w:val="24"/>
                <w:szCs w:val="24"/>
                <w:highlight w:val="none"/>
                <w:u w:val="none"/>
              </w:rPr>
              <w:t>渣</w:t>
            </w:r>
            <w:r>
              <w:rPr>
                <w:rFonts w:hint="eastAsia"/>
                <w:color w:val="auto"/>
                <w:sz w:val="24"/>
                <w:szCs w:val="24"/>
                <w:highlight w:val="none"/>
                <w:u w:val="none"/>
                <w:lang w:val="en-US" w:eastAsia="zh-CN"/>
              </w:rPr>
              <w:t>和无法返修的不合格品</w:t>
            </w:r>
            <w:r>
              <w:rPr>
                <w:rFonts w:hint="eastAsia" w:eastAsia="宋体"/>
                <w:color w:val="auto"/>
                <w:sz w:val="24"/>
                <w:szCs w:val="24"/>
                <w:highlight w:val="none"/>
                <w:u w:val="none"/>
              </w:rPr>
              <w:t>属于一般固废，由本项目企业收集后暂存于一般固废暂存区。</w:t>
            </w:r>
            <w:r>
              <w:rPr>
                <w:rFonts w:hint="eastAsia" w:eastAsia="宋体"/>
                <w:color w:val="auto"/>
                <w:sz w:val="24"/>
                <w:szCs w:val="24"/>
                <w:highlight w:val="none"/>
                <w:u w:val="none"/>
                <w:lang w:val="en-US" w:eastAsia="zh-CN"/>
              </w:rPr>
              <w:t>废边角料</w:t>
            </w:r>
            <w:r>
              <w:rPr>
                <w:rFonts w:hint="eastAsia"/>
                <w:color w:val="auto"/>
                <w:sz w:val="24"/>
                <w:szCs w:val="24"/>
                <w:highlight w:val="none"/>
                <w:u w:val="none"/>
                <w:lang w:val="en-US" w:eastAsia="zh-CN"/>
              </w:rPr>
              <w:t>回用于生产，</w:t>
            </w:r>
            <w:r>
              <w:rPr>
                <w:rFonts w:hint="eastAsia" w:eastAsia="宋体"/>
                <w:color w:val="auto"/>
                <w:sz w:val="24"/>
                <w:szCs w:val="24"/>
                <w:highlight w:val="none"/>
                <w:u w:val="none"/>
              </w:rPr>
              <w:t>废包装材料进行分类回收后由废品收购单位收购利用</w:t>
            </w:r>
            <w:r>
              <w:rPr>
                <w:rFonts w:hint="eastAsia"/>
                <w:color w:val="auto"/>
                <w:sz w:val="24"/>
                <w:szCs w:val="24"/>
                <w:highlight w:val="none"/>
                <w:u w:val="none"/>
                <w:lang w:eastAsia="zh-CN"/>
              </w:rPr>
              <w:t>，</w:t>
            </w:r>
            <w:r>
              <w:rPr>
                <w:rFonts w:hint="eastAsia" w:eastAsia="宋体"/>
                <w:color w:val="auto"/>
                <w:sz w:val="24"/>
                <w:szCs w:val="24"/>
                <w:highlight w:val="none"/>
                <w:u w:val="none"/>
                <w:lang w:val="en-US" w:eastAsia="zh-CN"/>
              </w:rPr>
              <w:t>焊</w:t>
            </w:r>
            <w:r>
              <w:rPr>
                <w:rFonts w:hint="eastAsia" w:eastAsia="宋体"/>
                <w:color w:val="auto"/>
                <w:sz w:val="24"/>
                <w:szCs w:val="24"/>
                <w:highlight w:val="none"/>
                <w:u w:val="none"/>
              </w:rPr>
              <w:t>渣</w:t>
            </w:r>
            <w:r>
              <w:rPr>
                <w:rFonts w:hint="default" w:eastAsia="宋体"/>
                <w:color w:val="auto"/>
                <w:sz w:val="24"/>
                <w:szCs w:val="24"/>
                <w:highlight w:val="none"/>
                <w:u w:val="none"/>
                <w:lang w:val="en-US" w:eastAsia="zh-CN"/>
              </w:rPr>
              <w:t>集中收集后由供货商回收</w:t>
            </w:r>
            <w:r>
              <w:rPr>
                <w:rFonts w:hint="eastAsia"/>
                <w:color w:val="auto"/>
                <w:sz w:val="24"/>
                <w:szCs w:val="24"/>
                <w:highlight w:val="none"/>
                <w:u w:val="none"/>
                <w:lang w:val="en-US" w:eastAsia="zh-CN"/>
              </w:rPr>
              <w:t>，</w:t>
            </w:r>
            <w:r>
              <w:rPr>
                <w:rFonts w:hint="eastAsia" w:eastAsia="宋体"/>
                <w:color w:val="auto"/>
                <w:sz w:val="24"/>
                <w:szCs w:val="24"/>
                <w:highlight w:val="none"/>
                <w:u w:val="none"/>
              </w:rPr>
              <w:t>不可</w:t>
            </w:r>
            <w:r>
              <w:rPr>
                <w:rFonts w:hint="eastAsia"/>
                <w:color w:val="auto"/>
                <w:sz w:val="24"/>
                <w:szCs w:val="24"/>
                <w:highlight w:val="none"/>
                <w:u w:val="none"/>
                <w:lang w:val="en-US" w:eastAsia="zh-CN"/>
              </w:rPr>
              <w:t>返修的不合格品</w:t>
            </w:r>
            <w:r>
              <w:rPr>
                <w:rFonts w:hint="eastAsia" w:eastAsia="宋体"/>
                <w:color w:val="auto"/>
                <w:sz w:val="24"/>
                <w:szCs w:val="24"/>
                <w:highlight w:val="none"/>
                <w:u w:val="none"/>
                <w:lang w:eastAsia="zh-CN"/>
              </w:rPr>
              <w:t>、</w:t>
            </w:r>
            <w:r>
              <w:rPr>
                <w:rFonts w:hint="default" w:eastAsia="宋体"/>
                <w:color w:val="auto"/>
                <w:sz w:val="24"/>
                <w:szCs w:val="24"/>
                <w:highlight w:val="none"/>
                <w:u w:val="none"/>
                <w:lang w:val="en-US" w:eastAsia="zh-CN"/>
              </w:rPr>
              <w:t>喷砂产尘桶装收集后交物资回收单位处置。</w:t>
            </w:r>
          </w:p>
          <w:p w14:paraId="596B7EF3">
            <w:pPr>
              <w:spacing w:line="360" w:lineRule="auto"/>
              <w:ind w:firstLine="480" w:firstLineChars="200"/>
              <w:rPr>
                <w:color w:val="auto"/>
                <w:sz w:val="24"/>
                <w:szCs w:val="24"/>
                <w:highlight w:val="none"/>
                <w:u w:val="none"/>
              </w:rPr>
            </w:pPr>
            <w:r>
              <w:rPr>
                <w:rFonts w:hint="eastAsia"/>
                <w:color w:val="auto"/>
                <w:sz w:val="24"/>
                <w:szCs w:val="24"/>
                <w:highlight w:val="none"/>
                <w:u w:val="none"/>
              </w:rPr>
              <w:t>贮存场所的建设需满足一般工业固体废物贮存和填埋污染控制标准（GB18599-2020）的要求。为加强监督管理，贮存、处置场应按 GB15562.2 设置环境保护图形标志，不相容的一般工业固体废物应设置不同的分区进行贮存，贮存场禁止危险废物和生活垃圾混入，建立检查维护制度，定期检查维护一般固废库，发现有损坏可能或异常，应及时采取必要措施，以保障正常运行，建立档案制度。将入场的一般工业固体废物的种类和数量以及下列资料，详细记录在案，长期保存，供随时查阅。</w:t>
            </w:r>
          </w:p>
          <w:p w14:paraId="17B207C6">
            <w:pPr>
              <w:spacing w:line="360" w:lineRule="auto"/>
              <w:ind w:firstLine="480" w:firstLineChars="200"/>
              <w:jc w:val="left"/>
              <w:rPr>
                <w:color w:val="auto"/>
                <w:sz w:val="24"/>
                <w:szCs w:val="24"/>
                <w:highlight w:val="none"/>
                <w:u w:val="none"/>
              </w:rPr>
            </w:pPr>
            <w:r>
              <w:rPr>
                <w:rFonts w:hint="eastAsia"/>
                <w:color w:val="auto"/>
                <w:sz w:val="24"/>
                <w:szCs w:val="24"/>
                <w:highlight w:val="none"/>
                <w:u w:val="none"/>
              </w:rPr>
              <w:t>②危险固废</w:t>
            </w:r>
          </w:p>
          <w:p w14:paraId="338BA051">
            <w:pPr>
              <w:spacing w:line="360" w:lineRule="auto"/>
              <w:ind w:firstLine="480" w:firstLineChars="200"/>
              <w:jc w:val="left"/>
              <w:rPr>
                <w:rFonts w:hint="eastAsia"/>
                <w:color w:val="auto"/>
                <w:sz w:val="24"/>
                <w:highlight w:val="none"/>
                <w:u w:val="none" w:color="auto"/>
              </w:rPr>
            </w:pPr>
            <w:r>
              <w:rPr>
                <w:rFonts w:hint="eastAsia"/>
                <w:color w:val="auto"/>
                <w:sz w:val="24"/>
                <w:highlight w:val="none"/>
                <w:u w:val="none"/>
              </w:rPr>
              <w:t>本项目产生的危险固废主要是</w:t>
            </w:r>
            <w:r>
              <w:rPr>
                <w:rFonts w:hint="default" w:eastAsia="宋体"/>
                <w:color w:val="auto"/>
                <w:sz w:val="24"/>
                <w:highlight w:val="none"/>
                <w:u w:val="none"/>
                <w:lang w:val="en-US" w:eastAsia="zh-CN"/>
              </w:rPr>
              <w:t>废化学品包装</w:t>
            </w:r>
            <w:r>
              <w:rPr>
                <w:rFonts w:hint="eastAsia" w:eastAsia="宋体"/>
                <w:color w:val="auto"/>
                <w:sz w:val="24"/>
                <w:highlight w:val="none"/>
                <w:u w:val="none"/>
                <w:lang w:val="en-US" w:eastAsia="zh-CN"/>
              </w:rPr>
              <w:t>、</w:t>
            </w:r>
            <w:r>
              <w:rPr>
                <w:rFonts w:hint="default" w:eastAsia="宋体"/>
                <w:color w:val="auto"/>
                <w:sz w:val="24"/>
                <w:highlight w:val="none"/>
                <w:u w:val="none"/>
                <w:lang w:val="en-US" w:eastAsia="zh-CN"/>
              </w:rPr>
              <w:t>废</w:t>
            </w:r>
            <w:r>
              <w:rPr>
                <w:rFonts w:hint="eastAsia" w:eastAsia="宋体"/>
                <w:color w:val="auto"/>
                <w:sz w:val="24"/>
                <w:highlight w:val="none"/>
                <w:u w:val="none"/>
                <w:lang w:val="en-US" w:eastAsia="zh-CN"/>
              </w:rPr>
              <w:t>液压</w:t>
            </w:r>
            <w:r>
              <w:rPr>
                <w:rFonts w:hint="default" w:eastAsia="宋体"/>
                <w:color w:val="auto"/>
                <w:sz w:val="24"/>
                <w:highlight w:val="none"/>
                <w:u w:val="none"/>
                <w:lang w:val="en-US" w:eastAsia="zh-CN"/>
              </w:rPr>
              <w:t>油</w:t>
            </w:r>
            <w:r>
              <w:rPr>
                <w:rFonts w:hint="eastAsia" w:eastAsia="宋体"/>
                <w:color w:val="auto"/>
                <w:sz w:val="24"/>
                <w:highlight w:val="none"/>
                <w:u w:val="none"/>
                <w:lang w:val="en-US" w:eastAsia="zh-CN"/>
              </w:rPr>
              <w:t>、液压油废桶、</w:t>
            </w:r>
            <w:r>
              <w:rPr>
                <w:rFonts w:hint="default" w:eastAsia="宋体"/>
                <w:color w:val="auto"/>
                <w:sz w:val="24"/>
                <w:highlight w:val="none"/>
                <w:u w:val="none"/>
                <w:lang w:val="en-US" w:eastAsia="zh-CN"/>
              </w:rPr>
              <w:t>废活性炭</w:t>
            </w:r>
            <w:r>
              <w:rPr>
                <w:rFonts w:hint="eastAsia" w:eastAsia="宋体"/>
                <w:color w:val="auto"/>
                <w:sz w:val="24"/>
                <w:highlight w:val="none"/>
                <w:u w:val="none"/>
                <w:lang w:val="en-US" w:eastAsia="zh-CN"/>
              </w:rPr>
              <w:t>、</w:t>
            </w:r>
            <w:r>
              <w:rPr>
                <w:rFonts w:hint="eastAsia" w:eastAsia="宋体"/>
                <w:color w:val="auto"/>
                <w:sz w:val="24"/>
                <w:highlight w:val="none"/>
                <w:u w:val="none"/>
              </w:rPr>
              <w:t>废润滑油</w:t>
            </w:r>
            <w:r>
              <w:rPr>
                <w:rFonts w:hint="eastAsia" w:eastAsia="宋体"/>
                <w:color w:val="auto"/>
                <w:sz w:val="24"/>
                <w:highlight w:val="none"/>
                <w:u w:val="none"/>
                <w:lang w:eastAsia="zh-CN"/>
              </w:rPr>
              <w:t>、</w:t>
            </w:r>
            <w:r>
              <w:rPr>
                <w:rFonts w:hint="default" w:eastAsia="宋体"/>
                <w:color w:val="auto"/>
                <w:sz w:val="24"/>
                <w:highlight w:val="none"/>
                <w:u w:val="none"/>
              </w:rPr>
              <w:t>机修废机油</w:t>
            </w:r>
            <w:r>
              <w:rPr>
                <w:rFonts w:hint="eastAsia" w:eastAsia="宋体"/>
                <w:color w:val="auto"/>
                <w:sz w:val="24"/>
                <w:highlight w:val="none"/>
                <w:u w:val="none"/>
                <w:lang w:eastAsia="zh-CN"/>
              </w:rPr>
              <w:t>、</w:t>
            </w:r>
            <w:r>
              <w:rPr>
                <w:rFonts w:hint="default" w:eastAsia="宋体"/>
                <w:color w:val="auto"/>
                <w:sz w:val="24"/>
                <w:highlight w:val="none"/>
                <w:u w:val="none"/>
                <w:lang w:eastAsia="zh-CN"/>
              </w:rPr>
              <w:t>含油废抹布</w:t>
            </w:r>
            <w:r>
              <w:rPr>
                <w:rFonts w:hint="eastAsia" w:eastAsia="宋体"/>
                <w:color w:val="auto"/>
                <w:sz w:val="24"/>
                <w:highlight w:val="none"/>
                <w:u w:val="none"/>
                <w:lang w:val="en-US" w:eastAsia="zh-CN"/>
              </w:rPr>
              <w:t>及</w:t>
            </w:r>
            <w:r>
              <w:rPr>
                <w:rFonts w:hint="default" w:eastAsia="宋体"/>
                <w:color w:val="auto"/>
                <w:sz w:val="24"/>
                <w:highlight w:val="none"/>
                <w:u w:val="none"/>
                <w:lang w:eastAsia="zh-CN"/>
              </w:rPr>
              <w:t>手套</w:t>
            </w:r>
            <w:r>
              <w:rPr>
                <w:rFonts w:hint="eastAsia"/>
                <w:color w:val="auto"/>
                <w:sz w:val="24"/>
                <w:highlight w:val="none"/>
                <w:u w:val="none"/>
              </w:rPr>
              <w:t>，</w:t>
            </w:r>
            <w:r>
              <w:rPr>
                <w:rFonts w:hint="eastAsia"/>
                <w:color w:val="auto"/>
                <w:sz w:val="24"/>
                <w:highlight w:val="none"/>
                <w:u w:val="none" w:color="auto"/>
              </w:rPr>
              <w:t>本项目企业应按照《中华人民共和国固体废物污染环境防治法》及《危险废物贮存污染控制标准》</w:t>
            </w:r>
            <w:r>
              <w:rPr>
                <w:rFonts w:hint="eastAsia"/>
                <w:color w:val="auto"/>
                <w:sz w:val="24"/>
                <w:highlight w:val="none"/>
                <w:u w:val="none" w:color="auto"/>
                <w:lang w:eastAsia="zh-CN"/>
              </w:rPr>
              <w:t>（</w:t>
            </w:r>
            <w:r>
              <w:rPr>
                <w:rFonts w:hint="eastAsia"/>
                <w:color w:val="auto"/>
                <w:sz w:val="24"/>
                <w:highlight w:val="none"/>
                <w:u w:val="none" w:color="auto"/>
              </w:rPr>
              <w:t>GB 18597-20</w:t>
            </w:r>
            <w:r>
              <w:rPr>
                <w:rFonts w:hint="eastAsia"/>
                <w:color w:val="auto"/>
                <w:sz w:val="24"/>
                <w:highlight w:val="none"/>
                <w:u w:val="none" w:color="auto"/>
                <w:lang w:val="en-US" w:eastAsia="zh-CN"/>
              </w:rPr>
              <w:t>23）</w:t>
            </w:r>
            <w:r>
              <w:rPr>
                <w:rFonts w:hint="eastAsia"/>
                <w:color w:val="auto"/>
                <w:sz w:val="24"/>
                <w:highlight w:val="none"/>
                <w:u w:val="none" w:color="auto"/>
              </w:rPr>
              <w:t>等相关要求，在项目厂房内设置危废仓，并在危废仓醒目的地方设置危险废物警告标识。本项目企业产生的危废应定期委托有资质具备相应处理能力的公司进行处置。</w:t>
            </w:r>
          </w:p>
          <w:p w14:paraId="4BF0268A">
            <w:pPr>
              <w:spacing w:line="360" w:lineRule="auto"/>
              <w:ind w:firstLine="480" w:firstLineChars="200"/>
              <w:rPr>
                <w:color w:val="auto"/>
                <w:sz w:val="24"/>
                <w:highlight w:val="none"/>
                <w:u w:val="none" w:color="auto"/>
              </w:rPr>
            </w:pPr>
            <w:r>
              <w:rPr>
                <w:rFonts w:hint="eastAsia"/>
                <w:color w:val="auto"/>
                <w:sz w:val="24"/>
                <w:highlight w:val="none"/>
                <w:u w:val="none" w:color="auto"/>
                <w:lang w:val="en-US" w:eastAsia="zh-CN"/>
              </w:rPr>
              <w:t>1）</w:t>
            </w:r>
            <w:r>
              <w:rPr>
                <w:color w:val="auto"/>
                <w:sz w:val="24"/>
                <w:highlight w:val="none"/>
                <w:u w:val="none" w:color="auto"/>
              </w:rPr>
              <w:t>产生危废的车间，必须使用专用储存设施，并将危险废物装入专用容器中，无法装入常用容器的危险废物可用防漏胶袋等盛装，盛装危险废物的容器和胶带必须贴符合</w:t>
            </w:r>
            <w:r>
              <w:rPr>
                <w:rFonts w:hint="eastAsia"/>
                <w:color w:val="auto"/>
                <w:sz w:val="24"/>
                <w:highlight w:val="none"/>
                <w:u w:val="none" w:color="auto"/>
                <w:lang w:eastAsia="zh-CN"/>
              </w:rPr>
              <w:t>《</w:t>
            </w:r>
            <w:r>
              <w:rPr>
                <w:rFonts w:hint="eastAsia"/>
                <w:color w:val="auto"/>
                <w:sz w:val="24"/>
                <w:highlight w:val="none"/>
                <w:u w:val="none" w:color="auto"/>
              </w:rPr>
              <w:t>危险废物识别标志设置技术规范</w:t>
            </w:r>
            <w:r>
              <w:rPr>
                <w:rFonts w:hint="eastAsia"/>
                <w:color w:val="auto"/>
                <w:sz w:val="24"/>
                <w:highlight w:val="none"/>
                <w:u w:val="none" w:color="auto"/>
                <w:lang w:eastAsia="zh-CN"/>
              </w:rPr>
              <w:t>》（</w:t>
            </w:r>
            <w:r>
              <w:rPr>
                <w:rFonts w:hint="eastAsia"/>
                <w:color w:val="auto"/>
                <w:sz w:val="24"/>
                <w:highlight w:val="none"/>
                <w:u w:val="none" w:color="auto"/>
              </w:rPr>
              <w:t>HJ 1276-2022</w:t>
            </w:r>
            <w:r>
              <w:rPr>
                <w:rFonts w:hint="eastAsia"/>
                <w:color w:val="auto"/>
                <w:sz w:val="24"/>
                <w:highlight w:val="none"/>
                <w:u w:val="none" w:color="auto"/>
                <w:lang w:eastAsia="zh-CN"/>
              </w:rPr>
              <w:t>）</w:t>
            </w:r>
            <w:r>
              <w:rPr>
                <w:color w:val="auto"/>
                <w:sz w:val="24"/>
                <w:highlight w:val="none"/>
                <w:u w:val="none" w:color="auto"/>
              </w:rPr>
              <w:t>所示的标签等，防止造成二次污染。危险废物暂存时需有塑料内衬密封，并设有专用暂存区，不得混存，且须做好防淋防渗措施，以避免固废中的挥发物质对环境造成污染。</w:t>
            </w:r>
          </w:p>
          <w:p w14:paraId="756A2FD0">
            <w:pPr>
              <w:spacing w:line="360" w:lineRule="auto"/>
              <w:ind w:firstLine="480" w:firstLineChars="200"/>
              <w:rPr>
                <w:color w:val="auto"/>
                <w:sz w:val="24"/>
                <w:highlight w:val="none"/>
                <w:u w:val="none" w:color="auto"/>
              </w:rPr>
            </w:pPr>
            <w:r>
              <w:rPr>
                <w:rFonts w:hint="eastAsia"/>
                <w:color w:val="auto"/>
                <w:sz w:val="24"/>
                <w:highlight w:val="none"/>
                <w:u w:val="none" w:color="auto"/>
                <w:lang w:val="en-US" w:eastAsia="zh-CN"/>
              </w:rPr>
              <w:t>2）</w:t>
            </w:r>
            <w:r>
              <w:rPr>
                <w:color w:val="auto"/>
                <w:sz w:val="24"/>
                <w:highlight w:val="none"/>
                <w:u w:val="none" w:color="auto"/>
              </w:rPr>
              <w:t>对于危废的收集及贮存，应根据危险固废的成分，用符合国家标准的耐腐蚀、不易破损、变形和老化的容器贮存，并按规定在贮存危废容器上贴上标签，详细注明危废的名称、重量、成分、特性以及发生泄漏、扩散污染事故时的应急措施和补救办法。</w:t>
            </w:r>
          </w:p>
          <w:p w14:paraId="14268BAC">
            <w:pPr>
              <w:spacing w:line="360" w:lineRule="auto"/>
              <w:ind w:firstLine="480" w:firstLineChars="200"/>
              <w:rPr>
                <w:color w:val="auto"/>
                <w:sz w:val="24"/>
                <w:highlight w:val="none"/>
                <w:u w:val="none" w:color="auto"/>
              </w:rPr>
            </w:pPr>
            <w:r>
              <w:rPr>
                <w:rFonts w:hint="eastAsia"/>
                <w:color w:val="auto"/>
                <w:sz w:val="24"/>
                <w:highlight w:val="none"/>
                <w:u w:val="none" w:color="auto"/>
                <w:lang w:val="en-US" w:eastAsia="zh-CN"/>
              </w:rPr>
              <w:t>3）</w:t>
            </w:r>
            <w:r>
              <w:rPr>
                <w:color w:val="auto"/>
                <w:sz w:val="24"/>
                <w:highlight w:val="none"/>
                <w:u w:val="none" w:color="auto"/>
              </w:rPr>
              <w:t>危险废物的收集和转运过程中，应采取相应的安全防护和污染防治措施，包括防爆、防火、防中毒、防感染、防</w:t>
            </w:r>
            <w:r>
              <w:rPr>
                <w:rFonts w:hint="eastAsia"/>
                <w:color w:val="auto"/>
                <w:sz w:val="24"/>
                <w:highlight w:val="none"/>
                <w:u w:val="none" w:color="auto"/>
                <w:lang w:eastAsia="zh-CN"/>
              </w:rPr>
              <w:t>泄漏</w:t>
            </w:r>
            <w:r>
              <w:rPr>
                <w:color w:val="auto"/>
                <w:sz w:val="24"/>
                <w:highlight w:val="none"/>
                <w:u w:val="none" w:color="auto"/>
              </w:rPr>
              <w:t>、防飞扬、防雨或</w:t>
            </w:r>
            <w:r>
              <w:rPr>
                <w:rFonts w:hint="eastAsia"/>
                <w:color w:val="auto"/>
                <w:sz w:val="24"/>
                <w:highlight w:val="none"/>
                <w:u w:val="none" w:color="auto"/>
                <w:lang w:eastAsia="zh-CN"/>
              </w:rPr>
              <w:t>其他</w:t>
            </w:r>
            <w:r>
              <w:rPr>
                <w:color w:val="auto"/>
                <w:sz w:val="24"/>
                <w:highlight w:val="none"/>
                <w:u w:val="none" w:color="auto"/>
              </w:rPr>
              <w:t>防止污染环境的措施。</w:t>
            </w:r>
          </w:p>
          <w:p w14:paraId="71184A7E">
            <w:pPr>
              <w:spacing w:line="360" w:lineRule="auto"/>
              <w:ind w:firstLine="480" w:firstLineChars="200"/>
              <w:rPr>
                <w:color w:val="auto"/>
                <w:sz w:val="24"/>
                <w:highlight w:val="none"/>
                <w:u w:val="none" w:color="auto"/>
              </w:rPr>
            </w:pPr>
            <w:r>
              <w:rPr>
                <w:rFonts w:hint="eastAsia"/>
                <w:color w:val="auto"/>
                <w:sz w:val="24"/>
                <w:highlight w:val="none"/>
                <w:u w:val="none" w:color="auto"/>
                <w:lang w:val="en-US" w:eastAsia="zh-CN"/>
              </w:rPr>
              <w:t>4）</w:t>
            </w:r>
            <w:r>
              <w:rPr>
                <w:color w:val="auto"/>
                <w:sz w:val="24"/>
                <w:highlight w:val="none"/>
                <w:u w:val="none" w:color="auto"/>
              </w:rPr>
              <w:t>危险废物贮存设施要符合国家危险固废贮存场所的建设要求，危险固废贮存设施要建有堵截泄漏的裙脚，地面与裙脚用坚固的防渗材料建造，并建有隔离设施和防风、防晒、防雨设施，基础防渗层用2mm的高密度聚乙烯材料组成，表面用耐腐蚀材料硬化，衬层上建有渗滤液收集清除系统、径流导出系统、雨水收集池。储存间内清理出来的泄漏物也属于危险废物，必须按照危险废物处理原则处理。</w:t>
            </w:r>
          </w:p>
          <w:p w14:paraId="3DBD3E79">
            <w:pPr>
              <w:spacing w:line="360" w:lineRule="auto"/>
              <w:ind w:firstLine="480" w:firstLineChars="200"/>
              <w:rPr>
                <w:color w:val="auto"/>
                <w:sz w:val="24"/>
                <w:highlight w:val="none"/>
                <w:u w:val="none" w:color="auto"/>
              </w:rPr>
            </w:pPr>
            <w:r>
              <w:rPr>
                <w:rFonts w:hint="eastAsia"/>
                <w:color w:val="auto"/>
                <w:sz w:val="24"/>
                <w:highlight w:val="none"/>
                <w:u w:val="none" w:color="auto"/>
                <w:lang w:val="en-US" w:eastAsia="zh-CN"/>
              </w:rPr>
              <w:t>5）</w:t>
            </w:r>
            <w:r>
              <w:rPr>
                <w:color w:val="auto"/>
                <w:sz w:val="24"/>
                <w:highlight w:val="none"/>
                <w:u w:val="none" w:color="auto"/>
              </w:rPr>
              <w:t>地面与</w:t>
            </w:r>
            <w:r>
              <w:rPr>
                <w:rFonts w:hint="eastAsia"/>
                <w:color w:val="auto"/>
                <w:sz w:val="24"/>
                <w:highlight w:val="none"/>
                <w:u w:val="none" w:color="auto"/>
                <w:lang w:eastAsia="zh-CN"/>
              </w:rPr>
              <w:t>墙脚</w:t>
            </w:r>
            <w:r>
              <w:rPr>
                <w:color w:val="auto"/>
                <w:sz w:val="24"/>
                <w:highlight w:val="none"/>
                <w:u w:val="none" w:color="auto"/>
              </w:rPr>
              <w:t>要用坚固、防渗、防腐的材料建造；危险废物存放间场地防渗处理后，渗透系统要小于1×10</w:t>
            </w:r>
            <w:r>
              <w:rPr>
                <w:color w:val="auto"/>
                <w:sz w:val="24"/>
                <w:highlight w:val="none"/>
                <w:u w:val="none" w:color="auto"/>
                <w:vertAlign w:val="superscript"/>
              </w:rPr>
              <w:t>-10</w:t>
            </w:r>
            <w:r>
              <w:rPr>
                <w:color w:val="auto"/>
                <w:sz w:val="24"/>
                <w:highlight w:val="none"/>
                <w:u w:val="none" w:color="auto"/>
              </w:rPr>
              <w:t>cm/s。</w:t>
            </w:r>
          </w:p>
          <w:p w14:paraId="39BF4586">
            <w:pPr>
              <w:spacing w:line="360" w:lineRule="auto"/>
              <w:ind w:firstLine="480" w:firstLineChars="200"/>
              <w:rPr>
                <w:color w:val="auto"/>
                <w:sz w:val="24"/>
                <w:highlight w:val="none"/>
                <w:u w:val="none" w:color="auto"/>
              </w:rPr>
            </w:pPr>
            <w:r>
              <w:rPr>
                <w:rFonts w:hint="eastAsia"/>
                <w:color w:val="auto"/>
                <w:sz w:val="24"/>
                <w:highlight w:val="none"/>
                <w:u w:val="none" w:color="auto"/>
                <w:lang w:val="en-US" w:eastAsia="zh-CN"/>
              </w:rPr>
              <w:t>6</w:t>
            </w:r>
            <w:r>
              <w:rPr>
                <w:rFonts w:hint="eastAsia"/>
                <w:color w:val="auto"/>
                <w:sz w:val="24"/>
                <w:highlight w:val="none"/>
                <w:u w:val="none" w:color="auto"/>
                <w:lang w:eastAsia="zh-CN"/>
              </w:rPr>
              <w:t>）</w:t>
            </w:r>
            <w:r>
              <w:rPr>
                <w:color w:val="auto"/>
                <w:sz w:val="24"/>
                <w:highlight w:val="none"/>
                <w:u w:val="none" w:color="auto"/>
              </w:rPr>
              <w:t>公司应设置专门的危险固废</w:t>
            </w:r>
            <w:r>
              <w:rPr>
                <w:rFonts w:hint="eastAsia"/>
                <w:color w:val="auto"/>
                <w:sz w:val="24"/>
                <w:highlight w:val="none"/>
                <w:u w:val="none" w:color="auto"/>
                <w:lang w:val="en-US" w:eastAsia="zh-CN"/>
              </w:rPr>
              <w:t>管理</w:t>
            </w:r>
            <w:r>
              <w:rPr>
                <w:color w:val="auto"/>
                <w:sz w:val="24"/>
                <w:highlight w:val="none"/>
                <w:u w:val="none" w:color="auto"/>
              </w:rPr>
              <w:t>机构，作为厂内环境管理、监测的重要组成部分，主要负责危险固废的收集、贮存及</w:t>
            </w:r>
            <w:r>
              <w:rPr>
                <w:rFonts w:hint="eastAsia"/>
                <w:color w:val="auto"/>
                <w:sz w:val="24"/>
                <w:highlight w:val="none"/>
                <w:u w:val="none" w:color="auto"/>
                <w:lang w:val="en-US" w:eastAsia="zh-CN"/>
              </w:rPr>
              <w:t>转出</w:t>
            </w:r>
            <w:r>
              <w:rPr>
                <w:color w:val="auto"/>
                <w:sz w:val="24"/>
                <w:highlight w:val="none"/>
                <w:u w:val="none" w:color="auto"/>
              </w:rPr>
              <w:t>。</w:t>
            </w:r>
          </w:p>
          <w:p w14:paraId="6C56A81C">
            <w:pPr>
              <w:spacing w:line="360" w:lineRule="auto"/>
              <w:ind w:firstLine="480" w:firstLineChars="200"/>
              <w:rPr>
                <w:color w:val="auto"/>
                <w:sz w:val="24"/>
                <w:highlight w:val="none"/>
                <w:u w:val="none" w:color="auto"/>
              </w:rPr>
            </w:pPr>
            <w:r>
              <w:rPr>
                <w:rFonts w:hint="eastAsia"/>
                <w:color w:val="auto"/>
                <w:sz w:val="24"/>
                <w:highlight w:val="none"/>
                <w:u w:val="none" w:color="auto"/>
                <w:lang w:val="en-US" w:eastAsia="zh-CN"/>
              </w:rPr>
              <w:t>7）</w:t>
            </w:r>
            <w:r>
              <w:rPr>
                <w:color w:val="auto"/>
                <w:sz w:val="24"/>
                <w:highlight w:val="none"/>
                <w:u w:val="none" w:color="auto"/>
              </w:rPr>
              <w:t>按月统计公司各车间的危险废物种类、产生量、暂存时间、交由处置时间等除此之外，危险废物存放间还要记录危险废物的名称、来源、数量、特性和包装容器的类别、入库日期、存放库位、出库日期及</w:t>
            </w:r>
            <w:r>
              <w:rPr>
                <w:rFonts w:hint="eastAsia"/>
                <w:color w:val="auto"/>
                <w:sz w:val="24"/>
                <w:highlight w:val="none"/>
                <w:u w:val="none" w:color="auto"/>
                <w:lang w:eastAsia="zh-CN"/>
              </w:rPr>
              <w:t>接收单位</w:t>
            </w:r>
            <w:r>
              <w:rPr>
                <w:color w:val="auto"/>
                <w:sz w:val="24"/>
                <w:highlight w:val="none"/>
                <w:u w:val="none" w:color="auto"/>
              </w:rPr>
              <w:t>名称。</w:t>
            </w:r>
          </w:p>
          <w:p w14:paraId="3066512B">
            <w:pPr>
              <w:tabs>
                <w:tab w:val="left" w:pos="1440"/>
                <w:tab w:val="left" w:pos="1800"/>
              </w:tabs>
              <w:adjustRightInd w:val="0"/>
              <w:spacing w:line="360" w:lineRule="auto"/>
              <w:ind w:firstLine="482" w:firstLineChars="200"/>
              <w:jc w:val="left"/>
              <w:rPr>
                <w:b/>
                <w:bCs/>
                <w:color w:val="auto"/>
                <w:sz w:val="24"/>
                <w:highlight w:val="none"/>
                <w:u w:val="none" w:color="auto"/>
              </w:rPr>
            </w:pPr>
            <w:r>
              <w:rPr>
                <w:b/>
                <w:bCs/>
                <w:color w:val="auto"/>
                <w:sz w:val="24"/>
                <w:highlight w:val="none"/>
                <w:u w:val="none" w:color="auto"/>
              </w:rPr>
              <w:t>贮存安全管理规定：</w:t>
            </w:r>
          </w:p>
          <w:p w14:paraId="5B936D37">
            <w:pPr>
              <w:spacing w:line="360" w:lineRule="auto"/>
              <w:ind w:firstLine="480" w:firstLineChars="200"/>
              <w:rPr>
                <w:color w:val="auto"/>
                <w:sz w:val="24"/>
                <w:highlight w:val="none"/>
                <w:u w:val="none" w:color="auto"/>
              </w:rPr>
            </w:pPr>
            <w:r>
              <w:rPr>
                <w:color w:val="auto"/>
                <w:sz w:val="24"/>
                <w:highlight w:val="none"/>
                <w:u w:val="none" w:color="auto"/>
              </w:rPr>
              <w:t>根据</w:t>
            </w:r>
            <w:r>
              <w:rPr>
                <w:rFonts w:hint="eastAsia"/>
                <w:color w:val="auto"/>
                <w:sz w:val="24"/>
                <w:highlight w:val="none"/>
                <w:u w:val="none" w:color="auto"/>
              </w:rPr>
              <w:t>《危险废物贮存污染控制标准》</w:t>
            </w:r>
            <w:r>
              <w:rPr>
                <w:rFonts w:hint="eastAsia"/>
                <w:color w:val="auto"/>
                <w:sz w:val="24"/>
                <w:highlight w:val="none"/>
                <w:u w:val="none" w:color="auto"/>
                <w:lang w:eastAsia="zh-CN"/>
              </w:rPr>
              <w:t>（</w:t>
            </w:r>
            <w:r>
              <w:rPr>
                <w:rFonts w:hint="eastAsia"/>
                <w:color w:val="auto"/>
                <w:sz w:val="24"/>
                <w:highlight w:val="none"/>
                <w:u w:val="none" w:color="auto"/>
              </w:rPr>
              <w:t>GB 18597-20</w:t>
            </w:r>
            <w:r>
              <w:rPr>
                <w:rFonts w:hint="eastAsia"/>
                <w:color w:val="auto"/>
                <w:sz w:val="24"/>
                <w:highlight w:val="none"/>
                <w:u w:val="none" w:color="auto"/>
                <w:lang w:val="en-US" w:eastAsia="zh-CN"/>
              </w:rPr>
              <w:t>23）</w:t>
            </w:r>
            <w:r>
              <w:rPr>
                <w:color w:val="auto"/>
                <w:sz w:val="24"/>
                <w:highlight w:val="none"/>
                <w:u w:val="none" w:color="auto"/>
              </w:rPr>
              <w:t>，本项目产生的废润滑油和废机油</w:t>
            </w:r>
            <w:r>
              <w:rPr>
                <w:rFonts w:hint="eastAsia"/>
                <w:color w:val="auto"/>
                <w:sz w:val="24"/>
                <w:highlight w:val="none"/>
                <w:u w:val="none" w:color="auto"/>
                <w:lang w:eastAsia="zh-CN"/>
              </w:rPr>
              <w:t>、</w:t>
            </w:r>
            <w:r>
              <w:rPr>
                <w:rFonts w:hint="default"/>
                <w:color w:val="auto"/>
                <w:sz w:val="24"/>
                <w:highlight w:val="none"/>
                <w:u w:val="none" w:color="auto"/>
                <w:lang w:eastAsia="zh-CN"/>
              </w:rPr>
              <w:t>含油废抹布</w:t>
            </w:r>
            <w:r>
              <w:rPr>
                <w:rFonts w:hint="eastAsia"/>
                <w:color w:val="auto"/>
                <w:sz w:val="24"/>
                <w:highlight w:val="none"/>
                <w:u w:val="none" w:color="auto"/>
                <w:lang w:val="en-US" w:eastAsia="zh-CN"/>
              </w:rPr>
              <w:t>及</w:t>
            </w:r>
            <w:r>
              <w:rPr>
                <w:rFonts w:hint="default"/>
                <w:color w:val="auto"/>
                <w:sz w:val="24"/>
                <w:highlight w:val="none"/>
                <w:u w:val="none" w:color="auto"/>
                <w:lang w:eastAsia="zh-CN"/>
              </w:rPr>
              <w:t>手套</w:t>
            </w:r>
            <w:r>
              <w:rPr>
                <w:rFonts w:hint="eastAsia"/>
                <w:color w:val="auto"/>
                <w:sz w:val="24"/>
                <w:highlight w:val="none"/>
                <w:u w:val="none" w:color="auto"/>
                <w:lang w:eastAsia="zh-CN"/>
              </w:rPr>
              <w:t>，</w:t>
            </w:r>
            <w:r>
              <w:rPr>
                <w:color w:val="auto"/>
                <w:sz w:val="24"/>
                <w:highlight w:val="none"/>
                <w:u w:val="none" w:color="auto"/>
              </w:rPr>
              <w:t>应存放于阴凉、通风、干燥的场所，储存于专用收集容器，防止阳光直射，保持容器密封。</w:t>
            </w:r>
          </w:p>
          <w:p w14:paraId="417B4F1D">
            <w:pPr>
              <w:spacing w:line="360" w:lineRule="auto"/>
              <w:ind w:firstLine="482" w:firstLineChars="200"/>
              <w:rPr>
                <w:b/>
                <w:bCs/>
                <w:color w:val="auto"/>
                <w:sz w:val="24"/>
                <w:highlight w:val="none"/>
                <w:u w:val="none" w:color="auto"/>
              </w:rPr>
            </w:pPr>
            <w:r>
              <w:rPr>
                <w:b/>
                <w:bCs/>
                <w:color w:val="auto"/>
                <w:sz w:val="24"/>
                <w:highlight w:val="none"/>
                <w:u w:val="none" w:color="auto"/>
              </w:rPr>
              <w:t>运输注意事项：</w:t>
            </w:r>
          </w:p>
          <w:p w14:paraId="5F33E704">
            <w:pPr>
              <w:spacing w:line="360" w:lineRule="auto"/>
              <w:ind w:firstLine="480" w:firstLineChars="200"/>
              <w:jc w:val="left"/>
              <w:rPr>
                <w:color w:val="auto"/>
                <w:sz w:val="24"/>
                <w:highlight w:val="none"/>
                <w:u w:val="none"/>
              </w:rPr>
            </w:pPr>
            <w:r>
              <w:rPr>
                <w:color w:val="auto"/>
                <w:sz w:val="24"/>
                <w:highlight w:val="none"/>
                <w:u w:val="none" w:color="auto"/>
              </w:rPr>
              <w:t>危险废物产生单位在转移危险废物前，须按照国家有关规定报批危险废物转移计划，经批准后，产生单位应当向移出地环境保护行政主管部门申请领取联单。危废的外运应委托有危险化学品运输</w:t>
            </w:r>
            <w:r>
              <w:rPr>
                <w:rFonts w:hint="eastAsia"/>
                <w:color w:val="auto"/>
                <w:sz w:val="24"/>
                <w:highlight w:val="none"/>
                <w:u w:val="none" w:color="auto"/>
                <w:lang w:eastAsia="zh-CN"/>
              </w:rPr>
              <w:t>资质</w:t>
            </w:r>
            <w:r>
              <w:rPr>
                <w:color w:val="auto"/>
                <w:sz w:val="24"/>
                <w:highlight w:val="none"/>
                <w:u w:val="none" w:color="auto"/>
              </w:rPr>
              <w:t>的单位负责运输。运输车辆、司机、押运人员应具备</w:t>
            </w:r>
            <w:r>
              <w:rPr>
                <w:rFonts w:hint="eastAsia"/>
                <w:color w:val="auto"/>
                <w:sz w:val="24"/>
                <w:highlight w:val="none"/>
                <w:u w:val="none" w:color="auto"/>
                <w:lang w:val="en-US" w:eastAsia="zh-CN"/>
              </w:rPr>
              <w:t>相应</w:t>
            </w:r>
            <w:r>
              <w:rPr>
                <w:color w:val="auto"/>
                <w:sz w:val="24"/>
                <w:highlight w:val="none"/>
                <w:u w:val="none" w:color="auto"/>
              </w:rPr>
              <w:t>从业资质；运输时运输车辆应配备相应品种和数量的消防器材及泄漏应急处理设备；夏季最好早晚运输。运输时所用的槽（罐）车应有接地链，槽内可设孔隔板以减少震荡产生静电；运输途中应防</w:t>
            </w:r>
            <w:r>
              <w:rPr>
                <w:rFonts w:hint="eastAsia"/>
                <w:color w:val="auto"/>
                <w:sz w:val="24"/>
                <w:highlight w:val="none"/>
                <w:u w:val="none" w:color="auto"/>
                <w:lang w:eastAsia="zh-CN"/>
              </w:rPr>
              <w:t>暴晒</w:t>
            </w:r>
            <w:r>
              <w:rPr>
                <w:color w:val="auto"/>
                <w:sz w:val="24"/>
                <w:highlight w:val="none"/>
                <w:u w:val="none" w:color="auto"/>
              </w:rPr>
              <w:t>、雨淋，防高温。中途停留时应远离火种、热源、 高温区；装运该物品的车辆排气管必须配备阻火装置，禁止使用易产生火花的机械设备和工具装卸；公路运输时要按规定路线行驶，勿在居民区和人口稠密区停留。</w:t>
            </w:r>
          </w:p>
          <w:p w14:paraId="6556D215">
            <w:pPr>
              <w:spacing w:line="360" w:lineRule="auto"/>
              <w:ind w:firstLine="480" w:firstLineChars="200"/>
              <w:jc w:val="left"/>
              <w:rPr>
                <w:color w:val="auto"/>
                <w:sz w:val="24"/>
                <w:highlight w:val="none"/>
                <w:u w:val="none"/>
              </w:rPr>
            </w:pPr>
            <w:r>
              <w:rPr>
                <w:rFonts w:hint="eastAsia"/>
                <w:color w:val="auto"/>
                <w:sz w:val="24"/>
                <w:highlight w:val="none"/>
                <w:u w:val="none"/>
              </w:rPr>
              <w:t>③生活垃圾</w:t>
            </w:r>
          </w:p>
          <w:p w14:paraId="79E102A0">
            <w:pPr>
              <w:spacing w:line="360" w:lineRule="auto"/>
              <w:ind w:firstLine="480" w:firstLineChars="200"/>
              <w:jc w:val="left"/>
              <w:rPr>
                <w:color w:val="auto"/>
                <w:sz w:val="24"/>
                <w:highlight w:val="none"/>
                <w:u w:val="none"/>
              </w:rPr>
            </w:pPr>
            <w:r>
              <w:rPr>
                <w:rFonts w:hint="eastAsia"/>
                <w:color w:val="auto"/>
                <w:sz w:val="24"/>
                <w:highlight w:val="none"/>
                <w:u w:val="none"/>
              </w:rPr>
              <w:t>本项目生活垃圾由建设单位收集后，暂存于生活垃圾桶，每天交环卫部门统一处理。</w:t>
            </w:r>
          </w:p>
          <w:p w14:paraId="2E3DC13D">
            <w:pPr>
              <w:spacing w:line="360" w:lineRule="auto"/>
              <w:ind w:firstLine="480" w:firstLineChars="200"/>
              <w:jc w:val="left"/>
              <w:rPr>
                <w:color w:val="auto"/>
                <w:highlight w:val="none"/>
                <w:u w:val="none"/>
              </w:rPr>
            </w:pPr>
            <w:r>
              <w:rPr>
                <w:rFonts w:hint="eastAsia"/>
                <w:color w:val="auto"/>
                <w:sz w:val="24"/>
                <w:highlight w:val="none"/>
                <w:u w:val="none"/>
              </w:rPr>
              <w:t>综上所述，本项目固废均得到合理处置，不会造成二次污染，对项目周边的环境影响很</w:t>
            </w:r>
            <w:r>
              <w:rPr>
                <w:rFonts w:hint="eastAsia"/>
                <w:color w:val="auto"/>
                <w:highlight w:val="none"/>
                <w:u w:val="none"/>
              </w:rPr>
              <w:t>小。</w:t>
            </w:r>
          </w:p>
          <w:p w14:paraId="61892776">
            <w:pPr>
              <w:spacing w:line="360" w:lineRule="auto"/>
              <w:ind w:firstLine="422" w:firstLineChars="200"/>
              <w:jc w:val="center"/>
              <w:rPr>
                <w:b/>
                <w:bCs/>
                <w:color w:val="auto"/>
                <w:highlight w:val="none"/>
                <w:u w:val="none"/>
              </w:rPr>
            </w:pPr>
            <w:r>
              <w:rPr>
                <w:rFonts w:hint="eastAsia"/>
                <w:b/>
                <w:bCs/>
                <w:color w:val="auto"/>
                <w:highlight w:val="none"/>
                <w:u w:val="none"/>
              </w:rPr>
              <w:t>表4-</w:t>
            </w:r>
            <w:r>
              <w:rPr>
                <w:rFonts w:hint="eastAsia"/>
                <w:b/>
                <w:bCs/>
                <w:color w:val="auto"/>
                <w:highlight w:val="none"/>
                <w:u w:val="none"/>
                <w:lang w:val="en-US" w:eastAsia="zh-CN"/>
              </w:rPr>
              <w:t>9</w:t>
            </w:r>
            <w:r>
              <w:rPr>
                <w:rFonts w:hint="eastAsia"/>
                <w:b/>
                <w:bCs/>
                <w:color w:val="auto"/>
                <w:highlight w:val="none"/>
                <w:u w:val="none"/>
              </w:rPr>
              <w:t xml:space="preserve"> 建设项目危险废物产生及处置情况汇总表</w:t>
            </w:r>
          </w:p>
          <w:tbl>
            <w:tblPr>
              <w:tblStyle w:val="3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737"/>
              <w:gridCol w:w="857"/>
              <w:gridCol w:w="1323"/>
              <w:gridCol w:w="879"/>
              <w:gridCol w:w="814"/>
              <w:gridCol w:w="469"/>
              <w:gridCol w:w="712"/>
              <w:gridCol w:w="650"/>
              <w:gridCol w:w="829"/>
              <w:gridCol w:w="931"/>
            </w:tblGrid>
            <w:tr w14:paraId="658E34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412" w:type="pct"/>
                  <w:tcBorders>
                    <w:tl2br w:val="nil"/>
                    <w:tr2bl w:val="nil"/>
                  </w:tcBorders>
                  <w:vAlign w:val="center"/>
                </w:tcPr>
                <w:p w14:paraId="6C9115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贮存场所名称</w:t>
                  </w:r>
                </w:p>
              </w:tc>
              <w:tc>
                <w:tcPr>
                  <w:tcW w:w="412" w:type="pct"/>
                  <w:tcBorders>
                    <w:tl2br w:val="nil"/>
                    <w:tr2bl w:val="nil"/>
                  </w:tcBorders>
                  <w:vAlign w:val="center"/>
                </w:tcPr>
                <w:p w14:paraId="782C5D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危险废物名称</w:t>
                  </w:r>
                </w:p>
              </w:tc>
              <w:tc>
                <w:tcPr>
                  <w:tcW w:w="479" w:type="pct"/>
                  <w:tcBorders>
                    <w:tl2br w:val="nil"/>
                    <w:tr2bl w:val="nil"/>
                  </w:tcBorders>
                  <w:vAlign w:val="center"/>
                </w:tcPr>
                <w:p w14:paraId="6BE2C1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危险废物类别</w:t>
                  </w:r>
                </w:p>
              </w:tc>
              <w:tc>
                <w:tcPr>
                  <w:tcW w:w="739" w:type="pct"/>
                  <w:tcBorders>
                    <w:tl2br w:val="nil"/>
                    <w:tr2bl w:val="nil"/>
                  </w:tcBorders>
                  <w:vAlign w:val="center"/>
                </w:tcPr>
                <w:p w14:paraId="698BCC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危险废物代码</w:t>
                  </w:r>
                </w:p>
              </w:tc>
              <w:tc>
                <w:tcPr>
                  <w:tcW w:w="491" w:type="pct"/>
                  <w:tcBorders>
                    <w:tl2br w:val="nil"/>
                    <w:tr2bl w:val="nil"/>
                  </w:tcBorders>
                  <w:vAlign w:val="center"/>
                </w:tcPr>
                <w:p w14:paraId="6C5C06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产生量t/a</w:t>
                  </w:r>
                </w:p>
              </w:tc>
              <w:tc>
                <w:tcPr>
                  <w:tcW w:w="455" w:type="pct"/>
                  <w:tcBorders>
                    <w:tl2br w:val="nil"/>
                    <w:tr2bl w:val="nil"/>
                  </w:tcBorders>
                  <w:vAlign w:val="center"/>
                </w:tcPr>
                <w:p w14:paraId="59AE60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有害成分</w:t>
                  </w:r>
                </w:p>
              </w:tc>
              <w:tc>
                <w:tcPr>
                  <w:tcW w:w="262" w:type="pct"/>
                  <w:tcBorders>
                    <w:tl2br w:val="nil"/>
                    <w:tr2bl w:val="nil"/>
                  </w:tcBorders>
                  <w:vAlign w:val="center"/>
                </w:tcPr>
                <w:p w14:paraId="524EA2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形态</w:t>
                  </w:r>
                </w:p>
              </w:tc>
              <w:tc>
                <w:tcPr>
                  <w:tcW w:w="398" w:type="pct"/>
                  <w:tcBorders>
                    <w:tl2br w:val="nil"/>
                    <w:tr2bl w:val="nil"/>
                  </w:tcBorders>
                  <w:vAlign w:val="center"/>
                </w:tcPr>
                <w:p w14:paraId="0A1ABF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贮存方式</w:t>
                  </w:r>
                </w:p>
              </w:tc>
              <w:tc>
                <w:tcPr>
                  <w:tcW w:w="363" w:type="pct"/>
                  <w:tcBorders>
                    <w:tl2br w:val="nil"/>
                    <w:tr2bl w:val="nil"/>
                  </w:tcBorders>
                  <w:vAlign w:val="center"/>
                </w:tcPr>
                <w:p w14:paraId="38BAA2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产废周期</w:t>
                  </w:r>
                </w:p>
              </w:tc>
              <w:tc>
                <w:tcPr>
                  <w:tcW w:w="463" w:type="pct"/>
                  <w:tcBorders>
                    <w:tl2br w:val="nil"/>
                    <w:tr2bl w:val="nil"/>
                  </w:tcBorders>
                  <w:vAlign w:val="center"/>
                </w:tcPr>
                <w:p w14:paraId="0D785F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危险特性</w:t>
                  </w:r>
                </w:p>
              </w:tc>
              <w:tc>
                <w:tcPr>
                  <w:tcW w:w="520" w:type="pct"/>
                  <w:tcBorders>
                    <w:tl2br w:val="nil"/>
                    <w:tr2bl w:val="nil"/>
                  </w:tcBorders>
                  <w:vAlign w:val="center"/>
                </w:tcPr>
                <w:p w14:paraId="67ADB061">
                  <w:pPr>
                    <w:jc w:val="center"/>
                    <w:rPr>
                      <w:color w:val="auto"/>
                      <w:highlight w:val="none"/>
                      <w:u w:val="none"/>
                    </w:rPr>
                  </w:pPr>
                  <w:r>
                    <w:rPr>
                      <w:rFonts w:hint="eastAsia"/>
                      <w:color w:val="auto"/>
                      <w:highlight w:val="none"/>
                      <w:u w:val="none"/>
                    </w:rPr>
                    <w:t>治理措施</w:t>
                  </w:r>
                </w:p>
              </w:tc>
            </w:tr>
            <w:tr w14:paraId="08B86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412" w:type="pct"/>
                  <w:vMerge w:val="restart"/>
                  <w:tcBorders>
                    <w:tl2br w:val="nil"/>
                    <w:tr2bl w:val="nil"/>
                  </w:tcBorders>
                  <w:vAlign w:val="center"/>
                </w:tcPr>
                <w:p w14:paraId="660FE3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olor w:val="auto"/>
                      <w:highlight w:val="none"/>
                      <w:u w:val="none"/>
                      <w:lang w:eastAsia="zh-CN"/>
                    </w:rPr>
                  </w:pPr>
                  <w:r>
                    <w:rPr>
                      <w:rFonts w:hint="eastAsia"/>
                      <w:color w:val="auto"/>
                      <w:highlight w:val="none"/>
                      <w:u w:val="none"/>
                    </w:rPr>
                    <w:t>危废</w:t>
                  </w:r>
                  <w:r>
                    <w:rPr>
                      <w:rFonts w:hint="eastAsia"/>
                      <w:color w:val="auto"/>
                      <w:highlight w:val="none"/>
                      <w:u w:val="none"/>
                      <w:lang w:val="en-US" w:eastAsia="zh-CN"/>
                    </w:rPr>
                    <w:t>暂存间</w:t>
                  </w:r>
                </w:p>
              </w:tc>
              <w:tc>
                <w:tcPr>
                  <w:tcW w:w="412" w:type="pct"/>
                  <w:tcBorders>
                    <w:tl2br w:val="nil"/>
                    <w:tr2bl w:val="nil"/>
                  </w:tcBorders>
                  <w:vAlign w:val="center"/>
                </w:tcPr>
                <w:p w14:paraId="51ECD0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default" w:eastAsia="宋体"/>
                      <w:color w:val="auto"/>
                      <w:highlight w:val="none"/>
                      <w:u w:val="none"/>
                      <w:lang w:val="en-US" w:eastAsia="zh-CN"/>
                    </w:rPr>
                    <w:t>废化学品包装</w:t>
                  </w:r>
                </w:p>
              </w:tc>
              <w:tc>
                <w:tcPr>
                  <w:tcW w:w="479" w:type="pct"/>
                  <w:tcBorders>
                    <w:tl2br w:val="nil"/>
                    <w:tr2bl w:val="nil"/>
                  </w:tcBorders>
                  <w:vAlign w:val="center"/>
                </w:tcPr>
                <w:p w14:paraId="06070D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lang w:val="zh-CN"/>
                    </w:rPr>
                  </w:pPr>
                  <w:r>
                    <w:rPr>
                      <w:rFonts w:hint="eastAsia" w:eastAsia="宋体"/>
                      <w:color w:val="auto"/>
                      <w:highlight w:val="none"/>
                      <w:u w:val="none"/>
                    </w:rPr>
                    <w:t>HW49</w:t>
                  </w:r>
                </w:p>
              </w:tc>
              <w:tc>
                <w:tcPr>
                  <w:tcW w:w="739" w:type="pct"/>
                  <w:tcBorders>
                    <w:tl2br w:val="nil"/>
                    <w:tr2bl w:val="nil"/>
                  </w:tcBorders>
                  <w:vAlign w:val="center"/>
                </w:tcPr>
                <w:p w14:paraId="69610D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900-</w:t>
                  </w:r>
                  <w:r>
                    <w:rPr>
                      <w:rFonts w:hint="eastAsia" w:eastAsia="宋体"/>
                      <w:color w:val="auto"/>
                      <w:highlight w:val="none"/>
                      <w:u w:val="none"/>
                      <w:lang w:val="en-US" w:eastAsia="zh-CN"/>
                    </w:rPr>
                    <w:t>041</w:t>
                  </w:r>
                  <w:r>
                    <w:rPr>
                      <w:rFonts w:hint="eastAsia" w:eastAsia="宋体"/>
                      <w:color w:val="auto"/>
                      <w:highlight w:val="none"/>
                      <w:u w:val="none"/>
                    </w:rPr>
                    <w:t>-</w:t>
                  </w:r>
                  <w:r>
                    <w:rPr>
                      <w:rFonts w:hint="eastAsia" w:eastAsia="宋体"/>
                      <w:color w:val="auto"/>
                      <w:highlight w:val="none"/>
                      <w:u w:val="none"/>
                      <w:lang w:val="en-US" w:eastAsia="zh-CN"/>
                    </w:rPr>
                    <w:t>49</w:t>
                  </w:r>
                </w:p>
              </w:tc>
              <w:tc>
                <w:tcPr>
                  <w:tcW w:w="491" w:type="pct"/>
                  <w:tcBorders>
                    <w:tl2br w:val="nil"/>
                    <w:tr2bl w:val="nil"/>
                  </w:tcBorders>
                  <w:vAlign w:val="center"/>
                </w:tcPr>
                <w:p w14:paraId="1A4613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highlight w:val="none"/>
                      <w:u w:val="none"/>
                      <w:lang w:val="en-US"/>
                    </w:rPr>
                  </w:pPr>
                  <w:r>
                    <w:rPr>
                      <w:bCs/>
                      <w:color w:val="auto"/>
                      <w:sz w:val="21"/>
                      <w:szCs w:val="21"/>
                      <w:highlight w:val="none"/>
                      <w:u w:val="none"/>
                    </w:rPr>
                    <w:t>0.</w:t>
                  </w:r>
                  <w:r>
                    <w:rPr>
                      <w:rFonts w:hint="eastAsia"/>
                      <w:bCs/>
                      <w:color w:val="auto"/>
                      <w:sz w:val="21"/>
                      <w:szCs w:val="21"/>
                      <w:highlight w:val="none"/>
                      <w:u w:val="none"/>
                      <w:lang w:val="en-US" w:eastAsia="zh-CN"/>
                    </w:rPr>
                    <w:t>144</w:t>
                  </w:r>
                </w:p>
              </w:tc>
              <w:tc>
                <w:tcPr>
                  <w:tcW w:w="455" w:type="pct"/>
                  <w:tcBorders>
                    <w:tl2br w:val="nil"/>
                    <w:tr2bl w:val="nil"/>
                  </w:tcBorders>
                  <w:vAlign w:val="center"/>
                </w:tcPr>
                <w:p w14:paraId="5FC535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lang w:eastAsia="zh-CN"/>
                    </w:rPr>
                  </w:pPr>
                  <w:r>
                    <w:rPr>
                      <w:rFonts w:hint="eastAsia"/>
                      <w:color w:val="auto"/>
                      <w:highlight w:val="none"/>
                      <w:u w:val="none"/>
                      <w:lang w:val="en-US" w:eastAsia="zh-CN"/>
                    </w:rPr>
                    <w:t>有机溶剂</w:t>
                  </w:r>
                </w:p>
              </w:tc>
              <w:tc>
                <w:tcPr>
                  <w:tcW w:w="262" w:type="pct"/>
                  <w:tcBorders>
                    <w:tl2br w:val="nil"/>
                    <w:tr2bl w:val="nil"/>
                  </w:tcBorders>
                  <w:vAlign w:val="center"/>
                </w:tcPr>
                <w:p w14:paraId="3F2909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lang w:val="en-US" w:eastAsia="zh-CN"/>
                    </w:rPr>
                    <w:t>固</w:t>
                  </w:r>
                  <w:r>
                    <w:rPr>
                      <w:rFonts w:hint="eastAsia"/>
                      <w:color w:val="auto"/>
                      <w:highlight w:val="none"/>
                      <w:u w:val="none"/>
                    </w:rPr>
                    <w:t>态</w:t>
                  </w:r>
                </w:p>
              </w:tc>
              <w:tc>
                <w:tcPr>
                  <w:tcW w:w="398" w:type="pct"/>
                  <w:tcBorders>
                    <w:tl2br w:val="nil"/>
                    <w:tr2bl w:val="nil"/>
                  </w:tcBorders>
                  <w:vAlign w:val="center"/>
                </w:tcPr>
                <w:p w14:paraId="373FDBBD">
                  <w:pPr>
                    <w:keepNext w:val="0"/>
                    <w:keepLines w:val="0"/>
                    <w:pageBreakBefore w:val="0"/>
                    <w:widowControl w:val="0"/>
                    <w:tabs>
                      <w:tab w:val="left" w:pos="213"/>
                    </w:tabs>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桶装</w:t>
                  </w:r>
                </w:p>
              </w:tc>
              <w:tc>
                <w:tcPr>
                  <w:tcW w:w="363" w:type="pct"/>
                  <w:tcBorders>
                    <w:tl2br w:val="nil"/>
                    <w:tr2bl w:val="nil"/>
                  </w:tcBorders>
                  <w:vAlign w:val="center"/>
                </w:tcPr>
                <w:p w14:paraId="1C9F40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1年/次</w:t>
                  </w:r>
                </w:p>
              </w:tc>
              <w:tc>
                <w:tcPr>
                  <w:tcW w:w="463" w:type="pct"/>
                  <w:tcBorders>
                    <w:tl2br w:val="nil"/>
                    <w:tr2bl w:val="nil"/>
                  </w:tcBorders>
                  <w:vAlign w:val="center"/>
                </w:tcPr>
                <w:p w14:paraId="4EA96B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lang w:val="en-US" w:eastAsia="zh-CN"/>
                    </w:rPr>
                  </w:pPr>
                  <w:r>
                    <w:rPr>
                      <w:color w:val="auto"/>
                      <w:spacing w:val="-10"/>
                      <w:highlight w:val="none"/>
                      <w:u w:val="none"/>
                    </w:rPr>
                    <w:t>T，I</w:t>
                  </w:r>
                  <w:r>
                    <w:rPr>
                      <w:rFonts w:hint="eastAsia"/>
                      <w:color w:val="auto"/>
                      <w:spacing w:val="-10"/>
                      <w:highlight w:val="none"/>
                      <w:u w:val="none"/>
                      <w:lang w:val="en-US" w:eastAsia="zh-CN"/>
                    </w:rPr>
                    <w:t>n</w:t>
                  </w:r>
                </w:p>
              </w:tc>
              <w:tc>
                <w:tcPr>
                  <w:tcW w:w="520" w:type="pct"/>
                  <w:vMerge w:val="restart"/>
                  <w:tcBorders>
                    <w:tl2br w:val="nil"/>
                    <w:tr2bl w:val="nil"/>
                  </w:tcBorders>
                  <w:vAlign w:val="center"/>
                </w:tcPr>
                <w:p w14:paraId="5F417CFF">
                  <w:pPr>
                    <w:spacing w:line="360" w:lineRule="auto"/>
                    <w:jc w:val="center"/>
                    <w:rPr>
                      <w:color w:val="auto"/>
                      <w:highlight w:val="none"/>
                      <w:u w:val="none"/>
                    </w:rPr>
                  </w:pPr>
                  <w:r>
                    <w:rPr>
                      <w:rFonts w:hint="eastAsia"/>
                      <w:color w:val="auto"/>
                      <w:highlight w:val="none"/>
                      <w:u w:val="none"/>
                    </w:rPr>
                    <w:t>委托有资质单位处理</w:t>
                  </w:r>
                </w:p>
              </w:tc>
            </w:tr>
            <w:tr w14:paraId="074DA1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412" w:type="pct"/>
                  <w:vMerge w:val="continue"/>
                  <w:tcBorders>
                    <w:tl2br w:val="nil"/>
                    <w:tr2bl w:val="nil"/>
                  </w:tcBorders>
                  <w:vAlign w:val="center"/>
                </w:tcPr>
                <w:p w14:paraId="19FDC188">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highlight w:val="none"/>
                      <w:u w:val="none"/>
                    </w:rPr>
                  </w:pPr>
                </w:p>
              </w:tc>
              <w:tc>
                <w:tcPr>
                  <w:tcW w:w="412" w:type="pct"/>
                  <w:tcBorders>
                    <w:tl2br w:val="nil"/>
                    <w:tr2bl w:val="nil"/>
                  </w:tcBorders>
                  <w:vAlign w:val="center"/>
                </w:tcPr>
                <w:p w14:paraId="043078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default" w:eastAsia="宋体"/>
                      <w:color w:val="auto"/>
                      <w:highlight w:val="none"/>
                      <w:u w:val="none"/>
                      <w:lang w:val="en-US" w:eastAsia="zh-CN"/>
                    </w:rPr>
                    <w:t>废</w:t>
                  </w:r>
                  <w:r>
                    <w:rPr>
                      <w:rFonts w:hint="eastAsia" w:eastAsia="宋体"/>
                      <w:color w:val="auto"/>
                      <w:highlight w:val="none"/>
                      <w:u w:val="none"/>
                      <w:lang w:val="en-US" w:eastAsia="zh-CN"/>
                    </w:rPr>
                    <w:t>液压</w:t>
                  </w:r>
                  <w:r>
                    <w:rPr>
                      <w:rFonts w:hint="default" w:eastAsia="宋体"/>
                      <w:color w:val="auto"/>
                      <w:highlight w:val="none"/>
                      <w:u w:val="none"/>
                      <w:lang w:val="en-US" w:eastAsia="zh-CN"/>
                    </w:rPr>
                    <w:t>油</w:t>
                  </w:r>
                </w:p>
              </w:tc>
              <w:tc>
                <w:tcPr>
                  <w:tcW w:w="479" w:type="pct"/>
                  <w:tcBorders>
                    <w:tl2br w:val="nil"/>
                    <w:tr2bl w:val="nil"/>
                  </w:tcBorders>
                  <w:vAlign w:val="center"/>
                </w:tcPr>
                <w:p w14:paraId="1F4949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lang w:val="zh-CN"/>
                    </w:rPr>
                  </w:pPr>
                  <w:r>
                    <w:rPr>
                      <w:rFonts w:hint="eastAsia" w:eastAsia="宋体"/>
                      <w:color w:val="auto"/>
                      <w:highlight w:val="none"/>
                      <w:u w:val="none"/>
                    </w:rPr>
                    <w:t>HW</w:t>
                  </w:r>
                  <w:r>
                    <w:rPr>
                      <w:rFonts w:hint="eastAsia" w:eastAsia="宋体"/>
                      <w:color w:val="auto"/>
                      <w:highlight w:val="none"/>
                      <w:u w:val="none"/>
                      <w:lang w:val="en-US" w:eastAsia="zh-CN"/>
                    </w:rPr>
                    <w:t>08</w:t>
                  </w:r>
                </w:p>
              </w:tc>
              <w:tc>
                <w:tcPr>
                  <w:tcW w:w="739" w:type="pct"/>
                  <w:tcBorders>
                    <w:tl2br w:val="nil"/>
                    <w:tr2bl w:val="nil"/>
                  </w:tcBorders>
                  <w:vAlign w:val="center"/>
                </w:tcPr>
                <w:p w14:paraId="19925A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900-</w:t>
                  </w:r>
                  <w:r>
                    <w:rPr>
                      <w:rFonts w:hint="eastAsia" w:eastAsia="宋体"/>
                      <w:color w:val="auto"/>
                      <w:highlight w:val="none"/>
                      <w:u w:val="none"/>
                      <w:lang w:val="en-US" w:eastAsia="zh-CN"/>
                    </w:rPr>
                    <w:t>249</w:t>
                  </w:r>
                  <w:r>
                    <w:rPr>
                      <w:rFonts w:hint="eastAsia" w:eastAsia="宋体"/>
                      <w:color w:val="auto"/>
                      <w:highlight w:val="none"/>
                      <w:u w:val="none"/>
                    </w:rPr>
                    <w:t>-</w:t>
                  </w:r>
                  <w:r>
                    <w:rPr>
                      <w:rFonts w:hint="eastAsia" w:eastAsia="宋体"/>
                      <w:color w:val="auto"/>
                      <w:highlight w:val="none"/>
                      <w:u w:val="none"/>
                      <w:lang w:val="en-US" w:eastAsia="zh-CN"/>
                    </w:rPr>
                    <w:t>08</w:t>
                  </w:r>
                </w:p>
              </w:tc>
              <w:tc>
                <w:tcPr>
                  <w:tcW w:w="491" w:type="pct"/>
                  <w:tcBorders>
                    <w:tl2br w:val="nil"/>
                    <w:tr2bl w:val="nil"/>
                  </w:tcBorders>
                  <w:vAlign w:val="center"/>
                </w:tcPr>
                <w:p w14:paraId="3E7AAB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0.01</w:t>
                  </w:r>
                </w:p>
              </w:tc>
              <w:tc>
                <w:tcPr>
                  <w:tcW w:w="455" w:type="pct"/>
                  <w:tcBorders>
                    <w:tl2br w:val="nil"/>
                    <w:tr2bl w:val="nil"/>
                  </w:tcBorders>
                  <w:vAlign w:val="center"/>
                </w:tcPr>
                <w:p w14:paraId="606F7D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废矿物油</w:t>
                  </w:r>
                </w:p>
              </w:tc>
              <w:tc>
                <w:tcPr>
                  <w:tcW w:w="262" w:type="pct"/>
                  <w:tcBorders>
                    <w:tl2br w:val="nil"/>
                    <w:tr2bl w:val="nil"/>
                  </w:tcBorders>
                  <w:vAlign w:val="center"/>
                </w:tcPr>
                <w:p w14:paraId="6A1F98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液态</w:t>
                  </w:r>
                </w:p>
              </w:tc>
              <w:tc>
                <w:tcPr>
                  <w:tcW w:w="398" w:type="pct"/>
                  <w:tcBorders>
                    <w:tl2br w:val="nil"/>
                    <w:tr2bl w:val="nil"/>
                  </w:tcBorders>
                  <w:vAlign w:val="center"/>
                </w:tcPr>
                <w:p w14:paraId="1E3907EF">
                  <w:pPr>
                    <w:keepNext w:val="0"/>
                    <w:keepLines w:val="0"/>
                    <w:pageBreakBefore w:val="0"/>
                    <w:widowControl w:val="0"/>
                    <w:tabs>
                      <w:tab w:val="left" w:pos="213"/>
                    </w:tabs>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桶装</w:t>
                  </w:r>
                </w:p>
              </w:tc>
              <w:tc>
                <w:tcPr>
                  <w:tcW w:w="363" w:type="pct"/>
                  <w:tcBorders>
                    <w:tl2br w:val="nil"/>
                    <w:tr2bl w:val="nil"/>
                  </w:tcBorders>
                  <w:vAlign w:val="center"/>
                </w:tcPr>
                <w:p w14:paraId="0EE6D7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1年/次</w:t>
                  </w:r>
                </w:p>
              </w:tc>
              <w:tc>
                <w:tcPr>
                  <w:tcW w:w="463" w:type="pct"/>
                  <w:tcBorders>
                    <w:tl2br w:val="nil"/>
                    <w:tr2bl w:val="nil"/>
                  </w:tcBorders>
                  <w:vAlign w:val="center"/>
                </w:tcPr>
                <w:p w14:paraId="3985E2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pacing w:val="-10"/>
                      <w:highlight w:val="none"/>
                      <w:u w:val="none"/>
                    </w:rPr>
                  </w:pPr>
                  <w:r>
                    <w:rPr>
                      <w:color w:val="auto"/>
                      <w:spacing w:val="-10"/>
                      <w:highlight w:val="none"/>
                      <w:u w:val="none"/>
                    </w:rPr>
                    <w:t>T，I</w:t>
                  </w:r>
                </w:p>
              </w:tc>
              <w:tc>
                <w:tcPr>
                  <w:tcW w:w="520" w:type="pct"/>
                  <w:vMerge w:val="continue"/>
                  <w:tcBorders>
                    <w:tl2br w:val="nil"/>
                    <w:tr2bl w:val="nil"/>
                  </w:tcBorders>
                  <w:vAlign w:val="center"/>
                </w:tcPr>
                <w:p w14:paraId="0DA37CB0">
                  <w:pPr>
                    <w:spacing w:line="360" w:lineRule="auto"/>
                    <w:jc w:val="center"/>
                    <w:rPr>
                      <w:color w:val="auto"/>
                      <w:highlight w:val="none"/>
                      <w:u w:val="none"/>
                    </w:rPr>
                  </w:pPr>
                </w:p>
              </w:tc>
            </w:tr>
            <w:tr w14:paraId="177F07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412" w:type="pct"/>
                  <w:vMerge w:val="continue"/>
                  <w:tcBorders>
                    <w:tl2br w:val="nil"/>
                    <w:tr2bl w:val="nil"/>
                  </w:tcBorders>
                  <w:vAlign w:val="center"/>
                </w:tcPr>
                <w:p w14:paraId="6F7DE70E">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highlight w:val="none"/>
                      <w:u w:val="none"/>
                    </w:rPr>
                  </w:pPr>
                </w:p>
              </w:tc>
              <w:tc>
                <w:tcPr>
                  <w:tcW w:w="412" w:type="pct"/>
                  <w:tcBorders>
                    <w:tl2br w:val="nil"/>
                    <w:tr2bl w:val="nil"/>
                  </w:tcBorders>
                  <w:vAlign w:val="center"/>
                </w:tcPr>
                <w:p w14:paraId="68D837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lang w:val="en-US" w:eastAsia="zh-CN"/>
                    </w:rPr>
                    <w:t>液压油废桶</w:t>
                  </w:r>
                </w:p>
              </w:tc>
              <w:tc>
                <w:tcPr>
                  <w:tcW w:w="479" w:type="pct"/>
                  <w:tcBorders>
                    <w:tl2br w:val="nil"/>
                    <w:tr2bl w:val="nil"/>
                  </w:tcBorders>
                  <w:vAlign w:val="center"/>
                </w:tcPr>
                <w:p w14:paraId="0E2742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HW49</w:t>
                  </w:r>
                </w:p>
              </w:tc>
              <w:tc>
                <w:tcPr>
                  <w:tcW w:w="739" w:type="pct"/>
                  <w:tcBorders>
                    <w:tl2br w:val="nil"/>
                    <w:tr2bl w:val="nil"/>
                  </w:tcBorders>
                  <w:vAlign w:val="center"/>
                </w:tcPr>
                <w:p w14:paraId="3AA16D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900-</w:t>
                  </w:r>
                  <w:r>
                    <w:rPr>
                      <w:rFonts w:hint="eastAsia" w:eastAsia="宋体"/>
                      <w:color w:val="auto"/>
                      <w:highlight w:val="none"/>
                      <w:u w:val="none"/>
                      <w:lang w:val="en-US" w:eastAsia="zh-CN"/>
                    </w:rPr>
                    <w:t>041</w:t>
                  </w:r>
                  <w:r>
                    <w:rPr>
                      <w:rFonts w:hint="eastAsia" w:eastAsia="宋体"/>
                      <w:color w:val="auto"/>
                      <w:highlight w:val="none"/>
                      <w:u w:val="none"/>
                    </w:rPr>
                    <w:t>-</w:t>
                  </w:r>
                  <w:r>
                    <w:rPr>
                      <w:rFonts w:hint="eastAsia" w:eastAsia="宋体"/>
                      <w:color w:val="auto"/>
                      <w:highlight w:val="none"/>
                      <w:u w:val="none"/>
                      <w:lang w:val="en-US" w:eastAsia="zh-CN"/>
                    </w:rPr>
                    <w:t>49</w:t>
                  </w:r>
                </w:p>
              </w:tc>
              <w:tc>
                <w:tcPr>
                  <w:tcW w:w="491" w:type="pct"/>
                  <w:tcBorders>
                    <w:tl2br w:val="nil"/>
                    <w:tr2bl w:val="nil"/>
                  </w:tcBorders>
                  <w:vAlign w:val="center"/>
                </w:tcPr>
                <w:p w14:paraId="019D62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0.01</w:t>
                  </w:r>
                </w:p>
              </w:tc>
              <w:tc>
                <w:tcPr>
                  <w:tcW w:w="455" w:type="pct"/>
                  <w:tcBorders>
                    <w:tl2br w:val="nil"/>
                    <w:tr2bl w:val="nil"/>
                  </w:tcBorders>
                  <w:vAlign w:val="center"/>
                </w:tcPr>
                <w:p w14:paraId="6F19B3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废矿物油</w:t>
                  </w:r>
                </w:p>
              </w:tc>
              <w:tc>
                <w:tcPr>
                  <w:tcW w:w="262" w:type="pct"/>
                  <w:tcBorders>
                    <w:tl2br w:val="nil"/>
                    <w:tr2bl w:val="nil"/>
                  </w:tcBorders>
                  <w:vAlign w:val="center"/>
                </w:tcPr>
                <w:p w14:paraId="523E08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lang w:val="en-US" w:eastAsia="zh-CN"/>
                    </w:rPr>
                    <w:t>固</w:t>
                  </w:r>
                  <w:r>
                    <w:rPr>
                      <w:rFonts w:hint="eastAsia"/>
                      <w:color w:val="auto"/>
                      <w:highlight w:val="none"/>
                      <w:u w:val="none"/>
                    </w:rPr>
                    <w:t>态</w:t>
                  </w:r>
                </w:p>
              </w:tc>
              <w:tc>
                <w:tcPr>
                  <w:tcW w:w="398" w:type="pct"/>
                  <w:tcBorders>
                    <w:tl2br w:val="nil"/>
                    <w:tr2bl w:val="nil"/>
                  </w:tcBorders>
                  <w:vAlign w:val="center"/>
                </w:tcPr>
                <w:p w14:paraId="4E537E2D">
                  <w:pPr>
                    <w:keepNext w:val="0"/>
                    <w:keepLines w:val="0"/>
                    <w:pageBreakBefore w:val="0"/>
                    <w:widowControl w:val="0"/>
                    <w:tabs>
                      <w:tab w:val="left" w:pos="213"/>
                    </w:tabs>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桶装</w:t>
                  </w:r>
                </w:p>
              </w:tc>
              <w:tc>
                <w:tcPr>
                  <w:tcW w:w="363" w:type="pct"/>
                  <w:tcBorders>
                    <w:tl2br w:val="nil"/>
                    <w:tr2bl w:val="nil"/>
                  </w:tcBorders>
                  <w:vAlign w:val="center"/>
                </w:tcPr>
                <w:p w14:paraId="266FCE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1年/次</w:t>
                  </w:r>
                </w:p>
              </w:tc>
              <w:tc>
                <w:tcPr>
                  <w:tcW w:w="463" w:type="pct"/>
                  <w:tcBorders>
                    <w:tl2br w:val="nil"/>
                    <w:tr2bl w:val="nil"/>
                  </w:tcBorders>
                  <w:vAlign w:val="center"/>
                </w:tcPr>
                <w:p w14:paraId="4B2292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color w:val="auto"/>
                      <w:spacing w:val="-10"/>
                      <w:highlight w:val="none"/>
                      <w:u w:val="none"/>
                    </w:rPr>
                    <w:t>T，I</w:t>
                  </w:r>
                  <w:r>
                    <w:rPr>
                      <w:rFonts w:hint="eastAsia"/>
                      <w:color w:val="auto"/>
                      <w:spacing w:val="-10"/>
                      <w:highlight w:val="none"/>
                      <w:u w:val="none"/>
                      <w:lang w:val="en-US" w:eastAsia="zh-CN"/>
                    </w:rPr>
                    <w:t>n</w:t>
                  </w:r>
                </w:p>
              </w:tc>
              <w:tc>
                <w:tcPr>
                  <w:tcW w:w="520" w:type="pct"/>
                  <w:vMerge w:val="continue"/>
                  <w:tcBorders>
                    <w:tl2br w:val="nil"/>
                    <w:tr2bl w:val="nil"/>
                  </w:tcBorders>
                  <w:vAlign w:val="center"/>
                </w:tcPr>
                <w:p w14:paraId="2F8F06EC">
                  <w:pPr>
                    <w:spacing w:line="360" w:lineRule="auto"/>
                    <w:jc w:val="center"/>
                    <w:rPr>
                      <w:color w:val="auto"/>
                      <w:highlight w:val="none"/>
                      <w:u w:val="none"/>
                    </w:rPr>
                  </w:pPr>
                </w:p>
              </w:tc>
            </w:tr>
            <w:tr w14:paraId="7CE0F8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412" w:type="pct"/>
                  <w:vMerge w:val="continue"/>
                  <w:tcBorders>
                    <w:tl2br w:val="nil"/>
                    <w:tr2bl w:val="nil"/>
                  </w:tcBorders>
                  <w:vAlign w:val="center"/>
                </w:tcPr>
                <w:p w14:paraId="50305E69">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highlight w:val="none"/>
                      <w:u w:val="none"/>
                    </w:rPr>
                  </w:pPr>
                </w:p>
              </w:tc>
              <w:tc>
                <w:tcPr>
                  <w:tcW w:w="412" w:type="pct"/>
                  <w:tcBorders>
                    <w:tl2br w:val="nil"/>
                    <w:tr2bl w:val="nil"/>
                  </w:tcBorders>
                  <w:vAlign w:val="center"/>
                </w:tcPr>
                <w:p w14:paraId="37FB36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default" w:eastAsia="宋体"/>
                      <w:color w:val="auto"/>
                      <w:highlight w:val="none"/>
                      <w:u w:val="none"/>
                      <w:lang w:val="en-US" w:eastAsia="zh-CN"/>
                    </w:rPr>
                    <w:t>废活性炭</w:t>
                  </w:r>
                </w:p>
              </w:tc>
              <w:tc>
                <w:tcPr>
                  <w:tcW w:w="479" w:type="pct"/>
                  <w:tcBorders>
                    <w:tl2br w:val="nil"/>
                    <w:tr2bl w:val="nil"/>
                  </w:tcBorders>
                  <w:vAlign w:val="center"/>
                </w:tcPr>
                <w:p w14:paraId="3A4DB8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HW49</w:t>
                  </w:r>
                </w:p>
              </w:tc>
              <w:tc>
                <w:tcPr>
                  <w:tcW w:w="739" w:type="pct"/>
                  <w:tcBorders>
                    <w:tl2br w:val="nil"/>
                    <w:tr2bl w:val="nil"/>
                  </w:tcBorders>
                  <w:vAlign w:val="center"/>
                </w:tcPr>
                <w:p w14:paraId="26BDD5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lang w:val="en-US" w:eastAsia="zh-CN"/>
                    </w:rPr>
                    <w:t>900-039-49</w:t>
                  </w:r>
                </w:p>
              </w:tc>
              <w:tc>
                <w:tcPr>
                  <w:tcW w:w="491" w:type="pct"/>
                  <w:tcBorders>
                    <w:tl2br w:val="nil"/>
                    <w:tr2bl w:val="nil"/>
                  </w:tcBorders>
                  <w:vAlign w:val="center"/>
                </w:tcPr>
                <w:p w14:paraId="143301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highlight w:val="none"/>
                      <w:u w:val="none"/>
                      <w:lang w:val="en-US"/>
                    </w:rPr>
                  </w:pPr>
                  <w:r>
                    <w:rPr>
                      <w:rFonts w:hint="eastAsia"/>
                      <w:color w:val="auto"/>
                      <w:highlight w:val="none"/>
                      <w:u w:val="none"/>
                      <w:lang w:val="en-US" w:eastAsia="zh-CN"/>
                    </w:rPr>
                    <w:t>4.06</w:t>
                  </w:r>
                </w:p>
              </w:tc>
              <w:tc>
                <w:tcPr>
                  <w:tcW w:w="455" w:type="pct"/>
                  <w:tcBorders>
                    <w:tl2br w:val="nil"/>
                    <w:tr2bl w:val="nil"/>
                  </w:tcBorders>
                  <w:vAlign w:val="center"/>
                </w:tcPr>
                <w:p w14:paraId="6FC449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有机溶剂</w:t>
                  </w:r>
                </w:p>
              </w:tc>
              <w:tc>
                <w:tcPr>
                  <w:tcW w:w="262" w:type="pct"/>
                  <w:tcBorders>
                    <w:tl2br w:val="nil"/>
                    <w:tr2bl w:val="nil"/>
                  </w:tcBorders>
                  <w:vAlign w:val="center"/>
                </w:tcPr>
                <w:p w14:paraId="5D7AA6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固态</w:t>
                  </w:r>
                </w:p>
              </w:tc>
              <w:tc>
                <w:tcPr>
                  <w:tcW w:w="398" w:type="pct"/>
                  <w:tcBorders>
                    <w:tl2br w:val="nil"/>
                    <w:tr2bl w:val="nil"/>
                  </w:tcBorders>
                  <w:vAlign w:val="center"/>
                </w:tcPr>
                <w:p w14:paraId="65721695">
                  <w:pPr>
                    <w:keepNext w:val="0"/>
                    <w:keepLines w:val="0"/>
                    <w:pageBreakBefore w:val="0"/>
                    <w:widowControl w:val="0"/>
                    <w:tabs>
                      <w:tab w:val="left" w:pos="213"/>
                    </w:tabs>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桶装</w:t>
                  </w:r>
                </w:p>
              </w:tc>
              <w:tc>
                <w:tcPr>
                  <w:tcW w:w="363" w:type="pct"/>
                  <w:tcBorders>
                    <w:tl2br w:val="nil"/>
                    <w:tr2bl w:val="nil"/>
                  </w:tcBorders>
                  <w:vAlign w:val="center"/>
                </w:tcPr>
                <w:p w14:paraId="7DBCEA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rFonts w:hint="eastAsia"/>
                      <w:color w:val="auto"/>
                      <w:highlight w:val="none"/>
                      <w:u w:val="none"/>
                    </w:rPr>
                    <w:t>1年/次</w:t>
                  </w:r>
                </w:p>
              </w:tc>
              <w:tc>
                <w:tcPr>
                  <w:tcW w:w="463" w:type="pct"/>
                  <w:tcBorders>
                    <w:tl2br w:val="nil"/>
                    <w:tr2bl w:val="nil"/>
                  </w:tcBorders>
                  <w:vAlign w:val="center"/>
                </w:tcPr>
                <w:p w14:paraId="6C2D90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highlight w:val="none"/>
                      <w:u w:val="none"/>
                    </w:rPr>
                  </w:pPr>
                  <w:r>
                    <w:rPr>
                      <w:color w:val="auto"/>
                      <w:spacing w:val="-10"/>
                      <w:highlight w:val="none"/>
                      <w:u w:val="none"/>
                    </w:rPr>
                    <w:t>T</w:t>
                  </w:r>
                </w:p>
              </w:tc>
              <w:tc>
                <w:tcPr>
                  <w:tcW w:w="520" w:type="pct"/>
                  <w:vMerge w:val="continue"/>
                  <w:tcBorders>
                    <w:tl2br w:val="nil"/>
                    <w:tr2bl w:val="nil"/>
                  </w:tcBorders>
                  <w:vAlign w:val="center"/>
                </w:tcPr>
                <w:p w14:paraId="39657250">
                  <w:pPr>
                    <w:spacing w:line="360" w:lineRule="auto"/>
                    <w:jc w:val="center"/>
                    <w:rPr>
                      <w:color w:val="auto"/>
                      <w:highlight w:val="none"/>
                      <w:u w:val="none"/>
                    </w:rPr>
                  </w:pPr>
                </w:p>
              </w:tc>
            </w:tr>
            <w:tr w14:paraId="68DEC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412" w:type="pct"/>
                  <w:vMerge w:val="continue"/>
                  <w:tcBorders>
                    <w:tl2br w:val="nil"/>
                    <w:tr2bl w:val="nil"/>
                  </w:tcBorders>
                  <w:vAlign w:val="center"/>
                </w:tcPr>
                <w:p w14:paraId="26B0A9A9">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highlight w:val="none"/>
                      <w:u w:val="none"/>
                    </w:rPr>
                  </w:pPr>
                </w:p>
              </w:tc>
              <w:tc>
                <w:tcPr>
                  <w:tcW w:w="412" w:type="pct"/>
                  <w:tcBorders>
                    <w:tl2br w:val="nil"/>
                    <w:tr2bl w:val="nil"/>
                  </w:tcBorders>
                  <w:vAlign w:val="center"/>
                </w:tcPr>
                <w:p w14:paraId="3165BD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废润滑油</w:t>
                  </w:r>
                </w:p>
              </w:tc>
              <w:tc>
                <w:tcPr>
                  <w:tcW w:w="479" w:type="pct"/>
                  <w:tcBorders>
                    <w:tl2br w:val="nil"/>
                    <w:tr2bl w:val="nil"/>
                  </w:tcBorders>
                  <w:vAlign w:val="center"/>
                </w:tcPr>
                <w:p w14:paraId="214C1D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HW08</w:t>
                  </w:r>
                </w:p>
              </w:tc>
              <w:tc>
                <w:tcPr>
                  <w:tcW w:w="739" w:type="pct"/>
                  <w:tcBorders>
                    <w:tl2br w:val="nil"/>
                    <w:tr2bl w:val="nil"/>
                  </w:tcBorders>
                  <w:vAlign w:val="center"/>
                </w:tcPr>
                <w:p w14:paraId="6F727F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900-217-08</w:t>
                  </w:r>
                </w:p>
              </w:tc>
              <w:tc>
                <w:tcPr>
                  <w:tcW w:w="491" w:type="pct"/>
                  <w:tcBorders>
                    <w:tl2br w:val="nil"/>
                    <w:tr2bl w:val="nil"/>
                  </w:tcBorders>
                  <w:vAlign w:val="center"/>
                </w:tcPr>
                <w:p w14:paraId="3FFA9C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lang w:val="en-US" w:eastAsia="zh-CN"/>
                    </w:rPr>
                    <w:t>0.0</w:t>
                  </w:r>
                  <w:r>
                    <w:rPr>
                      <w:rFonts w:hint="eastAsia"/>
                      <w:color w:val="auto"/>
                      <w:highlight w:val="none"/>
                      <w:u w:val="none"/>
                      <w:lang w:val="en-US" w:eastAsia="zh-CN"/>
                    </w:rPr>
                    <w:t>3</w:t>
                  </w:r>
                </w:p>
              </w:tc>
              <w:tc>
                <w:tcPr>
                  <w:tcW w:w="455" w:type="pct"/>
                  <w:tcBorders>
                    <w:tl2br w:val="nil"/>
                    <w:tr2bl w:val="nil"/>
                  </w:tcBorders>
                  <w:vAlign w:val="center"/>
                </w:tcPr>
                <w:p w14:paraId="72325D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rPr>
                    <w:t>废矿物油</w:t>
                  </w:r>
                </w:p>
              </w:tc>
              <w:tc>
                <w:tcPr>
                  <w:tcW w:w="262" w:type="pct"/>
                  <w:tcBorders>
                    <w:tl2br w:val="nil"/>
                    <w:tr2bl w:val="nil"/>
                  </w:tcBorders>
                  <w:vAlign w:val="center"/>
                </w:tcPr>
                <w:p w14:paraId="149D11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lang w:val="en-US" w:eastAsia="zh-CN"/>
                    </w:rPr>
                    <w:t>液</w:t>
                  </w:r>
                  <w:r>
                    <w:rPr>
                      <w:rFonts w:hint="eastAsia"/>
                      <w:color w:val="auto"/>
                      <w:highlight w:val="none"/>
                      <w:u w:val="none"/>
                    </w:rPr>
                    <w:t>态</w:t>
                  </w:r>
                </w:p>
              </w:tc>
              <w:tc>
                <w:tcPr>
                  <w:tcW w:w="398" w:type="pct"/>
                  <w:tcBorders>
                    <w:tl2br w:val="nil"/>
                    <w:tr2bl w:val="nil"/>
                  </w:tcBorders>
                  <w:vAlign w:val="center"/>
                </w:tcPr>
                <w:p w14:paraId="5CB49211">
                  <w:pPr>
                    <w:keepNext w:val="0"/>
                    <w:keepLines w:val="0"/>
                    <w:pageBreakBefore w:val="0"/>
                    <w:widowControl w:val="0"/>
                    <w:tabs>
                      <w:tab w:val="left" w:pos="213"/>
                    </w:tabs>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rPr>
                    <w:t>桶装</w:t>
                  </w:r>
                </w:p>
              </w:tc>
              <w:tc>
                <w:tcPr>
                  <w:tcW w:w="363" w:type="pct"/>
                  <w:tcBorders>
                    <w:tl2br w:val="nil"/>
                    <w:tr2bl w:val="nil"/>
                  </w:tcBorders>
                  <w:vAlign w:val="center"/>
                </w:tcPr>
                <w:p w14:paraId="541AC4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rPr>
                    <w:t>1年/次</w:t>
                  </w:r>
                </w:p>
              </w:tc>
              <w:tc>
                <w:tcPr>
                  <w:tcW w:w="463" w:type="pct"/>
                  <w:tcBorders>
                    <w:tl2br w:val="nil"/>
                    <w:tr2bl w:val="nil"/>
                  </w:tcBorders>
                  <w:vAlign w:val="center"/>
                </w:tcPr>
                <w:p w14:paraId="2A94E7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pacing w:val="-10"/>
                      <w:highlight w:val="none"/>
                      <w:u w:val="none"/>
                    </w:rPr>
                  </w:pPr>
                  <w:r>
                    <w:rPr>
                      <w:color w:val="auto"/>
                      <w:spacing w:val="-10"/>
                      <w:highlight w:val="none"/>
                      <w:u w:val="none"/>
                    </w:rPr>
                    <w:t>T，I</w:t>
                  </w:r>
                </w:p>
              </w:tc>
              <w:tc>
                <w:tcPr>
                  <w:tcW w:w="520" w:type="pct"/>
                  <w:vMerge w:val="continue"/>
                  <w:tcBorders>
                    <w:tl2br w:val="nil"/>
                    <w:tr2bl w:val="nil"/>
                  </w:tcBorders>
                  <w:vAlign w:val="center"/>
                </w:tcPr>
                <w:p w14:paraId="10A29D49">
                  <w:pPr>
                    <w:spacing w:line="360" w:lineRule="auto"/>
                    <w:jc w:val="center"/>
                    <w:rPr>
                      <w:color w:val="auto"/>
                      <w:highlight w:val="none"/>
                      <w:u w:val="none"/>
                    </w:rPr>
                  </w:pPr>
                </w:p>
              </w:tc>
            </w:tr>
            <w:tr w14:paraId="648D24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412" w:type="pct"/>
                  <w:vMerge w:val="continue"/>
                  <w:tcBorders>
                    <w:tl2br w:val="nil"/>
                    <w:tr2bl w:val="nil"/>
                  </w:tcBorders>
                  <w:vAlign w:val="center"/>
                </w:tcPr>
                <w:p w14:paraId="1655153A">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highlight w:val="none"/>
                      <w:u w:val="none"/>
                    </w:rPr>
                  </w:pPr>
                </w:p>
              </w:tc>
              <w:tc>
                <w:tcPr>
                  <w:tcW w:w="412" w:type="pct"/>
                  <w:tcBorders>
                    <w:tl2br w:val="nil"/>
                    <w:tr2bl w:val="nil"/>
                  </w:tcBorders>
                  <w:vAlign w:val="center"/>
                </w:tcPr>
                <w:p w14:paraId="09F519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default" w:eastAsia="宋体"/>
                      <w:color w:val="auto"/>
                      <w:highlight w:val="none"/>
                      <w:u w:val="none"/>
                    </w:rPr>
                    <w:t>机修废机油</w:t>
                  </w:r>
                </w:p>
              </w:tc>
              <w:tc>
                <w:tcPr>
                  <w:tcW w:w="479" w:type="pct"/>
                  <w:tcBorders>
                    <w:tl2br w:val="nil"/>
                    <w:tr2bl w:val="nil"/>
                  </w:tcBorders>
                  <w:vAlign w:val="center"/>
                </w:tcPr>
                <w:p w14:paraId="46B49D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HW08</w:t>
                  </w:r>
                </w:p>
              </w:tc>
              <w:tc>
                <w:tcPr>
                  <w:tcW w:w="739" w:type="pct"/>
                  <w:tcBorders>
                    <w:tl2br w:val="nil"/>
                    <w:tr2bl w:val="nil"/>
                  </w:tcBorders>
                  <w:vAlign w:val="center"/>
                </w:tcPr>
                <w:p w14:paraId="5DDF0C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rPr>
                    <w:t>900-214-08</w:t>
                  </w:r>
                </w:p>
              </w:tc>
              <w:tc>
                <w:tcPr>
                  <w:tcW w:w="491" w:type="pct"/>
                  <w:tcBorders>
                    <w:tl2br w:val="nil"/>
                    <w:tr2bl w:val="nil"/>
                  </w:tcBorders>
                  <w:vAlign w:val="center"/>
                </w:tcPr>
                <w:p w14:paraId="79A409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eastAsia" w:eastAsia="宋体"/>
                      <w:color w:val="auto"/>
                      <w:highlight w:val="none"/>
                      <w:u w:val="none"/>
                      <w:lang w:val="en-US" w:eastAsia="zh-CN"/>
                    </w:rPr>
                    <w:t>0.01</w:t>
                  </w:r>
                </w:p>
              </w:tc>
              <w:tc>
                <w:tcPr>
                  <w:tcW w:w="455" w:type="pct"/>
                  <w:tcBorders>
                    <w:tl2br w:val="nil"/>
                    <w:tr2bl w:val="nil"/>
                  </w:tcBorders>
                  <w:vAlign w:val="center"/>
                </w:tcPr>
                <w:p w14:paraId="188436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rPr>
                    <w:t>废矿物油</w:t>
                  </w:r>
                </w:p>
              </w:tc>
              <w:tc>
                <w:tcPr>
                  <w:tcW w:w="262" w:type="pct"/>
                  <w:tcBorders>
                    <w:tl2br w:val="nil"/>
                    <w:tr2bl w:val="nil"/>
                  </w:tcBorders>
                  <w:vAlign w:val="center"/>
                </w:tcPr>
                <w:p w14:paraId="4B64BF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lang w:val="en-US" w:eastAsia="zh-CN"/>
                    </w:rPr>
                    <w:t>液</w:t>
                  </w:r>
                  <w:r>
                    <w:rPr>
                      <w:rFonts w:hint="eastAsia"/>
                      <w:color w:val="auto"/>
                      <w:highlight w:val="none"/>
                      <w:u w:val="none"/>
                    </w:rPr>
                    <w:t>态</w:t>
                  </w:r>
                </w:p>
              </w:tc>
              <w:tc>
                <w:tcPr>
                  <w:tcW w:w="398" w:type="pct"/>
                  <w:tcBorders>
                    <w:tl2br w:val="nil"/>
                    <w:tr2bl w:val="nil"/>
                  </w:tcBorders>
                  <w:vAlign w:val="center"/>
                </w:tcPr>
                <w:p w14:paraId="3EAA1F5D">
                  <w:pPr>
                    <w:keepNext w:val="0"/>
                    <w:keepLines w:val="0"/>
                    <w:pageBreakBefore w:val="0"/>
                    <w:widowControl w:val="0"/>
                    <w:tabs>
                      <w:tab w:val="left" w:pos="213"/>
                    </w:tabs>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rPr>
                    <w:t>桶装</w:t>
                  </w:r>
                </w:p>
              </w:tc>
              <w:tc>
                <w:tcPr>
                  <w:tcW w:w="363" w:type="pct"/>
                  <w:tcBorders>
                    <w:tl2br w:val="nil"/>
                    <w:tr2bl w:val="nil"/>
                  </w:tcBorders>
                  <w:vAlign w:val="center"/>
                </w:tcPr>
                <w:p w14:paraId="085CC2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rPr>
                    <w:t>1年/次</w:t>
                  </w:r>
                </w:p>
              </w:tc>
              <w:tc>
                <w:tcPr>
                  <w:tcW w:w="463" w:type="pct"/>
                  <w:tcBorders>
                    <w:tl2br w:val="nil"/>
                    <w:tr2bl w:val="nil"/>
                  </w:tcBorders>
                  <w:vAlign w:val="center"/>
                </w:tcPr>
                <w:p w14:paraId="54FA12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pacing w:val="-10"/>
                      <w:highlight w:val="none"/>
                      <w:u w:val="none"/>
                    </w:rPr>
                  </w:pPr>
                  <w:r>
                    <w:rPr>
                      <w:color w:val="auto"/>
                      <w:spacing w:val="-10"/>
                      <w:highlight w:val="none"/>
                      <w:u w:val="none"/>
                    </w:rPr>
                    <w:t>T，I</w:t>
                  </w:r>
                </w:p>
              </w:tc>
              <w:tc>
                <w:tcPr>
                  <w:tcW w:w="520" w:type="pct"/>
                  <w:vMerge w:val="continue"/>
                  <w:tcBorders>
                    <w:tl2br w:val="nil"/>
                    <w:tr2bl w:val="nil"/>
                  </w:tcBorders>
                  <w:vAlign w:val="center"/>
                </w:tcPr>
                <w:p w14:paraId="5E6D2B34">
                  <w:pPr>
                    <w:spacing w:line="360" w:lineRule="auto"/>
                    <w:jc w:val="center"/>
                    <w:rPr>
                      <w:color w:val="auto"/>
                      <w:highlight w:val="none"/>
                      <w:u w:val="none"/>
                    </w:rPr>
                  </w:pPr>
                </w:p>
              </w:tc>
            </w:tr>
            <w:tr w14:paraId="59EEA5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412" w:type="pct"/>
                  <w:vMerge w:val="continue"/>
                  <w:tcBorders>
                    <w:tl2br w:val="nil"/>
                    <w:tr2bl w:val="nil"/>
                  </w:tcBorders>
                  <w:vAlign w:val="center"/>
                </w:tcPr>
                <w:p w14:paraId="4F9A7589">
                  <w:pPr>
                    <w:keepNext w:val="0"/>
                    <w:keepLines w:val="0"/>
                    <w:pageBreakBefore w:val="0"/>
                    <w:widowControl w:val="0"/>
                    <w:kinsoku/>
                    <w:wordWrap/>
                    <w:overflowPunct/>
                    <w:topLinePunct w:val="0"/>
                    <w:autoSpaceDE/>
                    <w:autoSpaceDN/>
                    <w:bidi w:val="0"/>
                    <w:adjustRightInd/>
                    <w:snapToGrid/>
                    <w:spacing w:line="240" w:lineRule="auto"/>
                    <w:textAlignment w:val="auto"/>
                    <w:rPr>
                      <w:color w:val="auto"/>
                      <w:highlight w:val="none"/>
                      <w:u w:val="none"/>
                    </w:rPr>
                  </w:pPr>
                </w:p>
              </w:tc>
              <w:tc>
                <w:tcPr>
                  <w:tcW w:w="412" w:type="pct"/>
                  <w:tcBorders>
                    <w:tl2br w:val="nil"/>
                    <w:tr2bl w:val="nil"/>
                  </w:tcBorders>
                  <w:vAlign w:val="center"/>
                </w:tcPr>
                <w:p w14:paraId="7321AF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color w:val="auto"/>
                      <w:highlight w:val="none"/>
                      <w:u w:val="none"/>
                    </w:rPr>
                  </w:pPr>
                  <w:r>
                    <w:rPr>
                      <w:rFonts w:hint="default" w:eastAsia="宋体"/>
                      <w:color w:val="auto"/>
                      <w:highlight w:val="none"/>
                      <w:u w:val="none"/>
                      <w:lang w:eastAsia="zh-CN"/>
                    </w:rPr>
                    <w:t>含油废抹布</w:t>
                  </w:r>
                  <w:r>
                    <w:rPr>
                      <w:rFonts w:hint="eastAsia" w:eastAsia="宋体"/>
                      <w:color w:val="auto"/>
                      <w:highlight w:val="none"/>
                      <w:u w:val="none"/>
                      <w:lang w:val="en-US" w:eastAsia="zh-CN"/>
                    </w:rPr>
                    <w:t>及</w:t>
                  </w:r>
                  <w:r>
                    <w:rPr>
                      <w:rFonts w:hint="default" w:eastAsia="宋体"/>
                      <w:color w:val="auto"/>
                      <w:highlight w:val="none"/>
                      <w:u w:val="none"/>
                      <w:lang w:eastAsia="zh-CN"/>
                    </w:rPr>
                    <w:t>手套</w:t>
                  </w:r>
                </w:p>
              </w:tc>
              <w:tc>
                <w:tcPr>
                  <w:tcW w:w="479" w:type="pct"/>
                  <w:tcBorders>
                    <w:tl2br w:val="nil"/>
                    <w:tr2bl w:val="nil"/>
                  </w:tcBorders>
                  <w:vAlign w:val="center"/>
                </w:tcPr>
                <w:p w14:paraId="5F74F1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default" w:eastAsia="宋体"/>
                      <w:color w:val="auto"/>
                      <w:highlight w:val="none"/>
                      <w:u w:val="none"/>
                      <w:lang w:eastAsia="zh-CN"/>
                    </w:rPr>
                    <w:t>HW49</w:t>
                  </w:r>
                </w:p>
              </w:tc>
              <w:tc>
                <w:tcPr>
                  <w:tcW w:w="739" w:type="pct"/>
                  <w:tcBorders>
                    <w:tl2br w:val="nil"/>
                    <w:tr2bl w:val="nil"/>
                  </w:tcBorders>
                  <w:vAlign w:val="center"/>
                </w:tcPr>
                <w:p w14:paraId="0C12C2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default" w:eastAsia="宋体"/>
                      <w:color w:val="auto"/>
                      <w:highlight w:val="none"/>
                      <w:u w:val="none"/>
                      <w:lang w:eastAsia="zh-CN"/>
                    </w:rPr>
                    <w:t>900-041-49</w:t>
                  </w:r>
                </w:p>
              </w:tc>
              <w:tc>
                <w:tcPr>
                  <w:tcW w:w="491" w:type="pct"/>
                  <w:tcBorders>
                    <w:tl2br w:val="nil"/>
                    <w:tr2bl w:val="nil"/>
                  </w:tcBorders>
                  <w:vAlign w:val="center"/>
                </w:tcPr>
                <w:p w14:paraId="36DBA9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olor w:val="auto"/>
                      <w:highlight w:val="none"/>
                      <w:u w:val="none"/>
                    </w:rPr>
                  </w:pPr>
                  <w:r>
                    <w:rPr>
                      <w:rFonts w:hint="default" w:eastAsia="宋体"/>
                      <w:color w:val="auto"/>
                      <w:highlight w:val="none"/>
                      <w:u w:val="none"/>
                      <w:lang w:eastAsia="zh-CN"/>
                    </w:rPr>
                    <w:t>0.00</w:t>
                  </w:r>
                  <w:r>
                    <w:rPr>
                      <w:rFonts w:hint="eastAsia" w:eastAsia="宋体"/>
                      <w:color w:val="auto"/>
                      <w:highlight w:val="none"/>
                      <w:u w:val="none"/>
                      <w:lang w:val="en-US" w:eastAsia="zh-CN"/>
                    </w:rPr>
                    <w:t>1</w:t>
                  </w:r>
                </w:p>
              </w:tc>
              <w:tc>
                <w:tcPr>
                  <w:tcW w:w="455" w:type="pct"/>
                  <w:tcBorders>
                    <w:tl2br w:val="nil"/>
                    <w:tr2bl w:val="nil"/>
                  </w:tcBorders>
                  <w:vAlign w:val="center"/>
                </w:tcPr>
                <w:p w14:paraId="194200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rPr>
                    <w:t>废矿物油</w:t>
                  </w:r>
                </w:p>
              </w:tc>
              <w:tc>
                <w:tcPr>
                  <w:tcW w:w="262" w:type="pct"/>
                  <w:tcBorders>
                    <w:tl2br w:val="nil"/>
                    <w:tr2bl w:val="nil"/>
                  </w:tcBorders>
                  <w:vAlign w:val="center"/>
                </w:tcPr>
                <w:p w14:paraId="0A0301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lang w:val="en-US" w:eastAsia="zh-CN"/>
                    </w:rPr>
                    <w:t>固</w:t>
                  </w:r>
                  <w:r>
                    <w:rPr>
                      <w:rFonts w:hint="eastAsia"/>
                      <w:color w:val="auto"/>
                      <w:highlight w:val="none"/>
                      <w:u w:val="none"/>
                    </w:rPr>
                    <w:t>态</w:t>
                  </w:r>
                </w:p>
              </w:tc>
              <w:tc>
                <w:tcPr>
                  <w:tcW w:w="398" w:type="pct"/>
                  <w:tcBorders>
                    <w:tl2br w:val="nil"/>
                    <w:tr2bl w:val="nil"/>
                  </w:tcBorders>
                  <w:vAlign w:val="center"/>
                </w:tcPr>
                <w:p w14:paraId="13682F9A">
                  <w:pPr>
                    <w:keepNext w:val="0"/>
                    <w:keepLines w:val="0"/>
                    <w:pageBreakBefore w:val="0"/>
                    <w:widowControl w:val="0"/>
                    <w:tabs>
                      <w:tab w:val="left" w:pos="213"/>
                    </w:tabs>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rPr>
                    <w:t>桶装</w:t>
                  </w:r>
                </w:p>
              </w:tc>
              <w:tc>
                <w:tcPr>
                  <w:tcW w:w="363" w:type="pct"/>
                  <w:tcBorders>
                    <w:tl2br w:val="nil"/>
                    <w:tr2bl w:val="nil"/>
                  </w:tcBorders>
                  <w:vAlign w:val="center"/>
                </w:tcPr>
                <w:p w14:paraId="2FBD2C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olor w:val="auto"/>
                      <w:highlight w:val="none"/>
                      <w:u w:val="none"/>
                    </w:rPr>
                  </w:pPr>
                  <w:r>
                    <w:rPr>
                      <w:rFonts w:hint="eastAsia"/>
                      <w:color w:val="auto"/>
                      <w:highlight w:val="none"/>
                      <w:u w:val="none"/>
                    </w:rPr>
                    <w:t>1年/次</w:t>
                  </w:r>
                </w:p>
              </w:tc>
              <w:tc>
                <w:tcPr>
                  <w:tcW w:w="463" w:type="pct"/>
                  <w:tcBorders>
                    <w:tl2br w:val="nil"/>
                    <w:tr2bl w:val="nil"/>
                  </w:tcBorders>
                  <w:vAlign w:val="center"/>
                </w:tcPr>
                <w:p w14:paraId="7B64B8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pacing w:val="-10"/>
                      <w:highlight w:val="none"/>
                      <w:u w:val="none"/>
                    </w:rPr>
                  </w:pPr>
                  <w:r>
                    <w:rPr>
                      <w:color w:val="auto"/>
                      <w:spacing w:val="-10"/>
                      <w:highlight w:val="none"/>
                      <w:u w:val="none"/>
                    </w:rPr>
                    <w:t>T，I</w:t>
                  </w:r>
                  <w:r>
                    <w:rPr>
                      <w:rFonts w:hint="eastAsia"/>
                      <w:color w:val="auto"/>
                      <w:spacing w:val="-10"/>
                      <w:highlight w:val="none"/>
                      <w:u w:val="none"/>
                      <w:lang w:val="en-US" w:eastAsia="zh-CN"/>
                    </w:rPr>
                    <w:t>n</w:t>
                  </w:r>
                </w:p>
              </w:tc>
              <w:tc>
                <w:tcPr>
                  <w:tcW w:w="520" w:type="pct"/>
                  <w:vMerge w:val="continue"/>
                  <w:tcBorders>
                    <w:tl2br w:val="nil"/>
                    <w:tr2bl w:val="nil"/>
                  </w:tcBorders>
                  <w:vAlign w:val="center"/>
                </w:tcPr>
                <w:p w14:paraId="1885DF61">
                  <w:pPr>
                    <w:spacing w:line="360" w:lineRule="auto"/>
                    <w:jc w:val="center"/>
                    <w:rPr>
                      <w:color w:val="auto"/>
                      <w:highlight w:val="none"/>
                      <w:u w:val="none"/>
                    </w:rPr>
                  </w:pPr>
                </w:p>
              </w:tc>
            </w:tr>
          </w:tbl>
          <w:p w14:paraId="48C5985E">
            <w:pPr>
              <w:spacing w:line="360" w:lineRule="auto"/>
              <w:ind w:firstLine="482" w:firstLineChars="200"/>
              <w:jc w:val="left"/>
              <w:rPr>
                <w:b/>
                <w:bCs/>
                <w:color w:val="auto"/>
                <w:sz w:val="24"/>
                <w:highlight w:val="none"/>
                <w:u w:val="none"/>
              </w:rPr>
            </w:pPr>
            <w:r>
              <w:rPr>
                <w:rFonts w:hint="eastAsia"/>
                <w:b/>
                <w:bCs/>
                <w:color w:val="auto"/>
                <w:sz w:val="24"/>
                <w:highlight w:val="none"/>
                <w:u w:val="none"/>
              </w:rPr>
              <w:t>7、环境风险评价</w:t>
            </w:r>
          </w:p>
          <w:p w14:paraId="704D2A89">
            <w:pPr>
              <w:spacing w:line="360" w:lineRule="auto"/>
              <w:ind w:firstLine="482" w:firstLineChars="200"/>
              <w:jc w:val="left"/>
              <w:rPr>
                <w:b/>
                <w:bCs/>
                <w:color w:val="auto"/>
                <w:sz w:val="24"/>
                <w:highlight w:val="none"/>
                <w:u w:val="none"/>
              </w:rPr>
            </w:pPr>
            <w:r>
              <w:rPr>
                <w:rFonts w:hint="eastAsia"/>
                <w:b/>
                <w:bCs/>
                <w:color w:val="auto"/>
                <w:sz w:val="24"/>
                <w:highlight w:val="none"/>
                <w:u w:val="none"/>
              </w:rPr>
              <w:t>（1）一般性原则</w:t>
            </w:r>
          </w:p>
          <w:p w14:paraId="6AA61126">
            <w:pPr>
              <w:spacing w:line="360" w:lineRule="auto"/>
              <w:ind w:firstLine="480" w:firstLineChars="200"/>
              <w:jc w:val="left"/>
              <w:rPr>
                <w:color w:val="auto"/>
                <w:sz w:val="24"/>
                <w:highlight w:val="none"/>
                <w:u w:val="none"/>
              </w:rPr>
            </w:pPr>
            <w:r>
              <w:rPr>
                <w:rFonts w:hint="eastAsia"/>
                <w:color w:val="auto"/>
                <w:sz w:val="24"/>
                <w:highlight w:val="none"/>
                <w:u w:val="none"/>
              </w:rPr>
              <w:t>环境风险评价的目的是分析和预测建设项目存在的潜在危险、有害因素，建设项目的建设和运行期间可能发生的突发性事件或事故</w:t>
            </w:r>
            <w:r>
              <w:rPr>
                <w:rFonts w:hint="eastAsia"/>
                <w:color w:val="auto"/>
                <w:sz w:val="24"/>
                <w:highlight w:val="none"/>
                <w:u w:val="none"/>
                <w:lang w:eastAsia="zh-CN"/>
              </w:rPr>
              <w:t>（</w:t>
            </w:r>
            <w:r>
              <w:rPr>
                <w:rFonts w:hint="eastAsia"/>
                <w:color w:val="auto"/>
                <w:sz w:val="24"/>
                <w:highlight w:val="none"/>
                <w:u w:val="none"/>
              </w:rPr>
              <w:t>一般不包括人为破坏及自然灾害</w:t>
            </w:r>
            <w:r>
              <w:rPr>
                <w:rFonts w:hint="eastAsia"/>
                <w:color w:val="auto"/>
                <w:sz w:val="24"/>
                <w:highlight w:val="none"/>
                <w:u w:val="none"/>
                <w:lang w:eastAsia="zh-CN"/>
              </w:rPr>
              <w:t>）</w:t>
            </w:r>
            <w:r>
              <w:rPr>
                <w:rFonts w:hint="eastAsia"/>
                <w:color w:val="auto"/>
                <w:sz w:val="24"/>
                <w:highlight w:val="none"/>
                <w:u w:val="none"/>
              </w:rPr>
              <w:t>，引起有毒有害和易燃易爆等物质</w:t>
            </w:r>
            <w:r>
              <w:rPr>
                <w:rFonts w:hint="eastAsia"/>
                <w:color w:val="auto"/>
                <w:sz w:val="24"/>
                <w:highlight w:val="none"/>
                <w:u w:val="none"/>
                <w:lang w:eastAsia="zh-CN"/>
              </w:rPr>
              <w:t>泄漏</w:t>
            </w:r>
            <w:r>
              <w:rPr>
                <w:rFonts w:hint="eastAsia"/>
                <w:color w:val="auto"/>
                <w:sz w:val="24"/>
                <w:highlight w:val="none"/>
                <w:u w:val="none"/>
              </w:rPr>
              <w:t>，所造成的人身安全与环境影响和损害程度，提出合理可行的防范、应急与减缓措施，以使建设项目事故率、损失和环境影响达到可接受的水平。</w:t>
            </w:r>
          </w:p>
          <w:p w14:paraId="27688B5A">
            <w:pPr>
              <w:spacing w:line="360" w:lineRule="auto"/>
              <w:ind w:firstLine="482" w:firstLineChars="200"/>
              <w:rPr>
                <w:b/>
                <w:bCs/>
                <w:color w:val="auto"/>
                <w:sz w:val="24"/>
                <w:highlight w:val="none"/>
                <w:u w:val="none"/>
              </w:rPr>
            </w:pPr>
            <w:r>
              <w:rPr>
                <w:rFonts w:hint="eastAsia"/>
                <w:b/>
                <w:bCs/>
                <w:color w:val="auto"/>
                <w:sz w:val="24"/>
                <w:highlight w:val="none"/>
                <w:u w:val="none"/>
              </w:rPr>
              <w:t>（2）</w:t>
            </w:r>
            <w:r>
              <w:rPr>
                <w:b/>
                <w:bCs/>
                <w:color w:val="auto"/>
                <w:sz w:val="24"/>
                <w:highlight w:val="none"/>
                <w:u w:val="none"/>
              </w:rPr>
              <w:t>危险物质数量与临界量比值（Q）</w:t>
            </w:r>
          </w:p>
          <w:p w14:paraId="1FB95D6F">
            <w:pPr>
              <w:spacing w:line="360" w:lineRule="auto"/>
              <w:ind w:firstLine="480" w:firstLineChars="200"/>
              <w:rPr>
                <w:color w:val="auto"/>
                <w:sz w:val="24"/>
                <w:highlight w:val="none"/>
                <w:u w:val="none"/>
              </w:rPr>
            </w:pPr>
            <w:r>
              <w:rPr>
                <w:color w:val="auto"/>
                <w:sz w:val="24"/>
                <w:highlight w:val="none"/>
                <w:u w:val="none"/>
              </w:rPr>
              <w:t>经过对建设项目的初步工程分析，进行物质危险性判定，判定依据见表</w:t>
            </w:r>
            <w:r>
              <w:rPr>
                <w:rFonts w:hint="eastAsia"/>
                <w:color w:val="auto"/>
                <w:sz w:val="24"/>
                <w:highlight w:val="none"/>
                <w:u w:val="none"/>
              </w:rPr>
              <w:t>4-1</w:t>
            </w:r>
            <w:r>
              <w:rPr>
                <w:rFonts w:hint="eastAsia"/>
                <w:color w:val="auto"/>
                <w:sz w:val="24"/>
                <w:highlight w:val="none"/>
                <w:u w:val="none"/>
                <w:lang w:val="en-US" w:eastAsia="zh-CN"/>
              </w:rPr>
              <w:t>0</w:t>
            </w:r>
            <w:r>
              <w:rPr>
                <w:color w:val="auto"/>
                <w:sz w:val="24"/>
                <w:highlight w:val="none"/>
                <w:u w:val="none"/>
              </w:rPr>
              <w:t>。</w:t>
            </w:r>
          </w:p>
          <w:p w14:paraId="1F670089">
            <w:pPr>
              <w:ind w:firstLine="422" w:firstLineChars="200"/>
              <w:jc w:val="center"/>
              <w:rPr>
                <w:b/>
                <w:color w:val="auto"/>
                <w:highlight w:val="none"/>
                <w:u w:val="none"/>
              </w:rPr>
            </w:pPr>
            <w:r>
              <w:rPr>
                <w:b/>
                <w:color w:val="auto"/>
                <w:highlight w:val="none"/>
                <w:u w:val="none"/>
              </w:rPr>
              <w:t>表</w:t>
            </w:r>
            <w:r>
              <w:rPr>
                <w:rFonts w:hint="eastAsia"/>
                <w:b/>
                <w:color w:val="auto"/>
                <w:highlight w:val="none"/>
                <w:u w:val="none"/>
              </w:rPr>
              <w:t>4-1</w:t>
            </w:r>
            <w:r>
              <w:rPr>
                <w:rFonts w:hint="eastAsia"/>
                <w:b/>
                <w:color w:val="auto"/>
                <w:highlight w:val="none"/>
                <w:u w:val="none"/>
                <w:lang w:val="en-US" w:eastAsia="zh-CN"/>
              </w:rPr>
              <w:t>0</w:t>
            </w:r>
            <w:r>
              <w:rPr>
                <w:b/>
                <w:color w:val="auto"/>
                <w:highlight w:val="none"/>
                <w:u w:val="none"/>
              </w:rPr>
              <w:t xml:space="preserve"> </w:t>
            </w:r>
            <w:r>
              <w:rPr>
                <w:rFonts w:hint="eastAsia"/>
                <w:b/>
                <w:color w:val="auto"/>
                <w:highlight w:val="none"/>
                <w:u w:val="none"/>
              </w:rPr>
              <w:t xml:space="preserve"> </w:t>
            </w:r>
            <w:r>
              <w:rPr>
                <w:b/>
                <w:color w:val="auto"/>
                <w:highlight w:val="none"/>
                <w:u w:val="none"/>
              </w:rPr>
              <w:t>物质危险性判定依据</w:t>
            </w:r>
          </w:p>
          <w:tbl>
            <w:tblPr>
              <w:tblStyle w:val="35"/>
              <w:tblW w:w="793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59"/>
              <w:gridCol w:w="883"/>
              <w:gridCol w:w="1884"/>
              <w:gridCol w:w="1884"/>
              <w:gridCol w:w="2227"/>
            </w:tblGrid>
            <w:tr w14:paraId="12264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9" w:hRule="atLeast"/>
                <w:jc w:val="center"/>
              </w:trPr>
              <w:tc>
                <w:tcPr>
                  <w:tcW w:w="1059" w:type="dxa"/>
                  <w:vAlign w:val="center"/>
                </w:tcPr>
                <w:p w14:paraId="6975F4A0">
                  <w:pPr>
                    <w:widowControl/>
                    <w:jc w:val="center"/>
                    <w:rPr>
                      <w:color w:val="auto"/>
                      <w:highlight w:val="none"/>
                      <w:u w:val="none"/>
                    </w:rPr>
                  </w:pPr>
                </w:p>
              </w:tc>
              <w:tc>
                <w:tcPr>
                  <w:tcW w:w="883" w:type="dxa"/>
                  <w:vAlign w:val="center"/>
                </w:tcPr>
                <w:p w14:paraId="5F56CC8F">
                  <w:pPr>
                    <w:widowControl/>
                    <w:jc w:val="center"/>
                    <w:rPr>
                      <w:color w:val="auto"/>
                      <w:highlight w:val="none"/>
                      <w:u w:val="none"/>
                    </w:rPr>
                  </w:pPr>
                  <w:r>
                    <w:rPr>
                      <w:color w:val="auto"/>
                      <w:highlight w:val="none"/>
                      <w:u w:val="none"/>
                    </w:rPr>
                    <w:t>序号</w:t>
                  </w:r>
                </w:p>
              </w:tc>
              <w:tc>
                <w:tcPr>
                  <w:tcW w:w="1884" w:type="dxa"/>
                  <w:vAlign w:val="center"/>
                </w:tcPr>
                <w:p w14:paraId="5F19618B">
                  <w:pPr>
                    <w:widowControl/>
                    <w:jc w:val="center"/>
                    <w:rPr>
                      <w:color w:val="auto"/>
                      <w:highlight w:val="none"/>
                      <w:u w:val="none"/>
                    </w:rPr>
                  </w:pPr>
                  <w:r>
                    <w:rPr>
                      <w:color w:val="auto"/>
                      <w:highlight w:val="none"/>
                      <w:u w:val="none"/>
                    </w:rPr>
                    <w:t>LD50（大鼠经口）mg/kg</w:t>
                  </w:r>
                </w:p>
              </w:tc>
              <w:tc>
                <w:tcPr>
                  <w:tcW w:w="1884" w:type="dxa"/>
                  <w:vAlign w:val="center"/>
                </w:tcPr>
                <w:p w14:paraId="2180EB9D">
                  <w:pPr>
                    <w:widowControl/>
                    <w:jc w:val="center"/>
                    <w:rPr>
                      <w:color w:val="auto"/>
                      <w:highlight w:val="none"/>
                      <w:u w:val="none"/>
                    </w:rPr>
                  </w:pPr>
                  <w:r>
                    <w:rPr>
                      <w:color w:val="auto"/>
                      <w:highlight w:val="none"/>
                      <w:u w:val="none"/>
                    </w:rPr>
                    <w:t>LD50（大鼠经皮）</w:t>
                  </w:r>
                </w:p>
                <w:p w14:paraId="17DE90A1">
                  <w:pPr>
                    <w:widowControl/>
                    <w:jc w:val="center"/>
                    <w:rPr>
                      <w:color w:val="auto"/>
                      <w:highlight w:val="none"/>
                      <w:u w:val="none"/>
                    </w:rPr>
                  </w:pPr>
                  <w:r>
                    <w:rPr>
                      <w:color w:val="auto"/>
                      <w:highlight w:val="none"/>
                      <w:u w:val="none"/>
                    </w:rPr>
                    <w:t>mg/kg</w:t>
                  </w:r>
                </w:p>
              </w:tc>
              <w:tc>
                <w:tcPr>
                  <w:tcW w:w="2227" w:type="dxa"/>
                  <w:vAlign w:val="center"/>
                </w:tcPr>
                <w:p w14:paraId="5B16B1D7">
                  <w:pPr>
                    <w:widowControl/>
                    <w:jc w:val="center"/>
                    <w:rPr>
                      <w:color w:val="auto"/>
                      <w:highlight w:val="none"/>
                      <w:u w:val="none"/>
                    </w:rPr>
                  </w:pPr>
                  <w:r>
                    <w:rPr>
                      <w:color w:val="auto"/>
                      <w:highlight w:val="none"/>
                      <w:u w:val="none"/>
                    </w:rPr>
                    <w:t>LD50（小鼠吸入，4小时）mg/kg</w:t>
                  </w:r>
                </w:p>
              </w:tc>
            </w:tr>
            <w:tr w14:paraId="3FA40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jc w:val="center"/>
              </w:trPr>
              <w:tc>
                <w:tcPr>
                  <w:tcW w:w="1059" w:type="dxa"/>
                  <w:vMerge w:val="restart"/>
                  <w:vAlign w:val="center"/>
                </w:tcPr>
                <w:p w14:paraId="0BC291AE">
                  <w:pPr>
                    <w:widowControl/>
                    <w:jc w:val="center"/>
                    <w:rPr>
                      <w:color w:val="auto"/>
                      <w:highlight w:val="none"/>
                      <w:u w:val="none"/>
                    </w:rPr>
                  </w:pPr>
                  <w:r>
                    <w:rPr>
                      <w:color w:val="auto"/>
                      <w:highlight w:val="none"/>
                      <w:u w:val="none"/>
                    </w:rPr>
                    <w:t>有毒</w:t>
                  </w:r>
                </w:p>
                <w:p w14:paraId="04EB2BC7">
                  <w:pPr>
                    <w:widowControl/>
                    <w:jc w:val="center"/>
                    <w:rPr>
                      <w:color w:val="auto"/>
                      <w:highlight w:val="none"/>
                      <w:u w:val="none"/>
                    </w:rPr>
                  </w:pPr>
                  <w:r>
                    <w:rPr>
                      <w:color w:val="auto"/>
                      <w:highlight w:val="none"/>
                      <w:u w:val="none"/>
                    </w:rPr>
                    <w:t>物质</w:t>
                  </w:r>
                </w:p>
              </w:tc>
              <w:tc>
                <w:tcPr>
                  <w:tcW w:w="883" w:type="dxa"/>
                  <w:vAlign w:val="center"/>
                </w:tcPr>
                <w:p w14:paraId="37BB26F5">
                  <w:pPr>
                    <w:widowControl/>
                    <w:jc w:val="center"/>
                    <w:rPr>
                      <w:color w:val="auto"/>
                      <w:highlight w:val="none"/>
                      <w:u w:val="none"/>
                    </w:rPr>
                  </w:pPr>
                  <w:r>
                    <w:rPr>
                      <w:color w:val="auto"/>
                      <w:highlight w:val="none"/>
                      <w:u w:val="none"/>
                    </w:rPr>
                    <w:t>1</w:t>
                  </w:r>
                </w:p>
              </w:tc>
              <w:tc>
                <w:tcPr>
                  <w:tcW w:w="1884" w:type="dxa"/>
                  <w:vAlign w:val="center"/>
                </w:tcPr>
                <w:p w14:paraId="4B07FD4D">
                  <w:pPr>
                    <w:widowControl/>
                    <w:jc w:val="center"/>
                    <w:rPr>
                      <w:color w:val="auto"/>
                      <w:highlight w:val="none"/>
                      <w:u w:val="none"/>
                    </w:rPr>
                  </w:pPr>
                  <w:r>
                    <w:rPr>
                      <w:color w:val="auto"/>
                      <w:highlight w:val="none"/>
                      <w:u w:val="none"/>
                    </w:rPr>
                    <w:t>＜5</w:t>
                  </w:r>
                </w:p>
              </w:tc>
              <w:tc>
                <w:tcPr>
                  <w:tcW w:w="1884" w:type="dxa"/>
                  <w:vAlign w:val="center"/>
                </w:tcPr>
                <w:p w14:paraId="642E481F">
                  <w:pPr>
                    <w:widowControl/>
                    <w:jc w:val="center"/>
                    <w:rPr>
                      <w:color w:val="auto"/>
                      <w:highlight w:val="none"/>
                      <w:u w:val="none"/>
                    </w:rPr>
                  </w:pPr>
                  <w:r>
                    <w:rPr>
                      <w:color w:val="auto"/>
                      <w:highlight w:val="none"/>
                      <w:u w:val="none"/>
                    </w:rPr>
                    <w:t>＜1</w:t>
                  </w:r>
                </w:p>
              </w:tc>
              <w:tc>
                <w:tcPr>
                  <w:tcW w:w="2227" w:type="dxa"/>
                  <w:vAlign w:val="center"/>
                </w:tcPr>
                <w:p w14:paraId="06E82C93">
                  <w:pPr>
                    <w:widowControl/>
                    <w:jc w:val="center"/>
                    <w:rPr>
                      <w:color w:val="auto"/>
                      <w:highlight w:val="none"/>
                      <w:u w:val="none"/>
                    </w:rPr>
                  </w:pPr>
                  <w:r>
                    <w:rPr>
                      <w:color w:val="auto"/>
                      <w:highlight w:val="none"/>
                      <w:u w:val="none"/>
                    </w:rPr>
                    <w:t>＜0.01</w:t>
                  </w:r>
                </w:p>
              </w:tc>
            </w:tr>
            <w:tr w14:paraId="216AB3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jc w:val="center"/>
              </w:trPr>
              <w:tc>
                <w:tcPr>
                  <w:tcW w:w="1059" w:type="dxa"/>
                  <w:vMerge w:val="continue"/>
                  <w:vAlign w:val="center"/>
                </w:tcPr>
                <w:p w14:paraId="4A56C1F7">
                  <w:pPr>
                    <w:widowControl/>
                    <w:jc w:val="center"/>
                    <w:rPr>
                      <w:color w:val="auto"/>
                      <w:highlight w:val="none"/>
                      <w:u w:val="none"/>
                    </w:rPr>
                  </w:pPr>
                </w:p>
              </w:tc>
              <w:tc>
                <w:tcPr>
                  <w:tcW w:w="883" w:type="dxa"/>
                  <w:vAlign w:val="center"/>
                </w:tcPr>
                <w:p w14:paraId="148F1EFC">
                  <w:pPr>
                    <w:widowControl/>
                    <w:jc w:val="center"/>
                    <w:rPr>
                      <w:color w:val="auto"/>
                      <w:highlight w:val="none"/>
                      <w:u w:val="none"/>
                    </w:rPr>
                  </w:pPr>
                  <w:r>
                    <w:rPr>
                      <w:color w:val="auto"/>
                      <w:highlight w:val="none"/>
                      <w:u w:val="none"/>
                    </w:rPr>
                    <w:t>2</w:t>
                  </w:r>
                </w:p>
              </w:tc>
              <w:tc>
                <w:tcPr>
                  <w:tcW w:w="1884" w:type="dxa"/>
                  <w:vAlign w:val="center"/>
                </w:tcPr>
                <w:p w14:paraId="6C70A6B3">
                  <w:pPr>
                    <w:widowControl/>
                    <w:jc w:val="center"/>
                    <w:rPr>
                      <w:color w:val="auto"/>
                      <w:highlight w:val="none"/>
                      <w:u w:val="none"/>
                    </w:rPr>
                  </w:pPr>
                  <w:r>
                    <w:rPr>
                      <w:color w:val="auto"/>
                      <w:highlight w:val="none"/>
                      <w:u w:val="none"/>
                    </w:rPr>
                    <w:t>5＜LD50＜25</w:t>
                  </w:r>
                </w:p>
              </w:tc>
              <w:tc>
                <w:tcPr>
                  <w:tcW w:w="1884" w:type="dxa"/>
                  <w:vAlign w:val="center"/>
                </w:tcPr>
                <w:p w14:paraId="4BBF9554">
                  <w:pPr>
                    <w:widowControl/>
                    <w:jc w:val="center"/>
                    <w:rPr>
                      <w:color w:val="auto"/>
                      <w:highlight w:val="none"/>
                      <w:u w:val="none"/>
                    </w:rPr>
                  </w:pPr>
                  <w:r>
                    <w:rPr>
                      <w:color w:val="auto"/>
                      <w:highlight w:val="none"/>
                      <w:u w:val="none"/>
                    </w:rPr>
                    <w:t>10＜LD50＜25</w:t>
                  </w:r>
                </w:p>
              </w:tc>
              <w:tc>
                <w:tcPr>
                  <w:tcW w:w="2227" w:type="dxa"/>
                  <w:vAlign w:val="center"/>
                </w:tcPr>
                <w:p w14:paraId="3F047F58">
                  <w:pPr>
                    <w:widowControl/>
                    <w:jc w:val="center"/>
                    <w:rPr>
                      <w:color w:val="auto"/>
                      <w:highlight w:val="none"/>
                      <w:u w:val="none"/>
                    </w:rPr>
                  </w:pPr>
                  <w:r>
                    <w:rPr>
                      <w:color w:val="auto"/>
                      <w:highlight w:val="none"/>
                      <w:u w:val="none"/>
                    </w:rPr>
                    <w:t>0.1＜LD50＜0.5</w:t>
                  </w:r>
                </w:p>
              </w:tc>
            </w:tr>
            <w:tr w14:paraId="06D42D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jc w:val="center"/>
              </w:trPr>
              <w:tc>
                <w:tcPr>
                  <w:tcW w:w="1059" w:type="dxa"/>
                  <w:vMerge w:val="continue"/>
                  <w:vAlign w:val="center"/>
                </w:tcPr>
                <w:p w14:paraId="31E28346">
                  <w:pPr>
                    <w:widowControl/>
                    <w:jc w:val="center"/>
                    <w:rPr>
                      <w:color w:val="auto"/>
                      <w:highlight w:val="none"/>
                      <w:u w:val="none"/>
                    </w:rPr>
                  </w:pPr>
                </w:p>
              </w:tc>
              <w:tc>
                <w:tcPr>
                  <w:tcW w:w="883" w:type="dxa"/>
                  <w:vAlign w:val="center"/>
                </w:tcPr>
                <w:p w14:paraId="2550AF4F">
                  <w:pPr>
                    <w:widowControl/>
                    <w:jc w:val="center"/>
                    <w:rPr>
                      <w:color w:val="auto"/>
                      <w:highlight w:val="none"/>
                      <w:u w:val="none"/>
                    </w:rPr>
                  </w:pPr>
                  <w:r>
                    <w:rPr>
                      <w:color w:val="auto"/>
                      <w:highlight w:val="none"/>
                      <w:u w:val="none"/>
                    </w:rPr>
                    <w:t>3</w:t>
                  </w:r>
                </w:p>
              </w:tc>
              <w:tc>
                <w:tcPr>
                  <w:tcW w:w="1884" w:type="dxa"/>
                  <w:vAlign w:val="center"/>
                </w:tcPr>
                <w:p w14:paraId="759324C2">
                  <w:pPr>
                    <w:widowControl/>
                    <w:jc w:val="center"/>
                    <w:rPr>
                      <w:color w:val="auto"/>
                      <w:highlight w:val="none"/>
                      <w:u w:val="none"/>
                    </w:rPr>
                  </w:pPr>
                  <w:r>
                    <w:rPr>
                      <w:color w:val="auto"/>
                      <w:highlight w:val="none"/>
                      <w:u w:val="none"/>
                    </w:rPr>
                    <w:t>25＜LD50＜200</w:t>
                  </w:r>
                </w:p>
              </w:tc>
              <w:tc>
                <w:tcPr>
                  <w:tcW w:w="1884" w:type="dxa"/>
                  <w:vAlign w:val="center"/>
                </w:tcPr>
                <w:p w14:paraId="41E16A10">
                  <w:pPr>
                    <w:widowControl/>
                    <w:jc w:val="center"/>
                    <w:rPr>
                      <w:color w:val="auto"/>
                      <w:highlight w:val="none"/>
                      <w:u w:val="none"/>
                    </w:rPr>
                  </w:pPr>
                  <w:r>
                    <w:rPr>
                      <w:color w:val="auto"/>
                      <w:highlight w:val="none"/>
                      <w:u w:val="none"/>
                    </w:rPr>
                    <w:t>10＜LD50＜400</w:t>
                  </w:r>
                </w:p>
              </w:tc>
              <w:tc>
                <w:tcPr>
                  <w:tcW w:w="2227" w:type="dxa"/>
                  <w:vAlign w:val="center"/>
                </w:tcPr>
                <w:p w14:paraId="214D15D4">
                  <w:pPr>
                    <w:widowControl/>
                    <w:jc w:val="center"/>
                    <w:rPr>
                      <w:color w:val="auto"/>
                      <w:highlight w:val="none"/>
                      <w:u w:val="none"/>
                    </w:rPr>
                  </w:pPr>
                  <w:r>
                    <w:rPr>
                      <w:color w:val="auto"/>
                      <w:highlight w:val="none"/>
                      <w:u w:val="none"/>
                    </w:rPr>
                    <w:t>0.5＜LD50＜2</w:t>
                  </w:r>
                </w:p>
              </w:tc>
            </w:tr>
            <w:tr w14:paraId="276483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1059" w:type="dxa"/>
                  <w:vMerge w:val="restart"/>
                  <w:vAlign w:val="center"/>
                </w:tcPr>
                <w:p w14:paraId="407AB37B">
                  <w:pPr>
                    <w:widowControl/>
                    <w:jc w:val="center"/>
                    <w:rPr>
                      <w:color w:val="auto"/>
                      <w:highlight w:val="none"/>
                      <w:u w:val="none"/>
                    </w:rPr>
                  </w:pPr>
                  <w:r>
                    <w:rPr>
                      <w:color w:val="auto"/>
                      <w:highlight w:val="none"/>
                      <w:u w:val="none"/>
                    </w:rPr>
                    <w:t>易燃</w:t>
                  </w:r>
                </w:p>
                <w:p w14:paraId="181892E7">
                  <w:pPr>
                    <w:widowControl/>
                    <w:jc w:val="center"/>
                    <w:rPr>
                      <w:color w:val="auto"/>
                      <w:highlight w:val="none"/>
                      <w:u w:val="none"/>
                    </w:rPr>
                  </w:pPr>
                  <w:r>
                    <w:rPr>
                      <w:color w:val="auto"/>
                      <w:highlight w:val="none"/>
                      <w:u w:val="none"/>
                    </w:rPr>
                    <w:t>物质</w:t>
                  </w:r>
                </w:p>
              </w:tc>
              <w:tc>
                <w:tcPr>
                  <w:tcW w:w="883" w:type="dxa"/>
                  <w:vAlign w:val="center"/>
                </w:tcPr>
                <w:p w14:paraId="2EF8FF84">
                  <w:pPr>
                    <w:widowControl/>
                    <w:jc w:val="center"/>
                    <w:rPr>
                      <w:color w:val="auto"/>
                      <w:highlight w:val="none"/>
                      <w:u w:val="none"/>
                    </w:rPr>
                  </w:pPr>
                  <w:r>
                    <w:rPr>
                      <w:color w:val="auto"/>
                      <w:highlight w:val="none"/>
                      <w:u w:val="none"/>
                    </w:rPr>
                    <w:t>1</w:t>
                  </w:r>
                </w:p>
              </w:tc>
              <w:tc>
                <w:tcPr>
                  <w:tcW w:w="5995" w:type="dxa"/>
                  <w:gridSpan w:val="3"/>
                  <w:vAlign w:val="center"/>
                </w:tcPr>
                <w:p w14:paraId="2A12A1B8">
                  <w:pPr>
                    <w:widowControl/>
                    <w:jc w:val="center"/>
                    <w:rPr>
                      <w:color w:val="auto"/>
                      <w:highlight w:val="none"/>
                      <w:u w:val="none"/>
                    </w:rPr>
                  </w:pPr>
                  <w:r>
                    <w:rPr>
                      <w:color w:val="auto"/>
                      <w:highlight w:val="none"/>
                      <w:u w:val="none"/>
                    </w:rPr>
                    <w:t>可燃气体—在常压下以气态存在并与空气混合形成可燃混合物；其沸点（常压下）是20℃或20℃以下的物质</w:t>
                  </w:r>
                </w:p>
              </w:tc>
            </w:tr>
            <w:tr w14:paraId="331AD2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jc w:val="center"/>
              </w:trPr>
              <w:tc>
                <w:tcPr>
                  <w:tcW w:w="1059" w:type="dxa"/>
                  <w:vMerge w:val="continue"/>
                  <w:vAlign w:val="center"/>
                </w:tcPr>
                <w:p w14:paraId="3D4A34E1">
                  <w:pPr>
                    <w:widowControl/>
                    <w:jc w:val="center"/>
                    <w:rPr>
                      <w:color w:val="auto"/>
                      <w:highlight w:val="none"/>
                      <w:u w:val="none"/>
                    </w:rPr>
                  </w:pPr>
                </w:p>
              </w:tc>
              <w:tc>
                <w:tcPr>
                  <w:tcW w:w="883" w:type="dxa"/>
                  <w:vAlign w:val="center"/>
                </w:tcPr>
                <w:p w14:paraId="63358E99">
                  <w:pPr>
                    <w:widowControl/>
                    <w:jc w:val="center"/>
                    <w:rPr>
                      <w:color w:val="auto"/>
                      <w:highlight w:val="none"/>
                      <w:u w:val="none"/>
                    </w:rPr>
                  </w:pPr>
                  <w:r>
                    <w:rPr>
                      <w:color w:val="auto"/>
                      <w:highlight w:val="none"/>
                      <w:u w:val="none"/>
                    </w:rPr>
                    <w:t>2</w:t>
                  </w:r>
                </w:p>
              </w:tc>
              <w:tc>
                <w:tcPr>
                  <w:tcW w:w="5995" w:type="dxa"/>
                  <w:gridSpan w:val="3"/>
                  <w:vAlign w:val="center"/>
                </w:tcPr>
                <w:p w14:paraId="1BF09F7E">
                  <w:pPr>
                    <w:widowControl/>
                    <w:jc w:val="center"/>
                    <w:rPr>
                      <w:color w:val="auto"/>
                      <w:highlight w:val="none"/>
                      <w:u w:val="none"/>
                    </w:rPr>
                  </w:pPr>
                  <w:r>
                    <w:rPr>
                      <w:color w:val="auto"/>
                      <w:highlight w:val="none"/>
                      <w:u w:val="none"/>
                    </w:rPr>
                    <w:t>易燃液体—闪点低于21℃，沸点高于20℃的物质</w:t>
                  </w:r>
                </w:p>
              </w:tc>
            </w:tr>
            <w:tr w14:paraId="04269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39" w:hRule="atLeast"/>
                <w:jc w:val="center"/>
              </w:trPr>
              <w:tc>
                <w:tcPr>
                  <w:tcW w:w="1059" w:type="dxa"/>
                  <w:vMerge w:val="continue"/>
                  <w:vAlign w:val="center"/>
                </w:tcPr>
                <w:p w14:paraId="672B80B1">
                  <w:pPr>
                    <w:widowControl/>
                    <w:jc w:val="center"/>
                    <w:rPr>
                      <w:color w:val="auto"/>
                      <w:highlight w:val="none"/>
                      <w:u w:val="none"/>
                    </w:rPr>
                  </w:pPr>
                </w:p>
              </w:tc>
              <w:tc>
                <w:tcPr>
                  <w:tcW w:w="883" w:type="dxa"/>
                  <w:vAlign w:val="center"/>
                </w:tcPr>
                <w:p w14:paraId="3B69F502">
                  <w:pPr>
                    <w:widowControl/>
                    <w:jc w:val="center"/>
                    <w:rPr>
                      <w:color w:val="auto"/>
                      <w:highlight w:val="none"/>
                      <w:u w:val="none"/>
                    </w:rPr>
                  </w:pPr>
                  <w:r>
                    <w:rPr>
                      <w:color w:val="auto"/>
                      <w:highlight w:val="none"/>
                      <w:u w:val="none"/>
                    </w:rPr>
                    <w:t>3</w:t>
                  </w:r>
                </w:p>
              </w:tc>
              <w:tc>
                <w:tcPr>
                  <w:tcW w:w="5995" w:type="dxa"/>
                  <w:gridSpan w:val="3"/>
                  <w:vAlign w:val="center"/>
                </w:tcPr>
                <w:p w14:paraId="0B5AC05E">
                  <w:pPr>
                    <w:widowControl/>
                    <w:jc w:val="center"/>
                    <w:rPr>
                      <w:color w:val="auto"/>
                      <w:highlight w:val="none"/>
                      <w:u w:val="none"/>
                    </w:rPr>
                  </w:pPr>
                  <w:r>
                    <w:rPr>
                      <w:color w:val="auto"/>
                      <w:highlight w:val="none"/>
                      <w:u w:val="none"/>
                    </w:rPr>
                    <w:t>可燃液体—闪点低于55℃，压力下保持液态，在实际操作条件下（如高温高压）可以引起重大事故的物质</w:t>
                  </w:r>
                </w:p>
              </w:tc>
            </w:tr>
            <w:tr w14:paraId="20D26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9" w:hRule="atLeast"/>
                <w:jc w:val="center"/>
              </w:trPr>
              <w:tc>
                <w:tcPr>
                  <w:tcW w:w="1942" w:type="dxa"/>
                  <w:gridSpan w:val="2"/>
                  <w:vAlign w:val="center"/>
                </w:tcPr>
                <w:p w14:paraId="044CC8EB">
                  <w:pPr>
                    <w:widowControl/>
                    <w:jc w:val="center"/>
                    <w:rPr>
                      <w:color w:val="auto"/>
                      <w:highlight w:val="none"/>
                      <w:u w:val="none"/>
                    </w:rPr>
                  </w:pPr>
                  <w:r>
                    <w:rPr>
                      <w:color w:val="auto"/>
                      <w:highlight w:val="none"/>
                      <w:u w:val="none"/>
                    </w:rPr>
                    <w:t>爆炸性物质</w:t>
                  </w:r>
                </w:p>
              </w:tc>
              <w:tc>
                <w:tcPr>
                  <w:tcW w:w="5995" w:type="dxa"/>
                  <w:gridSpan w:val="3"/>
                  <w:vAlign w:val="center"/>
                </w:tcPr>
                <w:p w14:paraId="786076B2">
                  <w:pPr>
                    <w:widowControl/>
                    <w:jc w:val="center"/>
                    <w:rPr>
                      <w:color w:val="auto"/>
                      <w:highlight w:val="none"/>
                      <w:u w:val="none"/>
                    </w:rPr>
                  </w:pPr>
                  <w:r>
                    <w:rPr>
                      <w:color w:val="auto"/>
                      <w:highlight w:val="none"/>
                      <w:u w:val="none"/>
                    </w:rPr>
                    <w:t>在火焰影响下可以爆炸，或者对冲击、摩擦比硝基苯更为敏感的物质</w:t>
                  </w:r>
                </w:p>
              </w:tc>
            </w:tr>
          </w:tbl>
          <w:p w14:paraId="19C74B2E">
            <w:pPr>
              <w:spacing w:line="360" w:lineRule="auto"/>
              <w:ind w:firstLine="480" w:firstLineChars="200"/>
              <w:rPr>
                <w:color w:val="auto"/>
                <w:sz w:val="24"/>
                <w:highlight w:val="none"/>
                <w:u w:val="none"/>
              </w:rPr>
            </w:pPr>
            <w:r>
              <w:rPr>
                <w:color w:val="auto"/>
                <w:sz w:val="24"/>
                <w:highlight w:val="none"/>
                <w:u w:val="none"/>
              </w:rPr>
              <w:t>凡符合上表中有毒有害物质判定标准序号为1、2号的物质，属于剧毒物质；符合有毒有害物质判定标准序号为3号的属于一般毒物；凡符合上表中易燃物质和爆炸性物质标准的物质，均视为火灾、爆炸等危险物质。</w:t>
            </w:r>
          </w:p>
          <w:p w14:paraId="2615F545">
            <w:pPr>
              <w:spacing w:line="360" w:lineRule="auto"/>
              <w:ind w:firstLine="480" w:firstLineChars="200"/>
              <w:rPr>
                <w:color w:val="auto"/>
                <w:sz w:val="24"/>
                <w:highlight w:val="none"/>
                <w:u w:val="none"/>
              </w:rPr>
            </w:pPr>
            <w:r>
              <w:rPr>
                <w:rFonts w:hint="eastAsia"/>
                <w:color w:val="auto"/>
                <w:sz w:val="24"/>
                <w:highlight w:val="none"/>
                <w:u w:val="none"/>
              </w:rPr>
              <w:t>参考</w:t>
            </w:r>
            <w:r>
              <w:rPr>
                <w:color w:val="auto"/>
                <w:sz w:val="24"/>
                <w:highlight w:val="none"/>
                <w:u w:val="none"/>
              </w:rPr>
              <w:t>《建设项目环境风险评价技术导则》（HJ169-2018）附录B</w:t>
            </w:r>
            <w:r>
              <w:rPr>
                <w:rFonts w:hint="eastAsia"/>
                <w:color w:val="auto"/>
                <w:sz w:val="24"/>
                <w:highlight w:val="none"/>
                <w:u w:val="none"/>
              </w:rPr>
              <w:t>重点关注的危险物质及临界量B.1突发</w:t>
            </w:r>
            <w:r>
              <w:rPr>
                <w:rFonts w:hint="eastAsia"/>
                <w:color w:val="auto"/>
                <w:sz w:val="24"/>
                <w:szCs w:val="24"/>
                <w:highlight w:val="none"/>
                <w:u w:val="none"/>
              </w:rPr>
              <w:t>环境事件风险物质及临界量表和</w:t>
            </w:r>
            <w:r>
              <w:rPr>
                <w:color w:val="auto"/>
                <w:sz w:val="24"/>
                <w:szCs w:val="24"/>
                <w:highlight w:val="none"/>
                <w:u w:val="none"/>
              </w:rPr>
              <w:t>《危险化学品重大危险源辨识》（GB18218-2018）</w:t>
            </w:r>
            <w:r>
              <w:rPr>
                <w:rFonts w:hint="eastAsia"/>
                <w:color w:val="auto"/>
                <w:sz w:val="24"/>
                <w:szCs w:val="24"/>
                <w:highlight w:val="none"/>
                <w:u w:val="none"/>
              </w:rPr>
              <w:t>，</w:t>
            </w:r>
            <w:r>
              <w:rPr>
                <w:color w:val="auto"/>
                <w:sz w:val="24"/>
                <w:highlight w:val="none"/>
                <w:u w:val="none"/>
              </w:rPr>
              <w:t>本项目危险物质的储存量、临界量见下表。</w:t>
            </w:r>
          </w:p>
          <w:p w14:paraId="4EF38F7D">
            <w:pPr>
              <w:ind w:firstLine="373" w:firstLineChars="177"/>
              <w:jc w:val="center"/>
              <w:rPr>
                <w:b/>
                <w:bCs/>
                <w:color w:val="auto"/>
                <w:kern w:val="24"/>
                <w:highlight w:val="none"/>
                <w:u w:val="none"/>
              </w:rPr>
            </w:pPr>
            <w:r>
              <w:rPr>
                <w:rFonts w:hint="eastAsia"/>
                <w:b/>
                <w:bCs/>
                <w:color w:val="auto"/>
                <w:kern w:val="24"/>
                <w:highlight w:val="none"/>
                <w:u w:val="none"/>
              </w:rPr>
              <w:t>表4-1</w:t>
            </w:r>
            <w:r>
              <w:rPr>
                <w:rFonts w:hint="eastAsia"/>
                <w:b/>
                <w:bCs/>
                <w:color w:val="auto"/>
                <w:kern w:val="24"/>
                <w:highlight w:val="none"/>
                <w:u w:val="none"/>
                <w:lang w:val="en-US" w:eastAsia="zh-CN"/>
              </w:rPr>
              <w:t>1</w:t>
            </w:r>
            <w:r>
              <w:rPr>
                <w:rFonts w:hint="eastAsia"/>
                <w:b/>
                <w:bCs/>
                <w:color w:val="auto"/>
                <w:kern w:val="24"/>
                <w:highlight w:val="none"/>
                <w:u w:val="none"/>
              </w:rPr>
              <w:t xml:space="preserve">   项目实施后全厂主要有毒有害物质一览表</w:t>
            </w:r>
          </w:p>
          <w:tbl>
            <w:tblPr>
              <w:tblStyle w:val="35"/>
              <w:tblW w:w="791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40"/>
              <w:gridCol w:w="1455"/>
              <w:gridCol w:w="995"/>
              <w:gridCol w:w="2100"/>
              <w:gridCol w:w="1025"/>
              <w:gridCol w:w="1102"/>
            </w:tblGrid>
            <w:tr w14:paraId="46DB1F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40" w:type="dxa"/>
                  <w:vAlign w:val="center"/>
                </w:tcPr>
                <w:p w14:paraId="30FAE7A7">
                  <w:pPr>
                    <w:jc w:val="center"/>
                    <w:rPr>
                      <w:color w:val="auto"/>
                      <w:highlight w:val="none"/>
                      <w:u w:val="none"/>
                    </w:rPr>
                  </w:pPr>
                  <w:r>
                    <w:rPr>
                      <w:rFonts w:hint="eastAsia"/>
                      <w:color w:val="auto"/>
                      <w:highlight w:val="none"/>
                      <w:u w:val="none"/>
                    </w:rPr>
                    <w:t>名称</w:t>
                  </w:r>
                </w:p>
              </w:tc>
              <w:tc>
                <w:tcPr>
                  <w:tcW w:w="1455" w:type="dxa"/>
                  <w:vAlign w:val="center"/>
                </w:tcPr>
                <w:p w14:paraId="061CAFED">
                  <w:pPr>
                    <w:jc w:val="center"/>
                    <w:rPr>
                      <w:color w:val="auto"/>
                      <w:highlight w:val="none"/>
                      <w:u w:val="none"/>
                    </w:rPr>
                  </w:pPr>
                  <w:r>
                    <w:rPr>
                      <w:rFonts w:hint="eastAsia"/>
                      <w:color w:val="auto"/>
                      <w:highlight w:val="none"/>
                      <w:u w:val="none"/>
                    </w:rPr>
                    <w:t>危险性</w:t>
                  </w:r>
                </w:p>
              </w:tc>
              <w:tc>
                <w:tcPr>
                  <w:tcW w:w="995" w:type="dxa"/>
                  <w:vAlign w:val="center"/>
                </w:tcPr>
                <w:p w14:paraId="7DA073A7">
                  <w:pPr>
                    <w:jc w:val="center"/>
                    <w:rPr>
                      <w:color w:val="auto"/>
                      <w:highlight w:val="none"/>
                      <w:u w:val="none"/>
                    </w:rPr>
                  </w:pPr>
                  <w:r>
                    <w:rPr>
                      <w:rFonts w:hint="eastAsia"/>
                      <w:color w:val="auto"/>
                      <w:highlight w:val="none"/>
                      <w:u w:val="none"/>
                    </w:rPr>
                    <w:t>CAS号</w:t>
                  </w:r>
                </w:p>
              </w:tc>
              <w:tc>
                <w:tcPr>
                  <w:tcW w:w="2100" w:type="dxa"/>
                  <w:vAlign w:val="center"/>
                </w:tcPr>
                <w:p w14:paraId="4F43B148">
                  <w:pPr>
                    <w:jc w:val="center"/>
                    <w:rPr>
                      <w:color w:val="auto"/>
                      <w:highlight w:val="none"/>
                      <w:u w:val="none"/>
                    </w:rPr>
                  </w:pPr>
                  <w:r>
                    <w:rPr>
                      <w:color w:val="auto"/>
                      <w:kern w:val="0"/>
                      <w:highlight w:val="none"/>
                      <w:u w:val="none"/>
                      <w:lang w:bidi="ar"/>
                    </w:rPr>
                    <w:t>最大存在总量q</w:t>
                  </w:r>
                  <w:r>
                    <w:rPr>
                      <w:color w:val="auto"/>
                      <w:kern w:val="0"/>
                      <w:highlight w:val="none"/>
                      <w:u w:val="none"/>
                      <w:vertAlign w:val="subscript"/>
                      <w:lang w:bidi="ar"/>
                    </w:rPr>
                    <w:t>n</w:t>
                  </w:r>
                  <w:r>
                    <w:rPr>
                      <w:color w:val="auto"/>
                      <w:kern w:val="0"/>
                      <w:highlight w:val="none"/>
                      <w:u w:val="none"/>
                      <w:lang w:bidi="ar"/>
                    </w:rPr>
                    <w:t>/t</w:t>
                  </w:r>
                </w:p>
              </w:tc>
              <w:tc>
                <w:tcPr>
                  <w:tcW w:w="1025" w:type="dxa"/>
                  <w:vAlign w:val="center"/>
                </w:tcPr>
                <w:p w14:paraId="6EA61DEF">
                  <w:pPr>
                    <w:jc w:val="center"/>
                    <w:rPr>
                      <w:color w:val="auto"/>
                      <w:highlight w:val="none"/>
                      <w:u w:val="none"/>
                    </w:rPr>
                  </w:pPr>
                  <w:r>
                    <w:rPr>
                      <w:color w:val="auto"/>
                      <w:highlight w:val="none"/>
                      <w:u w:val="none"/>
                    </w:rPr>
                    <w:t>临界量</w:t>
                  </w:r>
                  <w:r>
                    <w:rPr>
                      <w:color w:val="auto"/>
                      <w:kern w:val="0"/>
                      <w:highlight w:val="none"/>
                      <w:u w:val="none"/>
                      <w:lang w:bidi="ar"/>
                    </w:rPr>
                    <w:t>/t</w:t>
                  </w:r>
                </w:p>
              </w:tc>
              <w:tc>
                <w:tcPr>
                  <w:tcW w:w="1102" w:type="dxa"/>
                  <w:vAlign w:val="center"/>
                </w:tcPr>
                <w:p w14:paraId="646E2DBD">
                  <w:pPr>
                    <w:jc w:val="center"/>
                    <w:rPr>
                      <w:color w:val="auto"/>
                      <w:highlight w:val="none"/>
                      <w:u w:val="none"/>
                    </w:rPr>
                  </w:pPr>
                  <w:r>
                    <w:rPr>
                      <w:color w:val="auto"/>
                      <w:highlight w:val="none"/>
                      <w:u w:val="none"/>
                    </w:rPr>
                    <w:t>Q</w:t>
                  </w:r>
                </w:p>
              </w:tc>
            </w:tr>
            <w:tr w14:paraId="576FD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240" w:type="dxa"/>
                  <w:vAlign w:val="center"/>
                </w:tcPr>
                <w:p w14:paraId="7F520CCD">
                  <w:pPr>
                    <w:jc w:val="center"/>
                    <w:rPr>
                      <w:color w:val="auto"/>
                      <w:highlight w:val="none"/>
                      <w:u w:val="none"/>
                    </w:rPr>
                  </w:pPr>
                  <w:r>
                    <w:rPr>
                      <w:rFonts w:ascii="Times New Roman" w:hAnsi="Times New Roman"/>
                      <w:szCs w:val="21"/>
                      <w:highlight w:val="none"/>
                    </w:rPr>
                    <w:t>液压油</w:t>
                  </w:r>
                </w:p>
              </w:tc>
              <w:tc>
                <w:tcPr>
                  <w:tcW w:w="1455" w:type="dxa"/>
                  <w:vAlign w:val="center"/>
                </w:tcPr>
                <w:p w14:paraId="0740C788">
                  <w:pPr>
                    <w:jc w:val="center"/>
                    <w:rPr>
                      <w:color w:val="auto"/>
                      <w:highlight w:val="none"/>
                      <w:u w:val="none"/>
                    </w:rPr>
                  </w:pPr>
                  <w:r>
                    <w:rPr>
                      <w:rFonts w:hint="eastAsia"/>
                      <w:color w:val="auto"/>
                      <w:highlight w:val="none"/>
                      <w:u w:val="none"/>
                      <w:lang w:eastAsia="zh-CN"/>
                    </w:rPr>
                    <w:t>泄漏</w:t>
                  </w:r>
                  <w:r>
                    <w:rPr>
                      <w:rFonts w:hint="eastAsia"/>
                      <w:color w:val="auto"/>
                      <w:highlight w:val="none"/>
                      <w:u w:val="none"/>
                    </w:rPr>
                    <w:t>、火灾</w:t>
                  </w:r>
                </w:p>
              </w:tc>
              <w:tc>
                <w:tcPr>
                  <w:tcW w:w="995" w:type="dxa"/>
                  <w:vAlign w:val="center"/>
                </w:tcPr>
                <w:p w14:paraId="2743653D">
                  <w:pPr>
                    <w:jc w:val="center"/>
                    <w:rPr>
                      <w:color w:val="auto"/>
                      <w:highlight w:val="none"/>
                      <w:u w:val="none"/>
                    </w:rPr>
                  </w:pPr>
                  <w:r>
                    <w:rPr>
                      <w:rFonts w:hint="eastAsia"/>
                      <w:color w:val="auto"/>
                      <w:highlight w:val="none"/>
                      <w:u w:val="none"/>
                    </w:rPr>
                    <w:t>/</w:t>
                  </w:r>
                </w:p>
              </w:tc>
              <w:tc>
                <w:tcPr>
                  <w:tcW w:w="2100" w:type="dxa"/>
                  <w:vAlign w:val="center"/>
                </w:tcPr>
                <w:p w14:paraId="51E0F8B7">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0.</w:t>
                  </w:r>
                  <w:r>
                    <w:rPr>
                      <w:rFonts w:hint="eastAsia" w:cs="Times New Roman"/>
                      <w:color w:val="auto"/>
                      <w:highlight w:val="none"/>
                      <w:lang w:val="en-US" w:eastAsia="zh-CN"/>
                    </w:rPr>
                    <w:t>1</w:t>
                  </w:r>
                </w:p>
              </w:tc>
              <w:tc>
                <w:tcPr>
                  <w:tcW w:w="1025" w:type="dxa"/>
                  <w:vAlign w:val="center"/>
                </w:tcPr>
                <w:p w14:paraId="33692C6B">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2500</w:t>
                  </w:r>
                </w:p>
              </w:tc>
              <w:tc>
                <w:tcPr>
                  <w:tcW w:w="1102" w:type="dxa"/>
                  <w:vAlign w:val="center"/>
                </w:tcPr>
                <w:p w14:paraId="4DD47B84">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0.00004</w:t>
                  </w:r>
                </w:p>
              </w:tc>
            </w:tr>
            <w:tr w14:paraId="00FF31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240" w:type="dxa"/>
                  <w:vAlign w:val="center"/>
                </w:tcPr>
                <w:p w14:paraId="36808910">
                  <w:pPr>
                    <w:jc w:val="center"/>
                    <w:rPr>
                      <w:rFonts w:hint="eastAsia"/>
                      <w:color w:val="auto"/>
                      <w:highlight w:val="none"/>
                      <w:u w:val="none"/>
                    </w:rPr>
                  </w:pPr>
                  <w:r>
                    <w:rPr>
                      <w:szCs w:val="21"/>
                      <w:highlight w:val="none"/>
                    </w:rPr>
                    <w:t>助焊剂</w:t>
                  </w:r>
                </w:p>
              </w:tc>
              <w:tc>
                <w:tcPr>
                  <w:tcW w:w="1455" w:type="dxa"/>
                  <w:vAlign w:val="center"/>
                </w:tcPr>
                <w:p w14:paraId="3AB939B7">
                  <w:pPr>
                    <w:jc w:val="center"/>
                    <w:rPr>
                      <w:rFonts w:hint="eastAsia"/>
                      <w:color w:val="auto"/>
                      <w:highlight w:val="none"/>
                      <w:u w:val="none"/>
                    </w:rPr>
                  </w:pPr>
                  <w:r>
                    <w:rPr>
                      <w:rFonts w:hint="eastAsia"/>
                      <w:color w:val="auto"/>
                      <w:highlight w:val="none"/>
                      <w:u w:val="none"/>
                      <w:lang w:eastAsia="zh-CN"/>
                    </w:rPr>
                    <w:t>泄漏</w:t>
                  </w:r>
                  <w:r>
                    <w:rPr>
                      <w:rFonts w:hint="eastAsia"/>
                      <w:color w:val="auto"/>
                      <w:highlight w:val="none"/>
                      <w:u w:val="none"/>
                    </w:rPr>
                    <w:t>、火灾</w:t>
                  </w:r>
                </w:p>
              </w:tc>
              <w:tc>
                <w:tcPr>
                  <w:tcW w:w="995" w:type="dxa"/>
                  <w:vAlign w:val="center"/>
                </w:tcPr>
                <w:p w14:paraId="70EFE073">
                  <w:pPr>
                    <w:jc w:val="center"/>
                    <w:rPr>
                      <w:rFonts w:hint="eastAsia"/>
                      <w:color w:val="auto"/>
                      <w:highlight w:val="none"/>
                      <w:u w:val="none"/>
                    </w:rPr>
                  </w:pPr>
                  <w:r>
                    <w:rPr>
                      <w:rFonts w:hint="eastAsia"/>
                      <w:color w:val="auto"/>
                      <w:highlight w:val="none"/>
                      <w:u w:val="none"/>
                    </w:rPr>
                    <w:t>/</w:t>
                  </w:r>
                </w:p>
              </w:tc>
              <w:tc>
                <w:tcPr>
                  <w:tcW w:w="2100" w:type="dxa"/>
                  <w:vAlign w:val="center"/>
                </w:tcPr>
                <w:p w14:paraId="2A7F2246">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0.1</w:t>
                  </w:r>
                </w:p>
              </w:tc>
              <w:tc>
                <w:tcPr>
                  <w:tcW w:w="1025" w:type="dxa"/>
                  <w:vAlign w:val="center"/>
                </w:tcPr>
                <w:p w14:paraId="7A4B2020">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5</w:t>
                  </w:r>
                </w:p>
              </w:tc>
              <w:tc>
                <w:tcPr>
                  <w:tcW w:w="1102" w:type="dxa"/>
                  <w:vAlign w:val="center"/>
                </w:tcPr>
                <w:p w14:paraId="548FD78C">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0.02</w:t>
                  </w:r>
                </w:p>
              </w:tc>
            </w:tr>
            <w:tr w14:paraId="13B01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240" w:type="dxa"/>
                  <w:vAlign w:val="center"/>
                </w:tcPr>
                <w:p w14:paraId="181E4CF6">
                  <w:pPr>
                    <w:jc w:val="center"/>
                    <w:rPr>
                      <w:rFonts w:hint="eastAsia"/>
                      <w:color w:val="auto"/>
                      <w:highlight w:val="none"/>
                      <w:u w:val="none"/>
                    </w:rPr>
                  </w:pPr>
                  <w:r>
                    <w:rPr>
                      <w:szCs w:val="21"/>
                      <w:highlight w:val="none"/>
                    </w:rPr>
                    <w:t>凡立水</w:t>
                  </w:r>
                </w:p>
              </w:tc>
              <w:tc>
                <w:tcPr>
                  <w:tcW w:w="1455" w:type="dxa"/>
                  <w:vAlign w:val="center"/>
                </w:tcPr>
                <w:p w14:paraId="5B3E375C">
                  <w:pPr>
                    <w:jc w:val="center"/>
                    <w:rPr>
                      <w:rFonts w:hint="eastAsia"/>
                      <w:color w:val="auto"/>
                      <w:highlight w:val="none"/>
                      <w:u w:val="none"/>
                    </w:rPr>
                  </w:pPr>
                  <w:r>
                    <w:rPr>
                      <w:rFonts w:hint="eastAsia"/>
                      <w:color w:val="auto"/>
                      <w:highlight w:val="none"/>
                      <w:u w:val="none"/>
                      <w:lang w:eastAsia="zh-CN"/>
                    </w:rPr>
                    <w:t>泄漏</w:t>
                  </w:r>
                  <w:r>
                    <w:rPr>
                      <w:rFonts w:hint="eastAsia"/>
                      <w:color w:val="auto"/>
                      <w:highlight w:val="none"/>
                      <w:u w:val="none"/>
                    </w:rPr>
                    <w:t>、火灾</w:t>
                  </w:r>
                </w:p>
              </w:tc>
              <w:tc>
                <w:tcPr>
                  <w:tcW w:w="995" w:type="dxa"/>
                  <w:vAlign w:val="center"/>
                </w:tcPr>
                <w:p w14:paraId="34953DB6">
                  <w:pPr>
                    <w:jc w:val="center"/>
                    <w:rPr>
                      <w:rFonts w:hint="eastAsia"/>
                      <w:color w:val="auto"/>
                      <w:highlight w:val="none"/>
                      <w:u w:val="none"/>
                    </w:rPr>
                  </w:pPr>
                  <w:r>
                    <w:rPr>
                      <w:rFonts w:hint="eastAsia"/>
                      <w:color w:val="auto"/>
                      <w:highlight w:val="none"/>
                      <w:u w:val="none"/>
                    </w:rPr>
                    <w:t>/</w:t>
                  </w:r>
                </w:p>
              </w:tc>
              <w:tc>
                <w:tcPr>
                  <w:tcW w:w="2100" w:type="dxa"/>
                  <w:vAlign w:val="center"/>
                </w:tcPr>
                <w:p w14:paraId="20ECDD93">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0.08</w:t>
                  </w:r>
                </w:p>
              </w:tc>
              <w:tc>
                <w:tcPr>
                  <w:tcW w:w="1025" w:type="dxa"/>
                  <w:vAlign w:val="center"/>
                </w:tcPr>
                <w:p w14:paraId="3C824749">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5</w:t>
                  </w:r>
                </w:p>
              </w:tc>
              <w:tc>
                <w:tcPr>
                  <w:tcW w:w="1102" w:type="dxa"/>
                  <w:vAlign w:val="center"/>
                </w:tcPr>
                <w:p w14:paraId="4DFF5FC6">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0.016</w:t>
                  </w:r>
                </w:p>
              </w:tc>
            </w:tr>
            <w:tr w14:paraId="5C2B77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240" w:type="dxa"/>
                  <w:vAlign w:val="center"/>
                </w:tcPr>
                <w:p w14:paraId="7C637B27">
                  <w:pPr>
                    <w:jc w:val="center"/>
                    <w:rPr>
                      <w:rFonts w:hint="eastAsia"/>
                      <w:color w:val="auto"/>
                      <w:highlight w:val="none"/>
                      <w:u w:val="none"/>
                    </w:rPr>
                  </w:pPr>
                  <w:r>
                    <w:rPr>
                      <w:snapToGrid w:val="0"/>
                      <w:szCs w:val="21"/>
                      <w:highlight w:val="none"/>
                    </w:rPr>
                    <w:t>黑胶</w:t>
                  </w:r>
                </w:p>
              </w:tc>
              <w:tc>
                <w:tcPr>
                  <w:tcW w:w="1455" w:type="dxa"/>
                  <w:vAlign w:val="center"/>
                </w:tcPr>
                <w:p w14:paraId="5CB7BEBA">
                  <w:pPr>
                    <w:jc w:val="center"/>
                    <w:rPr>
                      <w:rFonts w:hint="eastAsia"/>
                      <w:color w:val="auto"/>
                      <w:highlight w:val="none"/>
                      <w:u w:val="none"/>
                    </w:rPr>
                  </w:pPr>
                  <w:r>
                    <w:rPr>
                      <w:rFonts w:hint="eastAsia"/>
                      <w:color w:val="auto"/>
                      <w:highlight w:val="none"/>
                      <w:u w:val="none"/>
                      <w:lang w:eastAsia="zh-CN"/>
                    </w:rPr>
                    <w:t>泄漏</w:t>
                  </w:r>
                  <w:r>
                    <w:rPr>
                      <w:rFonts w:hint="eastAsia"/>
                      <w:color w:val="auto"/>
                      <w:highlight w:val="none"/>
                      <w:u w:val="none"/>
                    </w:rPr>
                    <w:t>、火灾</w:t>
                  </w:r>
                </w:p>
              </w:tc>
              <w:tc>
                <w:tcPr>
                  <w:tcW w:w="995" w:type="dxa"/>
                  <w:vAlign w:val="center"/>
                </w:tcPr>
                <w:p w14:paraId="2406EE04">
                  <w:pPr>
                    <w:jc w:val="center"/>
                    <w:rPr>
                      <w:rFonts w:hint="eastAsia"/>
                      <w:color w:val="auto"/>
                      <w:highlight w:val="none"/>
                      <w:u w:val="none"/>
                    </w:rPr>
                  </w:pPr>
                  <w:r>
                    <w:rPr>
                      <w:rFonts w:hint="eastAsia"/>
                      <w:color w:val="auto"/>
                      <w:highlight w:val="none"/>
                      <w:u w:val="none"/>
                    </w:rPr>
                    <w:t>/</w:t>
                  </w:r>
                </w:p>
              </w:tc>
              <w:tc>
                <w:tcPr>
                  <w:tcW w:w="2100" w:type="dxa"/>
                  <w:vAlign w:val="center"/>
                </w:tcPr>
                <w:p w14:paraId="598D54F3">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0.0</w:t>
                  </w:r>
                  <w:r>
                    <w:rPr>
                      <w:rFonts w:hint="eastAsia" w:cs="Times New Roman"/>
                      <w:color w:val="auto"/>
                      <w:highlight w:val="none"/>
                      <w:lang w:val="en-US" w:eastAsia="zh-CN"/>
                    </w:rPr>
                    <w:t>1</w:t>
                  </w:r>
                </w:p>
              </w:tc>
              <w:tc>
                <w:tcPr>
                  <w:tcW w:w="1025" w:type="dxa"/>
                  <w:vAlign w:val="center"/>
                </w:tcPr>
                <w:p w14:paraId="1555CD3E">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5</w:t>
                  </w:r>
                </w:p>
              </w:tc>
              <w:tc>
                <w:tcPr>
                  <w:tcW w:w="1102" w:type="dxa"/>
                  <w:vAlign w:val="center"/>
                </w:tcPr>
                <w:p w14:paraId="2BB70F97">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0.002</w:t>
                  </w:r>
                </w:p>
              </w:tc>
            </w:tr>
            <w:tr w14:paraId="62319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240" w:type="dxa"/>
                  <w:vAlign w:val="center"/>
                </w:tcPr>
                <w:p w14:paraId="08CD7894">
                  <w:pPr>
                    <w:jc w:val="center"/>
                    <w:rPr>
                      <w:rFonts w:hint="eastAsia" w:eastAsia="宋体"/>
                      <w:snapToGrid w:val="0"/>
                      <w:szCs w:val="21"/>
                      <w:highlight w:val="none"/>
                      <w:lang w:val="en-US" w:eastAsia="zh-CN"/>
                    </w:rPr>
                  </w:pPr>
                  <w:r>
                    <w:rPr>
                      <w:rFonts w:hint="eastAsia"/>
                      <w:snapToGrid w:val="0"/>
                      <w:szCs w:val="21"/>
                      <w:highlight w:val="none"/>
                      <w:lang w:val="en-US" w:eastAsia="zh-CN"/>
                    </w:rPr>
                    <w:t>润滑油</w:t>
                  </w:r>
                </w:p>
              </w:tc>
              <w:tc>
                <w:tcPr>
                  <w:tcW w:w="1455" w:type="dxa"/>
                  <w:vAlign w:val="center"/>
                </w:tcPr>
                <w:p w14:paraId="6084702F">
                  <w:pPr>
                    <w:jc w:val="center"/>
                    <w:rPr>
                      <w:rFonts w:hint="eastAsia"/>
                      <w:color w:val="auto"/>
                      <w:highlight w:val="none"/>
                      <w:u w:val="none"/>
                    </w:rPr>
                  </w:pPr>
                  <w:r>
                    <w:rPr>
                      <w:rFonts w:hint="eastAsia"/>
                      <w:color w:val="auto"/>
                      <w:highlight w:val="none"/>
                      <w:u w:val="none"/>
                      <w:lang w:eastAsia="zh-CN"/>
                    </w:rPr>
                    <w:t>泄漏</w:t>
                  </w:r>
                  <w:r>
                    <w:rPr>
                      <w:rFonts w:hint="eastAsia"/>
                      <w:color w:val="auto"/>
                      <w:highlight w:val="none"/>
                      <w:u w:val="none"/>
                    </w:rPr>
                    <w:t>、火灾</w:t>
                  </w:r>
                </w:p>
              </w:tc>
              <w:tc>
                <w:tcPr>
                  <w:tcW w:w="995" w:type="dxa"/>
                  <w:vAlign w:val="center"/>
                </w:tcPr>
                <w:p w14:paraId="3D9B13D9">
                  <w:pPr>
                    <w:jc w:val="center"/>
                    <w:rPr>
                      <w:rFonts w:hint="eastAsia"/>
                      <w:color w:val="auto"/>
                      <w:highlight w:val="none"/>
                      <w:u w:val="none"/>
                    </w:rPr>
                  </w:pPr>
                  <w:r>
                    <w:rPr>
                      <w:rFonts w:hint="eastAsia"/>
                      <w:color w:val="auto"/>
                      <w:highlight w:val="none"/>
                      <w:u w:val="none"/>
                    </w:rPr>
                    <w:t>/</w:t>
                  </w:r>
                </w:p>
              </w:tc>
              <w:tc>
                <w:tcPr>
                  <w:tcW w:w="2100" w:type="dxa"/>
                  <w:vAlign w:val="center"/>
                </w:tcPr>
                <w:p w14:paraId="7B08EC5D">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0.0</w:t>
                  </w:r>
                  <w:r>
                    <w:rPr>
                      <w:rFonts w:hint="eastAsia" w:cs="Times New Roman"/>
                      <w:color w:val="auto"/>
                      <w:highlight w:val="none"/>
                      <w:lang w:val="en-US" w:eastAsia="zh-CN"/>
                    </w:rPr>
                    <w:t>5</w:t>
                  </w:r>
                </w:p>
              </w:tc>
              <w:tc>
                <w:tcPr>
                  <w:tcW w:w="1025" w:type="dxa"/>
                  <w:vAlign w:val="center"/>
                </w:tcPr>
                <w:p w14:paraId="4FB63F76">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2500</w:t>
                  </w:r>
                </w:p>
              </w:tc>
              <w:tc>
                <w:tcPr>
                  <w:tcW w:w="1102" w:type="dxa"/>
                  <w:vAlign w:val="center"/>
                </w:tcPr>
                <w:p w14:paraId="28BD6E51">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0.00002</w:t>
                  </w:r>
                </w:p>
              </w:tc>
            </w:tr>
            <w:tr w14:paraId="4B967E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240" w:type="dxa"/>
                  <w:vAlign w:val="center"/>
                </w:tcPr>
                <w:p w14:paraId="16D97D22">
                  <w:pPr>
                    <w:jc w:val="center"/>
                    <w:rPr>
                      <w:rFonts w:hint="eastAsia" w:eastAsia="宋体"/>
                      <w:snapToGrid w:val="0"/>
                      <w:szCs w:val="21"/>
                      <w:highlight w:val="none"/>
                      <w:lang w:val="en-US" w:eastAsia="zh-CN"/>
                    </w:rPr>
                  </w:pPr>
                  <w:r>
                    <w:rPr>
                      <w:rFonts w:hint="eastAsia"/>
                      <w:snapToGrid w:val="0"/>
                      <w:szCs w:val="21"/>
                      <w:highlight w:val="none"/>
                      <w:lang w:val="en-US" w:eastAsia="zh-CN"/>
                    </w:rPr>
                    <w:t>机油</w:t>
                  </w:r>
                </w:p>
              </w:tc>
              <w:tc>
                <w:tcPr>
                  <w:tcW w:w="1455" w:type="dxa"/>
                  <w:vAlign w:val="center"/>
                </w:tcPr>
                <w:p w14:paraId="5399CFDA">
                  <w:pPr>
                    <w:jc w:val="center"/>
                    <w:rPr>
                      <w:rFonts w:hint="eastAsia"/>
                      <w:color w:val="auto"/>
                      <w:highlight w:val="none"/>
                      <w:u w:val="none"/>
                    </w:rPr>
                  </w:pPr>
                  <w:r>
                    <w:rPr>
                      <w:rFonts w:hint="eastAsia"/>
                      <w:color w:val="auto"/>
                      <w:highlight w:val="none"/>
                      <w:u w:val="none"/>
                      <w:lang w:eastAsia="zh-CN"/>
                    </w:rPr>
                    <w:t>泄漏</w:t>
                  </w:r>
                  <w:r>
                    <w:rPr>
                      <w:rFonts w:hint="eastAsia"/>
                      <w:color w:val="auto"/>
                      <w:highlight w:val="none"/>
                      <w:u w:val="none"/>
                    </w:rPr>
                    <w:t>、火灾</w:t>
                  </w:r>
                </w:p>
              </w:tc>
              <w:tc>
                <w:tcPr>
                  <w:tcW w:w="995" w:type="dxa"/>
                  <w:vAlign w:val="center"/>
                </w:tcPr>
                <w:p w14:paraId="1E1495C0">
                  <w:pPr>
                    <w:jc w:val="center"/>
                    <w:rPr>
                      <w:rFonts w:hint="eastAsia"/>
                      <w:color w:val="auto"/>
                      <w:highlight w:val="none"/>
                      <w:u w:val="none"/>
                    </w:rPr>
                  </w:pPr>
                  <w:r>
                    <w:rPr>
                      <w:rFonts w:hint="eastAsia"/>
                      <w:color w:val="auto"/>
                      <w:highlight w:val="none"/>
                      <w:u w:val="none"/>
                    </w:rPr>
                    <w:t>/</w:t>
                  </w:r>
                </w:p>
              </w:tc>
              <w:tc>
                <w:tcPr>
                  <w:tcW w:w="2100" w:type="dxa"/>
                  <w:vAlign w:val="center"/>
                </w:tcPr>
                <w:p w14:paraId="64A0D789">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0.</w:t>
                  </w:r>
                  <w:r>
                    <w:rPr>
                      <w:rFonts w:hint="eastAsia" w:cs="Times New Roman"/>
                      <w:color w:val="auto"/>
                      <w:highlight w:val="none"/>
                      <w:lang w:val="en-US" w:eastAsia="zh-CN"/>
                    </w:rPr>
                    <w:t>1</w:t>
                  </w:r>
                </w:p>
              </w:tc>
              <w:tc>
                <w:tcPr>
                  <w:tcW w:w="1025" w:type="dxa"/>
                  <w:vAlign w:val="center"/>
                </w:tcPr>
                <w:p w14:paraId="186AD409">
                  <w:pPr>
                    <w:jc w:val="center"/>
                    <w:rPr>
                      <w:rFonts w:hint="eastAsia" w:eastAsia="宋体" w:cs="Times New Roman"/>
                      <w:color w:val="auto"/>
                      <w:highlight w:val="none"/>
                      <w:lang w:val="en-US" w:eastAsia="zh-CN"/>
                    </w:rPr>
                  </w:pPr>
                  <w:r>
                    <w:rPr>
                      <w:rFonts w:hint="eastAsia" w:eastAsia="宋体" w:cs="Times New Roman"/>
                      <w:color w:val="auto"/>
                      <w:highlight w:val="none"/>
                      <w:lang w:val="en-US" w:eastAsia="zh-CN"/>
                    </w:rPr>
                    <w:t>2500</w:t>
                  </w:r>
                </w:p>
              </w:tc>
              <w:tc>
                <w:tcPr>
                  <w:tcW w:w="1102" w:type="dxa"/>
                  <w:vAlign w:val="center"/>
                </w:tcPr>
                <w:p w14:paraId="14530524">
                  <w:pPr>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0.00004</w:t>
                  </w:r>
                </w:p>
              </w:tc>
            </w:tr>
            <w:tr w14:paraId="128B7B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240" w:type="dxa"/>
                  <w:vAlign w:val="center"/>
                </w:tcPr>
                <w:p w14:paraId="03C8C4FC">
                  <w:pPr>
                    <w:jc w:val="center"/>
                    <w:rPr>
                      <w:rFonts w:hint="default" w:eastAsia="宋体"/>
                      <w:color w:val="auto"/>
                      <w:highlight w:val="none"/>
                      <w:u w:val="none"/>
                      <w:lang w:val="en-US" w:eastAsia="zh-CN"/>
                    </w:rPr>
                  </w:pPr>
                  <w:r>
                    <w:rPr>
                      <w:rFonts w:hint="eastAsia"/>
                      <w:color w:val="auto"/>
                      <w:highlight w:val="none"/>
                      <w:u w:val="none"/>
                      <w:lang w:val="en-US" w:eastAsia="zh-CN"/>
                    </w:rPr>
                    <w:t>废液压油等危险废物</w:t>
                  </w:r>
                </w:p>
              </w:tc>
              <w:tc>
                <w:tcPr>
                  <w:tcW w:w="1455" w:type="dxa"/>
                  <w:vAlign w:val="center"/>
                </w:tcPr>
                <w:p w14:paraId="3A3BAF17">
                  <w:pPr>
                    <w:jc w:val="center"/>
                    <w:rPr>
                      <w:rFonts w:hint="eastAsia"/>
                      <w:color w:val="auto"/>
                      <w:highlight w:val="none"/>
                      <w:u w:val="none"/>
                    </w:rPr>
                  </w:pPr>
                  <w:r>
                    <w:rPr>
                      <w:rFonts w:hint="eastAsia"/>
                      <w:color w:val="auto"/>
                      <w:highlight w:val="none"/>
                      <w:u w:val="none"/>
                      <w:lang w:eastAsia="zh-CN"/>
                    </w:rPr>
                    <w:t>泄漏</w:t>
                  </w:r>
                  <w:r>
                    <w:rPr>
                      <w:rFonts w:hint="eastAsia"/>
                      <w:color w:val="auto"/>
                      <w:highlight w:val="none"/>
                      <w:u w:val="none"/>
                    </w:rPr>
                    <w:t>、火灾</w:t>
                  </w:r>
                </w:p>
              </w:tc>
              <w:tc>
                <w:tcPr>
                  <w:tcW w:w="995" w:type="dxa"/>
                  <w:vAlign w:val="center"/>
                </w:tcPr>
                <w:p w14:paraId="5DF0504E">
                  <w:pPr>
                    <w:jc w:val="center"/>
                    <w:rPr>
                      <w:rFonts w:hint="eastAsia"/>
                      <w:color w:val="auto"/>
                      <w:highlight w:val="none"/>
                      <w:u w:val="none"/>
                    </w:rPr>
                  </w:pPr>
                  <w:r>
                    <w:rPr>
                      <w:rFonts w:hint="eastAsia"/>
                      <w:color w:val="auto"/>
                      <w:highlight w:val="none"/>
                      <w:u w:val="none"/>
                    </w:rPr>
                    <w:t>/</w:t>
                  </w:r>
                </w:p>
              </w:tc>
              <w:tc>
                <w:tcPr>
                  <w:tcW w:w="2100" w:type="dxa"/>
                  <w:vAlign w:val="center"/>
                </w:tcPr>
                <w:p w14:paraId="4CD91DFF">
                  <w:pPr>
                    <w:jc w:val="center"/>
                    <w:rPr>
                      <w:rFonts w:hint="default" w:eastAsia="宋体" w:cs="Times New Roman"/>
                      <w:color w:val="auto"/>
                      <w:highlight w:val="none"/>
                      <w:lang w:val="en-US" w:eastAsia="zh-CN"/>
                    </w:rPr>
                  </w:pPr>
                  <w:r>
                    <w:rPr>
                      <w:rFonts w:hint="eastAsia" w:cs="Times New Roman"/>
                      <w:color w:val="auto"/>
                      <w:highlight w:val="none"/>
                      <w:lang w:val="en-US" w:eastAsia="zh-CN"/>
                    </w:rPr>
                    <w:t>4.62</w:t>
                  </w:r>
                </w:p>
              </w:tc>
              <w:tc>
                <w:tcPr>
                  <w:tcW w:w="1025" w:type="dxa"/>
                  <w:vAlign w:val="center"/>
                </w:tcPr>
                <w:p w14:paraId="08317AC0">
                  <w:pPr>
                    <w:jc w:val="center"/>
                    <w:rPr>
                      <w:rFonts w:hint="eastAsia" w:eastAsia="宋体" w:cs="Times New Roman"/>
                      <w:color w:val="auto"/>
                      <w:highlight w:val="none"/>
                      <w:lang w:val="en-US" w:eastAsia="zh-CN"/>
                    </w:rPr>
                  </w:pPr>
                  <w:r>
                    <w:rPr>
                      <w:rFonts w:hint="eastAsia" w:cs="Times New Roman"/>
                      <w:color w:val="auto"/>
                      <w:highlight w:val="none"/>
                      <w:lang w:val="en-US" w:eastAsia="zh-CN"/>
                    </w:rPr>
                    <w:t>5</w:t>
                  </w:r>
                  <w:r>
                    <w:rPr>
                      <w:rFonts w:hint="eastAsia" w:eastAsia="宋体" w:cs="Times New Roman"/>
                      <w:color w:val="auto"/>
                      <w:highlight w:val="none"/>
                      <w:lang w:val="en-US" w:eastAsia="zh-CN"/>
                    </w:rPr>
                    <w:t>0</w:t>
                  </w:r>
                </w:p>
              </w:tc>
              <w:tc>
                <w:tcPr>
                  <w:tcW w:w="1102" w:type="dxa"/>
                  <w:vAlign w:val="center"/>
                </w:tcPr>
                <w:p w14:paraId="3F46DA38">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0.0924</w:t>
                  </w:r>
                </w:p>
              </w:tc>
            </w:tr>
            <w:tr w14:paraId="7F0FE6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6815" w:type="dxa"/>
                  <w:gridSpan w:val="5"/>
                  <w:vAlign w:val="center"/>
                </w:tcPr>
                <w:p w14:paraId="7D8E2FBC">
                  <w:pPr>
                    <w:jc w:val="center"/>
                    <w:rPr>
                      <w:color w:val="auto"/>
                      <w:highlight w:val="none"/>
                      <w:u w:val="none"/>
                    </w:rPr>
                  </w:pPr>
                  <w:r>
                    <w:rPr>
                      <w:rFonts w:hint="eastAsia"/>
                      <w:color w:val="auto"/>
                      <w:highlight w:val="none"/>
                      <w:u w:val="none"/>
                    </w:rPr>
                    <w:t>合计</w:t>
                  </w:r>
                </w:p>
              </w:tc>
              <w:tc>
                <w:tcPr>
                  <w:tcW w:w="1102" w:type="dxa"/>
                  <w:vAlign w:val="center"/>
                </w:tcPr>
                <w:p w14:paraId="007A842D">
                  <w:pPr>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0.1305</w:t>
                  </w:r>
                </w:p>
              </w:tc>
            </w:tr>
          </w:tbl>
          <w:p w14:paraId="625519F9">
            <w:pPr>
              <w:spacing w:line="360" w:lineRule="auto"/>
              <w:ind w:firstLine="480" w:firstLineChars="200"/>
              <w:rPr>
                <w:color w:val="auto"/>
                <w:sz w:val="24"/>
                <w:szCs w:val="24"/>
                <w:highlight w:val="none"/>
                <w:u w:val="none"/>
              </w:rPr>
            </w:pPr>
            <w:r>
              <w:rPr>
                <w:color w:val="auto"/>
                <w:sz w:val="24"/>
                <w:szCs w:val="24"/>
                <w:highlight w:val="none"/>
                <w:u w:val="none"/>
              </w:rPr>
              <w:t>单元内存在的危险物质为多品种时，则按下式计算Q值。</w:t>
            </w:r>
          </w:p>
          <w:p w14:paraId="1E323D67">
            <w:pPr>
              <w:spacing w:line="360" w:lineRule="auto"/>
              <w:ind w:firstLine="480" w:firstLineChars="200"/>
              <w:rPr>
                <w:color w:val="auto"/>
                <w:sz w:val="24"/>
                <w:szCs w:val="24"/>
                <w:highlight w:val="none"/>
                <w:u w:val="none"/>
              </w:rPr>
            </w:pPr>
            <w:r>
              <w:rPr>
                <w:color w:val="auto"/>
                <w:sz w:val="24"/>
                <w:szCs w:val="24"/>
                <w:highlight w:val="none"/>
                <w:u w:val="none"/>
              </w:rPr>
              <w:t>q1/Q1+q2/Q2+······+qn/Qn≥1</w:t>
            </w:r>
          </w:p>
          <w:p w14:paraId="45FD8898">
            <w:pPr>
              <w:spacing w:line="360" w:lineRule="auto"/>
              <w:ind w:firstLine="480" w:firstLineChars="200"/>
              <w:rPr>
                <w:color w:val="auto"/>
                <w:sz w:val="24"/>
                <w:szCs w:val="24"/>
                <w:highlight w:val="none"/>
                <w:u w:val="none"/>
              </w:rPr>
            </w:pPr>
            <w:r>
              <w:rPr>
                <w:color w:val="auto"/>
                <w:sz w:val="24"/>
                <w:szCs w:val="24"/>
                <w:highlight w:val="none"/>
                <w:u w:val="none"/>
              </w:rPr>
              <w:t>式中：q1、q2、qn为每种危险物质实际存在量，t；</w:t>
            </w:r>
          </w:p>
          <w:p w14:paraId="00A768ED">
            <w:pPr>
              <w:spacing w:line="360" w:lineRule="auto"/>
              <w:ind w:firstLine="480" w:firstLineChars="200"/>
              <w:rPr>
                <w:color w:val="auto"/>
                <w:sz w:val="24"/>
                <w:szCs w:val="24"/>
                <w:highlight w:val="none"/>
                <w:u w:val="none"/>
              </w:rPr>
            </w:pPr>
            <w:r>
              <w:rPr>
                <w:color w:val="auto"/>
                <w:sz w:val="24"/>
                <w:szCs w:val="24"/>
                <w:highlight w:val="none"/>
                <w:u w:val="none"/>
              </w:rPr>
              <w:t>Q1、Q2、Qn为与各种危险物质相对应的生产场所或贮存区的临界量，t。</w:t>
            </w:r>
          </w:p>
          <w:p w14:paraId="37CAA83C">
            <w:pPr>
              <w:spacing w:line="360" w:lineRule="auto"/>
              <w:ind w:firstLine="480" w:firstLineChars="200"/>
              <w:rPr>
                <w:color w:val="auto"/>
                <w:sz w:val="24"/>
                <w:szCs w:val="24"/>
                <w:highlight w:val="none"/>
                <w:u w:val="none"/>
              </w:rPr>
            </w:pPr>
            <w:r>
              <w:rPr>
                <w:color w:val="auto"/>
                <w:sz w:val="24"/>
                <w:szCs w:val="24"/>
                <w:highlight w:val="none"/>
                <w:u w:val="none"/>
              </w:rPr>
              <w:t>由表7-</w:t>
            </w:r>
            <w:r>
              <w:rPr>
                <w:rFonts w:hint="eastAsia"/>
                <w:color w:val="auto"/>
                <w:sz w:val="24"/>
                <w:szCs w:val="24"/>
                <w:highlight w:val="none"/>
                <w:u w:val="none"/>
              </w:rPr>
              <w:t>22</w:t>
            </w:r>
            <w:r>
              <w:rPr>
                <w:color w:val="auto"/>
                <w:sz w:val="24"/>
                <w:szCs w:val="24"/>
                <w:highlight w:val="none"/>
                <w:u w:val="none"/>
              </w:rPr>
              <w:t>可知，Q=</w:t>
            </w:r>
            <w:r>
              <w:rPr>
                <w:rFonts w:hint="eastAsia"/>
                <w:color w:val="auto"/>
                <w:sz w:val="24"/>
                <w:szCs w:val="24"/>
                <w:highlight w:val="none"/>
                <w:u w:val="none"/>
              </w:rPr>
              <w:t>0.</w:t>
            </w:r>
            <w:r>
              <w:rPr>
                <w:rFonts w:hint="eastAsia"/>
                <w:color w:val="auto"/>
                <w:sz w:val="24"/>
                <w:szCs w:val="24"/>
                <w:highlight w:val="none"/>
                <w:u w:val="none"/>
                <w:lang w:val="en-US" w:eastAsia="zh-CN"/>
              </w:rPr>
              <w:t>1305</w:t>
            </w:r>
            <w:r>
              <w:rPr>
                <w:rFonts w:hint="eastAsia"/>
                <w:color w:val="auto"/>
                <w:sz w:val="24"/>
                <w:szCs w:val="24"/>
                <w:highlight w:val="none"/>
                <w:u w:val="none"/>
              </w:rPr>
              <w:t>，</w:t>
            </w:r>
            <w:r>
              <w:rPr>
                <w:color w:val="auto"/>
                <w:sz w:val="24"/>
                <w:szCs w:val="24"/>
                <w:highlight w:val="none"/>
                <w:u w:val="none"/>
              </w:rPr>
              <w:t>Q＜1。</w:t>
            </w:r>
          </w:p>
          <w:p w14:paraId="72409A1F">
            <w:pPr>
              <w:spacing w:line="360" w:lineRule="auto"/>
              <w:ind w:firstLine="482" w:firstLineChars="200"/>
              <w:rPr>
                <w:b/>
                <w:bCs/>
                <w:color w:val="auto"/>
                <w:sz w:val="24"/>
                <w:highlight w:val="none"/>
                <w:u w:val="none"/>
              </w:rPr>
            </w:pPr>
            <w:r>
              <w:rPr>
                <w:rFonts w:hint="eastAsia"/>
                <w:b/>
                <w:bCs/>
                <w:color w:val="auto"/>
                <w:sz w:val="24"/>
                <w:highlight w:val="none"/>
                <w:u w:val="none"/>
              </w:rPr>
              <w:t>（3）</w:t>
            </w:r>
            <w:r>
              <w:rPr>
                <w:b/>
                <w:bCs/>
                <w:color w:val="auto"/>
                <w:sz w:val="24"/>
                <w:highlight w:val="none"/>
                <w:u w:val="none"/>
              </w:rPr>
              <w:t>环境风险识别</w:t>
            </w:r>
          </w:p>
          <w:p w14:paraId="4F2FECA1">
            <w:pPr>
              <w:ind w:firstLine="424" w:firstLineChars="177"/>
              <w:rPr>
                <w:color w:val="auto"/>
                <w:sz w:val="24"/>
                <w:highlight w:val="none"/>
                <w:u w:val="none"/>
              </w:rPr>
            </w:pPr>
            <w:r>
              <w:rPr>
                <w:rFonts w:hint="eastAsia"/>
                <w:color w:val="auto"/>
                <w:sz w:val="24"/>
                <w:highlight w:val="none"/>
                <w:u w:val="none"/>
              </w:rPr>
              <w:t>项目物质风险识别情况见下表：</w:t>
            </w:r>
          </w:p>
          <w:p w14:paraId="3E2AB0CE">
            <w:pPr>
              <w:ind w:firstLine="373" w:firstLineChars="177"/>
              <w:jc w:val="center"/>
              <w:rPr>
                <w:b/>
                <w:bCs/>
                <w:color w:val="auto"/>
                <w:kern w:val="24"/>
                <w:highlight w:val="none"/>
                <w:u w:val="none"/>
              </w:rPr>
            </w:pPr>
            <w:r>
              <w:rPr>
                <w:rFonts w:hint="eastAsia"/>
                <w:b/>
                <w:bCs/>
                <w:color w:val="auto"/>
                <w:kern w:val="24"/>
                <w:highlight w:val="none"/>
                <w:u w:val="none"/>
              </w:rPr>
              <w:t>表4-1</w:t>
            </w:r>
            <w:r>
              <w:rPr>
                <w:rFonts w:hint="eastAsia"/>
                <w:b/>
                <w:bCs/>
                <w:color w:val="auto"/>
                <w:kern w:val="24"/>
                <w:highlight w:val="none"/>
                <w:u w:val="none"/>
                <w:lang w:val="en-US" w:eastAsia="zh-CN"/>
              </w:rPr>
              <w:t>2</w:t>
            </w:r>
            <w:r>
              <w:rPr>
                <w:rFonts w:hint="eastAsia"/>
                <w:b/>
                <w:bCs/>
                <w:color w:val="auto"/>
                <w:kern w:val="24"/>
                <w:highlight w:val="none"/>
                <w:u w:val="none"/>
              </w:rPr>
              <w:t xml:space="preserve"> 项目物质风险识别表</w:t>
            </w:r>
          </w:p>
          <w:tbl>
            <w:tblPr>
              <w:tblStyle w:val="35"/>
              <w:tblW w:w="80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6949"/>
            </w:tblGrid>
            <w:tr w14:paraId="24D5F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130" w:type="dxa"/>
                  <w:vAlign w:val="center"/>
                </w:tcPr>
                <w:p w14:paraId="540E54CD">
                  <w:pPr>
                    <w:jc w:val="center"/>
                    <w:rPr>
                      <w:color w:val="auto"/>
                      <w:highlight w:val="none"/>
                      <w:u w:val="none"/>
                    </w:rPr>
                  </w:pPr>
                  <w:r>
                    <w:rPr>
                      <w:color w:val="auto"/>
                      <w:highlight w:val="none"/>
                      <w:u w:val="none"/>
                    </w:rPr>
                    <w:t>名称</w:t>
                  </w:r>
                </w:p>
              </w:tc>
              <w:tc>
                <w:tcPr>
                  <w:tcW w:w="6949" w:type="dxa"/>
                  <w:vAlign w:val="center"/>
                </w:tcPr>
                <w:p w14:paraId="5AF11B01">
                  <w:pPr>
                    <w:jc w:val="center"/>
                    <w:rPr>
                      <w:color w:val="auto"/>
                      <w:highlight w:val="none"/>
                      <w:u w:val="none"/>
                    </w:rPr>
                  </w:pPr>
                  <w:r>
                    <w:rPr>
                      <w:color w:val="auto"/>
                      <w:highlight w:val="none"/>
                      <w:u w:val="none"/>
                    </w:rPr>
                    <w:t>理化性质</w:t>
                  </w:r>
                </w:p>
              </w:tc>
            </w:tr>
            <w:tr w14:paraId="724ABC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130" w:type="dxa"/>
                  <w:vAlign w:val="center"/>
                </w:tcPr>
                <w:p w14:paraId="184E60AD">
                  <w:pPr>
                    <w:jc w:val="center"/>
                    <w:rPr>
                      <w:color w:val="auto"/>
                      <w:highlight w:val="none"/>
                      <w:u w:val="none"/>
                    </w:rPr>
                  </w:pPr>
                  <w:r>
                    <w:rPr>
                      <w:rFonts w:hint="eastAsia"/>
                      <w:color w:val="auto"/>
                      <w:highlight w:val="none"/>
                      <w:u w:val="none"/>
                    </w:rPr>
                    <w:t>机油</w:t>
                  </w:r>
                </w:p>
              </w:tc>
              <w:tc>
                <w:tcPr>
                  <w:tcW w:w="6949" w:type="dxa"/>
                  <w:vAlign w:val="center"/>
                </w:tcPr>
                <w:p w14:paraId="00B89742">
                  <w:pPr>
                    <w:jc w:val="center"/>
                    <w:rPr>
                      <w:color w:val="auto"/>
                      <w:highlight w:val="none"/>
                      <w:u w:val="none"/>
                    </w:rPr>
                  </w:pPr>
                  <w:r>
                    <w:rPr>
                      <w:color w:val="auto"/>
                      <w:highlight w:val="none"/>
                      <w:u w:val="none"/>
                    </w:rPr>
                    <w:t>外观与性状：油状液体，淡黄色至褐色，无气味或略带异味；闪点：120-340℃；沸点：-252.8℃；自燃点：300～350℃；溶解性：不溶于水，溶于苯、乙醇、乙醚、氯仿、丙酮等多数有机溶剂；稳定性：稳定；可燃液体</w:t>
                  </w:r>
                </w:p>
              </w:tc>
            </w:tr>
            <w:tr w14:paraId="48B0B9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130" w:type="dxa"/>
                  <w:vAlign w:val="center"/>
                </w:tcPr>
                <w:p w14:paraId="6678D0A7">
                  <w:pPr>
                    <w:jc w:val="center"/>
                    <w:rPr>
                      <w:rFonts w:hint="eastAsia" w:eastAsia="宋体"/>
                      <w:color w:val="auto"/>
                      <w:highlight w:val="none"/>
                      <w:u w:val="none"/>
                      <w:lang w:val="en-US" w:eastAsia="zh-CN"/>
                    </w:rPr>
                  </w:pPr>
                  <w:r>
                    <w:rPr>
                      <w:rFonts w:hint="eastAsia"/>
                      <w:color w:val="auto"/>
                      <w:highlight w:val="none"/>
                      <w:u w:val="none"/>
                      <w:lang w:val="en-US" w:eastAsia="zh-CN"/>
                    </w:rPr>
                    <w:t>润滑油</w:t>
                  </w:r>
                </w:p>
              </w:tc>
              <w:tc>
                <w:tcPr>
                  <w:tcW w:w="6949" w:type="dxa"/>
                  <w:vAlign w:val="center"/>
                </w:tcPr>
                <w:p w14:paraId="3E240346">
                  <w:pPr>
                    <w:jc w:val="center"/>
                    <w:rPr>
                      <w:color w:val="auto"/>
                      <w:highlight w:val="none"/>
                      <w:u w:val="none"/>
                    </w:rPr>
                  </w:pPr>
                  <w:r>
                    <w:rPr>
                      <w:rFonts w:hint="eastAsia"/>
                      <w:color w:val="auto"/>
                      <w:highlight w:val="none"/>
                      <w:u w:val="none"/>
                    </w:rPr>
                    <w:t>外观与性状：淡黄色粘稠液体，闪点为120-340℃，自燃点为300-350℃，溶于苯、乙醇、乙醚、氯仿、丙酮等多数有机溶剂。可燃液体</w:t>
                  </w:r>
                  <w:r>
                    <w:rPr>
                      <w:rFonts w:hint="eastAsia"/>
                      <w:color w:val="auto"/>
                      <w:highlight w:val="none"/>
                      <w:u w:val="none"/>
                      <w:lang w:eastAsia="zh-CN"/>
                    </w:rPr>
                    <w:t>，</w:t>
                  </w:r>
                  <w:r>
                    <w:rPr>
                      <w:rFonts w:hint="eastAsia"/>
                      <w:color w:val="auto"/>
                      <w:highlight w:val="none"/>
                      <w:u w:val="none"/>
                    </w:rPr>
                    <w:t>火灾危险性为丙B类</w:t>
                  </w:r>
                  <w:r>
                    <w:rPr>
                      <w:rFonts w:hint="eastAsia"/>
                      <w:color w:val="auto"/>
                      <w:highlight w:val="none"/>
                      <w:u w:val="none"/>
                      <w:lang w:eastAsia="zh-CN"/>
                    </w:rPr>
                    <w:t>；</w:t>
                  </w:r>
                  <w:r>
                    <w:rPr>
                      <w:rFonts w:hint="eastAsia"/>
                      <w:color w:val="auto"/>
                      <w:highlight w:val="none"/>
                      <w:u w:val="none"/>
                    </w:rPr>
                    <w:t>遇明火、高热可燃</w:t>
                  </w:r>
                </w:p>
              </w:tc>
            </w:tr>
            <w:tr w14:paraId="0D0A4A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30" w:type="dxa"/>
                  <w:vAlign w:val="center"/>
                </w:tcPr>
                <w:p w14:paraId="1593E647">
                  <w:pPr>
                    <w:jc w:val="center"/>
                    <w:rPr>
                      <w:color w:val="auto"/>
                      <w:highlight w:val="none"/>
                      <w:u w:val="none"/>
                    </w:rPr>
                  </w:pPr>
                  <w:r>
                    <w:rPr>
                      <w:szCs w:val="21"/>
                      <w:highlight w:val="none"/>
                    </w:rPr>
                    <w:t>助焊剂</w:t>
                  </w:r>
                </w:p>
              </w:tc>
              <w:tc>
                <w:tcPr>
                  <w:tcW w:w="6949" w:type="dxa"/>
                  <w:vAlign w:val="center"/>
                </w:tcPr>
                <w:p w14:paraId="4E82639B">
                  <w:pPr>
                    <w:jc w:val="center"/>
                    <w:rPr>
                      <w:color w:val="auto"/>
                      <w:highlight w:val="none"/>
                      <w:u w:val="none"/>
                    </w:rPr>
                  </w:pPr>
                  <w:r>
                    <w:rPr>
                      <w:szCs w:val="21"/>
                      <w:highlight w:val="none"/>
                    </w:rPr>
                    <w:t>液体状，使用助焊剂主要成分为：松香3%，</w:t>
                  </w:r>
                  <w:r>
                    <w:rPr>
                      <w:rStyle w:val="95"/>
                      <w:szCs w:val="21"/>
                      <w:highlight w:val="none"/>
                      <w:shd w:val="clear" w:color="auto" w:fill="FFFFFF"/>
                    </w:rPr>
                    <w:t> </w:t>
                  </w:r>
                  <w:r>
                    <w:rPr>
                      <w:szCs w:val="21"/>
                      <w:highlight w:val="none"/>
                      <w:shd w:val="clear" w:color="auto" w:fill="FFFFFF"/>
                    </w:rPr>
                    <w:t>羟基丁二酸4%，异丙醇（IPA）85%，活剂8%</w:t>
                  </w:r>
                </w:p>
              </w:tc>
            </w:tr>
            <w:tr w14:paraId="789EE9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130" w:type="dxa"/>
                  <w:vAlign w:val="center"/>
                </w:tcPr>
                <w:p w14:paraId="6371A15C">
                  <w:pPr>
                    <w:jc w:val="center"/>
                    <w:rPr>
                      <w:color w:val="auto"/>
                      <w:highlight w:val="none"/>
                      <w:u w:val="none"/>
                    </w:rPr>
                  </w:pPr>
                  <w:r>
                    <w:rPr>
                      <w:szCs w:val="21"/>
                      <w:highlight w:val="none"/>
                    </w:rPr>
                    <w:t>凡立水</w:t>
                  </w:r>
                </w:p>
              </w:tc>
              <w:tc>
                <w:tcPr>
                  <w:tcW w:w="6949" w:type="dxa"/>
                  <w:vAlign w:val="center"/>
                </w:tcPr>
                <w:p w14:paraId="1383BB1E">
                  <w:pPr>
                    <w:jc w:val="center"/>
                    <w:rPr>
                      <w:color w:val="auto"/>
                      <w:highlight w:val="none"/>
                      <w:u w:val="none"/>
                    </w:rPr>
                  </w:pPr>
                  <w:r>
                    <w:rPr>
                      <w:szCs w:val="21"/>
                      <w:highlight w:val="none"/>
                    </w:rPr>
                    <w:t>淡黄色液体，沸点181℃，闪火点45℃，主要成分为石油提炼树脂42%，环保溶剂油32%，固化剂10%，添加剂（H</w:t>
                  </w:r>
                  <w:r>
                    <w:rPr>
                      <w:szCs w:val="21"/>
                      <w:highlight w:val="none"/>
                      <w:vertAlign w:val="subscript"/>
                    </w:rPr>
                    <w:t>2</w:t>
                  </w:r>
                  <w:r>
                    <w:rPr>
                      <w:szCs w:val="21"/>
                      <w:highlight w:val="none"/>
                    </w:rPr>
                    <w:t>NC</w:t>
                  </w:r>
                  <w:r>
                    <w:rPr>
                      <w:szCs w:val="21"/>
                      <w:highlight w:val="none"/>
                      <w:vertAlign w:val="subscript"/>
                    </w:rPr>
                    <w:t>3</w:t>
                  </w:r>
                  <w:r>
                    <w:rPr>
                      <w:szCs w:val="21"/>
                      <w:highlight w:val="none"/>
                    </w:rPr>
                    <w:t>H</w:t>
                  </w:r>
                  <w:r>
                    <w:rPr>
                      <w:szCs w:val="21"/>
                      <w:highlight w:val="none"/>
                      <w:vertAlign w:val="subscript"/>
                    </w:rPr>
                    <w:t>6</w:t>
                  </w:r>
                  <w:r>
                    <w:rPr>
                      <w:szCs w:val="21"/>
                      <w:highlight w:val="none"/>
                    </w:rPr>
                    <w:t>Si(OC</w:t>
                  </w:r>
                  <w:r>
                    <w:rPr>
                      <w:szCs w:val="21"/>
                      <w:highlight w:val="none"/>
                      <w:vertAlign w:val="subscript"/>
                    </w:rPr>
                    <w:t>2</w:t>
                  </w:r>
                  <w:r>
                    <w:rPr>
                      <w:szCs w:val="21"/>
                      <w:highlight w:val="none"/>
                    </w:rPr>
                    <w:t>H</w:t>
                  </w:r>
                  <w:r>
                    <w:rPr>
                      <w:szCs w:val="21"/>
                      <w:highlight w:val="none"/>
                      <w:vertAlign w:val="subscript"/>
                    </w:rPr>
                    <w:t>5</w:t>
                  </w:r>
                  <w:r>
                    <w:rPr>
                      <w:szCs w:val="21"/>
                      <w:highlight w:val="none"/>
                    </w:rPr>
                    <w:t>)</w:t>
                  </w:r>
                  <w:r>
                    <w:rPr>
                      <w:szCs w:val="21"/>
                      <w:highlight w:val="none"/>
                      <w:vertAlign w:val="subscript"/>
                    </w:rPr>
                    <w:t>3</w:t>
                  </w:r>
                  <w:r>
                    <w:rPr>
                      <w:szCs w:val="21"/>
                      <w:highlight w:val="none"/>
                    </w:rPr>
                    <w:t>）14%，流平剂2%</w:t>
                  </w:r>
                </w:p>
              </w:tc>
            </w:tr>
            <w:tr w14:paraId="75F4A8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130" w:type="dxa"/>
                  <w:vAlign w:val="center"/>
                </w:tcPr>
                <w:p w14:paraId="5227A59A">
                  <w:pPr>
                    <w:jc w:val="center"/>
                    <w:rPr>
                      <w:color w:val="auto"/>
                      <w:highlight w:val="none"/>
                      <w:u w:val="none"/>
                    </w:rPr>
                  </w:pPr>
                  <w:r>
                    <w:rPr>
                      <w:rFonts w:hint="eastAsia"/>
                      <w:color w:val="auto"/>
                      <w:highlight w:val="none"/>
                      <w:u w:val="none"/>
                    </w:rPr>
                    <w:t>黑胶</w:t>
                  </w:r>
                </w:p>
              </w:tc>
              <w:tc>
                <w:tcPr>
                  <w:tcW w:w="6949" w:type="dxa"/>
                  <w:vAlign w:val="center"/>
                </w:tcPr>
                <w:p w14:paraId="516F163B">
                  <w:pPr>
                    <w:jc w:val="center"/>
                    <w:rPr>
                      <w:color w:val="auto"/>
                      <w:highlight w:val="none"/>
                      <w:u w:val="none"/>
                    </w:rPr>
                  </w:pPr>
                  <w:r>
                    <w:rPr>
                      <w:rFonts w:ascii="Times New Roman" w:hAnsi="Times New Roman"/>
                      <w:szCs w:val="21"/>
                      <w:highlight w:val="none"/>
                    </w:rPr>
                    <w:t>黑色固体混合物，分解温度大于400℃，闪点大于110℃。主要成分为聚有机硅氧烷30%-40%，氧化铝20%-30%，二氧化硅20%-30%，炭黑＜0.5%，铂金催化剂＜0.5%</w:t>
                  </w:r>
                </w:p>
              </w:tc>
            </w:tr>
            <w:tr w14:paraId="2F5EB2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30" w:type="dxa"/>
                  <w:vAlign w:val="center"/>
                </w:tcPr>
                <w:p w14:paraId="0CD366A3">
                  <w:pPr>
                    <w:jc w:val="center"/>
                    <w:rPr>
                      <w:rFonts w:hint="eastAsia"/>
                      <w:color w:val="auto"/>
                      <w:highlight w:val="none"/>
                      <w:u w:val="none"/>
                    </w:rPr>
                  </w:pPr>
                  <w:r>
                    <w:rPr>
                      <w:rFonts w:ascii="Times New Roman" w:hAnsi="Times New Roman"/>
                      <w:szCs w:val="21"/>
                      <w:highlight w:val="none"/>
                    </w:rPr>
                    <w:t>液压油</w:t>
                  </w:r>
                </w:p>
              </w:tc>
              <w:tc>
                <w:tcPr>
                  <w:tcW w:w="6949" w:type="dxa"/>
                  <w:vAlign w:val="center"/>
                </w:tcPr>
                <w:p w14:paraId="4E84299D">
                  <w:pPr>
                    <w:jc w:val="center"/>
                    <w:rPr>
                      <w:rFonts w:ascii="Times New Roman" w:hAnsi="Times New Roman"/>
                      <w:szCs w:val="21"/>
                      <w:highlight w:val="none"/>
                    </w:rPr>
                  </w:pPr>
                  <w:r>
                    <w:rPr>
                      <w:rFonts w:ascii="Times New Roman" w:hAnsi="Times New Roman"/>
                      <w:szCs w:val="21"/>
                      <w:highlight w:val="none"/>
                    </w:rPr>
                    <w:t>油状液体，基础油和添加剂组成，淡黄色至褐色，无气味或略带气味。不溶于水，遇高热、明火可燃，闪点220℃</w:t>
                  </w:r>
                </w:p>
              </w:tc>
            </w:tr>
          </w:tbl>
          <w:p w14:paraId="3E4B0E10">
            <w:pPr>
              <w:spacing w:line="360" w:lineRule="auto"/>
              <w:ind w:firstLine="373" w:firstLineChars="177"/>
              <w:rPr>
                <w:b/>
                <w:bCs/>
                <w:color w:val="auto"/>
                <w:kern w:val="24"/>
                <w:highlight w:val="none"/>
                <w:u w:val="none"/>
              </w:rPr>
            </w:pPr>
            <w:r>
              <w:rPr>
                <w:b/>
                <w:bCs/>
                <w:color w:val="auto"/>
                <w:kern w:val="24"/>
                <w:highlight w:val="none"/>
                <w:u w:val="none"/>
              </w:rPr>
              <w:t>备注：*不是有毒物质是指该化学品不属于《建设项目环境风险评价技术导则》（HJ 169-2018）附录B1规定的有毒物质范围之内。</w:t>
            </w:r>
          </w:p>
          <w:p w14:paraId="56E404EB">
            <w:pPr>
              <w:spacing w:line="360" w:lineRule="auto"/>
              <w:ind w:firstLine="480" w:firstLineChars="200"/>
              <w:rPr>
                <w:color w:val="auto"/>
                <w:sz w:val="24"/>
                <w:highlight w:val="none"/>
                <w:u w:val="none"/>
              </w:rPr>
            </w:pPr>
            <w:r>
              <w:rPr>
                <w:rFonts w:hint="eastAsia"/>
                <w:color w:val="auto"/>
                <w:sz w:val="24"/>
                <w:highlight w:val="none"/>
                <w:u w:val="none"/>
              </w:rPr>
              <w:t>项目各功能单元的潜在环境风险事故分析见表。</w:t>
            </w:r>
          </w:p>
          <w:p w14:paraId="5F501106">
            <w:pPr>
              <w:ind w:firstLine="373" w:firstLineChars="177"/>
              <w:jc w:val="center"/>
              <w:rPr>
                <w:b/>
                <w:bCs/>
                <w:color w:val="auto"/>
                <w:kern w:val="24"/>
                <w:highlight w:val="none"/>
                <w:u w:val="none"/>
              </w:rPr>
            </w:pPr>
            <w:r>
              <w:rPr>
                <w:b/>
                <w:bCs/>
                <w:color w:val="auto"/>
                <w:kern w:val="24"/>
                <w:highlight w:val="none"/>
                <w:u w:val="none"/>
              </w:rPr>
              <w:t>表</w:t>
            </w:r>
            <w:r>
              <w:rPr>
                <w:rFonts w:hint="eastAsia"/>
                <w:b/>
                <w:bCs/>
                <w:color w:val="auto"/>
                <w:kern w:val="24"/>
                <w:highlight w:val="none"/>
                <w:u w:val="none"/>
              </w:rPr>
              <w:t>4-1</w:t>
            </w:r>
            <w:r>
              <w:rPr>
                <w:rFonts w:hint="eastAsia"/>
                <w:b/>
                <w:bCs/>
                <w:color w:val="auto"/>
                <w:kern w:val="24"/>
                <w:highlight w:val="none"/>
                <w:u w:val="none"/>
                <w:lang w:val="en-US" w:eastAsia="zh-CN"/>
              </w:rPr>
              <w:t>3</w:t>
            </w:r>
            <w:r>
              <w:rPr>
                <w:b/>
                <w:bCs/>
                <w:color w:val="auto"/>
                <w:kern w:val="24"/>
                <w:highlight w:val="none"/>
                <w:u w:val="none"/>
              </w:rPr>
              <w:t xml:space="preserve"> 项目各功能单元潜在的环境风险事故一览表</w:t>
            </w:r>
          </w:p>
          <w:tbl>
            <w:tblPr>
              <w:tblStyle w:val="35"/>
              <w:tblW w:w="81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86"/>
              <w:gridCol w:w="1788"/>
              <w:gridCol w:w="2513"/>
              <w:gridCol w:w="2171"/>
            </w:tblGrid>
            <w:tr w14:paraId="78C4D1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686" w:type="dxa"/>
                  <w:vAlign w:val="center"/>
                </w:tcPr>
                <w:p w14:paraId="1D160E8C">
                  <w:pPr>
                    <w:jc w:val="center"/>
                    <w:rPr>
                      <w:color w:val="auto"/>
                      <w:highlight w:val="none"/>
                      <w:u w:val="none"/>
                    </w:rPr>
                  </w:pPr>
                  <w:r>
                    <w:rPr>
                      <w:color w:val="auto"/>
                      <w:highlight w:val="none"/>
                      <w:u w:val="none"/>
                    </w:rPr>
                    <w:t>事故类型</w:t>
                  </w:r>
                </w:p>
              </w:tc>
              <w:tc>
                <w:tcPr>
                  <w:tcW w:w="1788" w:type="dxa"/>
                  <w:vAlign w:val="center"/>
                </w:tcPr>
                <w:p w14:paraId="0B1B6BDD">
                  <w:pPr>
                    <w:jc w:val="center"/>
                    <w:rPr>
                      <w:color w:val="auto"/>
                      <w:highlight w:val="none"/>
                      <w:u w:val="none"/>
                    </w:rPr>
                  </w:pPr>
                  <w:r>
                    <w:rPr>
                      <w:color w:val="auto"/>
                      <w:highlight w:val="none"/>
                      <w:u w:val="none"/>
                    </w:rPr>
                    <w:t>事故原因</w:t>
                  </w:r>
                </w:p>
              </w:tc>
              <w:tc>
                <w:tcPr>
                  <w:tcW w:w="2513" w:type="dxa"/>
                  <w:vAlign w:val="center"/>
                </w:tcPr>
                <w:p w14:paraId="7D2FF945">
                  <w:pPr>
                    <w:jc w:val="center"/>
                    <w:rPr>
                      <w:color w:val="auto"/>
                      <w:highlight w:val="none"/>
                      <w:u w:val="none"/>
                    </w:rPr>
                  </w:pPr>
                  <w:r>
                    <w:rPr>
                      <w:color w:val="auto"/>
                      <w:highlight w:val="none"/>
                      <w:u w:val="none"/>
                    </w:rPr>
                    <w:t>危险物质向环境转移的可能途径</w:t>
                  </w:r>
                </w:p>
              </w:tc>
              <w:tc>
                <w:tcPr>
                  <w:tcW w:w="2171" w:type="dxa"/>
                  <w:vAlign w:val="center"/>
                </w:tcPr>
                <w:p w14:paraId="2E3A651B">
                  <w:pPr>
                    <w:jc w:val="center"/>
                    <w:rPr>
                      <w:color w:val="auto"/>
                      <w:highlight w:val="none"/>
                      <w:u w:val="none"/>
                    </w:rPr>
                  </w:pPr>
                  <w:r>
                    <w:rPr>
                      <w:color w:val="auto"/>
                      <w:highlight w:val="none"/>
                      <w:u w:val="none"/>
                    </w:rPr>
                    <w:t>影响程度</w:t>
                  </w:r>
                </w:p>
              </w:tc>
            </w:tr>
            <w:tr w14:paraId="5BCAA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686" w:type="dxa"/>
                  <w:vAlign w:val="center"/>
                </w:tcPr>
                <w:p w14:paraId="089EDF63">
                  <w:pPr>
                    <w:jc w:val="center"/>
                    <w:rPr>
                      <w:color w:val="auto"/>
                      <w:highlight w:val="none"/>
                      <w:u w:val="none"/>
                    </w:rPr>
                  </w:pPr>
                  <w:r>
                    <w:rPr>
                      <w:color w:val="auto"/>
                      <w:highlight w:val="none"/>
                      <w:u w:val="none"/>
                    </w:rPr>
                    <w:t>火灾引发的次生环境事件</w:t>
                  </w:r>
                </w:p>
              </w:tc>
              <w:tc>
                <w:tcPr>
                  <w:tcW w:w="1788" w:type="dxa"/>
                  <w:vAlign w:val="center"/>
                </w:tcPr>
                <w:p w14:paraId="008118C0">
                  <w:pPr>
                    <w:jc w:val="center"/>
                    <w:rPr>
                      <w:color w:val="auto"/>
                      <w:highlight w:val="none"/>
                      <w:u w:val="none"/>
                    </w:rPr>
                  </w:pPr>
                  <w:r>
                    <w:rPr>
                      <w:color w:val="auto"/>
                      <w:highlight w:val="none"/>
                      <w:u w:val="none"/>
                    </w:rPr>
                    <w:t>存在高温、明火</w:t>
                  </w:r>
                </w:p>
              </w:tc>
              <w:tc>
                <w:tcPr>
                  <w:tcW w:w="2513" w:type="dxa"/>
                  <w:vAlign w:val="center"/>
                </w:tcPr>
                <w:p w14:paraId="0108FC6F">
                  <w:pPr>
                    <w:jc w:val="center"/>
                    <w:rPr>
                      <w:color w:val="auto"/>
                      <w:highlight w:val="none"/>
                      <w:u w:val="none"/>
                    </w:rPr>
                  </w:pPr>
                  <w:r>
                    <w:rPr>
                      <w:color w:val="auto"/>
                      <w:highlight w:val="none"/>
                      <w:u w:val="none"/>
                    </w:rPr>
                    <w:t>燃烧后产物进入大气、消防废水外排进入地表水</w:t>
                  </w:r>
                </w:p>
              </w:tc>
              <w:tc>
                <w:tcPr>
                  <w:tcW w:w="2171" w:type="dxa"/>
                  <w:vAlign w:val="center"/>
                </w:tcPr>
                <w:p w14:paraId="3D3DB4EA">
                  <w:pPr>
                    <w:jc w:val="center"/>
                    <w:rPr>
                      <w:color w:val="auto"/>
                      <w:highlight w:val="none"/>
                      <w:u w:val="none"/>
                    </w:rPr>
                  </w:pPr>
                  <w:r>
                    <w:rPr>
                      <w:color w:val="auto"/>
                      <w:highlight w:val="none"/>
                      <w:u w:val="none"/>
                    </w:rPr>
                    <w:t>遇明火，燃烧引发火灾事故，对外界影响较大</w:t>
                  </w:r>
                </w:p>
              </w:tc>
            </w:tr>
            <w:tr w14:paraId="196842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686" w:type="dxa"/>
                  <w:vAlign w:val="center"/>
                </w:tcPr>
                <w:p w14:paraId="5C89B96E">
                  <w:pPr>
                    <w:jc w:val="center"/>
                    <w:rPr>
                      <w:color w:val="auto"/>
                      <w:highlight w:val="none"/>
                      <w:u w:val="none"/>
                    </w:rPr>
                  </w:pPr>
                  <w:r>
                    <w:rPr>
                      <w:rFonts w:hint="eastAsia"/>
                      <w:color w:val="auto"/>
                      <w:highlight w:val="none"/>
                      <w:u w:val="none"/>
                    </w:rPr>
                    <w:t>废气未处理直接排放</w:t>
                  </w:r>
                </w:p>
              </w:tc>
              <w:tc>
                <w:tcPr>
                  <w:tcW w:w="1788" w:type="dxa"/>
                  <w:vAlign w:val="center"/>
                </w:tcPr>
                <w:p w14:paraId="1E4FBEA4">
                  <w:pPr>
                    <w:jc w:val="center"/>
                    <w:rPr>
                      <w:color w:val="auto"/>
                      <w:highlight w:val="none"/>
                      <w:u w:val="none"/>
                    </w:rPr>
                  </w:pPr>
                  <w:r>
                    <w:rPr>
                      <w:rFonts w:hint="eastAsia"/>
                      <w:color w:val="auto"/>
                      <w:highlight w:val="none"/>
                      <w:u w:val="none"/>
                    </w:rPr>
                    <w:t>废气处理措施设备故障或操作失误</w:t>
                  </w:r>
                </w:p>
              </w:tc>
              <w:tc>
                <w:tcPr>
                  <w:tcW w:w="2513" w:type="dxa"/>
                  <w:vAlign w:val="center"/>
                </w:tcPr>
                <w:p w14:paraId="48DCA624">
                  <w:pPr>
                    <w:jc w:val="center"/>
                    <w:rPr>
                      <w:color w:val="auto"/>
                      <w:highlight w:val="none"/>
                      <w:u w:val="none"/>
                    </w:rPr>
                  </w:pPr>
                  <w:r>
                    <w:rPr>
                      <w:rFonts w:hint="eastAsia"/>
                      <w:color w:val="auto"/>
                      <w:highlight w:val="none"/>
                      <w:u w:val="none"/>
                    </w:rPr>
                    <w:t>废气进入大气</w:t>
                  </w:r>
                </w:p>
              </w:tc>
              <w:tc>
                <w:tcPr>
                  <w:tcW w:w="2171" w:type="dxa"/>
                  <w:vAlign w:val="center"/>
                </w:tcPr>
                <w:p w14:paraId="70F08325">
                  <w:pPr>
                    <w:jc w:val="center"/>
                    <w:rPr>
                      <w:color w:val="auto"/>
                      <w:highlight w:val="none"/>
                      <w:u w:val="none"/>
                    </w:rPr>
                  </w:pPr>
                  <w:r>
                    <w:rPr>
                      <w:rFonts w:hint="eastAsia"/>
                      <w:color w:val="auto"/>
                      <w:highlight w:val="none"/>
                      <w:u w:val="none"/>
                    </w:rPr>
                    <w:t>周围的企业及员工及村庄等均会受到不同程度的影响</w:t>
                  </w:r>
                </w:p>
              </w:tc>
            </w:tr>
            <w:tr w14:paraId="544F9A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686" w:type="dxa"/>
                  <w:vAlign w:val="center"/>
                </w:tcPr>
                <w:p w14:paraId="096E758B">
                  <w:pPr>
                    <w:jc w:val="center"/>
                    <w:rPr>
                      <w:rFonts w:hint="eastAsia"/>
                      <w:color w:val="auto"/>
                      <w:highlight w:val="none"/>
                      <w:u w:val="none"/>
                    </w:rPr>
                  </w:pPr>
                  <w:r>
                    <w:rPr>
                      <w:rFonts w:hint="eastAsia"/>
                      <w:color w:val="auto"/>
                      <w:highlight w:val="none"/>
                      <w:u w:val="none" w:color="auto"/>
                      <w:lang w:val="en-US" w:eastAsia="zh-CN"/>
                    </w:rPr>
                    <w:t>危废暂存间</w:t>
                  </w:r>
                </w:p>
              </w:tc>
              <w:tc>
                <w:tcPr>
                  <w:tcW w:w="1788" w:type="dxa"/>
                  <w:vAlign w:val="center"/>
                </w:tcPr>
                <w:p w14:paraId="7BC8D0B0">
                  <w:pPr>
                    <w:jc w:val="center"/>
                    <w:rPr>
                      <w:rFonts w:hint="eastAsia"/>
                      <w:color w:val="auto"/>
                      <w:highlight w:val="none"/>
                      <w:u w:val="none"/>
                    </w:rPr>
                  </w:pPr>
                  <w:r>
                    <w:rPr>
                      <w:rFonts w:hint="eastAsia"/>
                      <w:color w:val="auto"/>
                      <w:highlight w:val="none"/>
                      <w:u w:val="none" w:color="auto"/>
                      <w:lang w:val="en-US" w:eastAsia="zh-CN"/>
                    </w:rPr>
                    <w:t>泄漏</w:t>
                  </w:r>
                </w:p>
              </w:tc>
              <w:tc>
                <w:tcPr>
                  <w:tcW w:w="2513" w:type="dxa"/>
                  <w:vAlign w:val="center"/>
                </w:tcPr>
                <w:p w14:paraId="7C58D804">
                  <w:pPr>
                    <w:jc w:val="center"/>
                    <w:rPr>
                      <w:rFonts w:hint="eastAsia"/>
                      <w:color w:val="auto"/>
                      <w:highlight w:val="none"/>
                      <w:u w:val="none"/>
                    </w:rPr>
                  </w:pPr>
                  <w:r>
                    <w:rPr>
                      <w:rFonts w:hint="eastAsia"/>
                      <w:color w:val="auto"/>
                      <w:highlight w:val="none"/>
                      <w:u w:val="none" w:color="auto"/>
                    </w:rPr>
                    <w:t>装卸或存储过程中某些危险废物可能会发生泄漏可能污染地下水，或可能由于恶劣天气影响，导致雨水渗入等</w:t>
                  </w:r>
                </w:p>
              </w:tc>
              <w:tc>
                <w:tcPr>
                  <w:tcW w:w="2171" w:type="dxa"/>
                  <w:vAlign w:val="center"/>
                </w:tcPr>
                <w:p w14:paraId="003EDAF0">
                  <w:pPr>
                    <w:jc w:val="both"/>
                    <w:rPr>
                      <w:rFonts w:hint="eastAsia"/>
                      <w:color w:val="auto"/>
                      <w:highlight w:val="none"/>
                      <w:u w:val="none"/>
                    </w:rPr>
                  </w:pPr>
                  <w:r>
                    <w:rPr>
                      <w:rFonts w:hint="eastAsia"/>
                      <w:color w:val="auto"/>
                      <w:highlight w:val="none"/>
                      <w:u w:val="none" w:color="auto"/>
                    </w:rPr>
                    <w:t>储存液体危险废物必须严实包装，储存场地硬底化，设置漫坡围堰，储存场地选择室内或设置遮雨措施</w:t>
                  </w:r>
                </w:p>
              </w:tc>
            </w:tr>
          </w:tbl>
          <w:p w14:paraId="5A34A190">
            <w:pPr>
              <w:tabs>
                <w:tab w:val="left" w:pos="1440"/>
                <w:tab w:val="left" w:pos="1800"/>
              </w:tabs>
              <w:adjustRightInd w:val="0"/>
              <w:spacing w:line="360" w:lineRule="auto"/>
              <w:ind w:firstLine="482" w:firstLineChars="200"/>
              <w:rPr>
                <w:b/>
                <w:bCs/>
                <w:color w:val="auto"/>
                <w:sz w:val="24"/>
                <w:highlight w:val="none"/>
                <w:u w:val="none"/>
              </w:rPr>
            </w:pPr>
            <w:r>
              <w:rPr>
                <w:rFonts w:hint="eastAsia"/>
                <w:b/>
                <w:bCs/>
                <w:color w:val="auto"/>
                <w:sz w:val="24"/>
                <w:highlight w:val="none"/>
                <w:u w:val="none"/>
              </w:rPr>
              <w:t>（4）环境风险分析</w:t>
            </w:r>
          </w:p>
          <w:p w14:paraId="241F871C">
            <w:pPr>
              <w:tabs>
                <w:tab w:val="left" w:pos="1440"/>
                <w:tab w:val="left" w:pos="1800"/>
              </w:tabs>
              <w:adjustRightInd w:val="0"/>
              <w:spacing w:line="360" w:lineRule="auto"/>
              <w:ind w:firstLine="480" w:firstLineChars="200"/>
              <w:rPr>
                <w:color w:val="auto"/>
                <w:sz w:val="24"/>
                <w:highlight w:val="none"/>
                <w:u w:val="none" w:color="auto"/>
              </w:rPr>
            </w:pPr>
            <w:r>
              <w:rPr>
                <w:rFonts w:hint="eastAsia"/>
                <w:color w:val="auto"/>
                <w:sz w:val="24"/>
                <w:highlight w:val="none"/>
                <w:u w:val="none" w:color="auto"/>
              </w:rPr>
              <w:t>根据环境风险识别，本项目发生环境风险类型</w:t>
            </w:r>
            <w:r>
              <w:rPr>
                <w:rFonts w:hint="eastAsia"/>
                <w:color w:val="auto"/>
                <w:sz w:val="24"/>
                <w:szCs w:val="24"/>
                <w:highlight w:val="none"/>
                <w:u w:val="none" w:color="auto"/>
              </w:rPr>
              <w:t>主要为</w:t>
            </w:r>
            <w:r>
              <w:rPr>
                <w:color w:val="auto"/>
                <w:sz w:val="24"/>
                <w:szCs w:val="24"/>
                <w:highlight w:val="none"/>
                <w:u w:val="none" w:color="auto"/>
              </w:rPr>
              <w:t>火灾引发的次生环境事件</w:t>
            </w:r>
            <w:r>
              <w:rPr>
                <w:bCs/>
                <w:color w:val="auto"/>
                <w:kern w:val="0"/>
                <w:sz w:val="24"/>
                <w:szCs w:val="24"/>
                <w:highlight w:val="none"/>
                <w:u w:val="none" w:color="auto"/>
              </w:rPr>
              <w:t>、</w:t>
            </w:r>
            <w:r>
              <w:rPr>
                <w:color w:val="auto"/>
                <w:sz w:val="24"/>
                <w:highlight w:val="none"/>
                <w:u w:val="none" w:color="auto"/>
              </w:rPr>
              <w:t>废</w:t>
            </w:r>
            <w:r>
              <w:rPr>
                <w:rFonts w:hint="eastAsia"/>
                <w:color w:val="auto"/>
                <w:sz w:val="24"/>
                <w:highlight w:val="none"/>
                <w:u w:val="none" w:color="auto"/>
                <w:lang w:val="en-US" w:eastAsia="zh-CN"/>
              </w:rPr>
              <w:t>气</w:t>
            </w:r>
            <w:r>
              <w:rPr>
                <w:color w:val="auto"/>
                <w:sz w:val="24"/>
                <w:highlight w:val="none"/>
                <w:u w:val="none" w:color="auto"/>
              </w:rPr>
              <w:t>事故排放</w:t>
            </w:r>
            <w:r>
              <w:rPr>
                <w:rFonts w:hint="eastAsia" w:ascii="Times New Roman" w:hAnsi="Times New Roman" w:eastAsia="宋体" w:cs="Times New Roman"/>
                <w:color w:val="auto"/>
                <w:sz w:val="24"/>
                <w:highlight w:val="none"/>
                <w:u w:val="none" w:color="auto"/>
                <w:lang w:eastAsia="zh-CN"/>
              </w:rPr>
              <w:t>、</w:t>
            </w:r>
            <w:r>
              <w:rPr>
                <w:rFonts w:hint="eastAsia" w:ascii="Times New Roman" w:hAnsi="Times New Roman" w:eastAsia="宋体" w:cs="Times New Roman"/>
                <w:color w:val="auto"/>
                <w:sz w:val="24"/>
                <w:highlight w:val="none"/>
                <w:u w:val="none" w:color="auto"/>
                <w:lang w:val="en-US" w:eastAsia="zh-CN"/>
              </w:rPr>
              <w:t>危废暂存间泄漏</w:t>
            </w:r>
            <w:r>
              <w:rPr>
                <w:rFonts w:hint="eastAsia" w:ascii="Times New Roman" w:hAnsi="Times New Roman" w:eastAsia="宋体" w:cs="Times New Roman"/>
                <w:color w:val="auto"/>
                <w:sz w:val="24"/>
                <w:highlight w:val="none"/>
                <w:u w:val="none" w:color="auto"/>
              </w:rPr>
              <w:t>。</w:t>
            </w:r>
          </w:p>
          <w:p w14:paraId="6A2545D1">
            <w:pPr>
              <w:tabs>
                <w:tab w:val="left" w:pos="1440"/>
                <w:tab w:val="left" w:pos="1800"/>
              </w:tabs>
              <w:adjustRightInd w:val="0"/>
              <w:spacing w:line="360" w:lineRule="auto"/>
              <w:ind w:firstLine="482" w:firstLineChars="200"/>
              <w:rPr>
                <w:b/>
                <w:bCs/>
                <w:color w:val="auto"/>
                <w:sz w:val="24"/>
                <w:highlight w:val="none"/>
                <w:u w:val="none" w:color="auto"/>
              </w:rPr>
            </w:pPr>
            <w:r>
              <w:rPr>
                <w:rFonts w:hint="eastAsia"/>
                <w:b/>
                <w:bCs/>
                <w:color w:val="auto"/>
                <w:sz w:val="24"/>
                <w:highlight w:val="none"/>
                <w:u w:val="none" w:color="auto"/>
              </w:rPr>
              <w:t>①火灾环境影响分析及应急处理措施</w:t>
            </w:r>
          </w:p>
          <w:p w14:paraId="419D3E6A">
            <w:pPr>
              <w:spacing w:line="360" w:lineRule="auto"/>
              <w:ind w:firstLine="480" w:firstLineChars="200"/>
              <w:rPr>
                <w:color w:val="auto"/>
                <w:sz w:val="24"/>
                <w:highlight w:val="none"/>
                <w:u w:val="none" w:color="auto"/>
              </w:rPr>
            </w:pPr>
            <w:r>
              <w:rPr>
                <w:color w:val="auto"/>
                <w:sz w:val="24"/>
                <w:highlight w:val="none"/>
                <w:u w:val="none" w:color="auto"/>
              </w:rPr>
              <w:t>在火灾条件下，任何物质燃烧都会产生有毒气体，其主要成分是一氧化碳，但是化学成分不同的物质燃烧时产生的有毒气体的种类不同，以异丁烯类聚合物和聚二甲基硅氧烷为主要组成元素的胶水燃烧产生的有毒气体主要是一氧化碳，在火势猛烈时，这种气体最具危险性。同时也要考虑其他易燃物质遇热燃烧后产生的其他烃类气体，酚类气体、苯环。</w:t>
            </w:r>
          </w:p>
          <w:p w14:paraId="1DE0723A">
            <w:pPr>
              <w:pStyle w:val="17"/>
              <w:spacing w:line="360" w:lineRule="auto"/>
              <w:ind w:firstLine="480" w:firstLineChars="200"/>
              <w:rPr>
                <w:color w:val="auto"/>
                <w:highlight w:val="none"/>
                <w:u w:val="none" w:color="auto"/>
              </w:rPr>
            </w:pPr>
            <w:r>
              <w:rPr>
                <w:rFonts w:hint="eastAsia"/>
                <w:color w:val="auto"/>
                <w:kern w:val="2"/>
                <w:sz w:val="24"/>
                <w:szCs w:val="24"/>
                <w:highlight w:val="none"/>
                <w:u w:val="none" w:color="auto"/>
              </w:rPr>
              <w:t>发生火灾时，应及时采取相应的灭火措施并疏散厂内员工，必要时启动突发事故应急预案，及时疏散周围的居民；事故发生时，救援人员必须佩戴理性的防毒过滤面具，同时穿好工作服，迅速判明事故当时的风向，可利用风标、旗帜等辨明风向，向上风向撤离，尽可能向侧、逆风向转移。</w:t>
            </w:r>
          </w:p>
          <w:p w14:paraId="03AA4B21">
            <w:pPr>
              <w:spacing w:line="360" w:lineRule="auto"/>
              <w:ind w:firstLine="426" w:firstLineChars="177"/>
              <w:rPr>
                <w:b/>
                <w:bCs/>
                <w:color w:val="auto"/>
                <w:sz w:val="24"/>
                <w:highlight w:val="none"/>
                <w:u w:val="none" w:color="auto"/>
              </w:rPr>
            </w:pPr>
            <w:r>
              <w:rPr>
                <w:rFonts w:hint="eastAsia"/>
                <w:b/>
                <w:bCs/>
                <w:color w:val="auto"/>
                <w:sz w:val="24"/>
                <w:highlight w:val="none"/>
                <w:u w:val="none" w:color="auto"/>
              </w:rPr>
              <w:t>②污染防治措施事故排</w:t>
            </w:r>
            <w:r>
              <w:rPr>
                <w:rFonts w:hint="eastAsia"/>
                <w:b/>
                <w:bCs/>
                <w:color w:val="auto"/>
                <w:sz w:val="24"/>
                <w:highlight w:val="none"/>
                <w:u w:val="none" w:color="auto"/>
                <w:lang w:eastAsia="zh-CN"/>
              </w:rPr>
              <w:t>放环</w:t>
            </w:r>
            <w:r>
              <w:rPr>
                <w:rFonts w:hint="eastAsia"/>
                <w:b/>
                <w:bCs/>
                <w:color w:val="auto"/>
                <w:sz w:val="24"/>
                <w:highlight w:val="none"/>
                <w:u w:val="none" w:color="auto"/>
              </w:rPr>
              <w:t>境影响分析应急处理措施</w:t>
            </w:r>
          </w:p>
          <w:p w14:paraId="4343F31C">
            <w:pPr>
              <w:tabs>
                <w:tab w:val="left" w:pos="1440"/>
                <w:tab w:val="left" w:pos="1800"/>
              </w:tabs>
              <w:adjustRightInd w:val="0"/>
              <w:spacing w:line="360" w:lineRule="auto"/>
              <w:ind w:firstLine="480" w:firstLineChars="200"/>
              <w:rPr>
                <w:color w:val="auto"/>
                <w:sz w:val="24"/>
                <w:highlight w:val="none"/>
                <w:u w:val="none" w:color="auto"/>
              </w:rPr>
            </w:pPr>
            <w:r>
              <w:rPr>
                <w:rFonts w:hint="eastAsia"/>
                <w:color w:val="auto"/>
                <w:sz w:val="24"/>
                <w:highlight w:val="none"/>
                <w:u w:val="none" w:color="auto"/>
              </w:rPr>
              <w:t>当废气处理措施因设备或操作原因，造成废气未处理直接排放，生产过程中产生的</w:t>
            </w:r>
            <w:r>
              <w:rPr>
                <w:rFonts w:hint="eastAsia"/>
                <w:color w:val="auto"/>
                <w:sz w:val="24"/>
                <w:highlight w:val="none"/>
                <w:u w:val="none" w:color="auto"/>
                <w:lang w:val="en-US" w:eastAsia="zh-CN"/>
              </w:rPr>
              <w:t>废气</w:t>
            </w:r>
            <w:r>
              <w:rPr>
                <w:rFonts w:hint="eastAsia"/>
                <w:color w:val="auto"/>
                <w:sz w:val="24"/>
                <w:highlight w:val="none"/>
                <w:u w:val="none" w:color="auto"/>
              </w:rPr>
              <w:t>会飞扬，气体随风向外扩散，在不利风向时，周围的企业及员工及村庄等均会受到不同程度的影响。因此企业应加强管理，保持各废气处理设施的正常运行，杜绝非正常排放发生。</w:t>
            </w:r>
          </w:p>
          <w:p w14:paraId="19245FCE">
            <w:pPr>
              <w:spacing w:line="360" w:lineRule="auto"/>
              <w:ind w:firstLine="426" w:firstLineChars="177"/>
              <w:rPr>
                <w:rFonts w:hint="eastAsia" w:ascii="Times New Roman" w:hAnsi="Times New Roman" w:eastAsia="宋体" w:cs="Times New Roman"/>
                <w:b/>
                <w:bCs/>
                <w:color w:val="auto"/>
                <w:sz w:val="24"/>
                <w:highlight w:val="none"/>
                <w:u w:val="none" w:color="auto"/>
              </w:rPr>
            </w:pPr>
            <w:r>
              <w:rPr>
                <w:rFonts w:hint="default" w:ascii="Times New Roman" w:hAnsi="Times New Roman" w:eastAsia="宋体" w:cs="Times New Roman"/>
                <w:b/>
                <w:bCs/>
                <w:color w:val="auto"/>
                <w:sz w:val="24"/>
                <w:highlight w:val="none"/>
                <w:u w:val="none" w:color="auto"/>
              </w:rPr>
              <w:t>③危废暂存间渗漏、泄漏引起次生污染分析</w:t>
            </w:r>
          </w:p>
          <w:p w14:paraId="7138BB11">
            <w:pPr>
              <w:tabs>
                <w:tab w:val="left" w:pos="1440"/>
                <w:tab w:val="left" w:pos="1800"/>
              </w:tabs>
              <w:adjustRightInd w:val="0"/>
              <w:spacing w:line="360" w:lineRule="auto"/>
              <w:ind w:firstLine="480" w:firstLineChars="200"/>
              <w:rPr>
                <w:rFonts w:hint="eastAsia" w:ascii="Times New Roman" w:hAnsi="Times New Roman" w:eastAsia="宋体" w:cs="Times New Roman"/>
                <w:color w:val="auto"/>
                <w:sz w:val="24"/>
                <w:highlight w:val="none"/>
                <w:u w:val="none" w:color="auto"/>
              </w:rPr>
            </w:pPr>
            <w:r>
              <w:rPr>
                <w:rFonts w:hint="eastAsia" w:ascii="Times New Roman" w:hAnsi="Times New Roman" w:eastAsia="宋体" w:cs="Times New Roman"/>
                <w:color w:val="auto"/>
                <w:sz w:val="24"/>
                <w:highlight w:val="none"/>
                <w:u w:val="none" w:color="auto"/>
              </w:rPr>
              <w:t>本项目生产过程产生的危险废物经收集后暂存于危险暂存间，如出现泄漏情况，泄漏液体渗漏、泄漏至地表，会对该区域地表水水质、土壤造成污染。</w:t>
            </w:r>
          </w:p>
          <w:p w14:paraId="3C68C24A">
            <w:pPr>
              <w:tabs>
                <w:tab w:val="left" w:pos="1440"/>
                <w:tab w:val="left" w:pos="1800"/>
              </w:tabs>
              <w:adjustRightInd w:val="0"/>
              <w:spacing w:line="360" w:lineRule="auto"/>
              <w:ind w:firstLine="482" w:firstLineChars="200"/>
              <w:rPr>
                <w:b/>
                <w:bCs/>
                <w:color w:val="auto"/>
                <w:sz w:val="24"/>
                <w:highlight w:val="none"/>
                <w:u w:val="none" w:color="auto"/>
              </w:rPr>
            </w:pPr>
            <w:r>
              <w:rPr>
                <w:rFonts w:hint="eastAsia"/>
                <w:b/>
                <w:bCs/>
                <w:color w:val="auto"/>
                <w:sz w:val="24"/>
                <w:highlight w:val="none"/>
                <w:u w:val="none" w:color="auto"/>
              </w:rPr>
              <w:t>（5）</w:t>
            </w:r>
            <w:r>
              <w:rPr>
                <w:b/>
                <w:bCs/>
                <w:color w:val="auto"/>
                <w:sz w:val="24"/>
                <w:highlight w:val="none"/>
                <w:u w:val="none" w:color="auto"/>
              </w:rPr>
              <w:t>环境风险防范措施</w:t>
            </w:r>
          </w:p>
          <w:p w14:paraId="3E97D9DE">
            <w:pPr>
              <w:spacing w:line="360" w:lineRule="auto"/>
              <w:ind w:firstLine="424" w:firstLineChars="177"/>
              <w:rPr>
                <w:color w:val="auto"/>
                <w:sz w:val="24"/>
                <w:highlight w:val="none"/>
                <w:u w:val="none" w:color="auto"/>
              </w:rPr>
            </w:pPr>
            <w:r>
              <w:rPr>
                <w:rFonts w:hint="eastAsia"/>
                <w:color w:val="auto"/>
                <w:sz w:val="24"/>
                <w:highlight w:val="none"/>
                <w:u w:val="none" w:color="auto"/>
              </w:rPr>
              <w:t>1）生产车间及仓库设置自动温感、烟感报警系统，当火灾发生时，系统自动报警，自动气体灭火系统启动，能够及时扑灭火灾。</w:t>
            </w:r>
          </w:p>
          <w:p w14:paraId="5DDE0043">
            <w:pPr>
              <w:spacing w:line="360" w:lineRule="auto"/>
              <w:ind w:firstLine="424" w:firstLineChars="177"/>
              <w:rPr>
                <w:color w:val="auto"/>
                <w:sz w:val="24"/>
                <w:highlight w:val="none"/>
                <w:u w:val="none" w:color="auto"/>
              </w:rPr>
            </w:pPr>
            <w:r>
              <w:rPr>
                <w:rFonts w:hint="eastAsia"/>
                <w:color w:val="auto"/>
                <w:sz w:val="24"/>
                <w:highlight w:val="none"/>
                <w:u w:val="none" w:color="auto"/>
              </w:rPr>
              <w:t>2）加强管理，防止因管理不善而导致车间或仓库火灾：每天对车间设备，特别是加热设备、电器设备等进行检查，防止因为设备故障而引起火灾；对生产车间的员工进行上岗培训，使其了解生产作业中应该注意的具体事项，特别是不允许抽烟。</w:t>
            </w:r>
          </w:p>
          <w:p w14:paraId="4F0E44A7">
            <w:pPr>
              <w:spacing w:line="360" w:lineRule="auto"/>
              <w:ind w:firstLine="424" w:firstLineChars="177"/>
              <w:rPr>
                <w:rFonts w:hint="eastAsia" w:eastAsia="宋体"/>
                <w:color w:val="auto"/>
                <w:sz w:val="24"/>
                <w:highlight w:val="none"/>
                <w:u w:val="none" w:color="auto"/>
                <w:lang w:eastAsia="zh-CN"/>
              </w:rPr>
            </w:pPr>
            <w:r>
              <w:rPr>
                <w:rFonts w:hint="eastAsia"/>
                <w:color w:val="auto"/>
                <w:sz w:val="24"/>
                <w:highlight w:val="none"/>
                <w:u w:val="none" w:color="auto"/>
              </w:rPr>
              <w:t>3）加强安全生产教育，强化管理</w:t>
            </w:r>
            <w:r>
              <w:rPr>
                <w:rFonts w:hint="eastAsia"/>
                <w:color w:val="auto"/>
                <w:sz w:val="24"/>
                <w:highlight w:val="none"/>
                <w:u w:val="none" w:color="auto"/>
                <w:lang w:eastAsia="zh-CN"/>
              </w:rPr>
              <w:t>。</w:t>
            </w:r>
            <w:r>
              <w:rPr>
                <w:rFonts w:hint="eastAsia"/>
                <w:color w:val="auto"/>
                <w:sz w:val="24"/>
                <w:highlight w:val="none"/>
                <w:u w:val="none" w:color="auto"/>
              </w:rPr>
              <w:t>安全生产是企业立厂之本，强化风险意识、加强安全管理，具体要求为：必须将“安全第一，以防为主”作为企业经营的基本原则</w:t>
            </w:r>
            <w:r>
              <w:rPr>
                <w:rFonts w:hint="eastAsia"/>
                <w:color w:val="auto"/>
                <w:sz w:val="24"/>
                <w:highlight w:val="none"/>
                <w:u w:val="none" w:color="auto"/>
                <w:lang w:eastAsia="zh-CN"/>
              </w:rPr>
              <w:t>。</w:t>
            </w:r>
          </w:p>
          <w:p w14:paraId="6CECC1F5">
            <w:pPr>
              <w:spacing w:line="360" w:lineRule="auto"/>
              <w:ind w:firstLine="424" w:firstLineChars="177"/>
              <w:rPr>
                <w:color w:val="auto"/>
                <w:sz w:val="24"/>
                <w:highlight w:val="none"/>
                <w:u w:val="none" w:color="auto"/>
              </w:rPr>
            </w:pPr>
            <w:r>
              <w:rPr>
                <w:rFonts w:hint="eastAsia"/>
                <w:color w:val="auto"/>
                <w:sz w:val="24"/>
                <w:highlight w:val="none"/>
                <w:u w:val="none" w:color="auto"/>
              </w:rPr>
              <w:t>4）必须进行广泛系统的培训，使所有操作人员熟悉自己的岗位，树立严谨规范的操作作风，并且在任何紧急状况下都能随时对工艺装置进行控制，并及时、独立、正确地实施相关应急措施。</w:t>
            </w:r>
          </w:p>
          <w:p w14:paraId="2FF3A473">
            <w:pPr>
              <w:spacing w:line="360" w:lineRule="auto"/>
              <w:ind w:firstLine="424" w:firstLineChars="177"/>
              <w:rPr>
                <w:color w:val="auto"/>
                <w:sz w:val="24"/>
                <w:highlight w:val="none"/>
                <w:u w:val="none" w:color="auto"/>
              </w:rPr>
            </w:pPr>
            <w:r>
              <w:rPr>
                <w:rFonts w:hint="eastAsia"/>
                <w:color w:val="auto"/>
                <w:sz w:val="24"/>
                <w:highlight w:val="none"/>
                <w:u w:val="none" w:color="auto"/>
              </w:rPr>
              <w:t>5）对公司职工进行消防培训，当事故发生后能在最短时间内集合，在</w:t>
            </w:r>
            <w:r>
              <w:rPr>
                <w:rFonts w:hint="eastAsia"/>
                <w:color w:val="auto"/>
                <w:sz w:val="24"/>
                <w:highlight w:val="none"/>
                <w:u w:val="none" w:color="auto"/>
                <w:lang w:eastAsia="zh-CN"/>
              </w:rPr>
              <w:t>佩戴</w:t>
            </w:r>
            <w:r>
              <w:rPr>
                <w:rFonts w:hint="eastAsia"/>
                <w:color w:val="auto"/>
                <w:sz w:val="24"/>
                <w:highlight w:val="none"/>
                <w:u w:val="none" w:color="auto"/>
              </w:rPr>
              <w:t>上相应的防护设备后，随同厂内技术人员进入泄漏地点。当情况比较严重时，应在组织自救的同时，通知城市救援中心和厂外消防队，启动外界应急救援计划。</w:t>
            </w:r>
          </w:p>
          <w:p w14:paraId="5BEE4AD9">
            <w:pPr>
              <w:spacing w:line="360" w:lineRule="auto"/>
              <w:ind w:firstLine="424" w:firstLineChars="177"/>
              <w:rPr>
                <w:color w:val="auto"/>
                <w:sz w:val="24"/>
                <w:highlight w:val="none"/>
                <w:u w:val="none" w:color="auto"/>
              </w:rPr>
            </w:pPr>
            <w:r>
              <w:rPr>
                <w:rFonts w:hint="eastAsia"/>
                <w:color w:val="auto"/>
                <w:sz w:val="24"/>
                <w:highlight w:val="none"/>
                <w:u w:val="none" w:color="auto"/>
              </w:rPr>
              <w:t>6）加强公司职员的安全意识，在生产区和仓库区内禁止明火、设置严禁烟火标志，严禁在厂区吸烟，防止因明火导致厂区火灾、爆炸。</w:t>
            </w:r>
          </w:p>
          <w:p w14:paraId="177D2B06">
            <w:pPr>
              <w:spacing w:line="360" w:lineRule="auto"/>
              <w:ind w:firstLine="424" w:firstLineChars="177"/>
              <w:rPr>
                <w:color w:val="auto"/>
                <w:sz w:val="24"/>
                <w:highlight w:val="none"/>
                <w:u w:val="none" w:color="auto"/>
              </w:rPr>
            </w:pPr>
            <w:r>
              <w:rPr>
                <w:rFonts w:hint="eastAsia"/>
                <w:color w:val="auto"/>
                <w:sz w:val="24"/>
                <w:highlight w:val="none"/>
                <w:u w:val="none" w:color="auto"/>
              </w:rPr>
              <w:t>7）生产单元、仓库内应设置火灾报警信号系统，一旦发生明火，立即启动报警装置。</w:t>
            </w:r>
          </w:p>
          <w:p w14:paraId="78D8DFAA">
            <w:pPr>
              <w:spacing w:line="360" w:lineRule="auto"/>
              <w:ind w:firstLine="424" w:firstLineChars="177"/>
              <w:rPr>
                <w:color w:val="auto"/>
                <w:sz w:val="24"/>
                <w:highlight w:val="none"/>
                <w:u w:val="none" w:color="auto"/>
              </w:rPr>
            </w:pPr>
            <w:r>
              <w:rPr>
                <w:rFonts w:hint="eastAsia"/>
                <w:color w:val="auto"/>
                <w:sz w:val="24"/>
                <w:highlight w:val="none"/>
                <w:u w:val="none" w:color="auto"/>
              </w:rPr>
              <w:t>8）安排专人负责全厂的安全管理，设置专职安全员。</w:t>
            </w:r>
          </w:p>
          <w:p w14:paraId="54EFC887">
            <w:pPr>
              <w:spacing w:line="360" w:lineRule="auto"/>
              <w:ind w:firstLine="424" w:firstLineChars="177"/>
              <w:rPr>
                <w:color w:val="auto"/>
                <w:sz w:val="24"/>
                <w:highlight w:val="none"/>
                <w:u w:val="none" w:color="auto"/>
              </w:rPr>
            </w:pPr>
            <w:r>
              <w:rPr>
                <w:rFonts w:hint="eastAsia"/>
                <w:color w:val="auto"/>
                <w:sz w:val="24"/>
                <w:highlight w:val="none"/>
                <w:u w:val="none" w:color="auto"/>
              </w:rPr>
              <w:t>9）按照《</w:t>
            </w:r>
            <w:r>
              <w:rPr>
                <w:rFonts w:hint="eastAsia"/>
                <w:color w:val="auto"/>
                <w:sz w:val="24"/>
                <w:highlight w:val="none"/>
                <w:u w:val="none" w:color="auto"/>
                <w:lang w:eastAsia="zh-CN"/>
              </w:rPr>
              <w:t>中华人民共和国劳动法</w:t>
            </w:r>
            <w:r>
              <w:rPr>
                <w:rFonts w:hint="eastAsia"/>
                <w:color w:val="auto"/>
                <w:sz w:val="24"/>
                <w:highlight w:val="none"/>
                <w:u w:val="none" w:color="auto"/>
              </w:rPr>
              <w:t>》有关规定，为职工提供劳动安全卫生条件和劳动防护用品。</w:t>
            </w:r>
          </w:p>
          <w:p w14:paraId="0FB080C4">
            <w:pPr>
              <w:spacing w:line="360" w:lineRule="auto"/>
              <w:ind w:firstLine="424" w:firstLineChars="177"/>
              <w:rPr>
                <w:rFonts w:hint="eastAsia"/>
                <w:color w:val="auto"/>
                <w:sz w:val="24"/>
                <w:szCs w:val="24"/>
                <w:highlight w:val="none"/>
                <w:u w:val="none" w:color="auto"/>
                <w:lang w:val="en-US" w:eastAsia="zh-CN"/>
              </w:rPr>
            </w:pPr>
            <w:r>
              <w:rPr>
                <w:rFonts w:hint="eastAsia"/>
                <w:color w:val="auto"/>
                <w:sz w:val="24"/>
                <w:highlight w:val="none"/>
                <w:u w:val="none" w:color="auto"/>
                <w:lang w:val="en-US" w:eastAsia="zh-CN"/>
              </w:rPr>
              <w:t>10）</w:t>
            </w:r>
            <w:r>
              <w:rPr>
                <w:rFonts w:hint="eastAsia"/>
                <w:color w:val="auto"/>
                <w:sz w:val="24"/>
                <w:szCs w:val="24"/>
                <w:highlight w:val="none"/>
                <w:u w:val="none" w:color="auto"/>
                <w:lang w:val="en-US" w:eastAsia="zh-CN"/>
              </w:rPr>
              <w:t>应</w:t>
            </w:r>
            <w:r>
              <w:rPr>
                <w:rFonts w:ascii="Calibri" w:hAnsi="Calibri"/>
                <w:color w:val="auto"/>
                <w:sz w:val="24"/>
                <w:szCs w:val="24"/>
                <w:highlight w:val="none"/>
                <w:u w:val="none" w:color="auto"/>
              </w:rPr>
              <w:t>制定相应的环境风险应急预案</w:t>
            </w:r>
            <w:r>
              <w:rPr>
                <w:rFonts w:hint="eastAsia"/>
                <w:color w:val="auto"/>
                <w:sz w:val="24"/>
                <w:szCs w:val="24"/>
                <w:highlight w:val="none"/>
                <w:u w:val="none" w:color="auto"/>
                <w:lang w:val="en-US" w:eastAsia="zh-CN"/>
              </w:rPr>
              <w:t>，提高公司应对涉及公共危机的突发环境污染事故的能力，正确应对突发性环境污染等原因造成的局部或区域环境污染事故，确保事故发生时能快速有效地进行现场应急处理、处置，保护厂区及周边环境、居住区人民的生命、财产安全，防止突发性环境污染事故发生，维护社会稳定。</w:t>
            </w:r>
          </w:p>
          <w:p w14:paraId="362FF43F">
            <w:pPr>
              <w:spacing w:line="360" w:lineRule="auto"/>
              <w:ind w:firstLine="424" w:firstLineChars="177"/>
              <w:rPr>
                <w:rFonts w:hint="default" w:ascii="Times New Roman" w:hAnsi="Times New Roman" w:eastAsia="宋体" w:cs="Times New Roman"/>
                <w:color w:val="auto"/>
                <w:sz w:val="24"/>
                <w:highlight w:val="none"/>
                <w:u w:val="none" w:color="auto"/>
                <w:lang w:val="en-US" w:eastAsia="zh-CN"/>
              </w:rPr>
            </w:pPr>
            <w:r>
              <w:rPr>
                <w:rFonts w:hint="eastAsia" w:ascii="Times New Roman" w:hAnsi="Times New Roman" w:eastAsia="宋体" w:cs="Times New Roman"/>
                <w:color w:val="auto"/>
                <w:sz w:val="24"/>
                <w:highlight w:val="none"/>
                <w:u w:val="none" w:color="auto"/>
                <w:lang w:val="en-US" w:eastAsia="zh-CN"/>
              </w:rPr>
              <w:t>但为了加强环境风险防范，建设单位还应做到以下措施：</w:t>
            </w:r>
          </w:p>
          <w:p w14:paraId="6402A99C">
            <w:pPr>
              <w:spacing w:line="360" w:lineRule="auto"/>
              <w:ind w:firstLine="424" w:firstLineChars="177"/>
              <w:rPr>
                <w:rFonts w:hint="eastAsia" w:ascii="Times New Roman" w:hAnsi="Times New Roman" w:eastAsia="宋体" w:cs="Times New Roman"/>
                <w:color w:val="auto"/>
                <w:sz w:val="24"/>
                <w:highlight w:val="none"/>
                <w:u w:val="none" w:color="auto"/>
                <w:lang w:val="en-US" w:eastAsia="zh-CN"/>
              </w:rPr>
            </w:pPr>
            <w:r>
              <w:rPr>
                <w:rFonts w:hint="eastAsia" w:ascii="Times New Roman" w:hAnsi="Times New Roman" w:eastAsia="宋体" w:cs="Times New Roman"/>
                <w:color w:val="auto"/>
                <w:sz w:val="24"/>
                <w:highlight w:val="none"/>
                <w:u w:val="none" w:color="auto"/>
                <w:lang w:val="en-US" w:eastAsia="zh-CN"/>
              </w:rPr>
              <w:t>（1）废气处理装置风险防范措施</w:t>
            </w:r>
          </w:p>
          <w:p w14:paraId="5E829F0F">
            <w:pPr>
              <w:spacing w:line="360" w:lineRule="auto"/>
              <w:ind w:firstLine="424" w:firstLineChars="177"/>
              <w:rPr>
                <w:rFonts w:hint="eastAsia" w:ascii="Times New Roman" w:hAnsi="Times New Roman" w:eastAsia="宋体" w:cs="Times New Roman"/>
                <w:color w:val="auto"/>
                <w:sz w:val="24"/>
                <w:highlight w:val="none"/>
                <w:u w:val="none" w:color="auto"/>
                <w:lang w:val="en-US" w:eastAsia="zh-CN"/>
              </w:rPr>
            </w:pPr>
            <w:r>
              <w:rPr>
                <w:rFonts w:hint="eastAsia" w:ascii="Times New Roman" w:hAnsi="Times New Roman" w:eastAsia="宋体" w:cs="Times New Roman"/>
                <w:color w:val="auto"/>
                <w:sz w:val="24"/>
                <w:highlight w:val="none"/>
                <w:u w:val="none" w:color="auto"/>
                <w:lang w:val="en-US" w:eastAsia="zh-CN"/>
              </w:rPr>
              <w:t>①由专人负责日常环境管理工作，</w:t>
            </w:r>
            <w:r>
              <w:rPr>
                <w:rFonts w:hint="eastAsia" w:cs="Times New Roman"/>
                <w:color w:val="auto"/>
                <w:sz w:val="24"/>
                <w:highlight w:val="none"/>
                <w:u w:val="none" w:color="auto"/>
                <w:lang w:val="en-US" w:eastAsia="zh-CN"/>
              </w:rPr>
              <w:t>制定了</w:t>
            </w:r>
            <w:r>
              <w:rPr>
                <w:rFonts w:hint="eastAsia" w:ascii="Times New Roman" w:hAnsi="Times New Roman" w:eastAsia="宋体" w:cs="Times New Roman"/>
                <w:color w:val="auto"/>
                <w:sz w:val="24"/>
                <w:highlight w:val="none"/>
                <w:u w:val="none" w:color="auto"/>
                <w:lang w:val="en-US" w:eastAsia="zh-CN"/>
              </w:rPr>
              <w:t>“环保管理人员职责”和“环境污染防治措施”制度，加强废气治理设施的监督和管理。</w:t>
            </w:r>
          </w:p>
          <w:p w14:paraId="6C8C65D6">
            <w:pPr>
              <w:spacing w:line="360" w:lineRule="auto"/>
              <w:ind w:firstLine="424" w:firstLineChars="177"/>
              <w:rPr>
                <w:rFonts w:hint="eastAsia" w:ascii="Times New Roman" w:hAnsi="Times New Roman" w:eastAsia="宋体" w:cs="Times New Roman"/>
                <w:color w:val="auto"/>
                <w:sz w:val="24"/>
                <w:highlight w:val="none"/>
                <w:u w:val="none" w:color="auto"/>
                <w:lang w:val="en-US" w:eastAsia="zh-CN"/>
              </w:rPr>
            </w:pPr>
            <w:r>
              <w:rPr>
                <w:rFonts w:hint="eastAsia" w:ascii="Times New Roman" w:hAnsi="Times New Roman" w:eastAsia="宋体" w:cs="Times New Roman"/>
                <w:color w:val="auto"/>
                <w:sz w:val="24"/>
                <w:highlight w:val="none"/>
                <w:u w:val="none" w:color="auto"/>
                <w:lang w:val="en-US" w:eastAsia="zh-CN"/>
              </w:rPr>
              <w:t>②加强废气处理设施及设备的定期检修和维护工作，发现事故隐患，及时解决，一旦不能及时解决，立即停止</w:t>
            </w:r>
            <w:r>
              <w:rPr>
                <w:rFonts w:hint="eastAsia" w:cs="Times New Roman"/>
                <w:color w:val="auto"/>
                <w:sz w:val="24"/>
                <w:highlight w:val="none"/>
                <w:u w:val="none" w:color="auto"/>
                <w:lang w:val="en-US" w:eastAsia="zh-CN"/>
              </w:rPr>
              <w:t>该</w:t>
            </w:r>
            <w:r>
              <w:rPr>
                <w:rFonts w:hint="eastAsia" w:ascii="Times New Roman" w:hAnsi="Times New Roman" w:eastAsia="宋体" w:cs="Times New Roman"/>
                <w:color w:val="auto"/>
                <w:sz w:val="24"/>
                <w:highlight w:val="none"/>
                <w:u w:val="none" w:color="auto"/>
                <w:lang w:val="en-US" w:eastAsia="zh-CN"/>
              </w:rPr>
              <w:t>生产线的生产。</w:t>
            </w:r>
          </w:p>
          <w:p w14:paraId="5741B383">
            <w:pPr>
              <w:spacing w:line="360" w:lineRule="auto"/>
              <w:ind w:firstLine="424" w:firstLineChars="177"/>
              <w:rPr>
                <w:rFonts w:hint="eastAsia" w:ascii="Times New Roman" w:hAnsi="Times New Roman" w:eastAsia="宋体" w:cs="Times New Roman"/>
                <w:color w:val="auto"/>
                <w:sz w:val="24"/>
                <w:highlight w:val="none"/>
                <w:u w:val="none" w:color="auto"/>
                <w:lang w:val="en-US" w:eastAsia="zh-CN"/>
              </w:rPr>
            </w:pPr>
            <w:r>
              <w:rPr>
                <w:rFonts w:hint="eastAsia" w:ascii="Times New Roman" w:hAnsi="Times New Roman" w:eastAsia="宋体" w:cs="Times New Roman"/>
                <w:color w:val="auto"/>
                <w:sz w:val="24"/>
                <w:highlight w:val="none"/>
                <w:u w:val="none" w:color="auto"/>
                <w:lang w:val="en-US" w:eastAsia="zh-CN"/>
              </w:rPr>
              <w:t>③引进技术先进、处理效果好的废气治理设备和设施，保证污染物达标排放。</w:t>
            </w:r>
          </w:p>
          <w:p w14:paraId="5337F2A5">
            <w:pPr>
              <w:spacing w:line="360" w:lineRule="auto"/>
              <w:ind w:firstLine="424" w:firstLineChars="177"/>
              <w:rPr>
                <w:rFonts w:hint="eastAsia" w:ascii="Times New Roman" w:hAnsi="Times New Roman" w:eastAsia="宋体" w:cs="Times New Roman"/>
                <w:color w:val="auto"/>
                <w:sz w:val="24"/>
                <w:highlight w:val="none"/>
                <w:u w:val="none" w:color="auto"/>
                <w:lang w:val="en-US" w:eastAsia="zh-CN"/>
              </w:rPr>
            </w:pPr>
            <w:r>
              <w:rPr>
                <w:rFonts w:hint="eastAsia" w:ascii="Times New Roman" w:hAnsi="Times New Roman" w:eastAsia="宋体" w:cs="Times New Roman"/>
                <w:color w:val="auto"/>
                <w:sz w:val="24"/>
                <w:highlight w:val="none"/>
                <w:u w:val="none" w:color="auto"/>
                <w:lang w:val="en-US" w:eastAsia="zh-CN"/>
              </w:rPr>
              <w:t>（2）危险废物渗漏防范措施</w:t>
            </w:r>
          </w:p>
          <w:p w14:paraId="1CFA1BE9">
            <w:pPr>
              <w:spacing w:line="360" w:lineRule="auto"/>
              <w:ind w:firstLine="424" w:firstLineChars="177"/>
              <w:rPr>
                <w:rFonts w:hint="eastAsia" w:ascii="Times New Roman" w:hAnsi="Times New Roman" w:eastAsia="宋体" w:cs="Times New Roman"/>
                <w:color w:val="auto"/>
                <w:sz w:val="24"/>
                <w:highlight w:val="none"/>
                <w:u w:val="none" w:color="auto"/>
                <w:lang w:val="en-US" w:eastAsia="zh-CN"/>
              </w:rPr>
            </w:pPr>
            <w:r>
              <w:rPr>
                <w:rFonts w:hint="eastAsia" w:ascii="Times New Roman" w:hAnsi="Times New Roman" w:eastAsia="宋体" w:cs="Times New Roman"/>
                <w:color w:val="auto"/>
                <w:sz w:val="24"/>
                <w:highlight w:val="none"/>
                <w:u w:val="none" w:color="auto"/>
                <w:lang w:val="en-US" w:eastAsia="zh-CN"/>
              </w:rPr>
              <w:t>①平时危废暂存场所地面应进行重点防渗，对于重点污染防治区，应参照《危险废物贮存污染控制标准》的相关要求进行防渗设计。重点防渗区的基础必须防渗处理，地面应采用混凝土浇筑硬化，并铺设至少3mm厚HDPE防渗膜，渗透系数≤10</w:t>
            </w:r>
            <w:r>
              <w:rPr>
                <w:rFonts w:hint="eastAsia" w:ascii="Times New Roman" w:hAnsi="Times New Roman" w:eastAsia="宋体" w:cs="Times New Roman"/>
                <w:color w:val="auto"/>
                <w:sz w:val="24"/>
                <w:highlight w:val="none"/>
                <w:u w:val="none" w:color="auto"/>
                <w:vertAlign w:val="superscript"/>
                <w:lang w:val="en-US" w:eastAsia="zh-CN"/>
              </w:rPr>
              <w:t>-7</w:t>
            </w:r>
            <w:r>
              <w:rPr>
                <w:rFonts w:hint="eastAsia" w:ascii="Times New Roman" w:hAnsi="Times New Roman" w:eastAsia="宋体" w:cs="Times New Roman"/>
                <w:color w:val="auto"/>
                <w:sz w:val="24"/>
                <w:highlight w:val="none"/>
                <w:u w:val="none" w:color="auto"/>
                <w:lang w:val="en-US" w:eastAsia="zh-CN"/>
              </w:rPr>
              <w:t>cm/s。</w:t>
            </w:r>
          </w:p>
          <w:p w14:paraId="6E0DABE1">
            <w:pPr>
              <w:spacing w:line="360" w:lineRule="auto"/>
              <w:ind w:firstLine="424" w:firstLineChars="177"/>
              <w:rPr>
                <w:rFonts w:hint="eastAsia" w:ascii="Times New Roman" w:hAnsi="Times New Roman" w:eastAsia="宋体" w:cs="Times New Roman"/>
                <w:color w:val="auto"/>
                <w:sz w:val="24"/>
                <w:highlight w:val="none"/>
                <w:u w:val="none" w:color="auto"/>
                <w:lang w:val="en-US" w:eastAsia="zh-CN"/>
              </w:rPr>
            </w:pPr>
            <w:r>
              <w:rPr>
                <w:rFonts w:hint="eastAsia" w:ascii="Times New Roman" w:hAnsi="Times New Roman" w:eastAsia="宋体" w:cs="Times New Roman"/>
                <w:color w:val="auto"/>
                <w:sz w:val="24"/>
                <w:highlight w:val="none"/>
                <w:u w:val="none" w:color="auto"/>
                <w:lang w:val="en-US" w:eastAsia="zh-CN"/>
              </w:rPr>
              <w:t>②危险废物在厂内暂存期间应按照《危险废物贮存污染控制标准》（GB18597-2023）的要求加强管理，避免泄漏、渗漏。</w:t>
            </w:r>
          </w:p>
          <w:p w14:paraId="6A14C741">
            <w:pPr>
              <w:spacing w:line="360" w:lineRule="auto"/>
              <w:ind w:firstLine="424" w:firstLineChars="177"/>
              <w:rPr>
                <w:rFonts w:hint="eastAsia" w:ascii="Times New Roman" w:hAnsi="Times New Roman" w:eastAsia="宋体" w:cs="Times New Roman"/>
                <w:color w:val="auto"/>
                <w:sz w:val="24"/>
                <w:highlight w:val="none"/>
                <w:u w:val="none" w:color="auto"/>
                <w:lang w:val="en-US" w:eastAsia="zh-CN"/>
              </w:rPr>
            </w:pPr>
            <w:r>
              <w:rPr>
                <w:rFonts w:hint="eastAsia" w:ascii="Times New Roman" w:hAnsi="Times New Roman" w:eastAsia="宋体" w:cs="Times New Roman"/>
                <w:color w:val="auto"/>
                <w:sz w:val="24"/>
                <w:highlight w:val="none"/>
                <w:u w:val="none" w:color="auto"/>
                <w:lang w:val="en-US" w:eastAsia="zh-CN"/>
              </w:rPr>
              <w:t>③危险废物的包装容器应当牢固、密封，发现破损、残缺、变形和物品变质、分解等情况时，应当及时注意安全处理，严防跑、冒、滴、漏。并在醒目处</w:t>
            </w:r>
            <w:r>
              <w:rPr>
                <w:rFonts w:hint="eastAsia" w:cs="Times New Roman"/>
                <w:color w:val="auto"/>
                <w:sz w:val="24"/>
                <w:highlight w:val="none"/>
                <w:u w:val="none" w:color="auto"/>
                <w:lang w:val="en-US" w:eastAsia="zh-CN"/>
              </w:rPr>
              <w:t>标明</w:t>
            </w:r>
            <w:r>
              <w:rPr>
                <w:rFonts w:hint="eastAsia" w:ascii="Times New Roman" w:hAnsi="Times New Roman" w:eastAsia="宋体" w:cs="Times New Roman"/>
                <w:color w:val="auto"/>
                <w:sz w:val="24"/>
                <w:highlight w:val="none"/>
                <w:u w:val="none" w:color="auto"/>
                <w:lang w:val="en-US" w:eastAsia="zh-CN"/>
              </w:rPr>
              <w:t>储存物品的名称、性质和灭火方法。</w:t>
            </w:r>
          </w:p>
          <w:p w14:paraId="2C722D76">
            <w:pPr>
              <w:widowControl/>
              <w:spacing w:line="360" w:lineRule="auto"/>
              <w:rPr>
                <w:b/>
                <w:bCs/>
                <w:color w:val="auto"/>
                <w:sz w:val="24"/>
                <w:szCs w:val="24"/>
                <w:highlight w:val="none"/>
                <w:u w:val="none" w:color="auto"/>
              </w:rPr>
            </w:pPr>
            <w:r>
              <w:rPr>
                <w:rFonts w:hint="eastAsia"/>
                <w:b/>
                <w:bCs/>
                <w:color w:val="auto"/>
                <w:sz w:val="24"/>
                <w:szCs w:val="24"/>
                <w:highlight w:val="none"/>
                <w:u w:val="none" w:color="auto"/>
                <w:lang w:val="en-US" w:eastAsia="zh-CN"/>
              </w:rPr>
              <w:t>8</w:t>
            </w:r>
            <w:r>
              <w:rPr>
                <w:rFonts w:hint="eastAsia"/>
                <w:b/>
                <w:bCs/>
                <w:color w:val="auto"/>
                <w:sz w:val="24"/>
                <w:szCs w:val="24"/>
                <w:highlight w:val="none"/>
                <w:u w:val="none" w:color="auto"/>
              </w:rPr>
              <w:t>、环保投资</w:t>
            </w:r>
          </w:p>
          <w:p w14:paraId="105EF580">
            <w:pPr>
              <w:spacing w:line="360" w:lineRule="auto"/>
              <w:ind w:firstLine="480" w:firstLineChars="200"/>
              <w:rPr>
                <w:b/>
                <w:bCs/>
                <w:color w:val="auto"/>
                <w:sz w:val="21"/>
                <w:highlight w:val="none"/>
                <w:u w:val="none" w:color="auto"/>
              </w:rPr>
            </w:pPr>
            <w:r>
              <w:rPr>
                <w:rFonts w:ascii="Times New Roman" w:hAnsi="Times New Roman" w:eastAsia="宋体" w:cs="Times New Roman"/>
                <w:bCs/>
                <w:color w:val="auto"/>
                <w:kern w:val="0"/>
                <w:sz w:val="24"/>
                <w:szCs w:val="24"/>
                <w:highlight w:val="none"/>
                <w:u w:val="none" w:color="auto"/>
                <w:lang w:val="en-US" w:eastAsia="zh-CN" w:bidi="ar-SA"/>
              </w:rPr>
              <w:t>项目总投资</w:t>
            </w:r>
            <w:r>
              <w:rPr>
                <w:rFonts w:hint="eastAsia"/>
                <w:color w:val="auto"/>
                <w:kern w:val="0"/>
                <w:sz w:val="24"/>
                <w:szCs w:val="24"/>
                <w:highlight w:val="none"/>
                <w:u w:val="none" w:color="auto"/>
                <w:lang w:val="en-US" w:eastAsia="zh-CN"/>
              </w:rPr>
              <w:t>5000</w:t>
            </w:r>
            <w:r>
              <w:rPr>
                <w:rFonts w:ascii="Times New Roman" w:hAnsi="Times New Roman" w:eastAsia="宋体" w:cs="Times New Roman"/>
                <w:bCs/>
                <w:color w:val="auto"/>
                <w:kern w:val="0"/>
                <w:sz w:val="24"/>
                <w:szCs w:val="24"/>
                <w:highlight w:val="none"/>
                <w:u w:val="none" w:color="auto"/>
                <w:lang w:val="en-US" w:eastAsia="zh-CN" w:bidi="ar-SA"/>
              </w:rPr>
              <w:t>万元，资金全部由企业自筹；其中环保投资</w:t>
            </w:r>
            <w:r>
              <w:rPr>
                <w:rFonts w:hint="eastAsia" w:cs="Times New Roman"/>
                <w:bCs/>
                <w:color w:val="auto"/>
                <w:kern w:val="0"/>
                <w:sz w:val="24"/>
                <w:szCs w:val="24"/>
                <w:highlight w:val="none"/>
                <w:u w:val="none" w:color="auto"/>
                <w:lang w:val="en-US" w:eastAsia="zh-CN" w:bidi="ar-SA"/>
              </w:rPr>
              <w:t>27.6</w:t>
            </w:r>
            <w:r>
              <w:rPr>
                <w:rFonts w:ascii="Times New Roman" w:hAnsi="Times New Roman" w:eastAsia="宋体" w:cs="Times New Roman"/>
                <w:bCs/>
                <w:color w:val="auto"/>
                <w:kern w:val="0"/>
                <w:sz w:val="24"/>
                <w:szCs w:val="24"/>
                <w:highlight w:val="none"/>
                <w:u w:val="none" w:color="auto"/>
                <w:lang w:val="en-US" w:eastAsia="zh-CN" w:bidi="ar-SA"/>
              </w:rPr>
              <w:t>万元，环保投资占总投资的</w:t>
            </w:r>
            <w:r>
              <w:rPr>
                <w:rFonts w:hint="eastAsia" w:cs="Times New Roman"/>
                <w:bCs/>
                <w:color w:val="auto"/>
                <w:kern w:val="0"/>
                <w:sz w:val="24"/>
                <w:szCs w:val="24"/>
                <w:highlight w:val="none"/>
                <w:u w:val="none" w:color="auto"/>
                <w:lang w:val="en-US" w:eastAsia="zh-CN" w:bidi="ar-SA"/>
              </w:rPr>
              <w:t>0.552</w:t>
            </w:r>
            <w:r>
              <w:rPr>
                <w:rFonts w:ascii="Times New Roman" w:hAnsi="Times New Roman" w:eastAsia="宋体" w:cs="Times New Roman"/>
                <w:bCs/>
                <w:color w:val="auto"/>
                <w:kern w:val="0"/>
                <w:sz w:val="24"/>
                <w:szCs w:val="24"/>
                <w:highlight w:val="none"/>
                <w:u w:val="none" w:color="auto"/>
                <w:lang w:val="en-US" w:eastAsia="zh-CN" w:bidi="ar-SA"/>
              </w:rPr>
              <w:t>%。</w:t>
            </w:r>
            <w:r>
              <w:rPr>
                <w:color w:val="auto"/>
                <w:sz w:val="24"/>
                <w:szCs w:val="24"/>
                <w:highlight w:val="none"/>
                <w:u w:val="none" w:color="auto"/>
              </w:rPr>
              <w:t>项目环保投资分项估算见表</w:t>
            </w:r>
            <w:r>
              <w:rPr>
                <w:rFonts w:hint="eastAsia"/>
                <w:color w:val="auto"/>
                <w:sz w:val="24"/>
                <w:szCs w:val="24"/>
                <w:highlight w:val="none"/>
                <w:u w:val="none" w:color="auto"/>
                <w:lang w:val="en-US" w:eastAsia="zh-CN"/>
              </w:rPr>
              <w:t>4-14</w:t>
            </w:r>
            <w:r>
              <w:rPr>
                <w:rFonts w:hint="eastAsia"/>
                <w:color w:val="auto"/>
                <w:sz w:val="24"/>
                <w:szCs w:val="24"/>
                <w:highlight w:val="none"/>
                <w:u w:val="none" w:color="auto"/>
              </w:rPr>
              <w:t>。</w:t>
            </w:r>
          </w:p>
          <w:p w14:paraId="796ED23A">
            <w:pPr>
              <w:pStyle w:val="18"/>
              <w:adjustRightInd w:val="0"/>
              <w:snapToGrid w:val="0"/>
              <w:spacing w:after="0"/>
              <w:ind w:left="0" w:leftChars="0"/>
              <w:jc w:val="center"/>
              <w:rPr>
                <w:b/>
                <w:bCs/>
                <w:color w:val="auto"/>
                <w:sz w:val="21"/>
                <w:highlight w:val="none"/>
                <w:u w:val="none" w:color="auto"/>
              </w:rPr>
            </w:pPr>
            <w:r>
              <w:rPr>
                <w:b/>
                <w:bCs/>
                <w:color w:val="auto"/>
                <w:sz w:val="21"/>
                <w:highlight w:val="none"/>
                <w:u w:val="none" w:color="auto"/>
              </w:rPr>
              <w:t>表</w:t>
            </w:r>
            <w:r>
              <w:rPr>
                <w:rFonts w:hint="eastAsia"/>
                <w:b/>
                <w:bCs/>
                <w:color w:val="auto"/>
                <w:sz w:val="21"/>
                <w:highlight w:val="none"/>
                <w:u w:val="none" w:color="auto"/>
                <w:lang w:val="en-US" w:eastAsia="zh-CN"/>
              </w:rPr>
              <w:t>4-14</w:t>
            </w:r>
            <w:r>
              <w:rPr>
                <w:rFonts w:hint="eastAsia"/>
                <w:b/>
                <w:bCs/>
                <w:color w:val="auto"/>
                <w:sz w:val="21"/>
                <w:highlight w:val="none"/>
                <w:u w:val="none" w:color="auto"/>
              </w:rPr>
              <w:t xml:space="preserve"> </w:t>
            </w:r>
            <w:r>
              <w:rPr>
                <w:b/>
                <w:bCs/>
                <w:color w:val="auto"/>
                <w:sz w:val="21"/>
                <w:highlight w:val="none"/>
                <w:u w:val="none" w:color="auto"/>
              </w:rPr>
              <w:t xml:space="preserve">  项目环保投资一览表  单位：万元</w:t>
            </w:r>
          </w:p>
          <w:tbl>
            <w:tblPr>
              <w:tblStyle w:val="3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2395"/>
              <w:gridCol w:w="3123"/>
              <w:gridCol w:w="914"/>
              <w:gridCol w:w="914"/>
              <w:gridCol w:w="914"/>
            </w:tblGrid>
            <w:tr w14:paraId="42446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379" w:type="pct"/>
                  <w:tcBorders>
                    <w:tl2br w:val="nil"/>
                    <w:tr2bl w:val="nil"/>
                  </w:tcBorders>
                  <w:vAlign w:val="center"/>
                </w:tcPr>
                <w:p w14:paraId="7166414D">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项目</w:t>
                  </w:r>
                </w:p>
              </w:tc>
              <w:tc>
                <w:tcPr>
                  <w:tcW w:w="1339" w:type="pct"/>
                  <w:tcBorders>
                    <w:tl2br w:val="nil"/>
                    <w:tr2bl w:val="nil"/>
                  </w:tcBorders>
                  <w:vAlign w:val="center"/>
                </w:tcPr>
                <w:p w14:paraId="29381541">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污染源</w:t>
                  </w:r>
                </w:p>
              </w:tc>
              <w:tc>
                <w:tcPr>
                  <w:tcW w:w="1747" w:type="pct"/>
                  <w:tcBorders>
                    <w:tl2br w:val="nil"/>
                    <w:tr2bl w:val="nil"/>
                  </w:tcBorders>
                  <w:vAlign w:val="center"/>
                </w:tcPr>
                <w:p w14:paraId="486DED1E">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污染处理措施</w:t>
                  </w:r>
                </w:p>
              </w:tc>
              <w:tc>
                <w:tcPr>
                  <w:tcW w:w="511" w:type="pct"/>
                  <w:tcBorders>
                    <w:tl2br w:val="nil"/>
                    <w:tr2bl w:val="nil"/>
                  </w:tcBorders>
                  <w:vAlign w:val="center"/>
                </w:tcPr>
                <w:p w14:paraId="6C4A22DF">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r>
                    <w:rPr>
                      <w:rFonts w:hint="eastAsia" w:cs="Times New Roman"/>
                      <w:color w:val="auto"/>
                      <w:sz w:val="21"/>
                      <w:szCs w:val="21"/>
                      <w:highlight w:val="none"/>
                      <w:u w:val="none" w:color="auto"/>
                      <w:lang w:val="en-US" w:eastAsia="zh-CN"/>
                    </w:rPr>
                    <w:t>原环评</w:t>
                  </w:r>
                  <w:r>
                    <w:rPr>
                      <w:rFonts w:hint="default" w:ascii="Times New Roman" w:hAnsi="Times New Roman" w:eastAsia="宋体" w:cs="Times New Roman"/>
                      <w:color w:val="auto"/>
                      <w:sz w:val="21"/>
                      <w:szCs w:val="21"/>
                      <w:highlight w:val="none"/>
                      <w:u w:val="none" w:color="auto"/>
                    </w:rPr>
                    <w:t>投资额</w:t>
                  </w:r>
                </w:p>
              </w:tc>
              <w:tc>
                <w:tcPr>
                  <w:tcW w:w="511" w:type="pct"/>
                  <w:tcBorders>
                    <w:tl2br w:val="nil"/>
                    <w:tr2bl w:val="nil"/>
                  </w:tcBorders>
                  <w:vAlign w:val="center"/>
                </w:tcPr>
                <w:p w14:paraId="151993E5">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本次变更增加投资额</w:t>
                  </w:r>
                </w:p>
              </w:tc>
              <w:tc>
                <w:tcPr>
                  <w:tcW w:w="511" w:type="pct"/>
                  <w:tcBorders>
                    <w:tl2br w:val="nil"/>
                    <w:tr2bl w:val="nil"/>
                  </w:tcBorders>
                  <w:vAlign w:val="center"/>
                </w:tcPr>
                <w:p w14:paraId="641FF855">
                  <w:pPr>
                    <w:adjustRightInd w:val="0"/>
                    <w:snapToGrid w:val="0"/>
                    <w:spacing w:before="78" w:beforeLines="25" w:after="78" w:afterLines="25"/>
                    <w:jc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总投资额</w:t>
                  </w:r>
                </w:p>
              </w:tc>
            </w:tr>
            <w:tr w14:paraId="1CC5C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379" w:type="pct"/>
                  <w:vMerge w:val="restart"/>
                  <w:tcBorders>
                    <w:tl2br w:val="nil"/>
                    <w:tr2bl w:val="nil"/>
                  </w:tcBorders>
                  <w:vAlign w:val="center"/>
                </w:tcPr>
                <w:p w14:paraId="59B1BCC9">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废气处理</w:t>
                  </w:r>
                </w:p>
              </w:tc>
              <w:tc>
                <w:tcPr>
                  <w:tcW w:w="1339" w:type="pct"/>
                  <w:tcBorders>
                    <w:tl2br w:val="nil"/>
                    <w:tr2bl w:val="nil"/>
                  </w:tcBorders>
                  <w:vAlign w:val="center"/>
                </w:tcPr>
                <w:p w14:paraId="22F75219">
                  <w:pPr>
                    <w:adjustRightInd w:val="0"/>
                    <w:snapToGrid w:val="0"/>
                    <w:spacing w:before="78" w:beforeLines="25" w:after="78" w:afterLines="25"/>
                    <w:jc w:val="center"/>
                    <w:rPr>
                      <w:rFonts w:hint="default" w:ascii="Times New Roman" w:hAnsi="Times New Roman" w:eastAsia="宋体" w:cs="Times New Roman"/>
                      <w:color w:val="auto"/>
                      <w:highlight w:val="none"/>
                      <w:u w:val="none" w:color="auto"/>
                      <w:lang w:val="en-US" w:eastAsia="zh-CN"/>
                    </w:rPr>
                  </w:pPr>
                  <w:r>
                    <w:rPr>
                      <w:rFonts w:hint="eastAsia" w:ascii="Times New Roman" w:hAnsi="Times New Roman" w:eastAsia="宋体" w:cs="Times New Roman"/>
                      <w:color w:val="auto"/>
                      <w:highlight w:val="none"/>
                      <w:u w:val="none" w:color="auto"/>
                      <w:lang w:val="en-US" w:eastAsia="zh-CN"/>
                    </w:rPr>
                    <w:t>注塑</w:t>
                  </w:r>
                  <w:r>
                    <w:rPr>
                      <w:rFonts w:hint="eastAsia" w:cs="Times New Roman"/>
                      <w:color w:val="auto"/>
                      <w:highlight w:val="none"/>
                      <w:u w:val="none" w:color="auto"/>
                      <w:lang w:val="en-US" w:eastAsia="zh-CN"/>
                    </w:rPr>
                    <w:t>废气</w:t>
                  </w:r>
                </w:p>
              </w:tc>
              <w:tc>
                <w:tcPr>
                  <w:tcW w:w="1747" w:type="pct"/>
                  <w:tcBorders>
                    <w:tl2br w:val="nil"/>
                    <w:tr2bl w:val="nil"/>
                  </w:tcBorders>
                  <w:vAlign w:val="center"/>
                </w:tcPr>
                <w:p w14:paraId="3E66AE13">
                  <w:pPr>
                    <w:adjustRightInd w:val="0"/>
                    <w:snapToGrid w:val="0"/>
                    <w:spacing w:before="78" w:beforeLines="25" w:after="78" w:afterLines="25"/>
                    <w:jc w:val="center"/>
                    <w:rPr>
                      <w:rFonts w:hint="default" w:ascii="Times New Roman" w:hAnsi="Times New Roman" w:eastAsia="宋体" w:cs="Times New Roman"/>
                      <w:color w:val="auto"/>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经集气罩收集后</w:t>
                  </w:r>
                  <w:r>
                    <w:rPr>
                      <w:rFonts w:hint="eastAsia" w:cs="Times New Roman"/>
                      <w:b w:val="0"/>
                      <w:bCs w:val="0"/>
                      <w:color w:val="auto"/>
                      <w:sz w:val="21"/>
                      <w:szCs w:val="21"/>
                      <w:highlight w:val="none"/>
                      <w:u w:val="none" w:color="auto"/>
                      <w:lang w:val="en-US" w:eastAsia="zh-CN"/>
                    </w:rPr>
                    <w:t>二级</w:t>
                  </w:r>
                  <w:r>
                    <w:rPr>
                      <w:rFonts w:hint="eastAsia" w:eastAsia="宋体" w:cs="Times New Roman"/>
                      <w:b w:val="0"/>
                      <w:bCs w:val="0"/>
                      <w:color w:val="auto"/>
                      <w:sz w:val="21"/>
                      <w:szCs w:val="21"/>
                      <w:highlight w:val="none"/>
                      <w:u w:val="none" w:color="auto"/>
                      <w:lang w:val="en-US" w:eastAsia="zh-CN"/>
                    </w:rPr>
                    <w:t>活性炭吸附装置</w:t>
                  </w:r>
                  <w:r>
                    <w:rPr>
                      <w:rFonts w:hint="eastAsia" w:ascii="Times New Roman" w:hAnsi="Times New Roman" w:eastAsia="宋体" w:cs="Times New Roman"/>
                      <w:b w:val="0"/>
                      <w:bCs w:val="0"/>
                      <w:color w:val="auto"/>
                      <w:sz w:val="21"/>
                      <w:szCs w:val="21"/>
                      <w:highlight w:val="none"/>
                      <w:u w:val="none" w:color="auto"/>
                      <w:lang w:val="en-US" w:eastAsia="zh-CN"/>
                    </w:rPr>
                    <w:t>处理，通过</w:t>
                  </w:r>
                  <w:r>
                    <w:rPr>
                      <w:rFonts w:hint="eastAsia" w:eastAsia="宋体" w:cs="Times New Roman"/>
                      <w:b w:val="0"/>
                      <w:bCs w:val="0"/>
                      <w:color w:val="auto"/>
                      <w:sz w:val="21"/>
                      <w:szCs w:val="21"/>
                      <w:highlight w:val="none"/>
                      <w:u w:val="none" w:color="auto"/>
                      <w:lang w:val="en-US" w:eastAsia="zh-CN"/>
                    </w:rPr>
                    <w:t>2</w:t>
                  </w:r>
                  <w:r>
                    <w:rPr>
                      <w:rFonts w:hint="eastAsia" w:cs="Times New Roman"/>
                      <w:b w:val="0"/>
                      <w:bCs w:val="0"/>
                      <w:color w:val="auto"/>
                      <w:sz w:val="21"/>
                      <w:szCs w:val="21"/>
                      <w:highlight w:val="none"/>
                      <w:u w:val="none" w:color="auto"/>
                      <w:lang w:val="en-US" w:eastAsia="zh-CN"/>
                    </w:rPr>
                    <w:t>5</w:t>
                  </w:r>
                  <w:r>
                    <w:rPr>
                      <w:rFonts w:hint="eastAsia" w:ascii="Times New Roman" w:hAnsi="Times New Roman" w:eastAsia="宋体" w:cs="Times New Roman"/>
                      <w:b w:val="0"/>
                      <w:bCs w:val="0"/>
                      <w:color w:val="auto"/>
                      <w:sz w:val="21"/>
                      <w:szCs w:val="21"/>
                      <w:highlight w:val="none"/>
                      <w:u w:val="none" w:color="auto"/>
                      <w:lang w:val="en-US" w:eastAsia="zh-CN"/>
                    </w:rPr>
                    <w:t>m高排气筒高空排放（DA00</w:t>
                  </w:r>
                  <w:r>
                    <w:rPr>
                      <w:rFonts w:hint="eastAsia" w:cs="Times New Roman"/>
                      <w:b w:val="0"/>
                      <w:bCs w:val="0"/>
                      <w:color w:val="auto"/>
                      <w:sz w:val="21"/>
                      <w:szCs w:val="21"/>
                      <w:highlight w:val="none"/>
                      <w:u w:val="none" w:color="auto"/>
                      <w:lang w:val="en-US" w:eastAsia="zh-CN"/>
                    </w:rPr>
                    <w:t>1</w:t>
                  </w:r>
                  <w:r>
                    <w:rPr>
                      <w:rFonts w:hint="eastAsia" w:ascii="Times New Roman" w:hAnsi="Times New Roman" w:eastAsia="宋体" w:cs="Times New Roman"/>
                      <w:b w:val="0"/>
                      <w:bCs w:val="0"/>
                      <w:color w:val="auto"/>
                      <w:sz w:val="21"/>
                      <w:szCs w:val="21"/>
                      <w:highlight w:val="none"/>
                      <w:u w:val="none" w:color="auto"/>
                      <w:lang w:val="en-US" w:eastAsia="zh-CN"/>
                    </w:rPr>
                    <w:t>）</w:t>
                  </w:r>
                </w:p>
              </w:tc>
              <w:tc>
                <w:tcPr>
                  <w:tcW w:w="511" w:type="pct"/>
                  <w:tcBorders>
                    <w:tl2br w:val="nil"/>
                    <w:tr2bl w:val="nil"/>
                  </w:tcBorders>
                  <w:vAlign w:val="center"/>
                </w:tcPr>
                <w:p w14:paraId="7BF5D1F4">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8</w:t>
                  </w:r>
                </w:p>
              </w:tc>
              <w:tc>
                <w:tcPr>
                  <w:tcW w:w="511" w:type="pct"/>
                  <w:tcBorders>
                    <w:tl2br w:val="nil"/>
                    <w:tr2bl w:val="nil"/>
                  </w:tcBorders>
                  <w:vAlign w:val="center"/>
                </w:tcPr>
                <w:p w14:paraId="1A9409D0">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2</w:t>
                  </w:r>
                </w:p>
              </w:tc>
              <w:tc>
                <w:tcPr>
                  <w:tcW w:w="511" w:type="pct"/>
                  <w:tcBorders>
                    <w:tl2br w:val="nil"/>
                    <w:tr2bl w:val="nil"/>
                  </w:tcBorders>
                  <w:vAlign w:val="center"/>
                </w:tcPr>
                <w:p w14:paraId="65A6F4C6">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10</w:t>
                  </w:r>
                </w:p>
              </w:tc>
            </w:tr>
            <w:tr w14:paraId="1C4A5E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379" w:type="pct"/>
                  <w:vMerge w:val="continue"/>
                  <w:tcBorders>
                    <w:tl2br w:val="nil"/>
                    <w:tr2bl w:val="nil"/>
                  </w:tcBorders>
                  <w:vAlign w:val="center"/>
                </w:tcPr>
                <w:p w14:paraId="6EE242FB">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p>
              </w:tc>
              <w:tc>
                <w:tcPr>
                  <w:tcW w:w="1339" w:type="pct"/>
                  <w:tcBorders>
                    <w:tl2br w:val="nil"/>
                    <w:tr2bl w:val="nil"/>
                  </w:tcBorders>
                  <w:vAlign w:val="center"/>
                </w:tcPr>
                <w:p w14:paraId="12689979">
                  <w:pPr>
                    <w:adjustRightInd w:val="0"/>
                    <w:snapToGrid w:val="0"/>
                    <w:spacing w:before="78" w:beforeLines="25" w:after="78" w:afterLines="25"/>
                    <w:jc w:val="center"/>
                    <w:rPr>
                      <w:rFonts w:hint="default" w:ascii="Times New Roman" w:hAnsi="Times New Roman" w:eastAsia="宋体" w:cs="Times New Roman"/>
                      <w:color w:val="auto"/>
                      <w:highlight w:val="none"/>
                      <w:u w:val="none" w:color="auto"/>
                      <w:lang w:val="en-US" w:eastAsia="zh-CN"/>
                    </w:rPr>
                  </w:pPr>
                  <w:r>
                    <w:rPr>
                      <w:rFonts w:hint="eastAsia" w:ascii="Times New Roman" w:hAnsi="Times New Roman" w:eastAsia="宋体" w:cs="Times New Roman"/>
                      <w:color w:val="auto"/>
                      <w:sz w:val="21"/>
                      <w:szCs w:val="21"/>
                      <w:highlight w:val="none"/>
                      <w:u w:val="none"/>
                    </w:rPr>
                    <w:t>点凡立水、烘烤、焊锡、</w:t>
                  </w:r>
                  <w:r>
                    <w:rPr>
                      <w:rFonts w:hint="eastAsia" w:cs="Times New Roman"/>
                      <w:color w:val="auto"/>
                      <w:sz w:val="21"/>
                      <w:szCs w:val="21"/>
                      <w:highlight w:val="none"/>
                      <w:u w:val="none"/>
                      <w:lang w:val="en-US" w:eastAsia="zh-CN"/>
                    </w:rPr>
                    <w:t>激光</w:t>
                  </w:r>
                  <w:r>
                    <w:rPr>
                      <w:rFonts w:hint="eastAsia" w:ascii="Times New Roman" w:hAnsi="Times New Roman" w:eastAsia="宋体" w:cs="Times New Roman"/>
                      <w:color w:val="auto"/>
                      <w:sz w:val="21"/>
                      <w:szCs w:val="21"/>
                      <w:highlight w:val="none"/>
                      <w:u w:val="none"/>
                    </w:rPr>
                    <w:t>工序</w:t>
                  </w:r>
                  <w:r>
                    <w:rPr>
                      <w:rFonts w:hint="eastAsia" w:ascii="Times New Roman" w:hAnsi="Times New Roman" w:eastAsia="宋体" w:cs="Times New Roman"/>
                      <w:color w:val="auto"/>
                      <w:highlight w:val="none"/>
                      <w:u w:val="none" w:color="auto"/>
                      <w:lang w:val="en-US" w:eastAsia="zh-CN"/>
                    </w:rPr>
                    <w:t>废气</w:t>
                  </w:r>
                </w:p>
              </w:tc>
              <w:tc>
                <w:tcPr>
                  <w:tcW w:w="1747" w:type="pct"/>
                  <w:tcBorders>
                    <w:tl2br w:val="nil"/>
                    <w:tr2bl w:val="nil"/>
                  </w:tcBorders>
                  <w:vAlign w:val="center"/>
                </w:tcPr>
                <w:p w14:paraId="33C661FA">
                  <w:pPr>
                    <w:adjustRightInd w:val="0"/>
                    <w:snapToGrid w:val="0"/>
                    <w:spacing w:before="78" w:beforeLines="25" w:after="78" w:afterLines="25"/>
                    <w:jc w:val="center"/>
                    <w:rPr>
                      <w:rFonts w:hint="eastAsia" w:ascii="Times New Roman" w:hAnsi="Times New Roman" w:eastAsia="宋体" w:cs="Times New Roman"/>
                      <w:color w:val="auto"/>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经集气罩收集后</w:t>
                  </w:r>
                  <w:r>
                    <w:rPr>
                      <w:rFonts w:hint="eastAsia" w:cs="Times New Roman"/>
                      <w:b w:val="0"/>
                      <w:bCs w:val="0"/>
                      <w:color w:val="auto"/>
                      <w:sz w:val="21"/>
                      <w:szCs w:val="21"/>
                      <w:highlight w:val="none"/>
                      <w:u w:val="none" w:color="auto"/>
                      <w:lang w:val="en-US" w:eastAsia="zh-CN"/>
                    </w:rPr>
                    <w:t>二级</w:t>
                  </w:r>
                  <w:r>
                    <w:rPr>
                      <w:rFonts w:hint="eastAsia" w:ascii="Times New Roman" w:hAnsi="Times New Roman" w:eastAsia="宋体" w:cs="Times New Roman"/>
                      <w:b w:val="0"/>
                      <w:bCs w:val="0"/>
                      <w:color w:val="auto"/>
                      <w:sz w:val="21"/>
                      <w:szCs w:val="21"/>
                      <w:highlight w:val="none"/>
                      <w:u w:val="none" w:color="auto"/>
                      <w:lang w:val="en-US" w:eastAsia="zh-CN"/>
                    </w:rPr>
                    <w:t>活性炭吸附装置处理，通过2</w:t>
                  </w:r>
                  <w:r>
                    <w:rPr>
                      <w:rFonts w:hint="eastAsia" w:cs="Times New Roman"/>
                      <w:b w:val="0"/>
                      <w:bCs w:val="0"/>
                      <w:color w:val="auto"/>
                      <w:sz w:val="21"/>
                      <w:szCs w:val="21"/>
                      <w:highlight w:val="none"/>
                      <w:u w:val="none" w:color="auto"/>
                      <w:lang w:val="en-US" w:eastAsia="zh-CN"/>
                    </w:rPr>
                    <w:t>5</w:t>
                  </w:r>
                  <w:r>
                    <w:rPr>
                      <w:rFonts w:hint="eastAsia" w:ascii="Times New Roman" w:hAnsi="Times New Roman" w:eastAsia="宋体" w:cs="Times New Roman"/>
                      <w:b w:val="0"/>
                      <w:bCs w:val="0"/>
                      <w:color w:val="auto"/>
                      <w:sz w:val="21"/>
                      <w:szCs w:val="21"/>
                      <w:highlight w:val="none"/>
                      <w:u w:val="none" w:color="auto"/>
                      <w:lang w:val="en-US" w:eastAsia="zh-CN"/>
                    </w:rPr>
                    <w:t>m高排气筒高空排放（DA002）</w:t>
                  </w:r>
                </w:p>
              </w:tc>
              <w:tc>
                <w:tcPr>
                  <w:tcW w:w="511" w:type="pct"/>
                  <w:tcBorders>
                    <w:tl2br w:val="nil"/>
                    <w:tr2bl w:val="nil"/>
                  </w:tcBorders>
                  <w:vAlign w:val="center"/>
                </w:tcPr>
                <w:p w14:paraId="489FDA1F">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10</w:t>
                  </w:r>
                </w:p>
              </w:tc>
              <w:tc>
                <w:tcPr>
                  <w:tcW w:w="511" w:type="pct"/>
                  <w:tcBorders>
                    <w:tl2br w:val="nil"/>
                    <w:tr2bl w:val="nil"/>
                  </w:tcBorders>
                  <w:vAlign w:val="center"/>
                </w:tcPr>
                <w:p w14:paraId="3FA8BEC8">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w:t>
                  </w:r>
                </w:p>
              </w:tc>
              <w:tc>
                <w:tcPr>
                  <w:tcW w:w="511" w:type="pct"/>
                  <w:tcBorders>
                    <w:tl2br w:val="nil"/>
                    <w:tr2bl w:val="nil"/>
                  </w:tcBorders>
                  <w:vAlign w:val="center"/>
                </w:tcPr>
                <w:p w14:paraId="36162AB6">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10</w:t>
                  </w:r>
                </w:p>
              </w:tc>
            </w:tr>
            <w:tr w14:paraId="4D2F85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379" w:type="pct"/>
                  <w:vMerge w:val="continue"/>
                  <w:tcBorders>
                    <w:tl2br w:val="nil"/>
                    <w:tr2bl w:val="nil"/>
                  </w:tcBorders>
                  <w:vAlign w:val="center"/>
                </w:tcPr>
                <w:p w14:paraId="6A37DA6B">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p>
              </w:tc>
              <w:tc>
                <w:tcPr>
                  <w:tcW w:w="1339" w:type="pct"/>
                  <w:tcBorders>
                    <w:tl2br w:val="nil"/>
                    <w:tr2bl w:val="nil"/>
                  </w:tcBorders>
                  <w:vAlign w:val="center"/>
                </w:tcPr>
                <w:p w14:paraId="5FB7DCF5">
                  <w:pPr>
                    <w:adjustRightInd w:val="0"/>
                    <w:snapToGrid w:val="0"/>
                    <w:spacing w:before="78" w:beforeLines="25" w:after="78" w:afterLines="25"/>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喷砂废气</w:t>
                  </w:r>
                </w:p>
              </w:tc>
              <w:tc>
                <w:tcPr>
                  <w:tcW w:w="1747" w:type="pct"/>
                  <w:tcBorders>
                    <w:tl2br w:val="nil"/>
                    <w:tr2bl w:val="nil"/>
                  </w:tcBorders>
                  <w:vAlign w:val="center"/>
                </w:tcPr>
                <w:p w14:paraId="61676AA2">
                  <w:pPr>
                    <w:adjustRightInd w:val="0"/>
                    <w:snapToGrid w:val="0"/>
                    <w:spacing w:before="78" w:beforeLines="25" w:after="78" w:afterLines="25"/>
                    <w:jc w:val="center"/>
                    <w:rPr>
                      <w:rFonts w:hint="eastAsia"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zh-CN" w:eastAsia="zh-CN"/>
                    </w:rPr>
                    <w:t>喷砂机自带旋风除尘系统</w:t>
                  </w:r>
                  <w:r>
                    <w:rPr>
                      <w:rFonts w:hint="eastAsia" w:ascii="Times New Roman" w:hAnsi="Times New Roman" w:eastAsia="宋体" w:cs="Times New Roman"/>
                      <w:b w:val="0"/>
                      <w:bCs w:val="0"/>
                      <w:color w:val="auto"/>
                      <w:sz w:val="21"/>
                      <w:szCs w:val="21"/>
                      <w:highlight w:val="none"/>
                      <w:u w:val="none" w:color="auto"/>
                      <w:lang w:val="en-US" w:eastAsia="zh-CN"/>
                    </w:rPr>
                    <w:t>处理后无组织外排</w:t>
                  </w:r>
                </w:p>
              </w:tc>
              <w:tc>
                <w:tcPr>
                  <w:tcW w:w="511" w:type="pct"/>
                  <w:tcBorders>
                    <w:tl2br w:val="nil"/>
                    <w:tr2bl w:val="nil"/>
                  </w:tcBorders>
                  <w:vAlign w:val="center"/>
                </w:tcPr>
                <w:p w14:paraId="1E44DD32">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w:t>
                  </w:r>
                </w:p>
              </w:tc>
              <w:tc>
                <w:tcPr>
                  <w:tcW w:w="511" w:type="pct"/>
                  <w:tcBorders>
                    <w:tl2br w:val="nil"/>
                    <w:tr2bl w:val="nil"/>
                  </w:tcBorders>
                  <w:vAlign w:val="center"/>
                </w:tcPr>
                <w:p w14:paraId="5824114F">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w:t>
                  </w:r>
                </w:p>
              </w:tc>
              <w:tc>
                <w:tcPr>
                  <w:tcW w:w="511" w:type="pct"/>
                  <w:tcBorders>
                    <w:tl2br w:val="nil"/>
                    <w:tr2bl w:val="nil"/>
                  </w:tcBorders>
                  <w:vAlign w:val="center"/>
                </w:tcPr>
                <w:p w14:paraId="024BEDF1">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w:t>
                  </w:r>
                </w:p>
              </w:tc>
            </w:tr>
            <w:tr w14:paraId="4264AD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79" w:type="pct"/>
                  <w:vMerge w:val="continue"/>
                  <w:tcBorders>
                    <w:tl2br w:val="nil"/>
                    <w:tr2bl w:val="nil"/>
                  </w:tcBorders>
                  <w:vAlign w:val="center"/>
                </w:tcPr>
                <w:p w14:paraId="3A3D41C0">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p>
              </w:tc>
              <w:tc>
                <w:tcPr>
                  <w:tcW w:w="1339" w:type="pct"/>
                  <w:tcBorders>
                    <w:tl2br w:val="nil"/>
                    <w:tr2bl w:val="nil"/>
                  </w:tcBorders>
                  <w:vAlign w:val="center"/>
                </w:tcPr>
                <w:p w14:paraId="01DBA2E4">
                  <w:pPr>
                    <w:adjustRightInd w:val="0"/>
                    <w:snapToGrid w:val="0"/>
                    <w:spacing w:before="78" w:beforeLines="25" w:after="78" w:afterLines="25"/>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zh-CN" w:eastAsia="zh-CN"/>
                    </w:rPr>
                    <w:t>生产</w:t>
                  </w:r>
                  <w:r>
                    <w:rPr>
                      <w:rFonts w:hint="eastAsia" w:ascii="Times New Roman" w:hAnsi="Times New Roman" w:eastAsia="宋体" w:cs="Times New Roman"/>
                      <w:b w:val="0"/>
                      <w:bCs w:val="0"/>
                      <w:color w:val="auto"/>
                      <w:sz w:val="21"/>
                      <w:szCs w:val="21"/>
                      <w:highlight w:val="none"/>
                      <w:u w:val="none" w:color="auto"/>
                      <w:lang w:val="en-US" w:eastAsia="zh-CN"/>
                    </w:rPr>
                    <w:t>异味</w:t>
                  </w:r>
                </w:p>
              </w:tc>
              <w:tc>
                <w:tcPr>
                  <w:tcW w:w="1747" w:type="pct"/>
                  <w:tcBorders>
                    <w:tl2br w:val="nil"/>
                    <w:tr2bl w:val="nil"/>
                  </w:tcBorders>
                  <w:vAlign w:val="center"/>
                </w:tcPr>
                <w:p w14:paraId="018C5C1F">
                  <w:pPr>
                    <w:adjustRightInd w:val="0"/>
                    <w:snapToGrid w:val="0"/>
                    <w:spacing w:before="78" w:beforeLines="25" w:after="78" w:afterLines="25"/>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加强厂区通风</w:t>
                  </w:r>
                </w:p>
              </w:tc>
              <w:tc>
                <w:tcPr>
                  <w:tcW w:w="511" w:type="pct"/>
                  <w:tcBorders>
                    <w:tl2br w:val="nil"/>
                    <w:tr2bl w:val="nil"/>
                  </w:tcBorders>
                  <w:vAlign w:val="center"/>
                </w:tcPr>
                <w:p w14:paraId="4C79C971">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w:t>
                  </w:r>
                </w:p>
              </w:tc>
              <w:tc>
                <w:tcPr>
                  <w:tcW w:w="511" w:type="pct"/>
                  <w:tcBorders>
                    <w:tl2br w:val="nil"/>
                    <w:tr2bl w:val="nil"/>
                  </w:tcBorders>
                  <w:vAlign w:val="center"/>
                </w:tcPr>
                <w:p w14:paraId="1F307757">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w:t>
                  </w:r>
                </w:p>
              </w:tc>
              <w:tc>
                <w:tcPr>
                  <w:tcW w:w="511" w:type="pct"/>
                  <w:tcBorders>
                    <w:tl2br w:val="nil"/>
                    <w:tr2bl w:val="nil"/>
                  </w:tcBorders>
                  <w:vAlign w:val="center"/>
                </w:tcPr>
                <w:p w14:paraId="5D358C13">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w:t>
                  </w:r>
                </w:p>
              </w:tc>
            </w:tr>
            <w:tr w14:paraId="43BBE3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379" w:type="pct"/>
                  <w:vMerge w:val="restart"/>
                  <w:tcBorders>
                    <w:tl2br w:val="nil"/>
                    <w:tr2bl w:val="nil"/>
                  </w:tcBorders>
                  <w:vAlign w:val="center"/>
                </w:tcPr>
                <w:p w14:paraId="51F5124F">
                  <w:pPr>
                    <w:adjustRightInd w:val="0"/>
                    <w:snapToGrid w:val="0"/>
                    <w:spacing w:before="78" w:beforeLines="25" w:after="78" w:afterLines="25"/>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default" w:ascii="Times New Roman" w:hAnsi="Times New Roman" w:eastAsia="宋体" w:cs="Times New Roman"/>
                      <w:b w:val="0"/>
                      <w:bCs w:val="0"/>
                      <w:color w:val="auto"/>
                      <w:sz w:val="21"/>
                      <w:szCs w:val="21"/>
                      <w:highlight w:val="none"/>
                      <w:u w:val="none" w:color="auto"/>
                      <w:lang w:val="en-US" w:eastAsia="zh-CN"/>
                    </w:rPr>
                    <w:t>废</w:t>
                  </w:r>
                  <w:r>
                    <w:rPr>
                      <w:rFonts w:hint="eastAsia" w:ascii="Times New Roman" w:hAnsi="Times New Roman" w:eastAsia="宋体" w:cs="Times New Roman"/>
                      <w:b w:val="0"/>
                      <w:bCs w:val="0"/>
                      <w:color w:val="auto"/>
                      <w:sz w:val="21"/>
                      <w:szCs w:val="21"/>
                      <w:highlight w:val="none"/>
                      <w:u w:val="none" w:color="auto"/>
                      <w:lang w:val="en-US" w:eastAsia="zh-CN"/>
                    </w:rPr>
                    <w:t>水</w:t>
                  </w:r>
                  <w:r>
                    <w:rPr>
                      <w:rFonts w:hint="default" w:ascii="Times New Roman" w:hAnsi="Times New Roman" w:eastAsia="宋体" w:cs="Times New Roman"/>
                      <w:b w:val="0"/>
                      <w:bCs w:val="0"/>
                      <w:color w:val="auto"/>
                      <w:sz w:val="21"/>
                      <w:szCs w:val="21"/>
                      <w:highlight w:val="none"/>
                      <w:u w:val="none" w:color="auto"/>
                      <w:lang w:val="en-US" w:eastAsia="zh-CN"/>
                    </w:rPr>
                    <w:t>处理</w:t>
                  </w:r>
                </w:p>
              </w:tc>
              <w:tc>
                <w:tcPr>
                  <w:tcW w:w="1339" w:type="pct"/>
                  <w:tcBorders>
                    <w:tl2br w:val="nil"/>
                    <w:tr2bl w:val="nil"/>
                  </w:tcBorders>
                  <w:vAlign w:val="center"/>
                </w:tcPr>
                <w:p w14:paraId="5E585322">
                  <w:pPr>
                    <w:adjustRightInd w:val="0"/>
                    <w:snapToGrid w:val="0"/>
                    <w:spacing w:before="78" w:beforeLines="25" w:after="78" w:afterLines="25"/>
                    <w:jc w:val="center"/>
                    <w:rPr>
                      <w:rFonts w:hint="eastAsia"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生活污水</w:t>
                  </w:r>
                </w:p>
              </w:tc>
              <w:tc>
                <w:tcPr>
                  <w:tcW w:w="1747" w:type="pct"/>
                  <w:tcBorders>
                    <w:tl2br w:val="nil"/>
                    <w:tr2bl w:val="nil"/>
                  </w:tcBorders>
                  <w:vAlign w:val="center"/>
                </w:tcPr>
                <w:p w14:paraId="0D80FA12">
                  <w:pPr>
                    <w:adjustRightInd w:val="0"/>
                    <w:snapToGrid w:val="0"/>
                    <w:spacing w:before="78" w:beforeLines="25" w:after="78" w:afterLines="25"/>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依托园区</w:t>
                  </w:r>
                  <w:r>
                    <w:rPr>
                      <w:rFonts w:hint="eastAsia" w:ascii="Times New Roman" w:hAnsi="Times New Roman" w:eastAsia="宋体" w:cs="Times New Roman"/>
                      <w:b w:val="0"/>
                      <w:bCs w:val="0"/>
                      <w:color w:val="auto"/>
                      <w:sz w:val="21"/>
                      <w:szCs w:val="21"/>
                      <w:highlight w:val="none"/>
                      <w:u w:val="none" w:color="auto"/>
                      <w:lang w:val="en-US" w:eastAsia="zh-CN"/>
                    </w:rPr>
                    <w:t>化粪池</w:t>
                  </w:r>
                </w:p>
              </w:tc>
              <w:tc>
                <w:tcPr>
                  <w:tcW w:w="511" w:type="pct"/>
                  <w:tcBorders>
                    <w:tl2br w:val="nil"/>
                    <w:tr2bl w:val="nil"/>
                  </w:tcBorders>
                  <w:vAlign w:val="center"/>
                </w:tcPr>
                <w:p w14:paraId="62B78344">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w:t>
                  </w:r>
                </w:p>
              </w:tc>
              <w:tc>
                <w:tcPr>
                  <w:tcW w:w="511" w:type="pct"/>
                  <w:tcBorders>
                    <w:tl2br w:val="nil"/>
                    <w:tr2bl w:val="nil"/>
                  </w:tcBorders>
                  <w:vAlign w:val="center"/>
                </w:tcPr>
                <w:p w14:paraId="596A79A0">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w:t>
                  </w:r>
                </w:p>
              </w:tc>
              <w:tc>
                <w:tcPr>
                  <w:tcW w:w="511" w:type="pct"/>
                  <w:tcBorders>
                    <w:tl2br w:val="nil"/>
                    <w:tr2bl w:val="nil"/>
                  </w:tcBorders>
                  <w:vAlign w:val="center"/>
                </w:tcPr>
                <w:p w14:paraId="15BACF25">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w:t>
                  </w:r>
                </w:p>
              </w:tc>
            </w:tr>
            <w:tr w14:paraId="69C1B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379" w:type="pct"/>
                  <w:vMerge w:val="continue"/>
                  <w:tcBorders>
                    <w:tl2br w:val="nil"/>
                    <w:tr2bl w:val="nil"/>
                  </w:tcBorders>
                  <w:vAlign w:val="center"/>
                </w:tcPr>
                <w:p w14:paraId="17A040B2">
                  <w:pPr>
                    <w:adjustRightInd w:val="0"/>
                    <w:snapToGrid w:val="0"/>
                    <w:spacing w:before="78" w:beforeLines="25" w:after="78" w:afterLines="25"/>
                    <w:jc w:val="center"/>
                    <w:rPr>
                      <w:rFonts w:hint="default" w:ascii="Times New Roman" w:hAnsi="Times New Roman" w:eastAsia="宋体" w:cs="Times New Roman"/>
                      <w:b w:val="0"/>
                      <w:bCs w:val="0"/>
                      <w:color w:val="auto"/>
                      <w:sz w:val="21"/>
                      <w:szCs w:val="21"/>
                      <w:highlight w:val="none"/>
                      <w:u w:val="none" w:color="auto"/>
                      <w:lang w:val="en-US" w:eastAsia="zh-CN"/>
                    </w:rPr>
                  </w:pPr>
                </w:p>
              </w:tc>
              <w:tc>
                <w:tcPr>
                  <w:tcW w:w="1339" w:type="pct"/>
                  <w:tcBorders>
                    <w:tl2br w:val="nil"/>
                    <w:tr2bl w:val="nil"/>
                  </w:tcBorders>
                  <w:vAlign w:val="center"/>
                </w:tcPr>
                <w:p w14:paraId="03ADCE4B">
                  <w:pPr>
                    <w:adjustRightInd w:val="0"/>
                    <w:snapToGrid w:val="0"/>
                    <w:spacing w:before="78" w:beforeLines="25" w:after="78" w:afterLines="25"/>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ascii="Times New Roman" w:hAnsi="Times New Roman" w:eastAsia="宋体" w:cs="Times New Roman"/>
                      <w:b w:val="0"/>
                      <w:bCs w:val="0"/>
                      <w:color w:val="auto"/>
                      <w:sz w:val="21"/>
                      <w:szCs w:val="21"/>
                      <w:highlight w:val="none"/>
                      <w:u w:val="none" w:color="auto"/>
                      <w:lang w:val="en-US" w:eastAsia="zh-CN"/>
                    </w:rPr>
                    <w:t>注塑机冷却水</w:t>
                  </w:r>
                </w:p>
              </w:tc>
              <w:tc>
                <w:tcPr>
                  <w:tcW w:w="1747" w:type="pct"/>
                  <w:tcBorders>
                    <w:tl2br w:val="nil"/>
                    <w:tr2bl w:val="nil"/>
                  </w:tcBorders>
                  <w:vAlign w:val="center"/>
                </w:tcPr>
                <w:p w14:paraId="17B6196E">
                  <w:pPr>
                    <w:adjustRightInd w:val="0"/>
                    <w:snapToGrid w:val="0"/>
                    <w:spacing w:before="78" w:beforeLines="25" w:after="78" w:afterLines="25"/>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循环使用，不外排</w:t>
                  </w:r>
                </w:p>
              </w:tc>
              <w:tc>
                <w:tcPr>
                  <w:tcW w:w="511" w:type="pct"/>
                  <w:tcBorders>
                    <w:tl2br w:val="nil"/>
                    <w:tr2bl w:val="nil"/>
                  </w:tcBorders>
                  <w:vAlign w:val="center"/>
                </w:tcPr>
                <w:p w14:paraId="26AA03DC">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1.2</w:t>
                  </w:r>
                </w:p>
              </w:tc>
              <w:tc>
                <w:tcPr>
                  <w:tcW w:w="511" w:type="pct"/>
                  <w:tcBorders>
                    <w:tl2br w:val="nil"/>
                    <w:tr2bl w:val="nil"/>
                  </w:tcBorders>
                  <w:vAlign w:val="center"/>
                </w:tcPr>
                <w:p w14:paraId="2F7B8135">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w:t>
                  </w:r>
                </w:p>
              </w:tc>
              <w:tc>
                <w:tcPr>
                  <w:tcW w:w="511" w:type="pct"/>
                  <w:tcBorders>
                    <w:tl2br w:val="nil"/>
                    <w:tr2bl w:val="nil"/>
                  </w:tcBorders>
                  <w:vAlign w:val="center"/>
                </w:tcPr>
                <w:p w14:paraId="7E176C4F">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1.2</w:t>
                  </w:r>
                </w:p>
              </w:tc>
            </w:tr>
            <w:tr w14:paraId="7CD896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56" w:hRule="atLeast"/>
                <w:jc w:val="center"/>
              </w:trPr>
              <w:tc>
                <w:tcPr>
                  <w:tcW w:w="379" w:type="pct"/>
                  <w:tcBorders>
                    <w:tl2br w:val="nil"/>
                    <w:tr2bl w:val="nil"/>
                  </w:tcBorders>
                  <w:vAlign w:val="center"/>
                </w:tcPr>
                <w:p w14:paraId="05C025BE">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highlight w:val="none"/>
                      <w:u w:val="none" w:color="auto"/>
                    </w:rPr>
                    <w:t>噪声</w:t>
                  </w:r>
                </w:p>
              </w:tc>
              <w:tc>
                <w:tcPr>
                  <w:tcW w:w="1339" w:type="pct"/>
                  <w:tcBorders>
                    <w:tl2br w:val="nil"/>
                    <w:tr2bl w:val="nil"/>
                  </w:tcBorders>
                  <w:vAlign w:val="center"/>
                </w:tcPr>
                <w:p w14:paraId="64B722D3">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r>
                    <w:rPr>
                      <w:rFonts w:hint="eastAsia" w:ascii="Times New Roman" w:hAnsi="Times New Roman" w:eastAsia="宋体" w:cs="Times New Roman"/>
                      <w:color w:val="auto"/>
                      <w:highlight w:val="none"/>
                      <w:u w:val="none" w:color="auto"/>
                      <w:lang w:val="en-US" w:eastAsia="zh-CN"/>
                    </w:rPr>
                    <w:t>空压机、耐压测试机、自动切脚机、自动裁线机、自动插针机、注塑机、喷砂机、自动焊接机、风机</w:t>
                  </w:r>
                  <w:r>
                    <w:rPr>
                      <w:rFonts w:hint="eastAsia"/>
                      <w:color w:val="auto"/>
                      <w:highlight w:val="none"/>
                      <w:u w:val="none" w:color="auto"/>
                      <w:lang w:val="en-US" w:eastAsia="zh-CN"/>
                    </w:rPr>
                    <w:t>设备</w:t>
                  </w:r>
                  <w:r>
                    <w:rPr>
                      <w:rFonts w:hint="default" w:ascii="Times New Roman" w:hAnsi="Times New Roman" w:eastAsia="宋体" w:cs="Times New Roman"/>
                      <w:color w:val="auto"/>
                      <w:sz w:val="21"/>
                      <w:szCs w:val="21"/>
                      <w:highlight w:val="none"/>
                      <w:u w:val="none" w:color="auto"/>
                    </w:rPr>
                    <w:t>噪声及运输车辆噪声</w:t>
                  </w:r>
                </w:p>
              </w:tc>
              <w:tc>
                <w:tcPr>
                  <w:tcW w:w="1747" w:type="pct"/>
                  <w:tcBorders>
                    <w:tl2br w:val="nil"/>
                    <w:tr2bl w:val="nil"/>
                  </w:tcBorders>
                  <w:vAlign w:val="center"/>
                </w:tcPr>
                <w:p w14:paraId="5EE0ED36">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highlight w:val="none"/>
                      <w:u w:val="none" w:color="auto"/>
                    </w:rPr>
                    <w:t>隔声、减震</w:t>
                  </w:r>
                </w:p>
              </w:tc>
              <w:tc>
                <w:tcPr>
                  <w:tcW w:w="511" w:type="pct"/>
                  <w:tcBorders>
                    <w:tl2br w:val="nil"/>
                    <w:tr2bl w:val="nil"/>
                  </w:tcBorders>
                  <w:vAlign w:val="center"/>
                </w:tcPr>
                <w:p w14:paraId="7CD7454D">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1</w:t>
                  </w:r>
                </w:p>
              </w:tc>
              <w:tc>
                <w:tcPr>
                  <w:tcW w:w="511" w:type="pct"/>
                  <w:tcBorders>
                    <w:tl2br w:val="nil"/>
                    <w:tr2bl w:val="nil"/>
                  </w:tcBorders>
                  <w:vAlign w:val="center"/>
                </w:tcPr>
                <w:p w14:paraId="15E8FF6A">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w:t>
                  </w:r>
                </w:p>
              </w:tc>
              <w:tc>
                <w:tcPr>
                  <w:tcW w:w="511" w:type="pct"/>
                  <w:tcBorders>
                    <w:tl2br w:val="nil"/>
                    <w:tr2bl w:val="nil"/>
                  </w:tcBorders>
                  <w:vAlign w:val="center"/>
                </w:tcPr>
                <w:p w14:paraId="175FB2E2">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2</w:t>
                  </w:r>
                </w:p>
              </w:tc>
            </w:tr>
            <w:tr w14:paraId="1BF289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379" w:type="pct"/>
                  <w:vMerge w:val="restart"/>
                  <w:tcBorders>
                    <w:tl2br w:val="nil"/>
                    <w:tr2bl w:val="nil"/>
                  </w:tcBorders>
                  <w:vAlign w:val="center"/>
                </w:tcPr>
                <w:p w14:paraId="58EF4982">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rPr>
                    <w:t>固废处理</w:t>
                  </w:r>
                </w:p>
              </w:tc>
              <w:tc>
                <w:tcPr>
                  <w:tcW w:w="1339" w:type="pct"/>
                  <w:tcBorders>
                    <w:tl2br w:val="nil"/>
                    <w:tr2bl w:val="nil"/>
                  </w:tcBorders>
                  <w:vAlign w:val="center"/>
                </w:tcPr>
                <w:p w14:paraId="21690843">
                  <w:pPr>
                    <w:widowControl/>
                    <w:jc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生活垃圾</w:t>
                  </w:r>
                </w:p>
              </w:tc>
              <w:tc>
                <w:tcPr>
                  <w:tcW w:w="1747" w:type="pct"/>
                  <w:tcBorders>
                    <w:tl2br w:val="nil"/>
                    <w:tr2bl w:val="nil"/>
                  </w:tcBorders>
                  <w:vAlign w:val="center"/>
                </w:tcPr>
                <w:p w14:paraId="69B8A822">
                  <w:pPr>
                    <w:widowControl/>
                    <w:jc w:val="center"/>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eastAsia="宋体" w:cs="Times New Roman"/>
                      <w:color w:val="auto"/>
                      <w:sz w:val="21"/>
                      <w:szCs w:val="21"/>
                      <w:highlight w:val="none"/>
                      <w:u w:val="none" w:color="auto"/>
                    </w:rPr>
                    <w:t>垃圾桶</w:t>
                  </w:r>
                </w:p>
              </w:tc>
              <w:tc>
                <w:tcPr>
                  <w:tcW w:w="511" w:type="pct"/>
                  <w:tcBorders>
                    <w:tl2br w:val="nil"/>
                    <w:tr2bl w:val="nil"/>
                  </w:tcBorders>
                  <w:vAlign w:val="center"/>
                </w:tcPr>
                <w:p w14:paraId="130AE498">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0.</w:t>
                  </w:r>
                  <w:r>
                    <w:rPr>
                      <w:rFonts w:hint="eastAsia" w:cs="Times New Roman"/>
                      <w:color w:val="auto"/>
                      <w:sz w:val="21"/>
                      <w:szCs w:val="21"/>
                      <w:highlight w:val="none"/>
                      <w:u w:val="none" w:color="auto"/>
                      <w:lang w:val="en-US" w:eastAsia="zh-CN"/>
                    </w:rPr>
                    <w:t>5</w:t>
                  </w:r>
                </w:p>
              </w:tc>
              <w:tc>
                <w:tcPr>
                  <w:tcW w:w="511" w:type="pct"/>
                  <w:tcBorders>
                    <w:tl2br w:val="nil"/>
                    <w:tr2bl w:val="nil"/>
                  </w:tcBorders>
                  <w:vAlign w:val="center"/>
                </w:tcPr>
                <w:p w14:paraId="24785416">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w:t>
                  </w:r>
                </w:p>
              </w:tc>
              <w:tc>
                <w:tcPr>
                  <w:tcW w:w="511" w:type="pct"/>
                  <w:tcBorders>
                    <w:tl2br w:val="nil"/>
                    <w:tr2bl w:val="nil"/>
                  </w:tcBorders>
                  <w:vAlign w:val="center"/>
                </w:tcPr>
                <w:p w14:paraId="0D0C501F">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0.5</w:t>
                  </w:r>
                </w:p>
              </w:tc>
            </w:tr>
            <w:tr w14:paraId="2FBEDF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379" w:type="pct"/>
                  <w:vMerge w:val="continue"/>
                  <w:tcBorders>
                    <w:tl2br w:val="nil"/>
                    <w:tr2bl w:val="nil"/>
                  </w:tcBorders>
                  <w:vAlign w:val="center"/>
                </w:tcPr>
                <w:p w14:paraId="3D8D34CE">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p>
              </w:tc>
              <w:tc>
                <w:tcPr>
                  <w:tcW w:w="1339" w:type="pct"/>
                  <w:tcBorders>
                    <w:tl2br w:val="nil"/>
                    <w:tr2bl w:val="nil"/>
                  </w:tcBorders>
                  <w:vAlign w:val="center"/>
                </w:tcPr>
                <w:p w14:paraId="2EF08D02">
                  <w:pPr>
                    <w:adjustRightInd w:val="0"/>
                    <w:snapToGrid w:val="0"/>
                    <w:spacing w:before="78" w:beforeLines="25" w:after="78" w:afterLines="25"/>
                    <w:jc w:val="center"/>
                    <w:rPr>
                      <w:rFonts w:hint="default" w:ascii="Times New Roman" w:hAnsi="Times New Roman" w:eastAsia="宋体" w:cs="Times New Roman"/>
                      <w:color w:val="auto"/>
                      <w:highlight w:val="none"/>
                      <w:u w:val="none" w:color="auto"/>
                      <w:lang w:val="en-US" w:eastAsia="zh-CN"/>
                    </w:rPr>
                  </w:pPr>
                  <w:r>
                    <w:rPr>
                      <w:rFonts w:hint="eastAsia" w:ascii="Times New Roman" w:hAnsi="Times New Roman" w:eastAsia="宋体" w:cs="Times New Roman"/>
                      <w:color w:val="auto"/>
                      <w:highlight w:val="none"/>
                      <w:u w:val="none" w:color="auto"/>
                      <w:lang w:val="en-US" w:eastAsia="zh-CN"/>
                    </w:rPr>
                    <w:t>废边角料、废包装材料、注塑不可回用边角料、锡渣、</w:t>
                  </w:r>
                  <w:r>
                    <w:rPr>
                      <w:rFonts w:hint="default" w:ascii="Times New Roman" w:hAnsi="Times New Roman" w:eastAsia="宋体" w:cs="Times New Roman"/>
                      <w:color w:val="auto"/>
                      <w:highlight w:val="none"/>
                      <w:u w:val="none" w:color="auto"/>
                      <w:lang w:val="en-US" w:eastAsia="zh-CN"/>
                    </w:rPr>
                    <w:t>废喷砂产尘</w:t>
                  </w:r>
                </w:p>
              </w:tc>
              <w:tc>
                <w:tcPr>
                  <w:tcW w:w="1747" w:type="pct"/>
                  <w:tcBorders>
                    <w:tl2br w:val="nil"/>
                    <w:tr2bl w:val="nil"/>
                  </w:tcBorders>
                  <w:vAlign w:val="center"/>
                </w:tcPr>
                <w:p w14:paraId="4B6395D4">
                  <w:pPr>
                    <w:widowControl/>
                    <w:jc w:val="center"/>
                    <w:rPr>
                      <w:rFonts w:hint="eastAsia"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一般固废间（100m</w:t>
                  </w:r>
                  <w:r>
                    <w:rPr>
                      <w:rFonts w:hint="eastAsia" w:cs="Times New Roman"/>
                      <w:color w:val="auto"/>
                      <w:sz w:val="21"/>
                      <w:szCs w:val="21"/>
                      <w:highlight w:val="none"/>
                      <w:u w:val="none" w:color="auto"/>
                      <w:vertAlign w:val="superscript"/>
                      <w:lang w:val="en-US" w:eastAsia="zh-CN"/>
                    </w:rPr>
                    <w:t>2</w:t>
                  </w:r>
                  <w:r>
                    <w:rPr>
                      <w:rFonts w:hint="eastAsia" w:cs="Times New Roman"/>
                      <w:color w:val="auto"/>
                      <w:sz w:val="21"/>
                      <w:szCs w:val="21"/>
                      <w:highlight w:val="none"/>
                      <w:u w:val="none" w:color="auto"/>
                      <w:lang w:val="en-US" w:eastAsia="zh-CN"/>
                    </w:rPr>
                    <w:t>）</w:t>
                  </w:r>
                </w:p>
              </w:tc>
              <w:tc>
                <w:tcPr>
                  <w:tcW w:w="511" w:type="pct"/>
                  <w:tcBorders>
                    <w:tl2br w:val="nil"/>
                    <w:tr2bl w:val="nil"/>
                  </w:tcBorders>
                  <w:vAlign w:val="center"/>
                </w:tcPr>
                <w:p w14:paraId="6F6B5588">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0.6</w:t>
                  </w:r>
                </w:p>
              </w:tc>
              <w:tc>
                <w:tcPr>
                  <w:tcW w:w="511" w:type="pct"/>
                  <w:tcBorders>
                    <w:tl2br w:val="nil"/>
                    <w:tr2bl w:val="nil"/>
                  </w:tcBorders>
                  <w:vAlign w:val="center"/>
                </w:tcPr>
                <w:p w14:paraId="0495556A">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w:t>
                  </w:r>
                </w:p>
              </w:tc>
              <w:tc>
                <w:tcPr>
                  <w:tcW w:w="914" w:type="dxa"/>
                  <w:tcBorders>
                    <w:tl2br w:val="nil"/>
                    <w:tr2bl w:val="nil"/>
                  </w:tcBorders>
                  <w:vAlign w:val="center"/>
                </w:tcPr>
                <w:p w14:paraId="7305BB57">
                  <w:pPr>
                    <w:keepNext w:val="0"/>
                    <w:keepLines w:val="0"/>
                    <w:widowControl/>
                    <w:suppressLineNumbers w:val="0"/>
                    <w:jc w:val="center"/>
                    <w:textAlignment w:val="center"/>
                    <w:rPr>
                      <w:rFonts w:hint="default"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0.6</w:t>
                  </w:r>
                </w:p>
              </w:tc>
            </w:tr>
            <w:tr w14:paraId="3FFC47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379" w:type="pct"/>
                  <w:vMerge w:val="continue"/>
                  <w:tcBorders>
                    <w:tl2br w:val="nil"/>
                    <w:tr2bl w:val="nil"/>
                  </w:tcBorders>
                  <w:vAlign w:val="center"/>
                </w:tcPr>
                <w:p w14:paraId="115D553D">
                  <w:pPr>
                    <w:adjustRightInd w:val="0"/>
                    <w:snapToGrid w:val="0"/>
                    <w:spacing w:before="78" w:beforeLines="25" w:after="78" w:afterLines="25"/>
                    <w:jc w:val="center"/>
                    <w:rPr>
                      <w:rFonts w:hint="default" w:ascii="Times New Roman" w:hAnsi="Times New Roman" w:eastAsia="宋体" w:cs="Times New Roman"/>
                      <w:color w:val="auto"/>
                      <w:sz w:val="21"/>
                      <w:szCs w:val="21"/>
                      <w:highlight w:val="none"/>
                      <w:u w:val="none" w:color="auto"/>
                    </w:rPr>
                  </w:pPr>
                </w:p>
              </w:tc>
              <w:tc>
                <w:tcPr>
                  <w:tcW w:w="1339" w:type="pct"/>
                  <w:tcBorders>
                    <w:tl2br w:val="nil"/>
                    <w:tr2bl w:val="nil"/>
                  </w:tcBorders>
                  <w:vAlign w:val="center"/>
                </w:tcPr>
                <w:p w14:paraId="5C3BE04C">
                  <w:pPr>
                    <w:adjustRightInd w:val="0"/>
                    <w:snapToGrid w:val="0"/>
                    <w:spacing w:before="78" w:beforeLines="25" w:after="78" w:afterLines="25"/>
                    <w:jc w:val="center"/>
                    <w:rPr>
                      <w:rFonts w:hint="default" w:ascii="Times New Roman" w:hAnsi="Times New Roman" w:eastAsia="宋体" w:cs="Times New Roman"/>
                      <w:color w:val="auto"/>
                      <w:highlight w:val="none"/>
                      <w:u w:val="none" w:color="auto"/>
                      <w:lang w:val="en-US" w:eastAsia="zh-CN"/>
                    </w:rPr>
                  </w:pPr>
                  <w:r>
                    <w:rPr>
                      <w:rFonts w:hint="default" w:ascii="Times New Roman" w:hAnsi="Times New Roman" w:eastAsia="宋体" w:cs="Times New Roman"/>
                      <w:color w:val="auto"/>
                      <w:highlight w:val="none"/>
                      <w:u w:val="none" w:color="auto"/>
                      <w:lang w:val="en-US" w:eastAsia="zh-CN"/>
                    </w:rPr>
                    <w:t>废化学品包装</w:t>
                  </w:r>
                  <w:r>
                    <w:rPr>
                      <w:rFonts w:hint="eastAsia" w:ascii="Times New Roman" w:hAnsi="Times New Roman" w:eastAsia="宋体" w:cs="Times New Roman"/>
                      <w:color w:val="auto"/>
                      <w:highlight w:val="none"/>
                      <w:u w:val="none" w:color="auto"/>
                      <w:lang w:val="en-US" w:eastAsia="zh-CN"/>
                    </w:rPr>
                    <w:t>、</w:t>
                  </w:r>
                  <w:r>
                    <w:rPr>
                      <w:rFonts w:hint="default" w:ascii="Times New Roman" w:hAnsi="Times New Roman" w:eastAsia="宋体" w:cs="Times New Roman"/>
                      <w:color w:val="auto"/>
                      <w:highlight w:val="none"/>
                      <w:u w:val="none" w:color="auto"/>
                      <w:lang w:val="en-US" w:eastAsia="zh-CN"/>
                    </w:rPr>
                    <w:t>废</w:t>
                  </w:r>
                  <w:r>
                    <w:rPr>
                      <w:rFonts w:hint="eastAsia" w:ascii="Times New Roman" w:hAnsi="Times New Roman" w:eastAsia="宋体" w:cs="Times New Roman"/>
                      <w:color w:val="auto"/>
                      <w:highlight w:val="none"/>
                      <w:u w:val="none" w:color="auto"/>
                      <w:lang w:val="en-US" w:eastAsia="zh-CN"/>
                    </w:rPr>
                    <w:t>液压</w:t>
                  </w:r>
                  <w:r>
                    <w:rPr>
                      <w:rFonts w:hint="default" w:ascii="Times New Roman" w:hAnsi="Times New Roman" w:eastAsia="宋体" w:cs="Times New Roman"/>
                      <w:color w:val="auto"/>
                      <w:highlight w:val="none"/>
                      <w:u w:val="none" w:color="auto"/>
                      <w:lang w:val="en-US" w:eastAsia="zh-CN"/>
                    </w:rPr>
                    <w:t>油</w:t>
                  </w:r>
                  <w:r>
                    <w:rPr>
                      <w:rFonts w:hint="eastAsia" w:ascii="Times New Roman" w:hAnsi="Times New Roman" w:eastAsia="宋体" w:cs="Times New Roman"/>
                      <w:color w:val="auto"/>
                      <w:highlight w:val="none"/>
                      <w:u w:val="none" w:color="auto"/>
                      <w:lang w:val="en-US" w:eastAsia="zh-CN"/>
                    </w:rPr>
                    <w:t>、液压油废桶、</w:t>
                  </w:r>
                  <w:r>
                    <w:rPr>
                      <w:rFonts w:hint="default" w:ascii="Times New Roman" w:hAnsi="Times New Roman" w:eastAsia="宋体" w:cs="Times New Roman"/>
                      <w:color w:val="auto"/>
                      <w:highlight w:val="none"/>
                      <w:u w:val="none" w:color="auto"/>
                      <w:lang w:val="en-US" w:eastAsia="zh-CN"/>
                    </w:rPr>
                    <w:t>废活性炭</w:t>
                  </w:r>
                  <w:r>
                    <w:rPr>
                      <w:rFonts w:hint="eastAsia" w:ascii="Times New Roman" w:hAnsi="Times New Roman" w:eastAsia="宋体" w:cs="Times New Roman"/>
                      <w:color w:val="auto"/>
                      <w:highlight w:val="none"/>
                      <w:u w:val="none" w:color="auto"/>
                      <w:lang w:val="en-US" w:eastAsia="zh-CN"/>
                    </w:rPr>
                    <w:t>、废润滑油、</w:t>
                  </w:r>
                  <w:r>
                    <w:rPr>
                      <w:rFonts w:hint="default" w:ascii="Times New Roman" w:hAnsi="Times New Roman" w:eastAsia="宋体" w:cs="Times New Roman"/>
                      <w:color w:val="auto"/>
                      <w:highlight w:val="none"/>
                      <w:u w:val="none" w:color="auto"/>
                      <w:lang w:val="en-US" w:eastAsia="zh-CN"/>
                    </w:rPr>
                    <w:t>机修废机油</w:t>
                  </w:r>
                  <w:r>
                    <w:rPr>
                      <w:rFonts w:hint="eastAsia" w:ascii="Times New Roman" w:hAnsi="Times New Roman" w:eastAsia="宋体" w:cs="Times New Roman"/>
                      <w:color w:val="auto"/>
                      <w:highlight w:val="none"/>
                      <w:u w:val="none" w:color="auto"/>
                      <w:lang w:val="en-US" w:eastAsia="zh-CN"/>
                    </w:rPr>
                    <w:t>、</w:t>
                  </w:r>
                  <w:r>
                    <w:rPr>
                      <w:rFonts w:hint="default" w:ascii="Times New Roman" w:hAnsi="Times New Roman" w:eastAsia="宋体" w:cs="Times New Roman"/>
                      <w:color w:val="auto"/>
                      <w:highlight w:val="none"/>
                      <w:u w:val="none" w:color="auto"/>
                      <w:lang w:val="en-US" w:eastAsia="zh-CN"/>
                    </w:rPr>
                    <w:t>含油废抹布</w:t>
                  </w:r>
                  <w:r>
                    <w:rPr>
                      <w:rFonts w:hint="eastAsia" w:ascii="Times New Roman" w:hAnsi="Times New Roman" w:eastAsia="宋体" w:cs="Times New Roman"/>
                      <w:color w:val="auto"/>
                      <w:highlight w:val="none"/>
                      <w:u w:val="none" w:color="auto"/>
                      <w:lang w:val="en-US" w:eastAsia="zh-CN"/>
                    </w:rPr>
                    <w:t>及</w:t>
                  </w:r>
                  <w:r>
                    <w:rPr>
                      <w:rFonts w:hint="default" w:ascii="Times New Roman" w:hAnsi="Times New Roman" w:eastAsia="宋体" w:cs="Times New Roman"/>
                      <w:color w:val="auto"/>
                      <w:highlight w:val="none"/>
                      <w:u w:val="none" w:color="auto"/>
                      <w:lang w:val="en-US" w:eastAsia="zh-CN"/>
                    </w:rPr>
                    <w:t>手套</w:t>
                  </w:r>
                </w:p>
              </w:tc>
              <w:tc>
                <w:tcPr>
                  <w:tcW w:w="1747" w:type="pct"/>
                  <w:tcBorders>
                    <w:tl2br w:val="nil"/>
                    <w:tr2bl w:val="nil"/>
                  </w:tcBorders>
                  <w:vAlign w:val="center"/>
                </w:tcPr>
                <w:p w14:paraId="7094D41F">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highlight w:val="none"/>
                      <w:u w:val="none" w:color="auto"/>
                    </w:rPr>
                    <w:t>危险固废间（</w:t>
                  </w:r>
                  <w:r>
                    <w:rPr>
                      <w:rFonts w:hint="eastAsia" w:cs="Times New Roman"/>
                      <w:color w:val="auto"/>
                      <w:highlight w:val="none"/>
                      <w:u w:val="none" w:color="auto"/>
                      <w:lang w:val="en-US" w:eastAsia="zh-CN"/>
                    </w:rPr>
                    <w:t>10</w:t>
                  </w:r>
                  <w:r>
                    <w:rPr>
                      <w:rFonts w:hint="default" w:ascii="Times New Roman" w:hAnsi="Times New Roman" w:eastAsia="宋体" w:cs="Times New Roman"/>
                      <w:color w:val="auto"/>
                      <w:highlight w:val="none"/>
                      <w:u w:val="none" w:color="auto"/>
                    </w:rPr>
                    <w:t>m</w:t>
                  </w:r>
                  <w:r>
                    <w:rPr>
                      <w:rFonts w:hint="default" w:ascii="Times New Roman" w:hAnsi="Times New Roman" w:eastAsia="宋体" w:cs="Times New Roman"/>
                      <w:color w:val="auto"/>
                      <w:highlight w:val="none"/>
                      <w:u w:val="none" w:color="auto"/>
                      <w:vertAlign w:val="superscript"/>
                    </w:rPr>
                    <w:t>2</w:t>
                  </w:r>
                  <w:r>
                    <w:rPr>
                      <w:rFonts w:hint="default" w:ascii="Times New Roman" w:hAnsi="Times New Roman" w:eastAsia="宋体" w:cs="Times New Roman"/>
                      <w:color w:val="auto"/>
                      <w:highlight w:val="none"/>
                      <w:u w:val="none" w:color="auto"/>
                    </w:rPr>
                    <w:t>）</w:t>
                  </w:r>
                </w:p>
              </w:tc>
              <w:tc>
                <w:tcPr>
                  <w:tcW w:w="511" w:type="pct"/>
                  <w:tcBorders>
                    <w:tl2br w:val="nil"/>
                    <w:tr2bl w:val="nil"/>
                  </w:tcBorders>
                  <w:vAlign w:val="center"/>
                </w:tcPr>
                <w:p w14:paraId="4A2DD4BB">
                  <w:pPr>
                    <w:jc w:val="center"/>
                    <w:textAlignment w:val="center"/>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1.3</w:t>
                  </w:r>
                </w:p>
              </w:tc>
              <w:tc>
                <w:tcPr>
                  <w:tcW w:w="511" w:type="pct"/>
                  <w:tcBorders>
                    <w:tl2br w:val="nil"/>
                    <w:tr2bl w:val="nil"/>
                  </w:tcBorders>
                  <w:vAlign w:val="center"/>
                </w:tcPr>
                <w:p w14:paraId="70A48D44">
                  <w:pPr>
                    <w:jc w:val="center"/>
                    <w:textAlignment w:val="center"/>
                    <w:rPr>
                      <w:rFonts w:hint="default"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0</w:t>
                  </w:r>
                </w:p>
              </w:tc>
              <w:tc>
                <w:tcPr>
                  <w:tcW w:w="914" w:type="dxa"/>
                  <w:tcBorders>
                    <w:tl2br w:val="nil"/>
                    <w:tr2bl w:val="nil"/>
                  </w:tcBorders>
                  <w:vAlign w:val="center"/>
                </w:tcPr>
                <w:p w14:paraId="1E50ABC1">
                  <w:pPr>
                    <w:keepNext w:val="0"/>
                    <w:keepLines w:val="0"/>
                    <w:widowControl/>
                    <w:suppressLineNumbers w:val="0"/>
                    <w:jc w:val="center"/>
                    <w:textAlignment w:val="center"/>
                    <w:rPr>
                      <w:rFonts w:hint="default" w:cs="Times New Roman"/>
                      <w:color w:val="auto"/>
                      <w:sz w:val="21"/>
                      <w:szCs w:val="21"/>
                      <w:highlight w:val="none"/>
                      <w:u w:val="none" w:color="auto"/>
                      <w:lang w:val="en-US" w:eastAsia="zh-CN"/>
                    </w:rPr>
                  </w:pPr>
                  <w:r>
                    <w:rPr>
                      <w:rFonts w:hint="default" w:ascii="Times New Roman" w:hAnsi="Times New Roman" w:eastAsia="宋体" w:cs="Times New Roman"/>
                      <w:i w:val="0"/>
                      <w:iCs w:val="0"/>
                      <w:color w:val="000000"/>
                      <w:kern w:val="0"/>
                      <w:sz w:val="21"/>
                      <w:szCs w:val="21"/>
                      <w:u w:val="none"/>
                      <w:lang w:val="en-US" w:eastAsia="zh-CN" w:bidi="ar"/>
                    </w:rPr>
                    <w:t>1.3</w:t>
                  </w:r>
                </w:p>
              </w:tc>
            </w:tr>
            <w:tr w14:paraId="2C51A5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1719" w:type="pct"/>
                  <w:gridSpan w:val="2"/>
                  <w:tcBorders>
                    <w:tl2br w:val="nil"/>
                    <w:tr2bl w:val="nil"/>
                  </w:tcBorders>
                  <w:vAlign w:val="center"/>
                </w:tcPr>
                <w:p w14:paraId="0535AC25">
                  <w:pPr>
                    <w:adjustRightInd w:val="0"/>
                    <w:snapToGrid w:val="0"/>
                    <w:spacing w:before="78" w:beforeLines="25" w:after="78" w:afterLines="25"/>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合计</w:t>
                  </w:r>
                </w:p>
              </w:tc>
              <w:tc>
                <w:tcPr>
                  <w:tcW w:w="1747" w:type="pct"/>
                  <w:tcBorders>
                    <w:tl2br w:val="nil"/>
                    <w:tr2bl w:val="nil"/>
                  </w:tcBorders>
                  <w:vAlign w:val="center"/>
                </w:tcPr>
                <w:p w14:paraId="0556AB74">
                  <w:pPr>
                    <w:adjustRightInd w:val="0"/>
                    <w:snapToGrid w:val="0"/>
                    <w:spacing w:before="78" w:beforeLines="25" w:after="78" w:afterLines="25"/>
                    <w:jc w:val="center"/>
                    <w:rPr>
                      <w:rFonts w:hint="default" w:ascii="Times New Roman" w:hAnsi="Times New Roman" w:eastAsia="宋体" w:cs="Times New Roman"/>
                      <w:color w:val="auto"/>
                      <w:highlight w:val="none"/>
                      <w:u w:val="none" w:color="auto"/>
                    </w:rPr>
                  </w:pPr>
                  <w:r>
                    <w:rPr>
                      <w:rFonts w:hint="default" w:ascii="Times New Roman" w:hAnsi="Times New Roman" w:eastAsia="宋体" w:cs="Times New Roman"/>
                      <w:color w:val="auto"/>
                      <w:highlight w:val="none"/>
                      <w:u w:val="none" w:color="auto"/>
                    </w:rPr>
                    <w:t>/</w:t>
                  </w:r>
                </w:p>
              </w:tc>
              <w:tc>
                <w:tcPr>
                  <w:tcW w:w="914" w:type="dxa"/>
                  <w:tcBorders>
                    <w:tl2br w:val="nil"/>
                    <w:tr2bl w:val="nil"/>
                  </w:tcBorders>
                  <w:vAlign w:val="center"/>
                </w:tcPr>
                <w:p w14:paraId="62D3F5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24.6</w:t>
                  </w:r>
                </w:p>
              </w:tc>
              <w:tc>
                <w:tcPr>
                  <w:tcW w:w="914" w:type="dxa"/>
                  <w:tcBorders>
                    <w:tl2br w:val="nil"/>
                    <w:tr2bl w:val="nil"/>
                  </w:tcBorders>
                  <w:vAlign w:val="center"/>
                </w:tcPr>
                <w:p w14:paraId="183F1514">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w:t>
                  </w:r>
                </w:p>
              </w:tc>
              <w:tc>
                <w:tcPr>
                  <w:tcW w:w="914" w:type="dxa"/>
                  <w:tcBorders>
                    <w:tl2br w:val="nil"/>
                    <w:tr2bl w:val="nil"/>
                  </w:tcBorders>
                  <w:vAlign w:val="center"/>
                </w:tcPr>
                <w:p w14:paraId="59D27601">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27.6</w:t>
                  </w:r>
                </w:p>
              </w:tc>
            </w:tr>
          </w:tbl>
          <w:p w14:paraId="06661A13">
            <w:pPr>
              <w:spacing w:line="360" w:lineRule="auto"/>
              <w:jc w:val="left"/>
              <w:rPr>
                <w:b/>
                <w:bCs/>
                <w:color w:val="auto"/>
                <w:sz w:val="24"/>
                <w:szCs w:val="24"/>
                <w:highlight w:val="none"/>
                <w:u w:val="none"/>
              </w:rPr>
            </w:pPr>
            <w:r>
              <w:rPr>
                <w:rFonts w:hint="eastAsia"/>
                <w:b/>
                <w:bCs/>
                <w:color w:val="auto"/>
                <w:sz w:val="24"/>
                <w:szCs w:val="24"/>
                <w:highlight w:val="none"/>
                <w:u w:val="none"/>
              </w:rPr>
              <w:t>9</w:t>
            </w:r>
            <w:r>
              <w:rPr>
                <w:b/>
                <w:bCs/>
                <w:color w:val="auto"/>
                <w:sz w:val="24"/>
                <w:szCs w:val="24"/>
                <w:highlight w:val="none"/>
                <w:u w:val="none"/>
              </w:rPr>
              <w:t>、环境管理</w:t>
            </w:r>
          </w:p>
          <w:p w14:paraId="1EFEE8E8">
            <w:pPr>
              <w:spacing w:line="360" w:lineRule="auto"/>
              <w:ind w:firstLine="480" w:firstLineChars="200"/>
              <w:rPr>
                <w:rFonts w:hint="eastAsia"/>
                <w:color w:val="auto"/>
                <w:sz w:val="24"/>
                <w:szCs w:val="22"/>
                <w:highlight w:val="none"/>
                <w:u w:val="none"/>
                <w:lang w:val="en-US" w:eastAsia="zh-CN"/>
              </w:rPr>
            </w:pPr>
            <w:r>
              <w:rPr>
                <w:rFonts w:hint="eastAsia"/>
                <w:color w:val="auto"/>
                <w:sz w:val="24"/>
                <w:szCs w:val="22"/>
                <w:highlight w:val="none"/>
                <w:u w:val="none"/>
                <w:lang w:val="zh-CN"/>
              </w:rPr>
              <w:t>（</w:t>
            </w:r>
            <w:r>
              <w:rPr>
                <w:rFonts w:hint="eastAsia"/>
                <w:color w:val="auto"/>
                <w:sz w:val="24"/>
                <w:szCs w:val="22"/>
                <w:highlight w:val="none"/>
                <w:u w:val="none"/>
                <w:lang w:val="en-US" w:eastAsia="zh-CN"/>
              </w:rPr>
              <w:t>1</w:t>
            </w:r>
            <w:r>
              <w:rPr>
                <w:rFonts w:hint="eastAsia"/>
                <w:color w:val="auto"/>
                <w:sz w:val="24"/>
                <w:szCs w:val="22"/>
                <w:highlight w:val="none"/>
                <w:u w:val="none"/>
                <w:lang w:val="zh-CN"/>
              </w:rPr>
              <w:t>）</w:t>
            </w:r>
            <w:r>
              <w:rPr>
                <w:rFonts w:hint="eastAsia"/>
                <w:color w:val="auto"/>
                <w:sz w:val="24"/>
                <w:szCs w:val="22"/>
                <w:highlight w:val="none"/>
                <w:u w:val="none"/>
                <w:lang w:val="en-US" w:eastAsia="zh-CN"/>
              </w:rPr>
              <w:t>营运期环境管理</w:t>
            </w:r>
          </w:p>
          <w:p w14:paraId="113CAD9B">
            <w:pPr>
              <w:spacing w:line="360" w:lineRule="auto"/>
              <w:ind w:firstLine="480" w:firstLineChars="200"/>
              <w:rPr>
                <w:color w:val="auto"/>
                <w:sz w:val="24"/>
                <w:szCs w:val="22"/>
                <w:highlight w:val="none"/>
                <w:u w:val="none"/>
                <w:lang w:val="zh-CN"/>
              </w:rPr>
            </w:pPr>
            <w:r>
              <w:rPr>
                <w:color w:val="auto"/>
                <w:sz w:val="24"/>
                <w:szCs w:val="22"/>
                <w:highlight w:val="none"/>
                <w:u w:val="none"/>
                <w:lang w:val="zh-CN"/>
              </w:rPr>
              <w:t>拟建项目必须贯彻执行国家有关方针、政策、法律和法规，必须配备专管环保的工作人员，特别注意对污水、废气和工业固废的监督管理，保证达标排放和符合环保要求。统一安排，积极贯彻“预防为主、防治结合”的方针，形成环境管理经常化、制度化；对运行中产生的问题需</w:t>
            </w:r>
            <w:r>
              <w:rPr>
                <w:rFonts w:hint="eastAsia"/>
                <w:color w:val="auto"/>
                <w:sz w:val="24"/>
                <w:szCs w:val="22"/>
                <w:highlight w:val="none"/>
                <w:u w:val="none"/>
                <w:lang w:val="en-US" w:eastAsia="zh-CN"/>
              </w:rPr>
              <w:t>及时</w:t>
            </w:r>
            <w:r>
              <w:rPr>
                <w:color w:val="auto"/>
                <w:sz w:val="24"/>
                <w:szCs w:val="22"/>
                <w:highlight w:val="none"/>
                <w:u w:val="none"/>
                <w:lang w:val="zh-CN"/>
              </w:rPr>
              <w:t>制定相应对策，加强与环境保护部门的联系与配合，结合环境监测的结果，及时掌握环境质量的变化状况，采取有效措施把污染控制在国家标准允许的范围内。一旦发生</w:t>
            </w:r>
            <w:r>
              <w:rPr>
                <w:rFonts w:hint="eastAsia"/>
                <w:color w:val="auto"/>
                <w:sz w:val="24"/>
                <w:szCs w:val="22"/>
                <w:highlight w:val="none"/>
                <w:u w:val="none"/>
                <w:lang w:val="zh-CN"/>
              </w:rPr>
              <w:t>环境污染</w:t>
            </w:r>
            <w:r>
              <w:rPr>
                <w:color w:val="auto"/>
                <w:sz w:val="24"/>
                <w:szCs w:val="22"/>
                <w:highlight w:val="none"/>
                <w:u w:val="none"/>
                <w:lang w:val="zh-CN"/>
              </w:rPr>
              <w:t>事故、人身健康危害，</w:t>
            </w:r>
            <w:r>
              <w:rPr>
                <w:rFonts w:hint="eastAsia"/>
                <w:color w:val="auto"/>
                <w:sz w:val="24"/>
                <w:szCs w:val="22"/>
                <w:highlight w:val="none"/>
                <w:u w:val="none"/>
                <w:lang w:val="zh-CN"/>
              </w:rPr>
              <w:t>要快</w:t>
            </w:r>
            <w:r>
              <w:rPr>
                <w:color w:val="auto"/>
                <w:sz w:val="24"/>
                <w:szCs w:val="22"/>
                <w:highlight w:val="none"/>
                <w:u w:val="none"/>
                <w:lang w:val="zh-CN"/>
              </w:rPr>
              <w:t>速与当地环保、环卫、市政、公安、医疗等部门密切结合，及时消除影响，防治环境污染，保证人员的安全。环境污染要及时做出应急处理。以下几项具体工作应特别注意抓好。</w:t>
            </w:r>
          </w:p>
          <w:p w14:paraId="3327E046">
            <w:pPr>
              <w:spacing w:line="360" w:lineRule="auto"/>
              <w:ind w:firstLine="480" w:firstLineChars="200"/>
              <w:rPr>
                <w:color w:val="auto"/>
                <w:sz w:val="24"/>
                <w:szCs w:val="22"/>
                <w:highlight w:val="none"/>
                <w:u w:val="none"/>
                <w:lang w:val="zh-CN"/>
              </w:rPr>
            </w:pPr>
            <w:r>
              <w:rPr>
                <w:color w:val="auto"/>
                <w:sz w:val="24"/>
                <w:szCs w:val="22"/>
                <w:highlight w:val="none"/>
                <w:u w:val="none"/>
              </w:rPr>
              <w:t>1</w:t>
            </w:r>
            <w:r>
              <w:rPr>
                <w:color w:val="auto"/>
                <w:sz w:val="24"/>
                <w:szCs w:val="22"/>
                <w:highlight w:val="none"/>
                <w:u w:val="none"/>
                <w:lang w:val="zh-CN"/>
              </w:rPr>
              <w:t>）加强对员工环境意识的宣传教育，特别是领导层的环保意识要加强，应将市场建设与环境保护结合在一起来综合考虑。</w:t>
            </w:r>
          </w:p>
          <w:p w14:paraId="666015CC">
            <w:pPr>
              <w:spacing w:line="360" w:lineRule="auto"/>
              <w:ind w:firstLine="480" w:firstLineChars="200"/>
              <w:rPr>
                <w:color w:val="auto"/>
                <w:sz w:val="24"/>
                <w:szCs w:val="22"/>
                <w:highlight w:val="none"/>
                <w:u w:val="none"/>
                <w:lang w:val="zh-CN"/>
              </w:rPr>
            </w:pPr>
            <w:r>
              <w:rPr>
                <w:color w:val="auto"/>
                <w:sz w:val="24"/>
                <w:szCs w:val="22"/>
                <w:highlight w:val="none"/>
                <w:u w:val="none"/>
              </w:rPr>
              <w:t>2</w:t>
            </w:r>
            <w:r>
              <w:rPr>
                <w:color w:val="auto"/>
                <w:sz w:val="24"/>
                <w:szCs w:val="22"/>
                <w:highlight w:val="none"/>
                <w:u w:val="none"/>
                <w:lang w:val="zh-CN"/>
              </w:rPr>
              <w:t>）加强管理，</w:t>
            </w:r>
            <w:r>
              <w:rPr>
                <w:rFonts w:hint="eastAsia"/>
                <w:color w:val="auto"/>
                <w:sz w:val="24"/>
                <w:szCs w:val="22"/>
                <w:highlight w:val="none"/>
                <w:u w:val="none"/>
                <w:lang w:val="en-US" w:eastAsia="zh-CN"/>
              </w:rPr>
              <w:t>场区地面每天定时进行清扫和洒水降尘，</w:t>
            </w:r>
            <w:r>
              <w:rPr>
                <w:color w:val="auto"/>
                <w:sz w:val="24"/>
                <w:szCs w:val="22"/>
                <w:highlight w:val="none"/>
                <w:u w:val="none"/>
                <w:lang w:val="zh-CN"/>
              </w:rPr>
              <w:t>实行垃圾分类回收，做好绿化工作。</w:t>
            </w:r>
          </w:p>
          <w:p w14:paraId="7455ECF6">
            <w:pPr>
              <w:spacing w:line="360" w:lineRule="auto"/>
              <w:ind w:firstLine="480" w:firstLineChars="200"/>
              <w:rPr>
                <w:color w:val="auto"/>
                <w:sz w:val="24"/>
                <w:szCs w:val="22"/>
                <w:highlight w:val="none"/>
                <w:u w:val="none"/>
                <w:lang w:val="zh-CN"/>
              </w:rPr>
            </w:pPr>
            <w:r>
              <w:rPr>
                <w:color w:val="auto"/>
                <w:sz w:val="24"/>
                <w:szCs w:val="22"/>
                <w:highlight w:val="none"/>
                <w:u w:val="none"/>
              </w:rPr>
              <w:t>3</w:t>
            </w:r>
            <w:r>
              <w:rPr>
                <w:color w:val="auto"/>
                <w:sz w:val="24"/>
                <w:szCs w:val="22"/>
                <w:highlight w:val="none"/>
                <w:u w:val="none"/>
                <w:lang w:val="zh-CN"/>
              </w:rPr>
              <w:t>）</w:t>
            </w:r>
            <w:r>
              <w:rPr>
                <w:bCs/>
                <w:color w:val="auto"/>
                <w:sz w:val="24"/>
                <w:szCs w:val="24"/>
                <w:highlight w:val="none"/>
                <w:u w:val="none"/>
              </w:rPr>
              <w:t>负责该项目内所有环保设施的日常运行管理，保障各环保设施的正常运行，</w:t>
            </w:r>
            <w:r>
              <w:rPr>
                <w:rFonts w:hint="default" w:ascii="Times New Roman" w:hAnsi="Times New Roman" w:eastAsia="宋体" w:cs="Times New Roman"/>
                <w:bCs/>
                <w:color w:val="auto"/>
                <w:sz w:val="24"/>
                <w:szCs w:val="24"/>
                <w:highlight w:val="none"/>
                <w:u w:val="none"/>
              </w:rPr>
              <w:t>制定污染治理操作规程，</w:t>
            </w:r>
            <w:r>
              <w:rPr>
                <w:rFonts w:hint="eastAsia" w:ascii="Times New Roman" w:hAnsi="Times New Roman" w:eastAsia="宋体" w:cs="Times New Roman"/>
                <w:bCs/>
                <w:color w:val="auto"/>
                <w:sz w:val="24"/>
                <w:szCs w:val="24"/>
                <w:highlight w:val="none"/>
                <w:u w:val="none"/>
                <w:lang w:val="en-US" w:eastAsia="zh-CN"/>
              </w:rPr>
              <w:t>设专人管理环保设施运行，</w:t>
            </w:r>
            <w:r>
              <w:rPr>
                <w:rFonts w:hint="default" w:ascii="Times New Roman" w:hAnsi="Times New Roman" w:eastAsia="宋体" w:cs="Times New Roman"/>
                <w:bCs/>
                <w:color w:val="auto"/>
                <w:sz w:val="24"/>
                <w:szCs w:val="24"/>
                <w:highlight w:val="none"/>
                <w:u w:val="none"/>
              </w:rPr>
              <w:t>记录污染治理设施运行及检修情况，确保治理设施常年正常运行</w:t>
            </w:r>
            <w:r>
              <w:rPr>
                <w:rFonts w:hint="eastAsia" w:ascii="Times New Roman" w:hAnsi="Times New Roman" w:eastAsia="宋体" w:cs="Times New Roman"/>
                <w:bCs/>
                <w:color w:val="auto"/>
                <w:sz w:val="24"/>
                <w:szCs w:val="24"/>
                <w:highlight w:val="none"/>
                <w:u w:val="none"/>
                <w:lang w:eastAsia="zh-CN"/>
              </w:rPr>
              <w:t>；污染治理设施运维记录，包括设施是否正常运行、故障原因、维护过程、检查</w:t>
            </w:r>
            <w:r>
              <w:rPr>
                <w:rFonts w:hint="eastAsia" w:cs="Times New Roman"/>
                <w:bCs/>
                <w:color w:val="auto"/>
                <w:sz w:val="24"/>
                <w:szCs w:val="24"/>
                <w:highlight w:val="none"/>
                <w:u w:val="none"/>
                <w:lang w:eastAsia="zh-CN"/>
              </w:rPr>
              <w:t>人员</w:t>
            </w:r>
            <w:r>
              <w:rPr>
                <w:rFonts w:hint="eastAsia" w:ascii="Times New Roman" w:hAnsi="Times New Roman" w:eastAsia="宋体" w:cs="Times New Roman"/>
                <w:bCs/>
                <w:color w:val="auto"/>
                <w:sz w:val="24"/>
                <w:szCs w:val="24"/>
                <w:highlight w:val="none"/>
                <w:u w:val="none"/>
                <w:lang w:eastAsia="zh-CN"/>
              </w:rPr>
              <w:t>、检查日期及班次</w:t>
            </w:r>
            <w:r>
              <w:rPr>
                <w:color w:val="auto"/>
                <w:sz w:val="24"/>
                <w:szCs w:val="22"/>
                <w:highlight w:val="none"/>
                <w:u w:val="none"/>
                <w:lang w:val="zh-CN"/>
              </w:rPr>
              <w:t>。</w:t>
            </w:r>
          </w:p>
          <w:p w14:paraId="69448D8F">
            <w:pPr>
              <w:spacing w:line="360" w:lineRule="auto"/>
              <w:ind w:firstLine="480" w:firstLineChars="200"/>
              <w:rPr>
                <w:color w:val="auto"/>
                <w:sz w:val="24"/>
                <w:szCs w:val="22"/>
                <w:highlight w:val="none"/>
                <w:u w:val="none"/>
                <w:lang w:val="zh-CN"/>
              </w:rPr>
            </w:pPr>
            <w:r>
              <w:rPr>
                <w:color w:val="auto"/>
                <w:sz w:val="24"/>
                <w:szCs w:val="22"/>
                <w:highlight w:val="none"/>
                <w:u w:val="none"/>
              </w:rPr>
              <w:t>4</w:t>
            </w:r>
            <w:r>
              <w:rPr>
                <w:color w:val="auto"/>
                <w:sz w:val="24"/>
                <w:szCs w:val="22"/>
                <w:highlight w:val="none"/>
                <w:u w:val="none"/>
                <w:lang w:val="zh-CN"/>
              </w:rPr>
              <w:t>）制订营运期环境监测计划，并负责组织实施。</w:t>
            </w:r>
          </w:p>
          <w:p w14:paraId="201918A6">
            <w:pPr>
              <w:spacing w:line="360" w:lineRule="auto"/>
              <w:ind w:firstLine="480" w:firstLineChars="200"/>
              <w:rPr>
                <w:color w:val="auto"/>
                <w:sz w:val="24"/>
                <w:szCs w:val="22"/>
                <w:highlight w:val="none"/>
                <w:u w:val="none"/>
                <w:lang w:val="zh-CN"/>
              </w:rPr>
            </w:pPr>
            <w:r>
              <w:rPr>
                <w:color w:val="auto"/>
                <w:sz w:val="24"/>
                <w:szCs w:val="22"/>
                <w:highlight w:val="none"/>
                <w:u w:val="none"/>
              </w:rPr>
              <w:t>5</w:t>
            </w:r>
            <w:r>
              <w:rPr>
                <w:color w:val="auto"/>
                <w:sz w:val="24"/>
                <w:szCs w:val="22"/>
                <w:highlight w:val="none"/>
                <w:u w:val="none"/>
                <w:lang w:val="zh-CN"/>
              </w:rPr>
              <w:t>）环保专职人员应定期对生产设备进行检查、维护、保养、保证设施的正常运行。</w:t>
            </w:r>
          </w:p>
          <w:p w14:paraId="1FD59DB6">
            <w:pPr>
              <w:spacing w:line="360" w:lineRule="auto"/>
              <w:ind w:firstLine="480" w:firstLineChars="200"/>
              <w:rPr>
                <w:rFonts w:hint="eastAsia"/>
                <w:color w:val="auto"/>
                <w:sz w:val="24"/>
                <w:szCs w:val="22"/>
                <w:highlight w:val="none"/>
                <w:u w:val="none"/>
                <w:lang w:eastAsia="zh-CN"/>
              </w:rPr>
            </w:pPr>
            <w:r>
              <w:rPr>
                <w:rFonts w:hint="eastAsia"/>
                <w:color w:val="auto"/>
                <w:sz w:val="24"/>
                <w:szCs w:val="22"/>
                <w:highlight w:val="none"/>
                <w:u w:val="none"/>
              </w:rPr>
              <w:t>6）企业在日常危险废物管理的过程中，须结合自身实际情况，做好危险废物台账的建立、记录以及管理工作</w:t>
            </w:r>
            <w:r>
              <w:rPr>
                <w:rFonts w:hint="eastAsia"/>
                <w:color w:val="auto"/>
                <w:sz w:val="24"/>
                <w:szCs w:val="22"/>
                <w:highlight w:val="none"/>
                <w:u w:val="none"/>
                <w:lang w:eastAsia="zh-CN"/>
              </w:rPr>
              <w:t>，</w:t>
            </w:r>
            <w:r>
              <w:rPr>
                <w:rFonts w:hint="eastAsia"/>
                <w:bCs/>
                <w:color w:val="auto"/>
                <w:sz w:val="24"/>
                <w:szCs w:val="24"/>
                <w:highlight w:val="none"/>
                <w:u w:val="none"/>
                <w:lang w:eastAsia="zh-CN"/>
              </w:rPr>
              <w:t>包括危险废物种类、产生量、转移量、处理消毒情况、处理人员和运输人员等信息</w:t>
            </w:r>
            <w:r>
              <w:rPr>
                <w:rFonts w:hint="eastAsia"/>
                <w:color w:val="auto"/>
                <w:sz w:val="24"/>
                <w:szCs w:val="22"/>
                <w:highlight w:val="none"/>
                <w:u w:val="none"/>
                <w:lang w:eastAsia="zh-CN"/>
              </w:rPr>
              <w:t>。</w:t>
            </w:r>
          </w:p>
          <w:p w14:paraId="519A4707">
            <w:pPr>
              <w:spacing w:line="360" w:lineRule="auto"/>
              <w:ind w:firstLine="480" w:firstLineChars="200"/>
              <w:rPr>
                <w:rFonts w:hint="eastAsia" w:eastAsia="宋体"/>
                <w:color w:val="auto"/>
                <w:sz w:val="24"/>
                <w:szCs w:val="22"/>
                <w:highlight w:val="none"/>
                <w:u w:val="none"/>
                <w:lang w:val="en-US" w:eastAsia="zh-CN"/>
              </w:rPr>
            </w:pPr>
            <w:r>
              <w:rPr>
                <w:rFonts w:hint="eastAsia"/>
                <w:color w:val="auto"/>
                <w:sz w:val="24"/>
                <w:szCs w:val="22"/>
                <w:highlight w:val="none"/>
                <w:u w:val="none"/>
                <w:lang w:val="en-US" w:eastAsia="zh-CN"/>
              </w:rPr>
              <w:t>7）</w:t>
            </w:r>
            <w:r>
              <w:rPr>
                <w:rFonts w:hint="eastAsia"/>
                <w:color w:val="auto"/>
                <w:sz w:val="24"/>
                <w:szCs w:val="22"/>
                <w:highlight w:val="none"/>
                <w:u w:val="none"/>
              </w:rPr>
              <w:t>废气污染防治设施应按照国家和地方规范进行设计；污染防治设施应与产生废气的生产设施同步运行；由于事故或设备维修等原因造成污染防治设施停止运行时，应立即报告当地生态环境主管部门；污染防治设施应在满足设计工况的条件下运行，并根据工艺要求，定期对设备、电气、自控仪表及构筑物进行检查维护，确保污染防治设施可靠运行；污染防治设施正常运行中废气的排放应符合国家和地方污染物排放标准</w:t>
            </w:r>
            <w:r>
              <w:rPr>
                <w:rFonts w:hint="eastAsia"/>
                <w:color w:val="auto"/>
                <w:sz w:val="24"/>
                <w:szCs w:val="22"/>
                <w:highlight w:val="none"/>
                <w:u w:val="none"/>
                <w:lang w:eastAsia="zh-CN"/>
              </w:rPr>
              <w:t>。</w:t>
            </w:r>
          </w:p>
          <w:p w14:paraId="237AA1F2">
            <w:pPr>
              <w:spacing w:line="360" w:lineRule="auto"/>
              <w:ind w:firstLine="480" w:firstLineChars="200"/>
              <w:rPr>
                <w:rFonts w:hint="eastAsia"/>
                <w:color w:val="auto"/>
                <w:sz w:val="24"/>
                <w:szCs w:val="22"/>
                <w:highlight w:val="none"/>
                <w:u w:val="none"/>
                <w:lang w:val="en-US" w:eastAsia="zh-CN"/>
              </w:rPr>
            </w:pPr>
            <w:r>
              <w:rPr>
                <w:rFonts w:hint="eastAsia"/>
                <w:color w:val="auto"/>
                <w:sz w:val="24"/>
                <w:szCs w:val="22"/>
                <w:highlight w:val="none"/>
                <w:u w:val="none"/>
                <w:lang w:val="en-US" w:eastAsia="zh-CN"/>
              </w:rPr>
              <w:t>8）废水污染防治设施应按照国家和地方规范进行设计；由于事故或设备维修等原因造成污染防治设施停止运行时，应立即报告当地生态环境主管部门；污染防治设施应在满足设计工况的条件下运行，并根据工艺要求，定期对设备、电气、自控仪表及构筑物进行检查维护，确保污染防治设施可靠运行；污染防治设施正常运行中废水的排放应符合国家和地方污染物排放标准。</w:t>
            </w:r>
          </w:p>
          <w:p w14:paraId="2949A45C">
            <w:pPr>
              <w:pStyle w:val="106"/>
              <w:spacing w:line="360" w:lineRule="auto"/>
              <w:ind w:left="0" w:leftChars="0" w:firstLine="0" w:firstLineChars="0"/>
              <w:rPr>
                <w:rFonts w:hint="eastAsia"/>
                <w:b/>
                <w:bCs/>
                <w:color w:val="000000" w:themeColor="text1"/>
                <w:u w:val="none"/>
                <w14:textFill>
                  <w14:solidFill>
                    <w14:schemeClr w14:val="tx1"/>
                  </w14:solidFill>
                </w14:textFill>
              </w:rPr>
            </w:pPr>
            <w:r>
              <w:rPr>
                <w:rFonts w:hint="eastAsia"/>
                <w:b/>
                <w:bCs/>
                <w:color w:val="000000" w:themeColor="text1"/>
                <w:u w:val="none"/>
                <w:lang w:val="en-US" w:eastAsia="zh-CN"/>
                <w14:textFill>
                  <w14:solidFill>
                    <w14:schemeClr w14:val="tx1"/>
                  </w14:solidFill>
                </w14:textFill>
              </w:rPr>
              <w:t>10</w:t>
            </w:r>
            <w:r>
              <w:rPr>
                <w:rFonts w:hint="eastAsia"/>
                <w:b/>
                <w:bCs/>
                <w:color w:val="000000" w:themeColor="text1"/>
                <w:u w:val="none"/>
                <w14:textFill>
                  <w14:solidFill>
                    <w14:schemeClr w14:val="tx1"/>
                  </w14:solidFill>
                </w14:textFill>
              </w:rPr>
              <w:t>、排污口规范化设置</w:t>
            </w:r>
          </w:p>
          <w:p w14:paraId="6C260E83">
            <w:pPr>
              <w:pStyle w:val="106"/>
              <w:spacing w:line="360" w:lineRule="auto"/>
              <w:ind w:firstLine="480"/>
              <w:rPr>
                <w:rFonts w:hint="eastAsia"/>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本项目的污染物排放口（源）和固体废物贮存、处置场，必须实行规范化整治。按照国家标准《环境保护图形标志》（GB15562.1-1995）</w:t>
            </w:r>
            <w:r>
              <w:rPr>
                <w:rFonts w:hint="eastAsia"/>
                <w:color w:val="000000" w:themeColor="text1"/>
                <w:u w:val="none"/>
                <w:lang w:val="en-US" w:eastAsia="zh-CN"/>
                <w14:textFill>
                  <w14:solidFill>
                    <w14:schemeClr w14:val="tx1"/>
                  </w14:solidFill>
                </w14:textFill>
              </w:rPr>
              <w:t>及其修改单</w:t>
            </w:r>
            <w:r>
              <w:rPr>
                <w:rFonts w:hint="eastAsia"/>
                <w:color w:val="000000" w:themeColor="text1"/>
                <w:u w:val="none"/>
                <w14:textFill>
                  <w14:solidFill>
                    <w14:schemeClr w14:val="tx1"/>
                  </w14:solidFill>
                </w14:textFill>
              </w:rPr>
              <w:t>及《环境保护图形标志实施细则（试行）》的规定，设置与排污口相应的图形标志牌。根据</w:t>
            </w:r>
            <w:r>
              <w:rPr>
                <w:rFonts w:hint="eastAsia"/>
                <w:color w:val="000000" w:themeColor="text1"/>
                <w:u w:val="none"/>
                <w:lang w:eastAsia="zh-CN"/>
                <w14:textFill>
                  <w14:solidFill>
                    <w14:schemeClr w14:val="tx1"/>
                  </w14:solidFill>
                </w14:textFill>
              </w:rPr>
              <w:t>《环境保护图形标志实施细则（试行）》</w:t>
            </w:r>
            <w:r>
              <w:rPr>
                <w:rFonts w:hint="eastAsia"/>
                <w:color w:val="000000" w:themeColor="text1"/>
                <w:u w:val="none"/>
                <w14:textFill>
                  <w14:solidFill>
                    <w14:schemeClr w14:val="tx1"/>
                  </w14:solidFill>
                </w14:textFill>
              </w:rPr>
              <w:t>：第七条 一般性污染物排放口（源）或固体废物贮存（处置）场，设置提示性环境保护图形标志牌，根据现场具体情况，选用立式或平面固定式。排放剧毒、致癌物及对人体有严重危害物质的排放口（源）或危险废物贮存（处置）场，设置警告性环境保护图形标志牌，根据现场具体情况，选用立式或平面固定式。</w:t>
            </w:r>
          </w:p>
          <w:p w14:paraId="6EAE63C2">
            <w:pPr>
              <w:pStyle w:val="106"/>
              <w:spacing w:line="360" w:lineRule="auto"/>
              <w:ind w:firstLine="480"/>
              <w:rPr>
                <w:color w:val="000000" w:themeColor="text1"/>
                <w:u w:val="none"/>
                <w14:textFill>
                  <w14:solidFill>
                    <w14:schemeClr w14:val="tx1"/>
                  </w14:solidFill>
                </w14:textFill>
              </w:rPr>
            </w:pPr>
            <w:r>
              <w:rPr>
                <w:rFonts w:hint="eastAsia"/>
                <w:color w:val="000000" w:themeColor="text1"/>
                <w:u w:val="none"/>
                <w14:textFill>
                  <w14:solidFill>
                    <w14:schemeClr w14:val="tx1"/>
                  </w14:solidFill>
                </w14:textFill>
              </w:rPr>
              <w:t>环保主管部门和建设单位可分别按以下内容建立排污口管理的专门档案：排污口性质和编号；位置；排放主要污染物种类、数量、浓度；排放去向；达标情况；治理设施运行情况及整改意见。</w:t>
            </w:r>
          </w:p>
          <w:p w14:paraId="02894C47">
            <w:pPr>
              <w:pStyle w:val="106"/>
              <w:spacing w:line="360" w:lineRule="auto"/>
              <w:ind w:firstLine="480"/>
              <w:rPr>
                <w:rFonts w:hint="eastAsia"/>
                <w:color w:val="000000" w:themeColor="text1"/>
                <w:u w:val="none"/>
                <w:lang w:val="en-US" w:eastAsia="zh-CN"/>
                <w14:textFill>
                  <w14:solidFill>
                    <w14:schemeClr w14:val="tx1"/>
                  </w14:solidFill>
                </w14:textFill>
              </w:rPr>
            </w:pPr>
            <w:r>
              <w:rPr>
                <w:rFonts w:hint="eastAsia"/>
                <w:color w:val="000000" w:themeColor="text1"/>
                <w:u w:val="none"/>
                <w14:textFill>
                  <w14:solidFill>
                    <w14:schemeClr w14:val="tx1"/>
                  </w14:solidFill>
                </w14:textFill>
              </w:rPr>
              <w:t>本项目环境保护图形符号具体见</w:t>
            </w:r>
            <w:r>
              <w:rPr>
                <w:rFonts w:hint="eastAsia"/>
                <w:color w:val="000000" w:themeColor="text1"/>
                <w:u w:val="none"/>
                <w:lang w:val="en-US" w:eastAsia="zh-CN"/>
                <w14:textFill>
                  <w14:solidFill>
                    <w14:schemeClr w14:val="tx1"/>
                  </w14:solidFill>
                </w14:textFill>
              </w:rPr>
              <w:t>下表：</w:t>
            </w:r>
          </w:p>
          <w:p w14:paraId="2B731EFE">
            <w:pPr>
              <w:overflowPunct w:val="0"/>
              <w:spacing w:line="320" w:lineRule="exact"/>
              <w:jc w:val="center"/>
              <w:rPr>
                <w:rFonts w:hint="eastAsia"/>
                <w:b/>
                <w:color w:val="000000" w:themeColor="text1"/>
                <w:szCs w:val="21"/>
                <w:u w:val="none"/>
                <w14:textFill>
                  <w14:solidFill>
                    <w14:schemeClr w14:val="tx1"/>
                  </w14:solidFill>
                </w14:textFill>
              </w:rPr>
            </w:pPr>
            <w:r>
              <w:rPr>
                <w:rFonts w:hint="eastAsia"/>
                <w:b/>
                <w:color w:val="000000" w:themeColor="text1"/>
                <w:szCs w:val="21"/>
                <w:u w:val="none"/>
                <w14:textFill>
                  <w14:solidFill>
                    <w14:schemeClr w14:val="tx1"/>
                  </w14:solidFill>
                </w14:textFill>
              </w:rPr>
              <w:t>表4-</w:t>
            </w:r>
            <w:r>
              <w:rPr>
                <w:rFonts w:hint="eastAsia"/>
                <w:b/>
                <w:color w:val="000000" w:themeColor="text1"/>
                <w:szCs w:val="21"/>
                <w:u w:val="none"/>
                <w:lang w:val="en-US" w:eastAsia="zh-CN"/>
                <w14:textFill>
                  <w14:solidFill>
                    <w14:schemeClr w14:val="tx1"/>
                  </w14:solidFill>
                </w14:textFill>
              </w:rPr>
              <w:t>26</w:t>
            </w:r>
            <w:r>
              <w:rPr>
                <w:b/>
                <w:color w:val="000000" w:themeColor="text1"/>
                <w:szCs w:val="21"/>
                <w:u w:val="none"/>
                <w14:textFill>
                  <w14:solidFill>
                    <w14:schemeClr w14:val="tx1"/>
                  </w14:solidFill>
                </w14:textFill>
              </w:rPr>
              <w:t xml:space="preserve">  </w:t>
            </w:r>
            <w:r>
              <w:rPr>
                <w:rFonts w:hint="eastAsia"/>
                <w:b/>
                <w:color w:val="000000" w:themeColor="text1"/>
                <w:szCs w:val="21"/>
                <w:u w:val="none"/>
                <w14:textFill>
                  <w14:solidFill>
                    <w14:schemeClr w14:val="tx1"/>
                  </w14:solidFill>
                </w14:textFill>
              </w:rPr>
              <w:t>排放口图形标志</w:t>
            </w:r>
          </w:p>
          <w:tbl>
            <w:tblPr>
              <w:tblStyle w:val="35"/>
              <w:tblW w:w="483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566"/>
              <w:gridCol w:w="2106"/>
              <w:gridCol w:w="1476"/>
              <w:gridCol w:w="3156"/>
            </w:tblGrid>
            <w:tr w14:paraId="0E3D2D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atLeast"/>
                <w:tblHeader/>
                <w:jc w:val="center"/>
              </w:trPr>
              <w:tc>
                <w:tcPr>
                  <w:tcW w:w="449" w:type="pct"/>
                  <w:tcBorders>
                    <w:tl2br w:val="nil"/>
                    <w:tr2bl w:val="nil"/>
                  </w:tcBorders>
                  <w:noWrap/>
                  <w:vAlign w:val="center"/>
                </w:tcPr>
                <w:p w14:paraId="12802312">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b/>
                      <w:color w:val="auto"/>
                      <w:sz w:val="21"/>
                      <w:szCs w:val="21"/>
                    </w:rPr>
                  </w:pPr>
                  <w:r>
                    <w:rPr>
                      <w:b/>
                      <w:color w:val="auto"/>
                      <w:sz w:val="21"/>
                      <w:szCs w:val="21"/>
                    </w:rPr>
                    <w:t>序号</w:t>
                  </w:r>
                </w:p>
              </w:tc>
              <w:tc>
                <w:tcPr>
                  <w:tcW w:w="1077" w:type="pct"/>
                  <w:tcBorders>
                    <w:tl2br w:val="nil"/>
                    <w:tr2bl w:val="nil"/>
                  </w:tcBorders>
                  <w:noWrap/>
                  <w:vAlign w:val="center"/>
                </w:tcPr>
                <w:p w14:paraId="2A4546CF">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b/>
                      <w:color w:val="auto"/>
                      <w:sz w:val="21"/>
                      <w:szCs w:val="21"/>
                    </w:rPr>
                  </w:pPr>
                  <w:r>
                    <w:rPr>
                      <w:b/>
                      <w:color w:val="auto"/>
                      <w:sz w:val="21"/>
                      <w:szCs w:val="21"/>
                    </w:rPr>
                    <w:t>提示图形符号</w:t>
                  </w:r>
                </w:p>
              </w:tc>
              <w:tc>
                <w:tcPr>
                  <w:tcW w:w="1354" w:type="pct"/>
                  <w:tcBorders>
                    <w:tl2br w:val="nil"/>
                    <w:tr2bl w:val="nil"/>
                  </w:tcBorders>
                  <w:noWrap/>
                  <w:vAlign w:val="center"/>
                </w:tcPr>
                <w:p w14:paraId="1F4782A4">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b/>
                      <w:color w:val="auto"/>
                      <w:sz w:val="21"/>
                      <w:szCs w:val="21"/>
                    </w:rPr>
                  </w:pPr>
                  <w:r>
                    <w:rPr>
                      <w:b/>
                      <w:color w:val="auto"/>
                      <w:sz w:val="21"/>
                      <w:szCs w:val="21"/>
                    </w:rPr>
                    <w:t>警告图形符号</w:t>
                  </w:r>
                </w:p>
              </w:tc>
              <w:tc>
                <w:tcPr>
                  <w:tcW w:w="950" w:type="pct"/>
                  <w:tcBorders>
                    <w:tl2br w:val="nil"/>
                    <w:tr2bl w:val="nil"/>
                  </w:tcBorders>
                  <w:noWrap/>
                  <w:vAlign w:val="center"/>
                </w:tcPr>
                <w:p w14:paraId="055F665E">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b/>
                      <w:color w:val="auto"/>
                      <w:sz w:val="21"/>
                      <w:szCs w:val="21"/>
                    </w:rPr>
                  </w:pPr>
                  <w:r>
                    <w:rPr>
                      <w:b/>
                      <w:color w:val="auto"/>
                      <w:sz w:val="21"/>
                      <w:szCs w:val="21"/>
                    </w:rPr>
                    <w:t>名称</w:t>
                  </w:r>
                </w:p>
              </w:tc>
              <w:tc>
                <w:tcPr>
                  <w:tcW w:w="1168" w:type="pct"/>
                  <w:tcBorders>
                    <w:tl2br w:val="nil"/>
                    <w:tr2bl w:val="nil"/>
                  </w:tcBorders>
                  <w:noWrap/>
                  <w:vAlign w:val="center"/>
                </w:tcPr>
                <w:p w14:paraId="3B43C1FC">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b/>
                      <w:color w:val="auto"/>
                      <w:sz w:val="21"/>
                      <w:szCs w:val="21"/>
                    </w:rPr>
                  </w:pPr>
                  <w:r>
                    <w:rPr>
                      <w:b/>
                      <w:color w:val="auto"/>
                      <w:sz w:val="21"/>
                      <w:szCs w:val="21"/>
                    </w:rPr>
                    <w:t>功能</w:t>
                  </w:r>
                </w:p>
              </w:tc>
            </w:tr>
            <w:tr w14:paraId="278B6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449" w:type="pct"/>
                  <w:tcBorders>
                    <w:tl2br w:val="nil"/>
                    <w:tr2bl w:val="nil"/>
                  </w:tcBorders>
                  <w:noWrap/>
                  <w:vAlign w:val="center"/>
                </w:tcPr>
                <w:p w14:paraId="143B8A28">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color w:val="auto"/>
                      <w:sz w:val="21"/>
                      <w:szCs w:val="21"/>
                    </w:rPr>
                  </w:pPr>
                  <w:r>
                    <w:rPr>
                      <w:color w:val="auto"/>
                      <w:sz w:val="21"/>
                      <w:szCs w:val="21"/>
                    </w:rPr>
                    <w:t>1</w:t>
                  </w:r>
                </w:p>
              </w:tc>
              <w:tc>
                <w:tcPr>
                  <w:tcW w:w="1077" w:type="pct"/>
                  <w:tcBorders>
                    <w:tl2br w:val="nil"/>
                    <w:tr2bl w:val="nil"/>
                  </w:tcBorders>
                  <w:noWrap/>
                  <w:vAlign w:val="center"/>
                </w:tcPr>
                <w:p w14:paraId="5B41604A">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color w:val="auto"/>
                      <w:sz w:val="21"/>
                      <w:szCs w:val="21"/>
                    </w:rPr>
                  </w:pPr>
                  <w:r>
                    <w:rPr>
                      <w:color w:val="auto"/>
                      <w:sz w:val="21"/>
                      <w:szCs w:val="21"/>
                    </w:rPr>
                    <w:drawing>
                      <wp:inline distT="0" distB="0" distL="114300" distR="114300">
                        <wp:extent cx="848360" cy="857250"/>
                        <wp:effectExtent l="0" t="0" r="8890" b="0"/>
                        <wp:docPr id="124" name="图片 2" descr="说明: 说明: 说明: 1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2" descr="说明: 说明: 说明: 13001"/>
                                <pic:cNvPicPr>
                                  <a:picLocks noChangeAspect="1"/>
                                </pic:cNvPicPr>
                              </pic:nvPicPr>
                              <pic:blipFill>
                                <a:blip r:embed="rId23"/>
                                <a:stretch>
                                  <a:fillRect/>
                                </a:stretch>
                              </pic:blipFill>
                              <pic:spPr>
                                <a:xfrm>
                                  <a:off x="0" y="0"/>
                                  <a:ext cx="848360" cy="857250"/>
                                </a:xfrm>
                                <a:prstGeom prst="rect">
                                  <a:avLst/>
                                </a:prstGeom>
                                <a:noFill/>
                                <a:ln>
                                  <a:noFill/>
                                </a:ln>
                              </pic:spPr>
                            </pic:pic>
                          </a:graphicData>
                        </a:graphic>
                      </wp:inline>
                    </w:drawing>
                  </w:r>
                </w:p>
              </w:tc>
              <w:tc>
                <w:tcPr>
                  <w:tcW w:w="1354" w:type="pct"/>
                  <w:tcBorders>
                    <w:tl2br w:val="nil"/>
                    <w:tr2bl w:val="nil"/>
                  </w:tcBorders>
                  <w:noWrap/>
                  <w:vAlign w:val="center"/>
                </w:tcPr>
                <w:p w14:paraId="54F1BC6D">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color w:val="auto"/>
                      <w:sz w:val="21"/>
                      <w:szCs w:val="21"/>
                    </w:rPr>
                  </w:pPr>
                  <w:r>
                    <w:rPr>
                      <w:color w:val="auto"/>
                      <w:sz w:val="21"/>
                      <w:szCs w:val="21"/>
                    </w:rPr>
                    <w:drawing>
                      <wp:inline distT="0" distB="0" distL="114300" distR="114300">
                        <wp:extent cx="847090" cy="857250"/>
                        <wp:effectExtent l="0" t="0" r="10160" b="0"/>
                        <wp:docPr id="125" name="图片 3" descr="说明: 说明: 说明: 1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3" descr="说明: 说明: 说明: 13002"/>
                                <pic:cNvPicPr>
                                  <a:picLocks noChangeAspect="1"/>
                                </pic:cNvPicPr>
                              </pic:nvPicPr>
                              <pic:blipFill>
                                <a:blip r:embed="rId24"/>
                                <a:stretch>
                                  <a:fillRect/>
                                </a:stretch>
                              </pic:blipFill>
                              <pic:spPr>
                                <a:xfrm>
                                  <a:off x="0" y="0"/>
                                  <a:ext cx="847090" cy="857250"/>
                                </a:xfrm>
                                <a:prstGeom prst="rect">
                                  <a:avLst/>
                                </a:prstGeom>
                                <a:noFill/>
                                <a:ln>
                                  <a:noFill/>
                                </a:ln>
                              </pic:spPr>
                            </pic:pic>
                          </a:graphicData>
                        </a:graphic>
                      </wp:inline>
                    </w:drawing>
                  </w:r>
                </w:p>
              </w:tc>
              <w:tc>
                <w:tcPr>
                  <w:tcW w:w="950" w:type="pct"/>
                  <w:tcBorders>
                    <w:tl2br w:val="nil"/>
                    <w:tr2bl w:val="nil"/>
                  </w:tcBorders>
                  <w:noWrap/>
                  <w:vAlign w:val="center"/>
                </w:tcPr>
                <w:p w14:paraId="266E086E">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b w:val="0"/>
                      <w:bCs/>
                      <w:color w:val="auto"/>
                      <w:sz w:val="21"/>
                      <w:szCs w:val="21"/>
                    </w:rPr>
                  </w:pPr>
                  <w:r>
                    <w:rPr>
                      <w:b w:val="0"/>
                      <w:bCs/>
                      <w:color w:val="auto"/>
                      <w:sz w:val="21"/>
                      <w:szCs w:val="21"/>
                    </w:rPr>
                    <w:t>废水排放口</w:t>
                  </w:r>
                </w:p>
              </w:tc>
              <w:tc>
                <w:tcPr>
                  <w:tcW w:w="1168" w:type="pct"/>
                  <w:tcBorders>
                    <w:tl2br w:val="nil"/>
                    <w:tr2bl w:val="nil"/>
                  </w:tcBorders>
                  <w:noWrap/>
                  <w:vAlign w:val="center"/>
                </w:tcPr>
                <w:p w14:paraId="1DF5962B">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b w:val="0"/>
                      <w:bCs/>
                      <w:color w:val="auto"/>
                      <w:sz w:val="21"/>
                      <w:szCs w:val="21"/>
                    </w:rPr>
                  </w:pPr>
                  <w:r>
                    <w:rPr>
                      <w:b w:val="0"/>
                      <w:bCs/>
                      <w:color w:val="auto"/>
                      <w:sz w:val="21"/>
                      <w:szCs w:val="21"/>
                    </w:rPr>
                    <w:t>表示废水向水体排放</w:t>
                  </w:r>
                </w:p>
              </w:tc>
            </w:tr>
            <w:tr w14:paraId="3418A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16" w:hRule="atLeast"/>
                <w:jc w:val="center"/>
              </w:trPr>
              <w:tc>
                <w:tcPr>
                  <w:tcW w:w="449" w:type="pct"/>
                  <w:tcBorders>
                    <w:tl2br w:val="nil"/>
                    <w:tr2bl w:val="nil"/>
                  </w:tcBorders>
                  <w:noWrap/>
                  <w:vAlign w:val="center"/>
                </w:tcPr>
                <w:p w14:paraId="4734A62E">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color w:val="auto"/>
                      <w:sz w:val="21"/>
                      <w:szCs w:val="21"/>
                    </w:rPr>
                  </w:pPr>
                  <w:r>
                    <w:rPr>
                      <w:color w:val="auto"/>
                      <w:sz w:val="21"/>
                      <w:szCs w:val="21"/>
                    </w:rPr>
                    <w:t>2</w:t>
                  </w:r>
                </w:p>
              </w:tc>
              <w:tc>
                <w:tcPr>
                  <w:tcW w:w="1077" w:type="pct"/>
                  <w:tcBorders>
                    <w:tl2br w:val="nil"/>
                    <w:tr2bl w:val="nil"/>
                  </w:tcBorders>
                  <w:noWrap/>
                  <w:vAlign w:val="center"/>
                </w:tcPr>
                <w:p w14:paraId="159B4F87">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color w:val="auto"/>
                      <w:sz w:val="21"/>
                      <w:szCs w:val="21"/>
                    </w:rPr>
                  </w:pPr>
                  <w:r>
                    <w:rPr>
                      <w:color w:val="auto"/>
                      <w:sz w:val="21"/>
                      <w:szCs w:val="21"/>
                    </w:rPr>
                    <w:drawing>
                      <wp:inline distT="0" distB="0" distL="114300" distR="114300">
                        <wp:extent cx="848360" cy="857250"/>
                        <wp:effectExtent l="0" t="0" r="8890" b="0"/>
                        <wp:docPr id="126" name="图片 4" descr="说明: 说明: 说明: 1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4" descr="说明: 说明: 说明: 13003"/>
                                <pic:cNvPicPr>
                                  <a:picLocks noChangeAspect="1"/>
                                </pic:cNvPicPr>
                              </pic:nvPicPr>
                              <pic:blipFill>
                                <a:blip r:embed="rId25"/>
                                <a:stretch>
                                  <a:fillRect/>
                                </a:stretch>
                              </pic:blipFill>
                              <pic:spPr>
                                <a:xfrm>
                                  <a:off x="0" y="0"/>
                                  <a:ext cx="848360" cy="857250"/>
                                </a:xfrm>
                                <a:prstGeom prst="rect">
                                  <a:avLst/>
                                </a:prstGeom>
                                <a:noFill/>
                                <a:ln>
                                  <a:noFill/>
                                </a:ln>
                              </pic:spPr>
                            </pic:pic>
                          </a:graphicData>
                        </a:graphic>
                      </wp:inline>
                    </w:drawing>
                  </w:r>
                </w:p>
              </w:tc>
              <w:tc>
                <w:tcPr>
                  <w:tcW w:w="1354" w:type="pct"/>
                  <w:tcBorders>
                    <w:tl2br w:val="nil"/>
                    <w:tr2bl w:val="nil"/>
                  </w:tcBorders>
                  <w:noWrap/>
                  <w:vAlign w:val="center"/>
                </w:tcPr>
                <w:p w14:paraId="51F13A49">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color w:val="auto"/>
                      <w:sz w:val="21"/>
                      <w:szCs w:val="21"/>
                    </w:rPr>
                  </w:pPr>
                  <w:r>
                    <w:rPr>
                      <w:color w:val="auto"/>
                      <w:sz w:val="21"/>
                      <w:szCs w:val="21"/>
                    </w:rPr>
                    <w:drawing>
                      <wp:inline distT="0" distB="0" distL="114300" distR="114300">
                        <wp:extent cx="885825" cy="886460"/>
                        <wp:effectExtent l="0" t="0" r="9525" b="8890"/>
                        <wp:docPr id="127" name="图片 5" descr="说明: 说明: 说明: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5" descr="说明: 说明: 说明: 4"/>
                                <pic:cNvPicPr>
                                  <a:picLocks noChangeAspect="1"/>
                                </pic:cNvPicPr>
                              </pic:nvPicPr>
                              <pic:blipFill>
                                <a:blip r:embed="rId26"/>
                                <a:stretch>
                                  <a:fillRect/>
                                </a:stretch>
                              </pic:blipFill>
                              <pic:spPr>
                                <a:xfrm>
                                  <a:off x="0" y="0"/>
                                  <a:ext cx="885825" cy="886460"/>
                                </a:xfrm>
                                <a:prstGeom prst="rect">
                                  <a:avLst/>
                                </a:prstGeom>
                                <a:noFill/>
                                <a:ln>
                                  <a:noFill/>
                                </a:ln>
                              </pic:spPr>
                            </pic:pic>
                          </a:graphicData>
                        </a:graphic>
                      </wp:inline>
                    </w:drawing>
                  </w:r>
                </w:p>
              </w:tc>
              <w:tc>
                <w:tcPr>
                  <w:tcW w:w="950" w:type="pct"/>
                  <w:tcBorders>
                    <w:tl2br w:val="nil"/>
                    <w:tr2bl w:val="nil"/>
                  </w:tcBorders>
                  <w:noWrap/>
                  <w:vAlign w:val="center"/>
                </w:tcPr>
                <w:p w14:paraId="7E4A89A7">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b w:val="0"/>
                      <w:bCs/>
                      <w:color w:val="auto"/>
                      <w:sz w:val="21"/>
                      <w:szCs w:val="21"/>
                    </w:rPr>
                  </w:pPr>
                  <w:r>
                    <w:rPr>
                      <w:b w:val="0"/>
                      <w:bCs/>
                      <w:color w:val="auto"/>
                      <w:sz w:val="21"/>
                      <w:szCs w:val="21"/>
                    </w:rPr>
                    <w:t>废气排放口</w:t>
                  </w:r>
                </w:p>
              </w:tc>
              <w:tc>
                <w:tcPr>
                  <w:tcW w:w="1168" w:type="pct"/>
                  <w:tcBorders>
                    <w:tl2br w:val="nil"/>
                    <w:tr2bl w:val="nil"/>
                  </w:tcBorders>
                  <w:noWrap/>
                  <w:vAlign w:val="center"/>
                </w:tcPr>
                <w:p w14:paraId="2B2B7862">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b w:val="0"/>
                      <w:bCs/>
                      <w:color w:val="auto"/>
                      <w:sz w:val="21"/>
                      <w:szCs w:val="21"/>
                    </w:rPr>
                  </w:pPr>
                  <w:r>
                    <w:rPr>
                      <w:b w:val="0"/>
                      <w:bCs/>
                      <w:color w:val="auto"/>
                      <w:sz w:val="21"/>
                      <w:szCs w:val="21"/>
                    </w:rPr>
                    <w:t>表示废气向大气环境排放</w:t>
                  </w:r>
                </w:p>
              </w:tc>
            </w:tr>
            <w:tr w14:paraId="2730A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449" w:type="pct"/>
                  <w:tcBorders>
                    <w:tl2br w:val="nil"/>
                    <w:tr2bl w:val="nil"/>
                  </w:tcBorders>
                  <w:noWrap/>
                  <w:vAlign w:val="center"/>
                </w:tcPr>
                <w:p w14:paraId="7822674A">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color w:val="auto"/>
                      <w:sz w:val="21"/>
                      <w:szCs w:val="21"/>
                    </w:rPr>
                  </w:pPr>
                  <w:r>
                    <w:rPr>
                      <w:rFonts w:hint="eastAsia"/>
                      <w:color w:val="auto"/>
                      <w:sz w:val="21"/>
                      <w:szCs w:val="21"/>
                    </w:rPr>
                    <w:t>3</w:t>
                  </w:r>
                </w:p>
              </w:tc>
              <w:tc>
                <w:tcPr>
                  <w:tcW w:w="1077" w:type="pct"/>
                  <w:tcBorders>
                    <w:tl2br w:val="nil"/>
                    <w:tr2bl w:val="nil"/>
                  </w:tcBorders>
                  <w:noWrap/>
                  <w:vAlign w:val="center"/>
                </w:tcPr>
                <w:p w14:paraId="527ADB79">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color w:val="auto"/>
                      <w:sz w:val="21"/>
                      <w:szCs w:val="21"/>
                    </w:rPr>
                  </w:pPr>
                  <w:r>
                    <w:rPr>
                      <w:color w:val="auto"/>
                      <w:sz w:val="21"/>
                      <w:szCs w:val="21"/>
                    </w:rPr>
                    <w:drawing>
                      <wp:inline distT="0" distB="0" distL="114300" distR="114300">
                        <wp:extent cx="847725" cy="847725"/>
                        <wp:effectExtent l="0" t="0" r="9525" b="9525"/>
                        <wp:docPr id="128" name="图片 6" descr="说明: 说明: 说明: 200602201518049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6" descr="说明: 说明: 说明: 200602201518049853"/>
                                <pic:cNvPicPr>
                                  <a:picLocks noChangeAspect="1"/>
                                </pic:cNvPicPr>
                              </pic:nvPicPr>
                              <pic:blipFill>
                                <a:blip r:embed="rId27"/>
                                <a:stretch>
                                  <a:fillRect/>
                                </a:stretch>
                              </pic:blipFill>
                              <pic:spPr>
                                <a:xfrm>
                                  <a:off x="0" y="0"/>
                                  <a:ext cx="847725" cy="847725"/>
                                </a:xfrm>
                                <a:prstGeom prst="rect">
                                  <a:avLst/>
                                </a:prstGeom>
                                <a:noFill/>
                                <a:ln>
                                  <a:noFill/>
                                </a:ln>
                              </pic:spPr>
                            </pic:pic>
                          </a:graphicData>
                        </a:graphic>
                      </wp:inline>
                    </w:drawing>
                  </w:r>
                </w:p>
              </w:tc>
              <w:tc>
                <w:tcPr>
                  <w:tcW w:w="1354" w:type="pct"/>
                  <w:tcBorders>
                    <w:tl2br w:val="nil"/>
                    <w:tr2bl w:val="nil"/>
                  </w:tcBorders>
                  <w:noWrap/>
                  <w:vAlign w:val="center"/>
                </w:tcPr>
                <w:p w14:paraId="7988E7EA">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color w:val="auto"/>
                      <w:sz w:val="21"/>
                      <w:szCs w:val="21"/>
                    </w:rPr>
                  </w:pPr>
                  <w:r>
                    <w:rPr>
                      <w:color w:val="auto"/>
                      <w:sz w:val="21"/>
                      <w:szCs w:val="21"/>
                    </w:rPr>
                    <w:drawing>
                      <wp:inline distT="0" distB="0" distL="114300" distR="114300">
                        <wp:extent cx="952500" cy="845820"/>
                        <wp:effectExtent l="0" t="0" r="0" b="11430"/>
                        <wp:docPr id="129" name="图片 7" descr="说明: 说明: 说明: 200602201519018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7" descr="说明: 说明: 说明: 200602201519018631"/>
                                <pic:cNvPicPr>
                                  <a:picLocks noChangeAspect="1"/>
                                </pic:cNvPicPr>
                              </pic:nvPicPr>
                              <pic:blipFill>
                                <a:blip r:embed="rId28"/>
                                <a:stretch>
                                  <a:fillRect/>
                                </a:stretch>
                              </pic:blipFill>
                              <pic:spPr>
                                <a:xfrm>
                                  <a:off x="0" y="0"/>
                                  <a:ext cx="952500" cy="845820"/>
                                </a:xfrm>
                                <a:prstGeom prst="rect">
                                  <a:avLst/>
                                </a:prstGeom>
                                <a:noFill/>
                                <a:ln>
                                  <a:noFill/>
                                </a:ln>
                              </pic:spPr>
                            </pic:pic>
                          </a:graphicData>
                        </a:graphic>
                      </wp:inline>
                    </w:drawing>
                  </w:r>
                </w:p>
              </w:tc>
              <w:tc>
                <w:tcPr>
                  <w:tcW w:w="950" w:type="pct"/>
                  <w:tcBorders>
                    <w:tl2br w:val="nil"/>
                    <w:tr2bl w:val="nil"/>
                  </w:tcBorders>
                  <w:noWrap/>
                  <w:vAlign w:val="center"/>
                </w:tcPr>
                <w:p w14:paraId="40510935">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b w:val="0"/>
                      <w:bCs/>
                      <w:color w:val="auto"/>
                      <w:sz w:val="21"/>
                      <w:szCs w:val="21"/>
                    </w:rPr>
                  </w:pPr>
                  <w:r>
                    <w:rPr>
                      <w:b w:val="0"/>
                      <w:bCs/>
                      <w:color w:val="auto"/>
                      <w:sz w:val="21"/>
                      <w:szCs w:val="21"/>
                    </w:rPr>
                    <w:t>噪声排放源</w:t>
                  </w:r>
                </w:p>
              </w:tc>
              <w:tc>
                <w:tcPr>
                  <w:tcW w:w="1168" w:type="pct"/>
                  <w:tcBorders>
                    <w:tl2br w:val="nil"/>
                    <w:tr2bl w:val="nil"/>
                  </w:tcBorders>
                  <w:noWrap/>
                  <w:vAlign w:val="center"/>
                </w:tcPr>
                <w:p w14:paraId="0C63848A">
                  <w:pPr>
                    <w:pStyle w:val="72"/>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b w:val="0"/>
                      <w:bCs/>
                      <w:color w:val="auto"/>
                      <w:sz w:val="21"/>
                      <w:szCs w:val="21"/>
                    </w:rPr>
                  </w:pPr>
                  <w:r>
                    <w:rPr>
                      <w:b w:val="0"/>
                      <w:bCs/>
                      <w:color w:val="auto"/>
                      <w:sz w:val="21"/>
                      <w:szCs w:val="21"/>
                    </w:rPr>
                    <w:t>表示噪声向外环境排放</w:t>
                  </w:r>
                </w:p>
              </w:tc>
            </w:tr>
            <w:tr w14:paraId="74FBD4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449" w:type="pct"/>
                  <w:tcBorders>
                    <w:tl2br w:val="nil"/>
                    <w:tr2bl w:val="nil"/>
                  </w:tcBorders>
                  <w:noWrap/>
                  <w:vAlign w:val="center"/>
                </w:tcPr>
                <w:p w14:paraId="45E7C499">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4</w:t>
                  </w:r>
                </w:p>
              </w:tc>
              <w:tc>
                <w:tcPr>
                  <w:tcW w:w="1077" w:type="pct"/>
                  <w:tcBorders>
                    <w:tl2br w:val="nil"/>
                    <w:tr2bl w:val="nil"/>
                  </w:tcBorders>
                  <w:noWrap/>
                  <w:vAlign w:val="center"/>
                </w:tcPr>
                <w:p w14:paraId="1B538B1A">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ascii="Times New Roman" w:hAnsi="Times New Roman" w:eastAsia="宋体" w:cs="Times New Roman"/>
                      <w:color w:val="auto"/>
                      <w:kern w:val="2"/>
                      <w:sz w:val="21"/>
                      <w:szCs w:val="21"/>
                      <w:lang w:val="en-US" w:eastAsia="zh-CN" w:bidi="ar-SA"/>
                    </w:rPr>
                  </w:pPr>
                  <w:r>
                    <w:rPr>
                      <w:rFonts w:ascii="Times New Roman"/>
                      <w:color w:val="auto"/>
                      <w:sz w:val="21"/>
                      <w:szCs w:val="21"/>
                    </w:rPr>
                    <w:drawing>
                      <wp:inline distT="0" distB="0" distL="114300" distR="114300">
                        <wp:extent cx="842010" cy="842010"/>
                        <wp:effectExtent l="0" t="0" r="15240" b="15240"/>
                        <wp:docPr id="13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8"/>
                                <pic:cNvPicPr>
                                  <a:picLocks noChangeAspect="1"/>
                                </pic:cNvPicPr>
                              </pic:nvPicPr>
                              <pic:blipFill>
                                <a:blip r:embed="rId29"/>
                                <a:stretch>
                                  <a:fillRect/>
                                </a:stretch>
                              </pic:blipFill>
                              <pic:spPr>
                                <a:xfrm>
                                  <a:off x="0" y="0"/>
                                  <a:ext cx="842010" cy="842010"/>
                                </a:xfrm>
                                <a:prstGeom prst="rect">
                                  <a:avLst/>
                                </a:prstGeom>
                                <a:noFill/>
                                <a:ln>
                                  <a:noFill/>
                                </a:ln>
                              </pic:spPr>
                            </pic:pic>
                          </a:graphicData>
                        </a:graphic>
                      </wp:inline>
                    </w:drawing>
                  </w:r>
                </w:p>
              </w:tc>
              <w:tc>
                <w:tcPr>
                  <w:tcW w:w="1354" w:type="pct"/>
                  <w:tcBorders>
                    <w:tl2br w:val="nil"/>
                    <w:tr2bl w:val="nil"/>
                  </w:tcBorders>
                  <w:noWrap/>
                  <w:vAlign w:val="center"/>
                </w:tcPr>
                <w:p w14:paraId="2656705E">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ascii="Times New Roman" w:hAnsi="Times New Roman" w:eastAsia="宋体" w:cs="Times New Roman"/>
                      <w:color w:val="auto"/>
                      <w:kern w:val="2"/>
                      <w:sz w:val="21"/>
                      <w:szCs w:val="21"/>
                      <w:lang w:val="en-US" w:eastAsia="zh-CN" w:bidi="ar-SA"/>
                    </w:rPr>
                  </w:pPr>
                  <w:r>
                    <w:rPr>
                      <w:rFonts w:ascii="Times New Roman"/>
                      <w:color w:val="auto"/>
                      <w:sz w:val="21"/>
                      <w:szCs w:val="21"/>
                    </w:rPr>
                    <w:drawing>
                      <wp:inline distT="0" distB="0" distL="114300" distR="114300">
                        <wp:extent cx="895985" cy="852805"/>
                        <wp:effectExtent l="0" t="0" r="18415" b="4445"/>
                        <wp:docPr id="1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9"/>
                                <pic:cNvPicPr>
                                  <a:picLocks noChangeAspect="1"/>
                                </pic:cNvPicPr>
                              </pic:nvPicPr>
                              <pic:blipFill>
                                <a:blip r:embed="rId30"/>
                                <a:stretch>
                                  <a:fillRect/>
                                </a:stretch>
                              </pic:blipFill>
                              <pic:spPr>
                                <a:xfrm>
                                  <a:off x="0" y="0"/>
                                  <a:ext cx="895985" cy="852805"/>
                                </a:xfrm>
                                <a:prstGeom prst="rect">
                                  <a:avLst/>
                                </a:prstGeom>
                                <a:noFill/>
                                <a:ln>
                                  <a:noFill/>
                                </a:ln>
                              </pic:spPr>
                            </pic:pic>
                          </a:graphicData>
                        </a:graphic>
                      </wp:inline>
                    </w:drawing>
                  </w:r>
                </w:p>
              </w:tc>
              <w:tc>
                <w:tcPr>
                  <w:tcW w:w="950" w:type="pct"/>
                  <w:tcBorders>
                    <w:tl2br w:val="nil"/>
                    <w:tr2bl w:val="nil"/>
                  </w:tcBorders>
                  <w:noWrap/>
                  <w:vAlign w:val="center"/>
                </w:tcPr>
                <w:p w14:paraId="676CC9AD">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ascii="Times New Roman" w:hAnsi="Times New Roman" w:eastAsia="宋体" w:cs="Times New Roman"/>
                      <w:color w:val="auto"/>
                      <w:kern w:val="2"/>
                      <w:sz w:val="21"/>
                      <w:szCs w:val="21"/>
                      <w:lang w:val="en-US" w:eastAsia="zh-CN" w:bidi="ar-SA"/>
                    </w:rPr>
                  </w:pPr>
                  <w:r>
                    <w:rPr>
                      <w:rFonts w:ascii="Times New Roman"/>
                      <w:color w:val="auto"/>
                      <w:sz w:val="21"/>
                      <w:szCs w:val="21"/>
                    </w:rPr>
                    <w:t>一般固体废物</w:t>
                  </w:r>
                </w:p>
              </w:tc>
              <w:tc>
                <w:tcPr>
                  <w:tcW w:w="1168" w:type="pct"/>
                  <w:tcBorders>
                    <w:tl2br w:val="nil"/>
                    <w:tr2bl w:val="nil"/>
                  </w:tcBorders>
                  <w:noWrap/>
                  <w:vAlign w:val="center"/>
                </w:tcPr>
                <w:p w14:paraId="2DB3D2F8">
                  <w:pPr>
                    <w:keepNext w:val="0"/>
                    <w:keepLines w:val="0"/>
                    <w:pageBreakBefore w:val="0"/>
                    <w:widowControl w:val="0"/>
                    <w:kinsoku/>
                    <w:wordWrap/>
                    <w:overflowPunct/>
                    <w:topLinePunct w:val="0"/>
                    <w:bidi w:val="0"/>
                    <w:adjustRightInd/>
                    <w:snapToGrid/>
                    <w:spacing w:line="240" w:lineRule="auto"/>
                    <w:ind w:left="0" w:leftChars="0" w:firstLine="0" w:firstLineChars="0"/>
                    <w:jc w:val="center"/>
                    <w:textAlignment w:val="auto"/>
                    <w:rPr>
                      <w:rFonts w:ascii="Times New Roman" w:hAnsi="Times New Roman" w:eastAsia="宋体" w:cs="Times New Roman"/>
                      <w:color w:val="auto"/>
                      <w:kern w:val="2"/>
                      <w:sz w:val="21"/>
                      <w:szCs w:val="21"/>
                      <w:lang w:val="en-US" w:eastAsia="zh-CN" w:bidi="ar-SA"/>
                    </w:rPr>
                  </w:pPr>
                  <w:r>
                    <w:rPr>
                      <w:rFonts w:ascii="Times New Roman"/>
                      <w:color w:val="auto"/>
                      <w:sz w:val="21"/>
                      <w:szCs w:val="21"/>
                    </w:rPr>
                    <w:t>表示一般固体废物贮存、处置场</w:t>
                  </w:r>
                </w:p>
              </w:tc>
            </w:tr>
            <w:tr w14:paraId="586939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449" w:type="pct"/>
                  <w:tcBorders>
                    <w:tl2br w:val="nil"/>
                    <w:tr2bl w:val="nil"/>
                  </w:tcBorders>
                  <w:noWrap/>
                  <w:vAlign w:val="center"/>
                </w:tcPr>
                <w:p w14:paraId="305B2AD8">
                  <w:pPr>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color w:val="auto"/>
                      <w:sz w:val="21"/>
                      <w:szCs w:val="21"/>
                    </w:rPr>
                    <w:t>5</w:t>
                  </w:r>
                </w:p>
              </w:tc>
              <w:tc>
                <w:tcPr>
                  <w:tcW w:w="1077" w:type="pct"/>
                  <w:tcBorders>
                    <w:tl2br w:val="nil"/>
                    <w:tr2bl w:val="nil"/>
                  </w:tcBorders>
                  <w:noWrap/>
                  <w:vAlign w:val="center"/>
                </w:tcPr>
                <w:p w14:paraId="48C80D43">
                  <w:pPr>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ascii="Times New Roman" w:hAnsi="Times New Roman" w:eastAsia="宋体" w:cs="Times New Roman"/>
                      <w:color w:val="auto"/>
                      <w:kern w:val="2"/>
                      <w:sz w:val="21"/>
                      <w:szCs w:val="21"/>
                      <w:lang w:val="en-US" w:eastAsia="zh-CN" w:bidi="ar-SA"/>
                    </w:rPr>
                  </w:pPr>
                </w:p>
              </w:tc>
              <w:tc>
                <w:tcPr>
                  <w:tcW w:w="1354" w:type="pct"/>
                  <w:tcBorders>
                    <w:tl2br w:val="nil"/>
                    <w:tr2bl w:val="nil"/>
                  </w:tcBorders>
                  <w:noWrap/>
                  <w:vAlign w:val="center"/>
                </w:tcPr>
                <w:p w14:paraId="2F8D2A9F">
                  <w:pPr>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ascii="Times New Roman" w:hAnsi="Times New Roman" w:eastAsia="宋体" w:cs="Times New Roman"/>
                      <w:color w:val="auto"/>
                      <w:kern w:val="2"/>
                      <w:sz w:val="21"/>
                      <w:szCs w:val="21"/>
                      <w:lang w:val="en-US" w:eastAsia="zh-CN" w:bidi="ar-SA"/>
                    </w:rPr>
                  </w:pPr>
                  <w:r>
                    <w:rPr>
                      <w:color w:val="auto"/>
                      <w:sz w:val="21"/>
                      <w:szCs w:val="21"/>
                    </w:rPr>
                    <w:drawing>
                      <wp:inline distT="0" distB="0" distL="114300" distR="114300">
                        <wp:extent cx="1199515" cy="1050290"/>
                        <wp:effectExtent l="0" t="0" r="635" b="1651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pic:cNvPicPr>
                              </pic:nvPicPr>
                              <pic:blipFill>
                                <a:blip r:embed="rId31"/>
                                <a:stretch>
                                  <a:fillRect/>
                                </a:stretch>
                              </pic:blipFill>
                              <pic:spPr>
                                <a:xfrm>
                                  <a:off x="0" y="0"/>
                                  <a:ext cx="1199515" cy="1050290"/>
                                </a:xfrm>
                                <a:prstGeom prst="rect">
                                  <a:avLst/>
                                </a:prstGeom>
                                <a:noFill/>
                                <a:ln>
                                  <a:noFill/>
                                </a:ln>
                              </pic:spPr>
                            </pic:pic>
                          </a:graphicData>
                        </a:graphic>
                      </wp:inline>
                    </w:drawing>
                  </w:r>
                </w:p>
              </w:tc>
              <w:tc>
                <w:tcPr>
                  <w:tcW w:w="950" w:type="pct"/>
                  <w:tcBorders>
                    <w:tl2br w:val="nil"/>
                    <w:tr2bl w:val="nil"/>
                  </w:tcBorders>
                  <w:noWrap/>
                  <w:vAlign w:val="center"/>
                </w:tcPr>
                <w:p w14:paraId="308CD2C8">
                  <w:pPr>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ascii="Times New Roman" w:hAnsi="Times New Roman" w:eastAsia="宋体" w:cs="Times New Roman"/>
                      <w:color w:val="auto"/>
                      <w:kern w:val="2"/>
                      <w:sz w:val="21"/>
                      <w:szCs w:val="21"/>
                      <w:lang w:val="en-US" w:eastAsia="zh-CN" w:bidi="ar-SA"/>
                    </w:rPr>
                  </w:pPr>
                  <w:r>
                    <w:rPr>
                      <w:rFonts w:ascii="Times New Roman"/>
                      <w:color w:val="auto"/>
                      <w:sz w:val="21"/>
                      <w:szCs w:val="21"/>
                    </w:rPr>
                    <w:t>危险废物</w:t>
                  </w:r>
                </w:p>
              </w:tc>
              <w:tc>
                <w:tcPr>
                  <w:tcW w:w="1168" w:type="pct"/>
                  <w:tcBorders>
                    <w:tl2br w:val="nil"/>
                    <w:tr2bl w:val="nil"/>
                  </w:tcBorders>
                  <w:noWrap/>
                  <w:vAlign w:val="center"/>
                </w:tcPr>
                <w:p w14:paraId="79848C6F">
                  <w:pPr>
                    <w:keepNext w:val="0"/>
                    <w:keepLines w:val="0"/>
                    <w:pageBreakBefore w:val="0"/>
                    <w:widowControl w:val="0"/>
                    <w:kinsoku/>
                    <w:wordWrap/>
                    <w:overflowPunct/>
                    <w:topLinePunct w:val="0"/>
                    <w:bidi w:val="0"/>
                    <w:adjustRightInd/>
                    <w:snapToGrid/>
                    <w:spacing w:line="240" w:lineRule="auto"/>
                    <w:ind w:left="0" w:leftChars="0"/>
                    <w:jc w:val="center"/>
                    <w:textAlignment w:val="auto"/>
                    <w:rPr>
                      <w:rFonts w:ascii="Times New Roman" w:hAnsi="Times New Roman" w:eastAsia="宋体" w:cs="Times New Roman"/>
                      <w:color w:val="auto"/>
                      <w:kern w:val="2"/>
                      <w:sz w:val="21"/>
                      <w:szCs w:val="21"/>
                      <w:lang w:val="en-US" w:eastAsia="zh-CN" w:bidi="ar-SA"/>
                    </w:rPr>
                  </w:pPr>
                  <w:r>
                    <w:rPr>
                      <w:rFonts w:ascii="Times New Roman"/>
                      <w:color w:val="auto"/>
                      <w:sz w:val="21"/>
                      <w:szCs w:val="21"/>
                    </w:rPr>
                    <w:t>表示危险废物贮存、处置场</w:t>
                  </w:r>
                </w:p>
              </w:tc>
            </w:tr>
          </w:tbl>
          <w:p w14:paraId="66BF2AB2">
            <w:pPr>
              <w:pStyle w:val="17"/>
              <w:rPr>
                <w:highlight w:val="none"/>
              </w:rPr>
            </w:pPr>
          </w:p>
        </w:tc>
      </w:tr>
    </w:tbl>
    <w:p w14:paraId="7850CB05">
      <w:pPr>
        <w:pStyle w:val="3"/>
        <w:spacing w:before="0" w:after="0" w:line="360" w:lineRule="auto"/>
        <w:jc w:val="center"/>
        <w:rPr>
          <w:rFonts w:eastAsia="黑体"/>
          <w:b w:val="0"/>
          <w:bCs w:val="0"/>
          <w:color w:val="auto"/>
          <w:sz w:val="32"/>
          <w:highlight w:val="none"/>
          <w:u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06CAAD7">
      <w:pPr>
        <w:pStyle w:val="3"/>
        <w:spacing w:before="0" w:after="0" w:line="360" w:lineRule="auto"/>
        <w:jc w:val="center"/>
        <w:rPr>
          <w:color w:val="auto"/>
          <w:sz w:val="32"/>
          <w:highlight w:val="none"/>
          <w:u w:val="none"/>
        </w:rPr>
      </w:pPr>
      <w:bookmarkStart w:id="6" w:name="_Toc2381"/>
      <w:r>
        <w:rPr>
          <w:color w:val="auto"/>
          <w:sz w:val="32"/>
          <w:highlight w:val="none"/>
          <w:u w:val="none"/>
        </w:rPr>
        <w:t>五、环境保护措施监督检查清单</w:t>
      </w:r>
      <w:bookmarkEnd w:id="6"/>
    </w:p>
    <w:tbl>
      <w:tblPr>
        <w:tblStyle w:val="3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538"/>
        <w:gridCol w:w="1307"/>
        <w:gridCol w:w="2432"/>
        <w:gridCol w:w="2858"/>
      </w:tblGrid>
      <w:tr w14:paraId="1003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936" w:type="dxa"/>
            <w:vAlign w:val="center"/>
          </w:tcPr>
          <w:p w14:paraId="053FB0F8">
            <w:pPr>
              <w:spacing w:line="360" w:lineRule="auto"/>
              <w:jc w:val="center"/>
              <w:rPr>
                <w:b/>
                <w:bCs/>
                <w:color w:val="auto"/>
                <w:kern w:val="0"/>
                <w:sz w:val="24"/>
                <w:szCs w:val="24"/>
                <w:highlight w:val="none"/>
                <w:u w:val="none"/>
              </w:rPr>
            </w:pPr>
            <w:r>
              <w:rPr>
                <w:rFonts w:hint="eastAsia"/>
                <w:b/>
                <w:bCs/>
                <w:color w:val="auto"/>
                <w:kern w:val="0"/>
                <w:sz w:val="24"/>
                <w:szCs w:val="24"/>
                <w:highlight w:val="none"/>
                <w:u w:val="none"/>
              </w:rPr>
              <w:t>要素</w:t>
            </w:r>
          </w:p>
          <w:p w14:paraId="236C82BD">
            <w:pPr>
              <w:spacing w:line="360" w:lineRule="auto"/>
              <w:jc w:val="center"/>
              <w:rPr>
                <w:b/>
                <w:bCs/>
                <w:color w:val="auto"/>
                <w:kern w:val="0"/>
                <w:sz w:val="24"/>
                <w:szCs w:val="24"/>
                <w:highlight w:val="none"/>
                <w:u w:val="none"/>
              </w:rPr>
            </w:pPr>
            <w:r>
              <w:rPr>
                <w:rFonts w:hint="eastAsia"/>
                <w:b/>
                <w:bCs/>
                <w:color w:val="auto"/>
                <w:kern w:val="0"/>
                <w:sz w:val="24"/>
                <w:szCs w:val="24"/>
                <w:highlight w:val="none"/>
                <w:u w:val="none"/>
              </w:rPr>
              <w:t>内容</w:t>
            </w:r>
          </w:p>
        </w:tc>
        <w:tc>
          <w:tcPr>
            <w:tcW w:w="1538" w:type="dxa"/>
            <w:vAlign w:val="center"/>
          </w:tcPr>
          <w:p w14:paraId="4B50E8A0">
            <w:pPr>
              <w:spacing w:line="360" w:lineRule="auto"/>
              <w:jc w:val="center"/>
              <w:rPr>
                <w:b/>
                <w:bCs/>
                <w:color w:val="auto"/>
                <w:kern w:val="0"/>
                <w:sz w:val="24"/>
                <w:szCs w:val="24"/>
                <w:highlight w:val="none"/>
                <w:u w:val="none"/>
              </w:rPr>
            </w:pPr>
            <w:r>
              <w:rPr>
                <w:rFonts w:hint="eastAsia"/>
                <w:b/>
                <w:bCs/>
                <w:color w:val="auto"/>
                <w:kern w:val="0"/>
                <w:sz w:val="24"/>
                <w:szCs w:val="24"/>
                <w:highlight w:val="none"/>
                <w:u w:val="none"/>
              </w:rPr>
              <w:t>排放口（编号、名称）/污染源</w:t>
            </w:r>
          </w:p>
        </w:tc>
        <w:tc>
          <w:tcPr>
            <w:tcW w:w="1307" w:type="dxa"/>
            <w:vAlign w:val="center"/>
          </w:tcPr>
          <w:p w14:paraId="0A9A12ED">
            <w:pPr>
              <w:spacing w:line="360" w:lineRule="auto"/>
              <w:jc w:val="center"/>
              <w:rPr>
                <w:b/>
                <w:bCs/>
                <w:color w:val="auto"/>
                <w:kern w:val="0"/>
                <w:sz w:val="24"/>
                <w:szCs w:val="24"/>
                <w:highlight w:val="none"/>
                <w:u w:val="none"/>
              </w:rPr>
            </w:pPr>
            <w:r>
              <w:rPr>
                <w:rFonts w:hint="eastAsia"/>
                <w:b/>
                <w:bCs/>
                <w:color w:val="auto"/>
                <w:kern w:val="0"/>
                <w:sz w:val="24"/>
                <w:szCs w:val="24"/>
                <w:highlight w:val="none"/>
                <w:u w:val="none"/>
              </w:rPr>
              <w:t>污染物项目</w:t>
            </w:r>
          </w:p>
        </w:tc>
        <w:tc>
          <w:tcPr>
            <w:tcW w:w="2432" w:type="dxa"/>
            <w:vAlign w:val="center"/>
          </w:tcPr>
          <w:p w14:paraId="58BF8AA0">
            <w:pPr>
              <w:spacing w:line="360" w:lineRule="auto"/>
              <w:jc w:val="center"/>
              <w:rPr>
                <w:b/>
                <w:bCs/>
                <w:color w:val="auto"/>
                <w:kern w:val="0"/>
                <w:sz w:val="24"/>
                <w:szCs w:val="24"/>
                <w:highlight w:val="none"/>
                <w:u w:val="none"/>
              </w:rPr>
            </w:pPr>
            <w:r>
              <w:rPr>
                <w:rFonts w:hint="eastAsia"/>
                <w:b/>
                <w:bCs/>
                <w:color w:val="auto"/>
                <w:kern w:val="0"/>
                <w:sz w:val="24"/>
                <w:szCs w:val="24"/>
                <w:highlight w:val="none"/>
                <w:u w:val="none"/>
              </w:rPr>
              <w:t>环境保护措施</w:t>
            </w:r>
          </w:p>
        </w:tc>
        <w:tc>
          <w:tcPr>
            <w:tcW w:w="2858" w:type="dxa"/>
            <w:vAlign w:val="center"/>
          </w:tcPr>
          <w:p w14:paraId="206708E3">
            <w:pPr>
              <w:spacing w:line="360" w:lineRule="auto"/>
              <w:jc w:val="center"/>
              <w:rPr>
                <w:b/>
                <w:bCs/>
                <w:color w:val="auto"/>
                <w:kern w:val="0"/>
                <w:sz w:val="24"/>
                <w:szCs w:val="24"/>
                <w:highlight w:val="none"/>
                <w:u w:val="none"/>
              </w:rPr>
            </w:pPr>
            <w:r>
              <w:rPr>
                <w:rFonts w:hint="eastAsia"/>
                <w:b/>
                <w:bCs/>
                <w:color w:val="auto"/>
                <w:kern w:val="0"/>
                <w:sz w:val="24"/>
                <w:szCs w:val="24"/>
                <w:highlight w:val="none"/>
                <w:u w:val="none"/>
              </w:rPr>
              <w:t>执行标准</w:t>
            </w:r>
          </w:p>
        </w:tc>
      </w:tr>
      <w:tr w14:paraId="7998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36" w:type="dxa"/>
            <w:vMerge w:val="restart"/>
            <w:vAlign w:val="center"/>
          </w:tcPr>
          <w:p w14:paraId="5EFB091F">
            <w:pPr>
              <w:spacing w:line="360" w:lineRule="auto"/>
              <w:jc w:val="center"/>
              <w:rPr>
                <w:color w:val="auto"/>
                <w:kern w:val="0"/>
                <w:sz w:val="24"/>
                <w:szCs w:val="24"/>
                <w:highlight w:val="none"/>
                <w:u w:val="none"/>
              </w:rPr>
            </w:pPr>
            <w:r>
              <w:rPr>
                <w:rFonts w:hint="eastAsia"/>
                <w:color w:val="auto"/>
                <w:kern w:val="0"/>
                <w:sz w:val="24"/>
                <w:szCs w:val="24"/>
                <w:highlight w:val="none"/>
                <w:u w:val="none"/>
              </w:rPr>
              <w:t>大气环境</w:t>
            </w:r>
          </w:p>
        </w:tc>
        <w:tc>
          <w:tcPr>
            <w:tcW w:w="1538" w:type="dxa"/>
            <w:vAlign w:val="center"/>
          </w:tcPr>
          <w:p w14:paraId="4AFB8961">
            <w:pPr>
              <w:pStyle w:val="96"/>
              <w:snapToGrid w:val="0"/>
              <w:jc w:val="center"/>
              <w:rPr>
                <w:rFonts w:hint="default"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注塑</w:t>
            </w:r>
            <w:r>
              <w:rPr>
                <w:rFonts w:hint="eastAsia" w:cs="Times New Roman"/>
                <w:color w:val="auto"/>
                <w:kern w:val="2"/>
                <w:sz w:val="24"/>
                <w:szCs w:val="24"/>
                <w:highlight w:val="none"/>
                <w:u w:val="none"/>
                <w:lang w:val="en-US" w:eastAsia="zh-CN" w:bidi="ar-SA"/>
              </w:rPr>
              <w:t>DA001</w:t>
            </w:r>
          </w:p>
        </w:tc>
        <w:tc>
          <w:tcPr>
            <w:tcW w:w="1307" w:type="dxa"/>
            <w:vAlign w:val="center"/>
          </w:tcPr>
          <w:p w14:paraId="7EAA79FA">
            <w:pPr>
              <w:keepNext w:val="0"/>
              <w:keepLines w:val="0"/>
              <w:pageBreakBefore w:val="0"/>
              <w:widowControl/>
              <w:kinsoku/>
              <w:wordWrap/>
              <w:overflowPunct/>
              <w:topLinePunct w:val="0"/>
              <w:autoSpaceDE w:val="0"/>
              <w:autoSpaceDN w:val="0"/>
              <w:bidi w:val="0"/>
              <w:adjustRightInd w:val="0"/>
              <w:snapToGrid/>
              <w:spacing w:line="240" w:lineRule="auto"/>
              <w:jc w:val="center"/>
              <w:textAlignment w:val="auto"/>
              <w:rPr>
                <w:rFonts w:hint="default"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非甲烷总烃</w:t>
            </w:r>
            <w:r>
              <w:rPr>
                <w:rFonts w:hint="eastAsia" w:cs="Times New Roman"/>
                <w:color w:val="auto"/>
                <w:kern w:val="2"/>
                <w:sz w:val="24"/>
                <w:szCs w:val="24"/>
                <w:highlight w:val="none"/>
                <w:u w:val="none"/>
                <w:lang w:val="en-US" w:eastAsia="zh-CN" w:bidi="ar-SA"/>
              </w:rPr>
              <w:t>、甲醛、乙醛、酚类、四氢呋喃</w:t>
            </w:r>
          </w:p>
        </w:tc>
        <w:tc>
          <w:tcPr>
            <w:tcW w:w="2432" w:type="dxa"/>
            <w:vAlign w:val="center"/>
          </w:tcPr>
          <w:p w14:paraId="1CFB23EC">
            <w:pPr>
              <w:pStyle w:val="96"/>
              <w:snapToGrid w:val="0"/>
              <w:jc w:val="center"/>
              <w:rPr>
                <w:color w:val="auto"/>
                <w:kern w:val="0"/>
                <w:sz w:val="24"/>
                <w:szCs w:val="24"/>
                <w:highlight w:val="none"/>
                <w:u w:val="none"/>
              </w:rPr>
            </w:pPr>
            <w:r>
              <w:rPr>
                <w:rFonts w:hint="eastAsia" w:ascii="Times New Roman" w:hAnsi="Times New Roman" w:eastAsia="宋体" w:cs="Times New Roman"/>
                <w:b w:val="0"/>
                <w:bCs w:val="0"/>
                <w:color w:val="auto"/>
                <w:sz w:val="24"/>
                <w:szCs w:val="24"/>
                <w:highlight w:val="none"/>
                <w:u w:val="none" w:color="auto"/>
                <w:lang w:val="en-US" w:eastAsia="zh-CN"/>
              </w:rPr>
              <w:t>经集气罩收集后</w:t>
            </w:r>
            <w:r>
              <w:rPr>
                <w:rFonts w:hint="eastAsia" w:cs="Times New Roman"/>
                <w:b w:val="0"/>
                <w:bCs w:val="0"/>
                <w:color w:val="auto"/>
                <w:sz w:val="24"/>
                <w:szCs w:val="24"/>
                <w:highlight w:val="none"/>
                <w:u w:val="none" w:color="auto"/>
                <w:lang w:val="en-US" w:eastAsia="zh-CN"/>
              </w:rPr>
              <w:t>二级</w:t>
            </w:r>
            <w:r>
              <w:rPr>
                <w:rFonts w:hint="eastAsia" w:eastAsia="宋体" w:cs="Times New Roman"/>
                <w:b w:val="0"/>
                <w:bCs w:val="0"/>
                <w:color w:val="auto"/>
                <w:sz w:val="24"/>
                <w:szCs w:val="24"/>
                <w:highlight w:val="none"/>
                <w:u w:val="none" w:color="auto"/>
                <w:lang w:val="en-US" w:eastAsia="zh-CN"/>
              </w:rPr>
              <w:t>活性炭吸附装置</w:t>
            </w:r>
            <w:r>
              <w:rPr>
                <w:rFonts w:hint="eastAsia" w:ascii="Times New Roman" w:hAnsi="Times New Roman" w:eastAsia="宋体" w:cs="Times New Roman"/>
                <w:b w:val="0"/>
                <w:bCs w:val="0"/>
                <w:color w:val="auto"/>
                <w:sz w:val="24"/>
                <w:szCs w:val="24"/>
                <w:highlight w:val="none"/>
                <w:u w:val="none" w:color="auto"/>
                <w:lang w:val="en-US" w:eastAsia="zh-CN"/>
              </w:rPr>
              <w:t>处理，通过</w:t>
            </w:r>
            <w:r>
              <w:rPr>
                <w:rFonts w:hint="eastAsia" w:eastAsia="宋体" w:cs="Times New Roman"/>
                <w:b w:val="0"/>
                <w:bCs w:val="0"/>
                <w:color w:val="auto"/>
                <w:sz w:val="24"/>
                <w:szCs w:val="24"/>
                <w:highlight w:val="none"/>
                <w:u w:val="none" w:color="auto"/>
                <w:lang w:val="en-US" w:eastAsia="zh-CN"/>
              </w:rPr>
              <w:t>2</w:t>
            </w:r>
            <w:r>
              <w:rPr>
                <w:rFonts w:hint="eastAsia" w:cs="Times New Roman"/>
                <w:b w:val="0"/>
                <w:bCs w:val="0"/>
                <w:color w:val="auto"/>
                <w:sz w:val="24"/>
                <w:szCs w:val="24"/>
                <w:highlight w:val="none"/>
                <w:u w:val="none" w:color="auto"/>
                <w:lang w:val="en-US" w:eastAsia="zh-CN"/>
              </w:rPr>
              <w:t>5</w:t>
            </w:r>
            <w:r>
              <w:rPr>
                <w:rFonts w:hint="eastAsia" w:ascii="Times New Roman" w:hAnsi="Times New Roman" w:eastAsia="宋体" w:cs="Times New Roman"/>
                <w:b w:val="0"/>
                <w:bCs w:val="0"/>
                <w:color w:val="auto"/>
                <w:sz w:val="24"/>
                <w:szCs w:val="24"/>
                <w:highlight w:val="none"/>
                <w:u w:val="none" w:color="auto"/>
                <w:lang w:val="en-US" w:eastAsia="zh-CN"/>
              </w:rPr>
              <w:t>m高排气筒高空排放（DA00</w:t>
            </w:r>
            <w:r>
              <w:rPr>
                <w:rFonts w:hint="eastAsia" w:cs="Times New Roman"/>
                <w:b w:val="0"/>
                <w:bCs w:val="0"/>
                <w:color w:val="auto"/>
                <w:sz w:val="24"/>
                <w:szCs w:val="24"/>
                <w:highlight w:val="none"/>
                <w:u w:val="none" w:color="auto"/>
                <w:lang w:val="en-US" w:eastAsia="zh-CN"/>
              </w:rPr>
              <w:t>1</w:t>
            </w:r>
            <w:r>
              <w:rPr>
                <w:rFonts w:hint="eastAsia" w:ascii="Times New Roman" w:hAnsi="Times New Roman" w:eastAsia="宋体" w:cs="Times New Roman"/>
                <w:b w:val="0"/>
                <w:bCs w:val="0"/>
                <w:color w:val="auto"/>
                <w:sz w:val="24"/>
                <w:szCs w:val="24"/>
                <w:highlight w:val="none"/>
                <w:u w:val="none" w:color="auto"/>
                <w:lang w:val="en-US" w:eastAsia="zh-CN"/>
              </w:rPr>
              <w:t>）</w:t>
            </w:r>
          </w:p>
        </w:tc>
        <w:tc>
          <w:tcPr>
            <w:tcW w:w="2858" w:type="dxa"/>
            <w:vAlign w:val="center"/>
          </w:tcPr>
          <w:p w14:paraId="2C2E6B92">
            <w:pPr>
              <w:jc w:val="center"/>
              <w:rPr>
                <w:color w:val="auto"/>
                <w:sz w:val="24"/>
                <w:szCs w:val="24"/>
                <w:highlight w:val="none"/>
                <w:u w:val="none"/>
              </w:rPr>
            </w:pPr>
            <w:r>
              <w:rPr>
                <w:rFonts w:hint="eastAsia"/>
                <w:color w:val="auto"/>
                <w:sz w:val="24"/>
                <w:szCs w:val="24"/>
                <w:highlight w:val="none"/>
                <w:u w:val="none"/>
              </w:rPr>
              <w:t>《合成树脂工业污染物排放标准》（GB31572-2015，含 2024 年修改单）表5</w:t>
            </w:r>
          </w:p>
        </w:tc>
      </w:tr>
      <w:tr w14:paraId="19B2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36" w:type="dxa"/>
            <w:vMerge w:val="continue"/>
            <w:vAlign w:val="center"/>
          </w:tcPr>
          <w:p w14:paraId="426A5928">
            <w:pPr>
              <w:spacing w:line="360" w:lineRule="auto"/>
              <w:jc w:val="center"/>
              <w:rPr>
                <w:color w:val="auto"/>
                <w:kern w:val="0"/>
                <w:sz w:val="24"/>
                <w:szCs w:val="24"/>
                <w:highlight w:val="none"/>
                <w:u w:val="none"/>
              </w:rPr>
            </w:pPr>
          </w:p>
        </w:tc>
        <w:tc>
          <w:tcPr>
            <w:tcW w:w="1538" w:type="dxa"/>
            <w:vAlign w:val="center"/>
          </w:tcPr>
          <w:p w14:paraId="3060BAC4">
            <w:pPr>
              <w:jc w:val="center"/>
              <w:rPr>
                <w:rFonts w:hint="default"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点凡立水、烘烤、焊锡、</w:t>
            </w:r>
            <w:r>
              <w:rPr>
                <w:rFonts w:hint="eastAsia" w:cs="Times New Roman"/>
                <w:color w:val="auto"/>
                <w:kern w:val="2"/>
                <w:sz w:val="24"/>
                <w:szCs w:val="24"/>
                <w:highlight w:val="none"/>
                <w:u w:val="none"/>
                <w:lang w:val="en-US" w:eastAsia="zh-CN" w:bidi="ar-SA"/>
              </w:rPr>
              <w:t>激光</w:t>
            </w:r>
            <w:r>
              <w:rPr>
                <w:rFonts w:hint="eastAsia" w:ascii="Times New Roman" w:hAnsi="Times New Roman" w:eastAsia="宋体" w:cs="Times New Roman"/>
                <w:color w:val="auto"/>
                <w:kern w:val="2"/>
                <w:sz w:val="24"/>
                <w:szCs w:val="24"/>
                <w:highlight w:val="none"/>
                <w:u w:val="none"/>
                <w:lang w:val="en-US" w:eastAsia="zh-CN" w:bidi="ar-SA"/>
              </w:rPr>
              <w:t>工序</w:t>
            </w:r>
            <w:r>
              <w:rPr>
                <w:rFonts w:hint="eastAsia" w:cs="Times New Roman"/>
                <w:color w:val="auto"/>
                <w:kern w:val="2"/>
                <w:sz w:val="24"/>
                <w:szCs w:val="24"/>
                <w:highlight w:val="none"/>
                <w:u w:val="none"/>
                <w:lang w:val="en-US" w:eastAsia="zh-CN" w:bidi="ar-SA"/>
              </w:rPr>
              <w:t>DA002</w:t>
            </w:r>
          </w:p>
        </w:tc>
        <w:tc>
          <w:tcPr>
            <w:tcW w:w="1307" w:type="dxa"/>
            <w:vAlign w:val="center"/>
          </w:tcPr>
          <w:p w14:paraId="6C259121">
            <w:pPr>
              <w:jc w:val="center"/>
              <w:rPr>
                <w:rFonts w:hint="eastAsia" w:ascii="Times New Roman" w:hAnsi="Times New Roman" w:eastAsia="宋体" w:cs="Times New Roman"/>
                <w:color w:val="auto"/>
                <w:kern w:val="2"/>
                <w:sz w:val="24"/>
                <w:szCs w:val="24"/>
                <w:highlight w:val="none"/>
                <w:u w:val="none"/>
                <w:lang w:val="en-US" w:eastAsia="zh-CN" w:bidi="ar-SA"/>
              </w:rPr>
            </w:pPr>
            <w:r>
              <w:rPr>
                <w:rFonts w:hint="eastAsia" w:ascii="Times New Roman" w:hAnsi="Times New Roman" w:eastAsia="宋体" w:cs="Times New Roman"/>
                <w:color w:val="auto"/>
                <w:kern w:val="2"/>
                <w:sz w:val="24"/>
                <w:szCs w:val="24"/>
                <w:highlight w:val="none"/>
                <w:u w:val="none"/>
                <w:lang w:val="en-US" w:eastAsia="zh-CN" w:bidi="ar-SA"/>
              </w:rPr>
              <w:t>非甲烷总烃、颗粒物</w:t>
            </w:r>
          </w:p>
        </w:tc>
        <w:tc>
          <w:tcPr>
            <w:tcW w:w="2432" w:type="dxa"/>
            <w:vAlign w:val="center"/>
          </w:tcPr>
          <w:p w14:paraId="3C13832D">
            <w:pPr>
              <w:pStyle w:val="96"/>
              <w:snapToGrid w:val="0"/>
              <w:jc w:val="center"/>
              <w:rPr>
                <w:color w:val="auto"/>
                <w:sz w:val="24"/>
                <w:szCs w:val="24"/>
                <w:highlight w:val="none"/>
                <w:u w:val="none"/>
              </w:rPr>
            </w:pPr>
            <w:r>
              <w:rPr>
                <w:rFonts w:hint="eastAsia" w:ascii="Times New Roman" w:hAnsi="Times New Roman" w:eastAsia="宋体" w:cs="Times New Roman"/>
                <w:b w:val="0"/>
                <w:bCs w:val="0"/>
                <w:color w:val="auto"/>
                <w:sz w:val="24"/>
                <w:szCs w:val="24"/>
                <w:highlight w:val="none"/>
                <w:u w:val="none" w:color="auto"/>
                <w:lang w:val="en-US" w:eastAsia="zh-CN"/>
              </w:rPr>
              <w:t>经集气罩收集后</w:t>
            </w:r>
            <w:r>
              <w:rPr>
                <w:rFonts w:hint="eastAsia" w:cs="Times New Roman"/>
                <w:b w:val="0"/>
                <w:bCs w:val="0"/>
                <w:color w:val="auto"/>
                <w:sz w:val="24"/>
                <w:szCs w:val="24"/>
                <w:highlight w:val="none"/>
                <w:u w:val="none" w:color="auto"/>
                <w:lang w:val="en-US" w:eastAsia="zh-CN"/>
              </w:rPr>
              <w:t>二级</w:t>
            </w:r>
            <w:r>
              <w:rPr>
                <w:rFonts w:hint="eastAsia" w:eastAsia="宋体" w:cs="Times New Roman"/>
                <w:b w:val="0"/>
                <w:bCs w:val="0"/>
                <w:color w:val="auto"/>
                <w:sz w:val="24"/>
                <w:szCs w:val="24"/>
                <w:highlight w:val="none"/>
                <w:u w:val="none" w:color="auto"/>
                <w:lang w:val="en-US" w:eastAsia="zh-CN"/>
              </w:rPr>
              <w:t>活性炭吸附装置</w:t>
            </w:r>
            <w:r>
              <w:rPr>
                <w:rFonts w:hint="eastAsia" w:ascii="Times New Roman" w:hAnsi="Times New Roman" w:eastAsia="宋体" w:cs="Times New Roman"/>
                <w:b w:val="0"/>
                <w:bCs w:val="0"/>
                <w:color w:val="auto"/>
                <w:sz w:val="24"/>
                <w:szCs w:val="24"/>
                <w:highlight w:val="none"/>
                <w:u w:val="none" w:color="auto"/>
                <w:lang w:val="en-US" w:eastAsia="zh-CN"/>
              </w:rPr>
              <w:t>处理，通过</w:t>
            </w:r>
            <w:r>
              <w:rPr>
                <w:rFonts w:hint="eastAsia" w:eastAsia="宋体" w:cs="Times New Roman"/>
                <w:b w:val="0"/>
                <w:bCs w:val="0"/>
                <w:color w:val="auto"/>
                <w:sz w:val="24"/>
                <w:szCs w:val="24"/>
                <w:highlight w:val="none"/>
                <w:u w:val="none" w:color="auto"/>
                <w:lang w:val="en-US" w:eastAsia="zh-CN"/>
              </w:rPr>
              <w:t>2</w:t>
            </w:r>
            <w:r>
              <w:rPr>
                <w:rFonts w:hint="eastAsia" w:cs="Times New Roman"/>
                <w:b w:val="0"/>
                <w:bCs w:val="0"/>
                <w:color w:val="auto"/>
                <w:sz w:val="24"/>
                <w:szCs w:val="24"/>
                <w:highlight w:val="none"/>
                <w:u w:val="none" w:color="auto"/>
                <w:lang w:val="en-US" w:eastAsia="zh-CN"/>
              </w:rPr>
              <w:t>5</w:t>
            </w:r>
            <w:r>
              <w:rPr>
                <w:rFonts w:hint="eastAsia" w:ascii="Times New Roman" w:hAnsi="Times New Roman" w:eastAsia="宋体" w:cs="Times New Roman"/>
                <w:b w:val="0"/>
                <w:bCs w:val="0"/>
                <w:color w:val="auto"/>
                <w:sz w:val="24"/>
                <w:szCs w:val="24"/>
                <w:highlight w:val="none"/>
                <w:u w:val="none" w:color="auto"/>
                <w:lang w:val="en-US" w:eastAsia="zh-CN"/>
              </w:rPr>
              <w:t>m高排气筒高空排放（DA00</w:t>
            </w:r>
            <w:r>
              <w:rPr>
                <w:rFonts w:hint="eastAsia" w:cs="Times New Roman"/>
                <w:b w:val="0"/>
                <w:bCs w:val="0"/>
                <w:color w:val="auto"/>
                <w:sz w:val="24"/>
                <w:szCs w:val="24"/>
                <w:highlight w:val="none"/>
                <w:u w:val="none" w:color="auto"/>
                <w:lang w:val="en-US" w:eastAsia="zh-CN"/>
              </w:rPr>
              <w:t>2</w:t>
            </w:r>
            <w:r>
              <w:rPr>
                <w:rFonts w:hint="eastAsia" w:ascii="Times New Roman" w:hAnsi="Times New Roman" w:eastAsia="宋体" w:cs="Times New Roman"/>
                <w:b w:val="0"/>
                <w:bCs w:val="0"/>
                <w:color w:val="auto"/>
                <w:sz w:val="24"/>
                <w:szCs w:val="24"/>
                <w:highlight w:val="none"/>
                <w:u w:val="none" w:color="auto"/>
                <w:lang w:val="en-US" w:eastAsia="zh-CN"/>
              </w:rPr>
              <w:t>）</w:t>
            </w:r>
          </w:p>
        </w:tc>
        <w:tc>
          <w:tcPr>
            <w:tcW w:w="2858" w:type="dxa"/>
            <w:vAlign w:val="center"/>
          </w:tcPr>
          <w:p w14:paraId="29F3CC39">
            <w:pPr>
              <w:jc w:val="center"/>
              <w:rPr>
                <w:color w:val="auto"/>
                <w:sz w:val="24"/>
                <w:szCs w:val="24"/>
                <w:highlight w:val="none"/>
                <w:u w:val="none"/>
              </w:rPr>
            </w:pPr>
            <w:r>
              <w:rPr>
                <w:rFonts w:hint="eastAsia" w:ascii="Times New Roman" w:hAnsi="Times New Roman" w:eastAsia="宋体" w:cs="Times New Roman"/>
                <w:color w:val="auto"/>
                <w:sz w:val="24"/>
                <w:szCs w:val="24"/>
                <w:highlight w:val="none"/>
                <w:lang w:val="en-US" w:eastAsia="zh-CN"/>
              </w:rPr>
              <w:t>《大气污染物综合排放标准》</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GB16297- 1996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中表2新污染源大气污染物排放限值中二级标准要求</w:t>
            </w:r>
          </w:p>
        </w:tc>
      </w:tr>
      <w:tr w14:paraId="308D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36" w:type="dxa"/>
            <w:vMerge w:val="continue"/>
            <w:vAlign w:val="center"/>
          </w:tcPr>
          <w:p w14:paraId="1DD6F8D1">
            <w:pPr>
              <w:spacing w:line="360" w:lineRule="auto"/>
              <w:jc w:val="center"/>
              <w:rPr>
                <w:color w:val="auto"/>
                <w:kern w:val="0"/>
                <w:sz w:val="24"/>
                <w:szCs w:val="24"/>
                <w:highlight w:val="none"/>
                <w:u w:val="none"/>
              </w:rPr>
            </w:pPr>
          </w:p>
        </w:tc>
        <w:tc>
          <w:tcPr>
            <w:tcW w:w="1538" w:type="dxa"/>
            <w:vAlign w:val="center"/>
          </w:tcPr>
          <w:p w14:paraId="03A1D0A3">
            <w:pPr>
              <w:jc w:val="center"/>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eastAsia="宋体" w:cs="Times New Roman"/>
                <w:color w:val="auto"/>
                <w:sz w:val="24"/>
                <w:szCs w:val="24"/>
                <w:highlight w:val="none"/>
                <w:u w:val="none"/>
                <w:lang w:val="en-US" w:eastAsia="zh-CN"/>
              </w:rPr>
              <w:t>喷砂</w:t>
            </w:r>
          </w:p>
        </w:tc>
        <w:tc>
          <w:tcPr>
            <w:tcW w:w="1307" w:type="dxa"/>
            <w:vAlign w:val="center"/>
          </w:tcPr>
          <w:p w14:paraId="77BF6BA8">
            <w:pPr>
              <w:jc w:val="center"/>
              <w:rPr>
                <w:rFonts w:hint="eastAsia"/>
                <w:color w:val="auto"/>
                <w:sz w:val="24"/>
                <w:szCs w:val="24"/>
                <w:highlight w:val="none"/>
                <w:u w:val="none"/>
              </w:rPr>
            </w:pPr>
            <w:r>
              <w:rPr>
                <w:rFonts w:hint="eastAsia"/>
                <w:color w:val="auto"/>
                <w:sz w:val="24"/>
                <w:szCs w:val="24"/>
                <w:highlight w:val="none"/>
                <w:u w:val="none"/>
                <w:lang w:val="en-US" w:eastAsia="zh-CN"/>
              </w:rPr>
              <w:t>颗粒物</w:t>
            </w:r>
          </w:p>
        </w:tc>
        <w:tc>
          <w:tcPr>
            <w:tcW w:w="2432" w:type="dxa"/>
            <w:vAlign w:val="center"/>
          </w:tcPr>
          <w:p w14:paraId="62098870">
            <w:pPr>
              <w:pStyle w:val="96"/>
              <w:snapToGrid w:val="0"/>
              <w:jc w:val="center"/>
              <w:rPr>
                <w:rFonts w:hint="default" w:ascii="Times New Roman" w:hAnsi="Times New Roman" w:eastAsia="宋体" w:cs="Times New Roman"/>
                <w:b w:val="0"/>
                <w:bCs w:val="0"/>
                <w:color w:val="auto"/>
                <w:sz w:val="24"/>
                <w:szCs w:val="24"/>
                <w:highlight w:val="none"/>
                <w:u w:val="none" w:color="auto"/>
                <w:lang w:val="zh-CN" w:eastAsia="zh-CN"/>
              </w:rPr>
            </w:pPr>
            <w:r>
              <w:rPr>
                <w:rFonts w:hint="default" w:ascii="Times New Roman" w:hAnsi="Times New Roman" w:eastAsia="宋体" w:cs="Times New Roman"/>
                <w:b w:val="0"/>
                <w:bCs w:val="0"/>
                <w:color w:val="auto"/>
                <w:sz w:val="24"/>
                <w:szCs w:val="24"/>
                <w:highlight w:val="none"/>
                <w:u w:val="none" w:color="auto"/>
                <w:lang w:val="zh-CN" w:eastAsia="zh-CN"/>
              </w:rPr>
              <w:t>喷砂机自带旋风除尘系统</w:t>
            </w:r>
            <w:r>
              <w:rPr>
                <w:rFonts w:hint="eastAsia" w:ascii="Times New Roman" w:hAnsi="Times New Roman" w:eastAsia="宋体" w:cs="Times New Roman"/>
                <w:b w:val="0"/>
                <w:bCs w:val="0"/>
                <w:color w:val="auto"/>
                <w:sz w:val="24"/>
                <w:szCs w:val="24"/>
                <w:highlight w:val="none"/>
                <w:u w:val="none" w:color="auto"/>
                <w:lang w:val="en-US" w:eastAsia="zh-CN"/>
              </w:rPr>
              <w:t>处理后无组织外排</w:t>
            </w:r>
          </w:p>
        </w:tc>
        <w:tc>
          <w:tcPr>
            <w:tcW w:w="2858" w:type="dxa"/>
            <w:vAlign w:val="center"/>
          </w:tcPr>
          <w:p w14:paraId="7D0BD2C4">
            <w:pPr>
              <w:jc w:val="center"/>
              <w:rPr>
                <w:rFonts w:hint="eastAsia" w:ascii="Times New Roman" w:hAnsi="Times New Roman" w:eastAsia="宋体" w:cs="Times New Roman"/>
                <w:color w:val="auto"/>
                <w:sz w:val="24"/>
                <w:szCs w:val="24"/>
                <w:highlight w:val="none"/>
                <w:lang w:val="en-US" w:eastAsia="zh-CN"/>
              </w:rPr>
            </w:pPr>
            <w:r>
              <w:rPr>
                <w:rFonts w:hint="eastAsia"/>
                <w:color w:val="auto"/>
                <w:sz w:val="24"/>
                <w:szCs w:val="24"/>
                <w:highlight w:val="none"/>
                <w:u w:val="none"/>
              </w:rPr>
              <w:t>《大气污染物综合排放标准》（GB16297-1996）表2中无组织排放限值</w:t>
            </w:r>
          </w:p>
        </w:tc>
      </w:tr>
      <w:tr w14:paraId="13E1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936" w:type="dxa"/>
            <w:vMerge w:val="continue"/>
            <w:vAlign w:val="center"/>
          </w:tcPr>
          <w:p w14:paraId="28221361">
            <w:pPr>
              <w:spacing w:line="360" w:lineRule="auto"/>
              <w:jc w:val="center"/>
              <w:rPr>
                <w:color w:val="auto"/>
                <w:kern w:val="0"/>
                <w:sz w:val="24"/>
                <w:szCs w:val="24"/>
                <w:highlight w:val="none"/>
                <w:u w:val="none"/>
              </w:rPr>
            </w:pPr>
          </w:p>
        </w:tc>
        <w:tc>
          <w:tcPr>
            <w:tcW w:w="1538" w:type="dxa"/>
            <w:vAlign w:val="center"/>
          </w:tcPr>
          <w:p w14:paraId="7EACCAB9">
            <w:pPr>
              <w:jc w:val="center"/>
              <w:rPr>
                <w:color w:val="auto"/>
                <w:kern w:val="0"/>
                <w:sz w:val="24"/>
                <w:szCs w:val="24"/>
                <w:highlight w:val="none"/>
                <w:u w:val="none"/>
              </w:rPr>
            </w:pPr>
            <w:r>
              <w:rPr>
                <w:rFonts w:hint="eastAsia"/>
                <w:color w:val="auto"/>
                <w:kern w:val="0"/>
                <w:sz w:val="24"/>
                <w:szCs w:val="24"/>
                <w:highlight w:val="none"/>
                <w:u w:val="none"/>
              </w:rPr>
              <w:t>臭气</w:t>
            </w:r>
          </w:p>
        </w:tc>
        <w:tc>
          <w:tcPr>
            <w:tcW w:w="1307" w:type="dxa"/>
            <w:vAlign w:val="center"/>
          </w:tcPr>
          <w:p w14:paraId="7AE18032">
            <w:pPr>
              <w:jc w:val="center"/>
              <w:rPr>
                <w:color w:val="auto"/>
                <w:kern w:val="0"/>
                <w:sz w:val="24"/>
                <w:szCs w:val="24"/>
                <w:highlight w:val="none"/>
                <w:u w:val="none"/>
              </w:rPr>
            </w:pPr>
            <w:r>
              <w:rPr>
                <w:rFonts w:hint="eastAsia"/>
                <w:color w:val="auto"/>
                <w:kern w:val="0"/>
                <w:sz w:val="24"/>
                <w:szCs w:val="24"/>
                <w:highlight w:val="none"/>
                <w:u w:val="none"/>
              </w:rPr>
              <w:t>臭气浓度</w:t>
            </w:r>
          </w:p>
        </w:tc>
        <w:tc>
          <w:tcPr>
            <w:tcW w:w="2432" w:type="dxa"/>
            <w:vAlign w:val="center"/>
          </w:tcPr>
          <w:p w14:paraId="53C4656A">
            <w:pPr>
              <w:jc w:val="center"/>
              <w:rPr>
                <w:color w:val="auto"/>
                <w:kern w:val="0"/>
                <w:sz w:val="24"/>
                <w:szCs w:val="24"/>
                <w:highlight w:val="none"/>
                <w:u w:val="none"/>
              </w:rPr>
            </w:pPr>
            <w:r>
              <w:rPr>
                <w:rFonts w:hint="eastAsia"/>
                <w:color w:val="auto"/>
                <w:kern w:val="0"/>
                <w:sz w:val="24"/>
                <w:szCs w:val="24"/>
                <w:highlight w:val="none"/>
                <w:u w:val="none"/>
              </w:rPr>
              <w:t>加强通风，安装排风扇</w:t>
            </w:r>
          </w:p>
        </w:tc>
        <w:tc>
          <w:tcPr>
            <w:tcW w:w="2858" w:type="dxa"/>
            <w:vAlign w:val="center"/>
          </w:tcPr>
          <w:p w14:paraId="2EC140C8">
            <w:pPr>
              <w:jc w:val="center"/>
              <w:rPr>
                <w:color w:val="auto"/>
                <w:kern w:val="0"/>
                <w:sz w:val="24"/>
                <w:szCs w:val="24"/>
                <w:highlight w:val="none"/>
                <w:u w:val="none"/>
              </w:rPr>
            </w:pPr>
            <w:r>
              <w:rPr>
                <w:rFonts w:hAnsi="宋体"/>
                <w:color w:val="auto"/>
                <w:sz w:val="24"/>
                <w:szCs w:val="24"/>
                <w:highlight w:val="none"/>
                <w:u w:val="none"/>
              </w:rPr>
              <w:t>《恶臭污染物排放标准》（</w:t>
            </w:r>
            <w:r>
              <w:rPr>
                <w:color w:val="auto"/>
                <w:sz w:val="24"/>
                <w:szCs w:val="24"/>
                <w:highlight w:val="none"/>
                <w:u w:val="none"/>
              </w:rPr>
              <w:t>GB14554-93</w:t>
            </w:r>
            <w:r>
              <w:rPr>
                <w:rFonts w:hAnsi="宋体"/>
                <w:color w:val="auto"/>
                <w:sz w:val="24"/>
                <w:szCs w:val="24"/>
                <w:highlight w:val="none"/>
                <w:u w:val="none"/>
              </w:rPr>
              <w:t>）</w:t>
            </w:r>
            <w:r>
              <w:rPr>
                <w:rFonts w:hint="eastAsia"/>
                <w:color w:val="auto"/>
                <w:sz w:val="24"/>
                <w:szCs w:val="24"/>
                <w:highlight w:val="none"/>
                <w:u w:val="none"/>
              </w:rPr>
              <w:t>标准</w:t>
            </w:r>
          </w:p>
        </w:tc>
      </w:tr>
      <w:tr w14:paraId="29D5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936" w:type="dxa"/>
            <w:vMerge w:val="restart"/>
            <w:vAlign w:val="center"/>
          </w:tcPr>
          <w:p w14:paraId="270D5AB9">
            <w:pPr>
              <w:spacing w:line="360" w:lineRule="auto"/>
              <w:jc w:val="center"/>
              <w:rPr>
                <w:color w:val="auto"/>
                <w:kern w:val="0"/>
                <w:sz w:val="24"/>
                <w:szCs w:val="24"/>
                <w:highlight w:val="none"/>
                <w:u w:val="none"/>
              </w:rPr>
            </w:pPr>
            <w:r>
              <w:rPr>
                <w:rFonts w:hint="eastAsia"/>
                <w:color w:val="auto"/>
                <w:kern w:val="0"/>
                <w:sz w:val="24"/>
                <w:szCs w:val="24"/>
                <w:highlight w:val="none"/>
                <w:u w:val="none"/>
              </w:rPr>
              <w:t>地表水环境</w:t>
            </w:r>
          </w:p>
        </w:tc>
        <w:tc>
          <w:tcPr>
            <w:tcW w:w="1538" w:type="dxa"/>
            <w:vMerge w:val="restart"/>
            <w:vAlign w:val="center"/>
          </w:tcPr>
          <w:p w14:paraId="095A83DD">
            <w:pPr>
              <w:spacing w:line="360" w:lineRule="auto"/>
              <w:jc w:val="center"/>
              <w:rPr>
                <w:color w:val="auto"/>
                <w:kern w:val="0"/>
                <w:sz w:val="24"/>
                <w:szCs w:val="24"/>
                <w:highlight w:val="none"/>
                <w:u w:val="none"/>
              </w:rPr>
            </w:pPr>
            <w:r>
              <w:rPr>
                <w:rFonts w:hint="eastAsia"/>
                <w:color w:val="auto"/>
                <w:kern w:val="0"/>
                <w:sz w:val="24"/>
                <w:szCs w:val="24"/>
                <w:highlight w:val="none"/>
                <w:u w:val="none"/>
              </w:rPr>
              <w:t>生活污水</w:t>
            </w:r>
          </w:p>
        </w:tc>
        <w:tc>
          <w:tcPr>
            <w:tcW w:w="1307" w:type="dxa"/>
            <w:vAlign w:val="center"/>
          </w:tcPr>
          <w:p w14:paraId="2AB303E5">
            <w:pPr>
              <w:widowControl/>
              <w:jc w:val="center"/>
              <w:rPr>
                <w:color w:val="auto"/>
                <w:kern w:val="0"/>
                <w:sz w:val="24"/>
                <w:szCs w:val="24"/>
                <w:highlight w:val="none"/>
                <w:u w:val="none"/>
              </w:rPr>
            </w:pPr>
            <w:r>
              <w:rPr>
                <w:color w:val="auto"/>
                <w:kern w:val="0"/>
                <w:sz w:val="24"/>
                <w:szCs w:val="24"/>
                <w:highlight w:val="none"/>
                <w:u w:val="none"/>
              </w:rPr>
              <w:t>CODcr</w:t>
            </w:r>
          </w:p>
        </w:tc>
        <w:tc>
          <w:tcPr>
            <w:tcW w:w="2432" w:type="dxa"/>
            <w:vMerge w:val="restart"/>
            <w:vAlign w:val="center"/>
          </w:tcPr>
          <w:p w14:paraId="79045720">
            <w:pPr>
              <w:jc w:val="center"/>
              <w:rPr>
                <w:rFonts w:hint="eastAsia" w:ascii="Times New Roman" w:hAnsi="Times New Roman" w:eastAsia="宋体" w:cs="Times New Roman"/>
                <w:color w:val="auto"/>
                <w:kern w:val="0"/>
                <w:sz w:val="24"/>
                <w:szCs w:val="24"/>
                <w:highlight w:val="none"/>
                <w:u w:val="none"/>
              </w:rPr>
            </w:pPr>
            <w:r>
              <w:rPr>
                <w:rFonts w:hint="eastAsia" w:ascii="Times New Roman" w:hAnsi="Times New Roman" w:eastAsia="宋体" w:cs="Times New Roman"/>
                <w:color w:val="auto"/>
                <w:kern w:val="0"/>
                <w:sz w:val="24"/>
                <w:szCs w:val="24"/>
                <w:highlight w:val="none"/>
                <w:u w:val="none"/>
              </w:rPr>
              <w:t>近期：经化粪池处理后排入市政污水管网最终进入下河线污水处理厂</w:t>
            </w:r>
            <w:r>
              <w:rPr>
                <w:rFonts w:hint="eastAsia" w:ascii="Times New Roman" w:hAnsi="Times New Roman" w:eastAsia="宋体" w:cs="Times New Roman"/>
                <w:color w:val="auto"/>
                <w:kern w:val="0"/>
                <w:sz w:val="24"/>
                <w:szCs w:val="24"/>
                <w:highlight w:val="none"/>
                <w:u w:val="none"/>
                <w:lang w:eastAsia="zh-CN"/>
              </w:rPr>
              <w:t>；</w:t>
            </w:r>
            <w:r>
              <w:rPr>
                <w:rFonts w:hint="eastAsia" w:ascii="Times New Roman" w:hAnsi="Times New Roman" w:eastAsia="宋体" w:cs="Times New Roman"/>
                <w:color w:val="auto"/>
                <w:kern w:val="0"/>
                <w:sz w:val="24"/>
                <w:szCs w:val="24"/>
                <w:highlight w:val="none"/>
                <w:u w:val="none"/>
              </w:rPr>
              <w:t>远期：经化粪池处理后排入市政污水管网最终进入</w:t>
            </w:r>
            <w:r>
              <w:rPr>
                <w:rFonts w:hint="eastAsia" w:ascii="Times New Roman" w:hAnsi="Times New Roman" w:eastAsia="宋体" w:cs="Times New Roman"/>
                <w:color w:val="auto"/>
                <w:kern w:val="0"/>
                <w:sz w:val="24"/>
                <w:szCs w:val="24"/>
                <w:highlight w:val="none"/>
                <w:u w:val="none"/>
                <w:lang w:val="en-US" w:eastAsia="zh-CN"/>
              </w:rPr>
              <w:t>永州经开区工业污水处理厂</w:t>
            </w:r>
          </w:p>
        </w:tc>
        <w:tc>
          <w:tcPr>
            <w:tcW w:w="2858" w:type="dxa"/>
            <w:vMerge w:val="restart"/>
            <w:vAlign w:val="center"/>
          </w:tcPr>
          <w:p w14:paraId="4A670722">
            <w:pPr>
              <w:jc w:val="center"/>
              <w:rPr>
                <w:rFonts w:hint="eastAsia" w:ascii="Times New Roman" w:hAnsi="Times New Roman" w:eastAsia="宋体" w:cs="Times New Roman"/>
                <w:color w:val="auto"/>
                <w:kern w:val="0"/>
                <w:sz w:val="24"/>
                <w:szCs w:val="24"/>
                <w:highlight w:val="none"/>
                <w:u w:val="none"/>
              </w:rPr>
            </w:pPr>
            <w:r>
              <w:rPr>
                <w:rFonts w:hint="eastAsia" w:ascii="Times New Roman" w:hAnsi="Times New Roman" w:eastAsia="宋体" w:cs="Times New Roman"/>
                <w:color w:val="auto"/>
                <w:kern w:val="0"/>
                <w:sz w:val="24"/>
                <w:szCs w:val="24"/>
                <w:highlight w:val="none"/>
                <w:u w:val="none"/>
              </w:rPr>
              <w:t>《电子工业水污染物排放标准》（GB 39731-2020）表1水污染物排放限值和《污水综合排放标准》（GB8978-1996）三级排放标准中较严值</w:t>
            </w:r>
          </w:p>
        </w:tc>
      </w:tr>
      <w:tr w14:paraId="2A06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936" w:type="dxa"/>
            <w:vMerge w:val="continue"/>
            <w:vAlign w:val="center"/>
          </w:tcPr>
          <w:p w14:paraId="047B176C">
            <w:pPr>
              <w:spacing w:line="360" w:lineRule="auto"/>
              <w:jc w:val="center"/>
              <w:rPr>
                <w:color w:val="auto"/>
                <w:sz w:val="24"/>
                <w:szCs w:val="24"/>
                <w:highlight w:val="none"/>
                <w:u w:val="none"/>
              </w:rPr>
            </w:pPr>
          </w:p>
        </w:tc>
        <w:tc>
          <w:tcPr>
            <w:tcW w:w="1538" w:type="dxa"/>
            <w:vMerge w:val="continue"/>
            <w:vAlign w:val="center"/>
          </w:tcPr>
          <w:p w14:paraId="47981AD1">
            <w:pPr>
              <w:spacing w:line="360" w:lineRule="auto"/>
              <w:jc w:val="center"/>
              <w:rPr>
                <w:color w:val="auto"/>
                <w:kern w:val="0"/>
                <w:sz w:val="24"/>
                <w:szCs w:val="24"/>
                <w:highlight w:val="none"/>
                <w:u w:val="none"/>
              </w:rPr>
            </w:pPr>
          </w:p>
        </w:tc>
        <w:tc>
          <w:tcPr>
            <w:tcW w:w="1307" w:type="dxa"/>
            <w:vAlign w:val="center"/>
          </w:tcPr>
          <w:p w14:paraId="428F80DE">
            <w:pPr>
              <w:widowControl/>
              <w:jc w:val="center"/>
              <w:rPr>
                <w:color w:val="auto"/>
                <w:kern w:val="0"/>
                <w:sz w:val="24"/>
                <w:szCs w:val="24"/>
                <w:highlight w:val="none"/>
                <w:u w:val="none"/>
              </w:rPr>
            </w:pPr>
            <w:r>
              <w:rPr>
                <w:color w:val="auto"/>
                <w:kern w:val="0"/>
                <w:sz w:val="24"/>
                <w:szCs w:val="24"/>
                <w:highlight w:val="none"/>
                <w:u w:val="none"/>
              </w:rPr>
              <w:t>BOD</w:t>
            </w:r>
            <w:r>
              <w:rPr>
                <w:color w:val="auto"/>
                <w:kern w:val="0"/>
                <w:sz w:val="24"/>
                <w:szCs w:val="24"/>
                <w:highlight w:val="none"/>
                <w:u w:val="none"/>
                <w:vertAlign w:val="subscript"/>
              </w:rPr>
              <w:t>5</w:t>
            </w:r>
          </w:p>
        </w:tc>
        <w:tc>
          <w:tcPr>
            <w:tcW w:w="2432" w:type="dxa"/>
            <w:vMerge w:val="continue"/>
            <w:vAlign w:val="center"/>
          </w:tcPr>
          <w:p w14:paraId="5AB6D285">
            <w:pPr>
              <w:spacing w:line="360" w:lineRule="auto"/>
              <w:jc w:val="center"/>
              <w:rPr>
                <w:color w:val="auto"/>
                <w:kern w:val="0"/>
                <w:sz w:val="24"/>
                <w:szCs w:val="24"/>
                <w:highlight w:val="none"/>
                <w:u w:val="none"/>
              </w:rPr>
            </w:pPr>
          </w:p>
        </w:tc>
        <w:tc>
          <w:tcPr>
            <w:tcW w:w="2858" w:type="dxa"/>
            <w:vMerge w:val="continue"/>
          </w:tcPr>
          <w:p w14:paraId="57FBBB99">
            <w:pPr>
              <w:spacing w:line="360" w:lineRule="auto"/>
              <w:jc w:val="center"/>
              <w:rPr>
                <w:color w:val="auto"/>
                <w:kern w:val="0"/>
                <w:sz w:val="24"/>
                <w:szCs w:val="24"/>
                <w:highlight w:val="none"/>
                <w:u w:val="none"/>
              </w:rPr>
            </w:pPr>
          </w:p>
        </w:tc>
      </w:tr>
      <w:tr w14:paraId="5E3C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936" w:type="dxa"/>
            <w:vMerge w:val="continue"/>
            <w:vAlign w:val="center"/>
          </w:tcPr>
          <w:p w14:paraId="52790AA1">
            <w:pPr>
              <w:spacing w:line="360" w:lineRule="auto"/>
              <w:jc w:val="center"/>
              <w:rPr>
                <w:color w:val="auto"/>
                <w:kern w:val="0"/>
                <w:sz w:val="24"/>
                <w:szCs w:val="24"/>
                <w:highlight w:val="none"/>
                <w:u w:val="none"/>
              </w:rPr>
            </w:pPr>
          </w:p>
        </w:tc>
        <w:tc>
          <w:tcPr>
            <w:tcW w:w="1538" w:type="dxa"/>
            <w:vMerge w:val="continue"/>
            <w:vAlign w:val="center"/>
          </w:tcPr>
          <w:p w14:paraId="193F8150">
            <w:pPr>
              <w:spacing w:line="360" w:lineRule="auto"/>
              <w:jc w:val="center"/>
              <w:rPr>
                <w:color w:val="auto"/>
                <w:kern w:val="0"/>
                <w:sz w:val="24"/>
                <w:szCs w:val="24"/>
                <w:highlight w:val="none"/>
                <w:u w:val="none"/>
              </w:rPr>
            </w:pPr>
          </w:p>
        </w:tc>
        <w:tc>
          <w:tcPr>
            <w:tcW w:w="1307" w:type="dxa"/>
            <w:vAlign w:val="center"/>
          </w:tcPr>
          <w:p w14:paraId="76260D82">
            <w:pPr>
              <w:widowControl/>
              <w:jc w:val="center"/>
              <w:rPr>
                <w:color w:val="auto"/>
                <w:kern w:val="0"/>
                <w:sz w:val="24"/>
                <w:szCs w:val="24"/>
                <w:highlight w:val="none"/>
                <w:u w:val="none"/>
              </w:rPr>
            </w:pPr>
            <w:r>
              <w:rPr>
                <w:color w:val="auto"/>
                <w:kern w:val="0"/>
                <w:sz w:val="24"/>
                <w:szCs w:val="24"/>
                <w:highlight w:val="none"/>
                <w:u w:val="none"/>
              </w:rPr>
              <w:t>SS</w:t>
            </w:r>
          </w:p>
        </w:tc>
        <w:tc>
          <w:tcPr>
            <w:tcW w:w="2432" w:type="dxa"/>
            <w:vMerge w:val="continue"/>
            <w:vAlign w:val="center"/>
          </w:tcPr>
          <w:p w14:paraId="2C1B9C90">
            <w:pPr>
              <w:spacing w:line="360" w:lineRule="auto"/>
              <w:jc w:val="center"/>
              <w:rPr>
                <w:color w:val="auto"/>
                <w:kern w:val="0"/>
                <w:sz w:val="24"/>
                <w:szCs w:val="24"/>
                <w:highlight w:val="none"/>
                <w:u w:val="none"/>
              </w:rPr>
            </w:pPr>
          </w:p>
        </w:tc>
        <w:tc>
          <w:tcPr>
            <w:tcW w:w="2858" w:type="dxa"/>
            <w:vMerge w:val="continue"/>
          </w:tcPr>
          <w:p w14:paraId="7145B23F">
            <w:pPr>
              <w:spacing w:line="360" w:lineRule="auto"/>
              <w:jc w:val="center"/>
              <w:rPr>
                <w:color w:val="auto"/>
                <w:kern w:val="0"/>
                <w:sz w:val="24"/>
                <w:szCs w:val="24"/>
                <w:highlight w:val="none"/>
                <w:u w:val="none"/>
              </w:rPr>
            </w:pPr>
          </w:p>
        </w:tc>
      </w:tr>
      <w:tr w14:paraId="495B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936" w:type="dxa"/>
            <w:vMerge w:val="continue"/>
            <w:vAlign w:val="center"/>
          </w:tcPr>
          <w:p w14:paraId="5316C4F0">
            <w:pPr>
              <w:spacing w:line="360" w:lineRule="auto"/>
              <w:jc w:val="center"/>
              <w:rPr>
                <w:color w:val="auto"/>
                <w:kern w:val="0"/>
                <w:sz w:val="24"/>
                <w:szCs w:val="24"/>
                <w:highlight w:val="none"/>
                <w:u w:val="none"/>
              </w:rPr>
            </w:pPr>
          </w:p>
        </w:tc>
        <w:tc>
          <w:tcPr>
            <w:tcW w:w="1538" w:type="dxa"/>
            <w:vMerge w:val="continue"/>
            <w:vAlign w:val="center"/>
          </w:tcPr>
          <w:p w14:paraId="162280BB">
            <w:pPr>
              <w:spacing w:line="360" w:lineRule="auto"/>
              <w:jc w:val="center"/>
              <w:rPr>
                <w:color w:val="auto"/>
                <w:kern w:val="0"/>
                <w:sz w:val="24"/>
                <w:szCs w:val="24"/>
                <w:highlight w:val="none"/>
                <w:u w:val="none"/>
              </w:rPr>
            </w:pPr>
          </w:p>
        </w:tc>
        <w:tc>
          <w:tcPr>
            <w:tcW w:w="1307" w:type="dxa"/>
            <w:vAlign w:val="center"/>
          </w:tcPr>
          <w:p w14:paraId="6AB057AE">
            <w:pPr>
              <w:widowControl/>
              <w:jc w:val="center"/>
              <w:rPr>
                <w:color w:val="auto"/>
                <w:kern w:val="0"/>
                <w:sz w:val="24"/>
                <w:szCs w:val="24"/>
                <w:highlight w:val="none"/>
                <w:u w:val="none"/>
              </w:rPr>
            </w:pPr>
            <w:r>
              <w:rPr>
                <w:color w:val="auto"/>
                <w:kern w:val="0"/>
                <w:sz w:val="24"/>
                <w:szCs w:val="24"/>
                <w:highlight w:val="none"/>
                <w:u w:val="none"/>
              </w:rPr>
              <w:t>氨氮</w:t>
            </w:r>
          </w:p>
        </w:tc>
        <w:tc>
          <w:tcPr>
            <w:tcW w:w="2432" w:type="dxa"/>
            <w:vMerge w:val="continue"/>
            <w:vAlign w:val="center"/>
          </w:tcPr>
          <w:p w14:paraId="7E957CA8">
            <w:pPr>
              <w:spacing w:line="360" w:lineRule="auto"/>
              <w:jc w:val="center"/>
              <w:rPr>
                <w:color w:val="auto"/>
                <w:kern w:val="0"/>
                <w:sz w:val="24"/>
                <w:szCs w:val="24"/>
                <w:highlight w:val="none"/>
                <w:u w:val="none"/>
              </w:rPr>
            </w:pPr>
          </w:p>
        </w:tc>
        <w:tc>
          <w:tcPr>
            <w:tcW w:w="2858" w:type="dxa"/>
            <w:vMerge w:val="continue"/>
          </w:tcPr>
          <w:p w14:paraId="461BA4C8">
            <w:pPr>
              <w:spacing w:line="360" w:lineRule="auto"/>
              <w:jc w:val="center"/>
              <w:rPr>
                <w:color w:val="auto"/>
                <w:kern w:val="0"/>
                <w:sz w:val="24"/>
                <w:szCs w:val="24"/>
                <w:highlight w:val="none"/>
                <w:u w:val="none"/>
              </w:rPr>
            </w:pPr>
          </w:p>
        </w:tc>
      </w:tr>
      <w:tr w14:paraId="20AD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936" w:type="dxa"/>
            <w:vMerge w:val="continue"/>
            <w:vAlign w:val="center"/>
          </w:tcPr>
          <w:p w14:paraId="04E8BB63">
            <w:pPr>
              <w:spacing w:line="360" w:lineRule="auto"/>
              <w:jc w:val="center"/>
              <w:rPr>
                <w:color w:val="auto"/>
                <w:kern w:val="0"/>
                <w:sz w:val="24"/>
                <w:szCs w:val="24"/>
                <w:highlight w:val="none"/>
                <w:u w:val="none"/>
              </w:rPr>
            </w:pPr>
          </w:p>
        </w:tc>
        <w:tc>
          <w:tcPr>
            <w:tcW w:w="1538" w:type="dxa"/>
            <w:vMerge w:val="continue"/>
            <w:vAlign w:val="center"/>
          </w:tcPr>
          <w:p w14:paraId="4FAE568B">
            <w:pPr>
              <w:spacing w:line="360" w:lineRule="auto"/>
              <w:jc w:val="center"/>
              <w:rPr>
                <w:color w:val="auto"/>
                <w:kern w:val="0"/>
                <w:sz w:val="24"/>
                <w:szCs w:val="24"/>
                <w:highlight w:val="none"/>
                <w:u w:val="none"/>
              </w:rPr>
            </w:pPr>
          </w:p>
        </w:tc>
        <w:tc>
          <w:tcPr>
            <w:tcW w:w="1307" w:type="dxa"/>
            <w:vAlign w:val="center"/>
          </w:tcPr>
          <w:p w14:paraId="1FAD2C0E">
            <w:pPr>
              <w:widowControl/>
              <w:jc w:val="center"/>
              <w:rPr>
                <w:color w:val="auto"/>
                <w:kern w:val="0"/>
                <w:sz w:val="24"/>
                <w:szCs w:val="24"/>
                <w:highlight w:val="none"/>
                <w:u w:val="none"/>
              </w:rPr>
            </w:pPr>
            <w:r>
              <w:rPr>
                <w:rFonts w:hint="eastAsia"/>
                <w:color w:val="auto"/>
                <w:kern w:val="0"/>
                <w:sz w:val="24"/>
                <w:szCs w:val="24"/>
                <w:highlight w:val="none"/>
                <w:u w:val="none"/>
              </w:rPr>
              <w:t>动植物油</w:t>
            </w:r>
          </w:p>
        </w:tc>
        <w:tc>
          <w:tcPr>
            <w:tcW w:w="2432" w:type="dxa"/>
            <w:vMerge w:val="continue"/>
            <w:vAlign w:val="center"/>
          </w:tcPr>
          <w:p w14:paraId="1E4AF59B">
            <w:pPr>
              <w:spacing w:line="360" w:lineRule="auto"/>
              <w:jc w:val="center"/>
              <w:rPr>
                <w:color w:val="auto"/>
                <w:kern w:val="0"/>
                <w:sz w:val="24"/>
                <w:szCs w:val="24"/>
                <w:highlight w:val="none"/>
                <w:u w:val="none"/>
              </w:rPr>
            </w:pPr>
          </w:p>
        </w:tc>
        <w:tc>
          <w:tcPr>
            <w:tcW w:w="2858" w:type="dxa"/>
            <w:vMerge w:val="continue"/>
          </w:tcPr>
          <w:p w14:paraId="060C2678">
            <w:pPr>
              <w:spacing w:line="360" w:lineRule="auto"/>
              <w:jc w:val="center"/>
              <w:rPr>
                <w:color w:val="auto"/>
                <w:kern w:val="0"/>
                <w:sz w:val="24"/>
                <w:szCs w:val="24"/>
                <w:highlight w:val="none"/>
                <w:u w:val="none"/>
              </w:rPr>
            </w:pPr>
          </w:p>
        </w:tc>
      </w:tr>
      <w:tr w14:paraId="70DA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936" w:type="dxa"/>
            <w:vMerge w:val="continue"/>
            <w:vAlign w:val="center"/>
          </w:tcPr>
          <w:p w14:paraId="0FEC7CA0">
            <w:pPr>
              <w:spacing w:line="360" w:lineRule="auto"/>
              <w:jc w:val="center"/>
              <w:rPr>
                <w:color w:val="auto"/>
                <w:kern w:val="0"/>
                <w:sz w:val="24"/>
                <w:szCs w:val="24"/>
                <w:highlight w:val="none"/>
                <w:u w:val="none"/>
              </w:rPr>
            </w:pPr>
          </w:p>
        </w:tc>
        <w:tc>
          <w:tcPr>
            <w:tcW w:w="1538" w:type="dxa"/>
            <w:vAlign w:val="center"/>
          </w:tcPr>
          <w:p w14:paraId="05003580">
            <w:pPr>
              <w:jc w:val="center"/>
              <w:rPr>
                <w:color w:val="auto"/>
                <w:kern w:val="0"/>
                <w:sz w:val="24"/>
                <w:szCs w:val="24"/>
                <w:highlight w:val="none"/>
                <w:u w:val="none"/>
              </w:rPr>
            </w:pPr>
            <w:r>
              <w:rPr>
                <w:rFonts w:hint="eastAsia"/>
                <w:color w:val="auto"/>
                <w:kern w:val="0"/>
                <w:sz w:val="24"/>
                <w:szCs w:val="24"/>
                <w:highlight w:val="none"/>
                <w:u w:val="none"/>
              </w:rPr>
              <w:t>注塑机冷却水</w:t>
            </w:r>
          </w:p>
        </w:tc>
        <w:tc>
          <w:tcPr>
            <w:tcW w:w="1307" w:type="dxa"/>
            <w:vAlign w:val="center"/>
          </w:tcPr>
          <w:p w14:paraId="5BC631D5">
            <w:pPr>
              <w:adjustRightInd w:val="0"/>
              <w:snapToGrid w:val="0"/>
              <w:spacing w:line="320" w:lineRule="exact"/>
              <w:jc w:val="center"/>
              <w:rPr>
                <w:color w:val="auto"/>
                <w:kern w:val="0"/>
                <w:sz w:val="24"/>
                <w:szCs w:val="24"/>
                <w:highlight w:val="none"/>
                <w:u w:val="none"/>
              </w:rPr>
            </w:pPr>
            <w:r>
              <w:rPr>
                <w:rFonts w:hint="eastAsia"/>
                <w:color w:val="auto"/>
                <w:kern w:val="0"/>
                <w:sz w:val="24"/>
                <w:szCs w:val="24"/>
                <w:highlight w:val="none"/>
                <w:u w:val="none"/>
              </w:rPr>
              <w:t>SS</w:t>
            </w:r>
          </w:p>
        </w:tc>
        <w:tc>
          <w:tcPr>
            <w:tcW w:w="2432" w:type="dxa"/>
            <w:vAlign w:val="center"/>
          </w:tcPr>
          <w:p w14:paraId="0702204F">
            <w:pPr>
              <w:jc w:val="center"/>
              <w:rPr>
                <w:color w:val="auto"/>
                <w:kern w:val="0"/>
                <w:sz w:val="24"/>
                <w:szCs w:val="24"/>
                <w:highlight w:val="none"/>
                <w:u w:val="none"/>
              </w:rPr>
            </w:pPr>
            <w:r>
              <w:rPr>
                <w:rFonts w:hint="eastAsia"/>
                <w:color w:val="auto"/>
                <w:sz w:val="24"/>
                <w:szCs w:val="24"/>
                <w:highlight w:val="none"/>
                <w:u w:val="none"/>
              </w:rPr>
              <w:t>经冷却水塔处理后循环使用，不外排</w:t>
            </w:r>
          </w:p>
        </w:tc>
        <w:tc>
          <w:tcPr>
            <w:tcW w:w="2858" w:type="dxa"/>
          </w:tcPr>
          <w:p w14:paraId="5EE9B1B7">
            <w:pPr>
              <w:jc w:val="center"/>
              <w:rPr>
                <w:color w:val="auto"/>
                <w:kern w:val="0"/>
                <w:sz w:val="24"/>
                <w:szCs w:val="24"/>
                <w:highlight w:val="none"/>
                <w:u w:val="none"/>
              </w:rPr>
            </w:pPr>
            <w:r>
              <w:rPr>
                <w:rFonts w:hint="eastAsia"/>
                <w:color w:val="auto"/>
                <w:kern w:val="0"/>
                <w:sz w:val="24"/>
                <w:szCs w:val="24"/>
                <w:highlight w:val="none"/>
                <w:u w:val="none"/>
              </w:rPr>
              <w:t>/</w:t>
            </w:r>
          </w:p>
        </w:tc>
      </w:tr>
      <w:tr w14:paraId="100D4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vAlign w:val="center"/>
          </w:tcPr>
          <w:p w14:paraId="39F263B6">
            <w:pPr>
              <w:jc w:val="center"/>
              <w:rPr>
                <w:color w:val="auto"/>
                <w:kern w:val="0"/>
                <w:sz w:val="24"/>
                <w:szCs w:val="24"/>
                <w:highlight w:val="none"/>
                <w:u w:val="none"/>
              </w:rPr>
            </w:pPr>
            <w:r>
              <w:rPr>
                <w:rFonts w:hint="eastAsia"/>
                <w:color w:val="auto"/>
                <w:kern w:val="0"/>
                <w:sz w:val="24"/>
                <w:szCs w:val="24"/>
                <w:highlight w:val="none"/>
                <w:u w:val="none"/>
              </w:rPr>
              <w:t>声环境</w:t>
            </w:r>
          </w:p>
        </w:tc>
        <w:tc>
          <w:tcPr>
            <w:tcW w:w="1538" w:type="dxa"/>
            <w:vAlign w:val="center"/>
          </w:tcPr>
          <w:p w14:paraId="686C685E">
            <w:pPr>
              <w:jc w:val="center"/>
              <w:rPr>
                <w:color w:val="auto"/>
                <w:kern w:val="0"/>
                <w:sz w:val="24"/>
                <w:szCs w:val="24"/>
                <w:highlight w:val="none"/>
                <w:u w:val="none"/>
              </w:rPr>
            </w:pPr>
            <w:r>
              <w:rPr>
                <w:rFonts w:hint="eastAsia"/>
                <w:color w:val="auto"/>
                <w:sz w:val="24"/>
                <w:szCs w:val="24"/>
                <w:highlight w:val="none"/>
                <w:u w:val="none" w:color="auto"/>
                <w:lang w:val="en-US" w:eastAsia="zh-CN"/>
              </w:rPr>
              <w:t>设备</w:t>
            </w:r>
            <w:r>
              <w:rPr>
                <w:rFonts w:hint="default" w:ascii="Times New Roman" w:hAnsi="Times New Roman" w:eastAsia="宋体" w:cs="Times New Roman"/>
                <w:color w:val="auto"/>
                <w:sz w:val="24"/>
                <w:szCs w:val="24"/>
                <w:highlight w:val="none"/>
                <w:u w:val="none" w:color="auto"/>
              </w:rPr>
              <w:t>噪声及运输车辆噪声</w:t>
            </w:r>
          </w:p>
        </w:tc>
        <w:tc>
          <w:tcPr>
            <w:tcW w:w="1307" w:type="dxa"/>
            <w:vAlign w:val="center"/>
          </w:tcPr>
          <w:p w14:paraId="4B3E1F8D">
            <w:pPr>
              <w:adjustRightInd w:val="0"/>
              <w:snapToGrid w:val="0"/>
              <w:jc w:val="center"/>
              <w:rPr>
                <w:color w:val="auto"/>
                <w:kern w:val="0"/>
                <w:sz w:val="24"/>
                <w:szCs w:val="24"/>
                <w:highlight w:val="none"/>
                <w:u w:val="none"/>
              </w:rPr>
            </w:pPr>
            <w:r>
              <w:rPr>
                <w:rFonts w:hint="eastAsia" w:ascii="宋体" w:hAnsi="宋体" w:cs="宋体"/>
                <w:color w:val="auto"/>
                <w:sz w:val="24"/>
                <w:szCs w:val="24"/>
                <w:highlight w:val="none"/>
                <w:u w:val="none"/>
              </w:rPr>
              <w:t>噪声</w:t>
            </w:r>
          </w:p>
        </w:tc>
        <w:tc>
          <w:tcPr>
            <w:tcW w:w="2432" w:type="dxa"/>
            <w:vAlign w:val="center"/>
          </w:tcPr>
          <w:p w14:paraId="1418CD18">
            <w:pPr>
              <w:adjustRightInd w:val="0"/>
              <w:snapToGrid w:val="0"/>
              <w:jc w:val="center"/>
              <w:rPr>
                <w:rFonts w:ascii="宋体" w:hAnsi="宋体" w:cs="宋体"/>
                <w:color w:val="auto"/>
                <w:sz w:val="24"/>
                <w:szCs w:val="24"/>
                <w:highlight w:val="none"/>
                <w:u w:val="none"/>
              </w:rPr>
            </w:pPr>
            <w:r>
              <w:rPr>
                <w:rFonts w:hint="eastAsia" w:ascii="宋体" w:hAnsi="宋体" w:cs="宋体"/>
                <w:color w:val="auto"/>
                <w:sz w:val="24"/>
                <w:szCs w:val="24"/>
                <w:highlight w:val="none"/>
                <w:u w:val="none"/>
              </w:rPr>
              <w:t>选用低噪声设备，隔声、建筑消声</w:t>
            </w:r>
          </w:p>
          <w:p w14:paraId="793B0D05">
            <w:pPr>
              <w:adjustRightInd w:val="0"/>
              <w:snapToGrid w:val="0"/>
              <w:jc w:val="center"/>
              <w:rPr>
                <w:color w:val="auto"/>
                <w:kern w:val="0"/>
                <w:sz w:val="24"/>
                <w:szCs w:val="24"/>
                <w:highlight w:val="none"/>
                <w:u w:val="none"/>
              </w:rPr>
            </w:pPr>
          </w:p>
        </w:tc>
        <w:tc>
          <w:tcPr>
            <w:tcW w:w="2858" w:type="dxa"/>
            <w:vAlign w:val="center"/>
          </w:tcPr>
          <w:p w14:paraId="6DE85A19">
            <w:pPr>
              <w:adjustRightInd w:val="0"/>
              <w:snapToGrid w:val="0"/>
              <w:jc w:val="center"/>
              <w:rPr>
                <w:color w:val="auto"/>
                <w:kern w:val="0"/>
                <w:sz w:val="24"/>
                <w:szCs w:val="24"/>
                <w:highlight w:val="none"/>
                <w:u w:val="none"/>
              </w:rPr>
            </w:pPr>
            <w:r>
              <w:rPr>
                <w:rFonts w:hint="eastAsia"/>
                <w:color w:val="auto"/>
                <w:sz w:val="24"/>
                <w:szCs w:val="24"/>
                <w:highlight w:val="none"/>
                <w:u w:val="none"/>
              </w:rPr>
              <w:t>《工业企业厂界环境噪声排放标准》</w:t>
            </w:r>
            <w:r>
              <w:rPr>
                <w:rFonts w:hint="eastAsia"/>
                <w:color w:val="auto"/>
                <w:sz w:val="24"/>
                <w:szCs w:val="24"/>
                <w:highlight w:val="none"/>
                <w:u w:val="none"/>
                <w:lang w:eastAsia="zh-CN"/>
              </w:rPr>
              <w:t>（</w:t>
            </w:r>
            <w:r>
              <w:rPr>
                <w:rFonts w:hint="eastAsia"/>
                <w:color w:val="auto"/>
                <w:sz w:val="24"/>
                <w:szCs w:val="24"/>
                <w:highlight w:val="none"/>
                <w:u w:val="none"/>
              </w:rPr>
              <w:t>GB12348-2008</w:t>
            </w:r>
            <w:r>
              <w:rPr>
                <w:rFonts w:hint="eastAsia"/>
                <w:color w:val="auto"/>
                <w:sz w:val="24"/>
                <w:szCs w:val="24"/>
                <w:highlight w:val="none"/>
                <w:u w:val="none"/>
                <w:lang w:eastAsia="zh-CN"/>
              </w:rPr>
              <w:t>）</w:t>
            </w:r>
            <w:r>
              <w:rPr>
                <w:rFonts w:hint="eastAsia"/>
                <w:color w:val="auto"/>
                <w:sz w:val="24"/>
                <w:szCs w:val="24"/>
                <w:highlight w:val="none"/>
                <w:u w:val="none"/>
              </w:rPr>
              <w:t>中3类标准</w:t>
            </w:r>
          </w:p>
        </w:tc>
      </w:tr>
      <w:tr w14:paraId="6D32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936" w:type="dxa"/>
            <w:vAlign w:val="center"/>
          </w:tcPr>
          <w:p w14:paraId="2FC46274">
            <w:pPr>
              <w:spacing w:line="360" w:lineRule="auto"/>
              <w:jc w:val="center"/>
              <w:rPr>
                <w:color w:val="auto"/>
                <w:kern w:val="0"/>
                <w:sz w:val="24"/>
                <w:szCs w:val="24"/>
                <w:highlight w:val="none"/>
                <w:u w:val="none"/>
              </w:rPr>
            </w:pPr>
            <w:r>
              <w:rPr>
                <w:rFonts w:hint="eastAsia"/>
                <w:color w:val="auto"/>
                <w:kern w:val="0"/>
                <w:sz w:val="24"/>
                <w:szCs w:val="24"/>
                <w:highlight w:val="none"/>
                <w:u w:val="none"/>
              </w:rPr>
              <w:t>电磁辐射</w:t>
            </w:r>
          </w:p>
        </w:tc>
        <w:tc>
          <w:tcPr>
            <w:tcW w:w="8135" w:type="dxa"/>
            <w:gridSpan w:val="4"/>
            <w:vAlign w:val="center"/>
          </w:tcPr>
          <w:p w14:paraId="556206EE">
            <w:pPr>
              <w:spacing w:line="360" w:lineRule="auto"/>
              <w:jc w:val="center"/>
              <w:rPr>
                <w:color w:val="auto"/>
                <w:kern w:val="0"/>
                <w:sz w:val="24"/>
                <w:szCs w:val="24"/>
                <w:highlight w:val="none"/>
                <w:u w:val="none"/>
              </w:rPr>
            </w:pPr>
            <w:r>
              <w:rPr>
                <w:rFonts w:hint="eastAsia"/>
                <w:color w:val="auto"/>
                <w:kern w:val="0"/>
                <w:sz w:val="24"/>
                <w:szCs w:val="24"/>
                <w:highlight w:val="none"/>
                <w:u w:val="none"/>
              </w:rPr>
              <w:t>/</w:t>
            </w:r>
          </w:p>
        </w:tc>
      </w:tr>
      <w:tr w14:paraId="1875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2" w:hRule="atLeast"/>
          <w:jc w:val="center"/>
        </w:trPr>
        <w:tc>
          <w:tcPr>
            <w:tcW w:w="936" w:type="dxa"/>
            <w:vAlign w:val="center"/>
          </w:tcPr>
          <w:p w14:paraId="02E2CEF2">
            <w:pPr>
              <w:spacing w:line="360" w:lineRule="auto"/>
              <w:jc w:val="center"/>
              <w:rPr>
                <w:color w:val="auto"/>
                <w:kern w:val="0"/>
                <w:sz w:val="24"/>
                <w:szCs w:val="24"/>
                <w:highlight w:val="none"/>
                <w:u w:val="none"/>
              </w:rPr>
            </w:pPr>
            <w:r>
              <w:rPr>
                <w:rFonts w:hint="eastAsia"/>
                <w:color w:val="auto"/>
                <w:kern w:val="0"/>
                <w:sz w:val="24"/>
                <w:szCs w:val="24"/>
                <w:highlight w:val="none"/>
                <w:u w:val="none"/>
              </w:rPr>
              <w:t>固体废物</w:t>
            </w:r>
          </w:p>
        </w:tc>
        <w:tc>
          <w:tcPr>
            <w:tcW w:w="8135" w:type="dxa"/>
            <w:gridSpan w:val="4"/>
            <w:vAlign w:val="center"/>
          </w:tcPr>
          <w:p w14:paraId="44131C77">
            <w:pPr>
              <w:spacing w:line="360" w:lineRule="auto"/>
              <w:rPr>
                <w:rFonts w:hint="eastAsia"/>
                <w:color w:val="auto"/>
                <w:kern w:val="0"/>
                <w:sz w:val="24"/>
                <w:szCs w:val="24"/>
                <w:highlight w:val="none"/>
                <w:u w:val="none"/>
              </w:rPr>
            </w:pPr>
            <w:r>
              <w:rPr>
                <w:rFonts w:hint="eastAsia"/>
                <w:color w:val="auto"/>
                <w:kern w:val="0"/>
                <w:sz w:val="24"/>
                <w:szCs w:val="24"/>
                <w:highlight w:val="none"/>
                <w:u w:val="none"/>
              </w:rPr>
              <w:t>首先从有用物料回收再利用着眼，化废为宝，既回收一部分资源，又减轻处置负荷，对目前还不能回收利用的，应遵循无害化处置原则进行有效处置。</w:t>
            </w:r>
          </w:p>
          <w:p w14:paraId="40F5C380">
            <w:pPr>
              <w:spacing w:line="360" w:lineRule="auto"/>
              <w:rPr>
                <w:rFonts w:hint="eastAsia"/>
                <w:color w:val="auto"/>
                <w:kern w:val="0"/>
                <w:sz w:val="24"/>
                <w:szCs w:val="24"/>
                <w:highlight w:val="none"/>
                <w:u w:val="none"/>
              </w:rPr>
            </w:pPr>
            <w:r>
              <w:rPr>
                <w:rFonts w:hint="eastAsia"/>
                <w:color w:val="auto"/>
                <w:kern w:val="0"/>
                <w:sz w:val="24"/>
                <w:szCs w:val="24"/>
                <w:highlight w:val="none"/>
                <w:u w:val="none"/>
              </w:rPr>
              <w:t>①生活垃圾：设置分类生活垃圾桶，生活垃圾经分类收集暂存，交由环卫部门每日清运处置。</w:t>
            </w:r>
          </w:p>
          <w:p w14:paraId="3996C42E">
            <w:pPr>
              <w:spacing w:line="360" w:lineRule="auto"/>
              <w:rPr>
                <w:rFonts w:hint="eastAsia"/>
                <w:color w:val="auto"/>
                <w:kern w:val="0"/>
                <w:sz w:val="24"/>
                <w:szCs w:val="24"/>
                <w:highlight w:val="none"/>
                <w:u w:val="none"/>
              </w:rPr>
            </w:pPr>
            <w:r>
              <w:rPr>
                <w:rFonts w:hint="eastAsia"/>
                <w:color w:val="auto"/>
                <w:kern w:val="0"/>
                <w:sz w:val="24"/>
                <w:szCs w:val="24"/>
                <w:highlight w:val="none"/>
                <w:u w:val="none"/>
              </w:rPr>
              <w:t>②一般固废：按要求设置1间</w:t>
            </w:r>
            <w:r>
              <w:rPr>
                <w:rFonts w:hint="eastAsia"/>
                <w:color w:val="auto"/>
                <w:kern w:val="0"/>
                <w:sz w:val="24"/>
                <w:szCs w:val="24"/>
                <w:highlight w:val="none"/>
                <w:u w:val="none"/>
                <w:lang w:val="en-US" w:eastAsia="zh-CN"/>
              </w:rPr>
              <w:t>10</w:t>
            </w:r>
            <w:r>
              <w:rPr>
                <w:rFonts w:hint="eastAsia"/>
                <w:color w:val="auto"/>
                <w:kern w:val="0"/>
                <w:sz w:val="24"/>
                <w:szCs w:val="24"/>
                <w:highlight w:val="none"/>
                <w:u w:val="none"/>
              </w:rPr>
              <w:t>0m</w:t>
            </w:r>
            <w:r>
              <w:rPr>
                <w:rFonts w:hint="eastAsia"/>
                <w:color w:val="auto"/>
                <w:kern w:val="0"/>
                <w:sz w:val="24"/>
                <w:szCs w:val="24"/>
                <w:highlight w:val="none"/>
                <w:u w:val="none"/>
                <w:vertAlign w:val="superscript"/>
              </w:rPr>
              <w:t>2</w:t>
            </w:r>
            <w:r>
              <w:rPr>
                <w:rFonts w:hint="eastAsia"/>
                <w:color w:val="auto"/>
                <w:kern w:val="0"/>
                <w:sz w:val="24"/>
                <w:szCs w:val="24"/>
                <w:highlight w:val="none"/>
                <w:u w:val="none"/>
              </w:rPr>
              <w:t>一般固废暂存区域，按要求定期处置。</w:t>
            </w:r>
          </w:p>
          <w:p w14:paraId="337378BA">
            <w:pPr>
              <w:spacing w:line="360" w:lineRule="auto"/>
              <w:rPr>
                <w:color w:val="auto"/>
                <w:kern w:val="0"/>
                <w:sz w:val="24"/>
                <w:szCs w:val="24"/>
                <w:highlight w:val="none"/>
                <w:u w:val="none"/>
              </w:rPr>
            </w:pPr>
            <w:r>
              <w:rPr>
                <w:rFonts w:hint="eastAsia"/>
                <w:color w:val="auto"/>
                <w:kern w:val="0"/>
                <w:sz w:val="24"/>
                <w:szCs w:val="24"/>
                <w:highlight w:val="none"/>
                <w:u w:val="none"/>
              </w:rPr>
              <w:t>③危险废物：按要求设置1间10m</w:t>
            </w:r>
            <w:r>
              <w:rPr>
                <w:rFonts w:hint="eastAsia"/>
                <w:color w:val="auto"/>
                <w:kern w:val="0"/>
                <w:sz w:val="24"/>
                <w:szCs w:val="24"/>
                <w:highlight w:val="none"/>
                <w:u w:val="none"/>
                <w:vertAlign w:val="superscript"/>
              </w:rPr>
              <w:t>2</w:t>
            </w:r>
            <w:r>
              <w:rPr>
                <w:rFonts w:hint="eastAsia"/>
                <w:color w:val="auto"/>
                <w:kern w:val="0"/>
                <w:sz w:val="24"/>
                <w:szCs w:val="24"/>
                <w:highlight w:val="none"/>
                <w:u w:val="none"/>
              </w:rPr>
              <w:t>危废暂存间，按要求定期</w:t>
            </w:r>
            <w:r>
              <w:rPr>
                <w:rFonts w:hint="eastAsia"/>
                <w:color w:val="auto"/>
                <w:kern w:val="0"/>
                <w:sz w:val="24"/>
                <w:szCs w:val="24"/>
                <w:highlight w:val="none"/>
                <w:u w:val="none"/>
                <w:lang w:eastAsia="zh-CN"/>
              </w:rPr>
              <w:t>交由</w:t>
            </w:r>
            <w:r>
              <w:rPr>
                <w:rFonts w:hint="eastAsia"/>
                <w:color w:val="auto"/>
                <w:kern w:val="0"/>
                <w:sz w:val="24"/>
                <w:szCs w:val="24"/>
                <w:highlight w:val="none"/>
                <w:u w:val="none"/>
              </w:rPr>
              <w:t>资质单位处置。</w:t>
            </w:r>
          </w:p>
        </w:tc>
      </w:tr>
      <w:tr w14:paraId="7C87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vAlign w:val="center"/>
          </w:tcPr>
          <w:p w14:paraId="5DF05B65">
            <w:pPr>
              <w:spacing w:line="360" w:lineRule="auto"/>
              <w:jc w:val="center"/>
              <w:rPr>
                <w:color w:val="auto"/>
                <w:kern w:val="0"/>
                <w:sz w:val="24"/>
                <w:szCs w:val="24"/>
                <w:highlight w:val="none"/>
                <w:u w:val="none"/>
              </w:rPr>
            </w:pPr>
            <w:r>
              <w:rPr>
                <w:rFonts w:hint="eastAsia"/>
                <w:color w:val="auto"/>
                <w:kern w:val="0"/>
                <w:sz w:val="24"/>
                <w:szCs w:val="24"/>
                <w:highlight w:val="none"/>
                <w:u w:val="none"/>
              </w:rPr>
              <w:t>土壤及地下水</w:t>
            </w:r>
          </w:p>
          <w:p w14:paraId="23747D71">
            <w:pPr>
              <w:spacing w:line="360" w:lineRule="auto"/>
              <w:jc w:val="center"/>
              <w:rPr>
                <w:color w:val="auto"/>
                <w:kern w:val="0"/>
                <w:sz w:val="24"/>
                <w:szCs w:val="24"/>
                <w:highlight w:val="none"/>
                <w:u w:val="none"/>
              </w:rPr>
            </w:pPr>
            <w:r>
              <w:rPr>
                <w:rFonts w:hint="eastAsia"/>
                <w:color w:val="auto"/>
                <w:kern w:val="0"/>
                <w:sz w:val="24"/>
                <w:szCs w:val="24"/>
                <w:highlight w:val="none"/>
                <w:u w:val="none"/>
              </w:rPr>
              <w:t>污染防治措施</w:t>
            </w:r>
          </w:p>
        </w:tc>
        <w:tc>
          <w:tcPr>
            <w:tcW w:w="8135" w:type="dxa"/>
            <w:gridSpan w:val="4"/>
            <w:vAlign w:val="center"/>
          </w:tcPr>
          <w:p w14:paraId="56294124">
            <w:pPr>
              <w:spacing w:line="360" w:lineRule="auto"/>
              <w:jc w:val="both"/>
              <w:rPr>
                <w:rFonts w:hint="eastAsia"/>
                <w:color w:val="auto"/>
                <w:kern w:val="0"/>
                <w:sz w:val="24"/>
                <w:szCs w:val="24"/>
                <w:highlight w:val="none"/>
                <w:u w:val="none"/>
              </w:rPr>
            </w:pPr>
            <w:r>
              <w:rPr>
                <w:rFonts w:hint="eastAsia"/>
                <w:color w:val="auto"/>
                <w:kern w:val="0"/>
                <w:sz w:val="24"/>
                <w:szCs w:val="24"/>
                <w:highlight w:val="none"/>
                <w:u w:val="none"/>
              </w:rPr>
              <w:t>将厂区划分为重点防渗区、一般防渗区和简单防渗区。各分区防渗要求如下：</w:t>
            </w:r>
          </w:p>
          <w:p w14:paraId="6DE33786">
            <w:pPr>
              <w:spacing w:line="360" w:lineRule="auto"/>
              <w:jc w:val="both"/>
              <w:rPr>
                <w:rFonts w:hint="eastAsia"/>
                <w:color w:val="auto"/>
                <w:kern w:val="0"/>
                <w:sz w:val="24"/>
                <w:szCs w:val="24"/>
                <w:highlight w:val="none"/>
                <w:u w:val="none"/>
              </w:rPr>
            </w:pPr>
            <w:r>
              <w:rPr>
                <w:rFonts w:hint="eastAsia"/>
                <w:color w:val="auto"/>
                <w:kern w:val="0"/>
                <w:sz w:val="24"/>
                <w:szCs w:val="24"/>
                <w:highlight w:val="none"/>
                <w:u w:val="none"/>
              </w:rPr>
              <w:t>①对于一般防渗区，可参照</w:t>
            </w:r>
            <w:r>
              <w:rPr>
                <w:rFonts w:hint="eastAsia"/>
                <w:color w:val="auto"/>
                <w:kern w:val="0"/>
                <w:sz w:val="24"/>
                <w:szCs w:val="24"/>
                <w:highlight w:val="none"/>
                <w:u w:val="none"/>
                <w:lang w:eastAsia="zh-CN"/>
              </w:rPr>
              <w:t>《环境影响评价技术导则 地下水环境》（HJ610-2016）</w:t>
            </w:r>
            <w:r>
              <w:rPr>
                <w:rFonts w:hint="eastAsia"/>
                <w:color w:val="auto"/>
                <w:kern w:val="0"/>
                <w:sz w:val="24"/>
                <w:szCs w:val="24"/>
                <w:highlight w:val="none"/>
                <w:u w:val="none"/>
              </w:rPr>
              <w:t>，防渗技术要求为：等效黏土防渗层Mb≥1.5m，K≤1×10-7cm/s；或参照GB16889执行。</w:t>
            </w:r>
          </w:p>
          <w:p w14:paraId="49F9DE41">
            <w:pPr>
              <w:spacing w:line="360" w:lineRule="auto"/>
              <w:jc w:val="both"/>
              <w:rPr>
                <w:rFonts w:hint="eastAsia"/>
                <w:color w:val="auto"/>
                <w:kern w:val="0"/>
                <w:sz w:val="24"/>
                <w:szCs w:val="24"/>
                <w:highlight w:val="none"/>
                <w:u w:val="none"/>
              </w:rPr>
            </w:pPr>
            <w:r>
              <w:rPr>
                <w:rFonts w:hint="eastAsia"/>
                <w:color w:val="auto"/>
                <w:kern w:val="0"/>
                <w:sz w:val="24"/>
                <w:szCs w:val="24"/>
                <w:highlight w:val="none"/>
                <w:u w:val="none"/>
              </w:rPr>
              <w:t>②对于简单防渗区，可参照</w:t>
            </w:r>
            <w:r>
              <w:rPr>
                <w:rFonts w:hint="eastAsia"/>
                <w:color w:val="auto"/>
                <w:kern w:val="0"/>
                <w:sz w:val="24"/>
                <w:szCs w:val="24"/>
                <w:highlight w:val="none"/>
                <w:u w:val="none"/>
                <w:lang w:eastAsia="zh-CN"/>
              </w:rPr>
              <w:t>《环境影响评价技术导则 地下水环境》（HJ610-2016）</w:t>
            </w:r>
            <w:r>
              <w:rPr>
                <w:rFonts w:hint="eastAsia"/>
                <w:color w:val="auto"/>
                <w:kern w:val="0"/>
                <w:sz w:val="24"/>
                <w:szCs w:val="24"/>
                <w:highlight w:val="none"/>
                <w:u w:val="none"/>
              </w:rPr>
              <w:t>，防渗技术要求为：一般地面硬化。</w:t>
            </w:r>
          </w:p>
          <w:p w14:paraId="50F22D1A">
            <w:pPr>
              <w:spacing w:line="360" w:lineRule="auto"/>
              <w:jc w:val="both"/>
              <w:rPr>
                <w:color w:val="auto"/>
                <w:kern w:val="0"/>
                <w:sz w:val="24"/>
                <w:szCs w:val="24"/>
                <w:highlight w:val="none"/>
                <w:u w:val="none"/>
              </w:rPr>
            </w:pPr>
            <w:r>
              <w:rPr>
                <w:rFonts w:hint="eastAsia"/>
                <w:color w:val="auto"/>
                <w:kern w:val="0"/>
                <w:sz w:val="24"/>
                <w:szCs w:val="24"/>
                <w:highlight w:val="none"/>
                <w:u w:val="none"/>
              </w:rPr>
              <w:t>③对于重点防渗区，可参照</w:t>
            </w:r>
            <w:r>
              <w:rPr>
                <w:rFonts w:hint="eastAsia"/>
                <w:color w:val="auto"/>
                <w:kern w:val="0"/>
                <w:sz w:val="24"/>
                <w:szCs w:val="24"/>
                <w:highlight w:val="none"/>
                <w:u w:val="none"/>
                <w:lang w:eastAsia="zh-CN"/>
              </w:rPr>
              <w:t>《环境影响评价技术导则 地下水环境》（HJ610-2016）</w:t>
            </w:r>
            <w:r>
              <w:rPr>
                <w:rFonts w:hint="eastAsia"/>
                <w:color w:val="auto"/>
                <w:kern w:val="0"/>
                <w:sz w:val="24"/>
                <w:szCs w:val="24"/>
                <w:highlight w:val="none"/>
                <w:u w:val="none"/>
              </w:rPr>
              <w:t>，防渗技术要求为：等效黏土防渗层Mb≥6.0m，K≤1×10-10cm/s；或参照GB18598执行。</w:t>
            </w:r>
          </w:p>
        </w:tc>
      </w:tr>
      <w:tr w14:paraId="2871A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vAlign w:val="center"/>
          </w:tcPr>
          <w:p w14:paraId="0F04D400">
            <w:pPr>
              <w:spacing w:line="360" w:lineRule="auto"/>
              <w:jc w:val="center"/>
              <w:rPr>
                <w:color w:val="auto"/>
                <w:kern w:val="0"/>
                <w:sz w:val="24"/>
                <w:szCs w:val="24"/>
                <w:highlight w:val="none"/>
                <w:u w:val="none"/>
              </w:rPr>
            </w:pPr>
            <w:r>
              <w:rPr>
                <w:rFonts w:hint="eastAsia"/>
                <w:color w:val="auto"/>
                <w:kern w:val="0"/>
                <w:sz w:val="24"/>
                <w:szCs w:val="24"/>
                <w:highlight w:val="none"/>
                <w:u w:val="none"/>
              </w:rPr>
              <w:t>生态保护措施</w:t>
            </w:r>
          </w:p>
        </w:tc>
        <w:tc>
          <w:tcPr>
            <w:tcW w:w="8135" w:type="dxa"/>
            <w:gridSpan w:val="4"/>
            <w:vAlign w:val="center"/>
          </w:tcPr>
          <w:p w14:paraId="267609C2">
            <w:pPr>
              <w:adjustRightInd w:val="0"/>
              <w:snapToGrid w:val="0"/>
              <w:jc w:val="center"/>
              <w:rPr>
                <w:color w:val="auto"/>
                <w:kern w:val="0"/>
                <w:sz w:val="24"/>
                <w:szCs w:val="24"/>
                <w:highlight w:val="none"/>
                <w:u w:val="none"/>
              </w:rPr>
            </w:pPr>
            <w:r>
              <w:rPr>
                <w:rFonts w:hint="eastAsia" w:ascii="宋体" w:hAnsi="宋体" w:cs="宋体"/>
                <w:color w:val="auto"/>
                <w:sz w:val="24"/>
                <w:szCs w:val="24"/>
                <w:highlight w:val="none"/>
                <w:u w:val="none"/>
              </w:rPr>
              <w:t>/</w:t>
            </w:r>
          </w:p>
        </w:tc>
      </w:tr>
      <w:tr w14:paraId="0FF8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vAlign w:val="center"/>
          </w:tcPr>
          <w:p w14:paraId="3ABC02C2">
            <w:pPr>
              <w:spacing w:line="360" w:lineRule="auto"/>
              <w:jc w:val="center"/>
              <w:rPr>
                <w:color w:val="auto"/>
                <w:kern w:val="0"/>
                <w:sz w:val="24"/>
                <w:szCs w:val="24"/>
                <w:highlight w:val="none"/>
                <w:u w:val="none"/>
              </w:rPr>
            </w:pPr>
            <w:r>
              <w:rPr>
                <w:rFonts w:hint="eastAsia"/>
                <w:color w:val="auto"/>
                <w:kern w:val="0"/>
                <w:sz w:val="24"/>
                <w:szCs w:val="24"/>
                <w:highlight w:val="none"/>
                <w:u w:val="none"/>
              </w:rPr>
              <w:t>环境风险防范措施</w:t>
            </w:r>
          </w:p>
        </w:tc>
        <w:tc>
          <w:tcPr>
            <w:tcW w:w="8135" w:type="dxa"/>
            <w:gridSpan w:val="4"/>
            <w:vAlign w:val="center"/>
          </w:tcPr>
          <w:p w14:paraId="365FD6D3">
            <w:pPr>
              <w:spacing w:line="360" w:lineRule="auto"/>
              <w:jc w:val="both"/>
              <w:rPr>
                <w:rFonts w:hint="eastAsia" w:ascii="Times New Roman" w:hAnsi="Times New Roman" w:eastAsia="宋体" w:cs="Times New Roman"/>
                <w:color w:val="auto"/>
                <w:kern w:val="0"/>
                <w:sz w:val="24"/>
                <w:szCs w:val="24"/>
                <w:highlight w:val="none"/>
                <w:u w:val="none"/>
              </w:rPr>
            </w:pPr>
            <w:r>
              <w:rPr>
                <w:rFonts w:hint="eastAsia" w:ascii="Times New Roman" w:hAnsi="Times New Roman" w:eastAsia="宋体" w:cs="Times New Roman"/>
                <w:color w:val="auto"/>
                <w:kern w:val="0"/>
                <w:sz w:val="24"/>
                <w:szCs w:val="24"/>
                <w:highlight w:val="none"/>
                <w:u w:val="none"/>
              </w:rPr>
              <w:t>（1）生产过程的防范措施：①生产厂房必须按照《建筑设计防火规范》及其它安全规范建设、生产、管理。②建立安全生产岗位责任制。③建立预警机制，定期组织相关人员进行事故防范演习。</w:t>
            </w:r>
          </w:p>
          <w:p w14:paraId="14B51A17">
            <w:pPr>
              <w:spacing w:line="360" w:lineRule="auto"/>
              <w:jc w:val="both"/>
              <w:rPr>
                <w:rFonts w:hint="eastAsia" w:ascii="Times New Roman" w:hAnsi="Times New Roman" w:eastAsia="宋体" w:cs="Times New Roman"/>
                <w:color w:val="auto"/>
                <w:kern w:val="0"/>
                <w:sz w:val="24"/>
                <w:szCs w:val="24"/>
                <w:highlight w:val="none"/>
                <w:u w:val="none"/>
              </w:rPr>
            </w:pPr>
            <w:r>
              <w:rPr>
                <w:rFonts w:hint="eastAsia" w:ascii="Times New Roman" w:hAnsi="Times New Roman" w:eastAsia="宋体" w:cs="Times New Roman"/>
                <w:color w:val="auto"/>
                <w:kern w:val="0"/>
                <w:sz w:val="24"/>
                <w:szCs w:val="24"/>
                <w:highlight w:val="none"/>
                <w:u w:val="none"/>
              </w:rPr>
              <w:t>（2）原材料的防范措施：①仓库地面采取防渗、防腐措施；②设置禁火标志及防静电措施等。</w:t>
            </w:r>
          </w:p>
          <w:p w14:paraId="3C1C62DB">
            <w:pPr>
              <w:spacing w:line="360" w:lineRule="auto"/>
              <w:jc w:val="both"/>
              <w:rPr>
                <w:rFonts w:hint="eastAsia" w:ascii="Times New Roman" w:hAnsi="Times New Roman" w:eastAsia="宋体" w:cs="Times New Roman"/>
                <w:color w:val="auto"/>
                <w:kern w:val="0"/>
                <w:sz w:val="24"/>
                <w:szCs w:val="24"/>
                <w:highlight w:val="none"/>
                <w:u w:val="none"/>
              </w:rPr>
            </w:pPr>
            <w:r>
              <w:rPr>
                <w:rFonts w:hint="eastAsia" w:ascii="Times New Roman" w:hAnsi="Times New Roman" w:eastAsia="宋体" w:cs="Times New Roman"/>
                <w:color w:val="auto"/>
                <w:kern w:val="0"/>
                <w:sz w:val="24"/>
                <w:szCs w:val="24"/>
                <w:highlight w:val="none"/>
                <w:u w:val="none"/>
              </w:rPr>
              <w:t>（3）火灾的防范措施：①设备的安全管理定期对设备进行安全检测。②车间应保证废气处理装置正常稳定运行，同时车间通风换气，防止火灾爆炸的危险。③严禁火源进入生产厂房和仓库内。</w:t>
            </w:r>
          </w:p>
          <w:p w14:paraId="5C4A22A9">
            <w:pPr>
              <w:spacing w:line="360" w:lineRule="auto"/>
              <w:jc w:val="both"/>
              <w:rPr>
                <w:color w:val="auto"/>
                <w:kern w:val="0"/>
                <w:sz w:val="24"/>
                <w:szCs w:val="24"/>
                <w:highlight w:val="none"/>
                <w:u w:val="none"/>
              </w:rPr>
            </w:pPr>
            <w:r>
              <w:rPr>
                <w:rFonts w:hint="eastAsia" w:ascii="Times New Roman" w:hAnsi="Times New Roman" w:eastAsia="宋体" w:cs="Times New Roman"/>
                <w:color w:val="auto"/>
                <w:kern w:val="0"/>
                <w:sz w:val="24"/>
                <w:szCs w:val="24"/>
                <w:highlight w:val="none"/>
                <w:u w:val="none"/>
              </w:rPr>
              <w:t>（4）</w:t>
            </w:r>
            <w:r>
              <w:rPr>
                <w:rFonts w:hint="eastAsia" w:ascii="Times New Roman" w:hAnsi="Times New Roman" w:eastAsia="宋体" w:cs="Times New Roman"/>
                <w:color w:val="auto"/>
                <w:kern w:val="0"/>
                <w:sz w:val="24"/>
                <w:szCs w:val="24"/>
                <w:highlight w:val="none"/>
                <w:u w:val="none"/>
                <w:lang w:val="en-US" w:eastAsia="zh-CN"/>
              </w:rPr>
              <w:t>环保设备</w:t>
            </w:r>
            <w:r>
              <w:rPr>
                <w:rFonts w:hint="eastAsia" w:ascii="Times New Roman" w:hAnsi="Times New Roman" w:eastAsia="宋体" w:cs="Times New Roman"/>
                <w:color w:val="auto"/>
                <w:kern w:val="0"/>
                <w:sz w:val="24"/>
                <w:szCs w:val="24"/>
                <w:highlight w:val="none"/>
                <w:u w:val="none"/>
              </w:rPr>
              <w:t>管理与防范措施：①加强操作人员环保意识，了解</w:t>
            </w:r>
            <w:r>
              <w:rPr>
                <w:rFonts w:hint="eastAsia" w:ascii="Times New Roman" w:hAnsi="Times New Roman" w:eastAsia="宋体" w:cs="Times New Roman"/>
                <w:color w:val="auto"/>
                <w:kern w:val="0"/>
                <w:sz w:val="24"/>
                <w:szCs w:val="24"/>
                <w:highlight w:val="none"/>
                <w:u w:val="none"/>
                <w:lang w:val="en-US" w:eastAsia="zh-CN"/>
              </w:rPr>
              <w:t>污染物</w:t>
            </w:r>
            <w:r>
              <w:rPr>
                <w:rFonts w:hint="eastAsia" w:ascii="Times New Roman" w:hAnsi="Times New Roman" w:eastAsia="宋体" w:cs="Times New Roman"/>
                <w:color w:val="auto"/>
                <w:kern w:val="0"/>
                <w:sz w:val="24"/>
                <w:szCs w:val="24"/>
                <w:highlight w:val="none"/>
                <w:u w:val="none"/>
              </w:rPr>
              <w:t>种类、</w:t>
            </w:r>
            <w:r>
              <w:rPr>
                <w:rFonts w:hint="eastAsia" w:ascii="Times New Roman" w:hAnsi="Times New Roman" w:eastAsia="宋体" w:cs="Times New Roman"/>
                <w:color w:val="auto"/>
                <w:kern w:val="0"/>
                <w:sz w:val="24"/>
                <w:szCs w:val="24"/>
                <w:highlight w:val="none"/>
                <w:u w:val="none"/>
                <w:lang w:val="en-US" w:eastAsia="zh-CN"/>
              </w:rPr>
              <w:t>处理</w:t>
            </w:r>
            <w:r>
              <w:rPr>
                <w:rFonts w:hint="eastAsia" w:ascii="Times New Roman" w:hAnsi="Times New Roman" w:eastAsia="宋体" w:cs="Times New Roman"/>
                <w:color w:val="auto"/>
                <w:kern w:val="0"/>
                <w:sz w:val="24"/>
                <w:szCs w:val="24"/>
                <w:highlight w:val="none"/>
                <w:u w:val="none"/>
              </w:rPr>
              <w:t>要求及环境危害；②建立健全</w:t>
            </w:r>
            <w:r>
              <w:rPr>
                <w:rFonts w:hint="eastAsia" w:ascii="Times New Roman" w:hAnsi="Times New Roman" w:eastAsia="宋体" w:cs="Times New Roman"/>
                <w:color w:val="auto"/>
                <w:kern w:val="0"/>
                <w:sz w:val="24"/>
                <w:szCs w:val="24"/>
                <w:highlight w:val="none"/>
                <w:u w:val="none"/>
                <w:lang w:val="en-US" w:eastAsia="zh-CN"/>
              </w:rPr>
              <w:t>设备运行</w:t>
            </w:r>
            <w:r>
              <w:rPr>
                <w:rFonts w:hint="eastAsia" w:ascii="Times New Roman" w:hAnsi="Times New Roman" w:eastAsia="宋体" w:cs="Times New Roman"/>
                <w:color w:val="auto"/>
                <w:kern w:val="0"/>
                <w:sz w:val="24"/>
                <w:szCs w:val="24"/>
                <w:highlight w:val="none"/>
                <w:u w:val="none"/>
              </w:rPr>
              <w:t>制度，严格管理，责任到人；③专人看管负责，每日巡查。</w:t>
            </w:r>
          </w:p>
        </w:tc>
      </w:tr>
      <w:tr w14:paraId="42D3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6" w:type="dxa"/>
            <w:vAlign w:val="center"/>
          </w:tcPr>
          <w:p w14:paraId="04DD5B0D">
            <w:pPr>
              <w:spacing w:line="360" w:lineRule="auto"/>
              <w:jc w:val="center"/>
              <w:rPr>
                <w:color w:val="auto"/>
                <w:kern w:val="0"/>
                <w:sz w:val="24"/>
                <w:szCs w:val="24"/>
                <w:highlight w:val="none"/>
                <w:u w:val="none"/>
              </w:rPr>
            </w:pPr>
            <w:r>
              <w:rPr>
                <w:rFonts w:hint="eastAsia"/>
                <w:color w:val="auto"/>
                <w:kern w:val="0"/>
                <w:sz w:val="24"/>
                <w:szCs w:val="24"/>
                <w:highlight w:val="none"/>
                <w:u w:val="none"/>
              </w:rPr>
              <w:t>其他环境管理要求</w:t>
            </w:r>
          </w:p>
        </w:tc>
        <w:tc>
          <w:tcPr>
            <w:tcW w:w="8135" w:type="dxa"/>
            <w:gridSpan w:val="4"/>
            <w:vAlign w:val="center"/>
          </w:tcPr>
          <w:p w14:paraId="506FE676">
            <w:pPr>
              <w:pStyle w:val="106"/>
              <w:spacing w:line="360" w:lineRule="auto"/>
              <w:ind w:firstLine="480"/>
              <w:rPr>
                <w:rFonts w:hint="eastAsia" w:ascii="Times New Roman" w:hAnsi="Times New Roman" w:eastAsia="宋体" w:cs="Times New Roman"/>
                <w:b/>
                <w:bCs/>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u w:val="none"/>
                <w:lang w:val="en-US" w:eastAsia="zh-CN" w:bidi="ar-SA"/>
                <w14:textFill>
                  <w14:solidFill>
                    <w14:schemeClr w14:val="tx1"/>
                  </w14:solidFill>
                </w14:textFill>
              </w:rPr>
              <w:t>1、排污可行</w:t>
            </w:r>
          </w:p>
          <w:p w14:paraId="3FCBEDA5">
            <w:pPr>
              <w:pStyle w:val="106"/>
              <w:spacing w:line="360" w:lineRule="auto"/>
              <w:ind w:firstLine="480"/>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根据《排污许可管理条例》</w:t>
            </w:r>
            <w:r>
              <w:rPr>
                <w:rFonts w:hint="eastAsia" w:cs="Times New Roman"/>
                <w:color w:val="000000" w:themeColor="text1"/>
                <w:kern w:val="2"/>
                <w:sz w:val="24"/>
                <w:szCs w:val="24"/>
                <w:u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中华人民共和国国务院令 第736号</w:t>
            </w:r>
            <w:r>
              <w:rPr>
                <w:rFonts w:hint="eastAsia" w:cs="Times New Roman"/>
                <w:color w:val="000000" w:themeColor="text1"/>
                <w:kern w:val="2"/>
                <w:sz w:val="24"/>
                <w:szCs w:val="24"/>
                <w:u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、《排污许可管理办法</w:t>
            </w:r>
            <w:r>
              <w:rPr>
                <w:rFonts w:hint="eastAsia" w:cs="Times New Roman"/>
                <w:color w:val="000000" w:themeColor="text1"/>
                <w:kern w:val="2"/>
                <w:sz w:val="24"/>
                <w:szCs w:val="24"/>
                <w:u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试行</w:t>
            </w:r>
            <w:r>
              <w:rPr>
                <w:rFonts w:hint="eastAsia" w:cs="Times New Roman"/>
                <w:color w:val="000000" w:themeColor="text1"/>
                <w:kern w:val="2"/>
                <w:sz w:val="24"/>
                <w:szCs w:val="24"/>
                <w:u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w:t>
            </w:r>
            <w:r>
              <w:rPr>
                <w:rFonts w:hint="eastAsia" w:cs="Times New Roman"/>
                <w:color w:val="000000" w:themeColor="text1"/>
                <w:kern w:val="2"/>
                <w:sz w:val="24"/>
                <w:szCs w:val="24"/>
                <w:u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部令第48号</w:t>
            </w:r>
            <w:r>
              <w:rPr>
                <w:rFonts w:hint="eastAsia" w:cs="Times New Roman"/>
                <w:color w:val="000000" w:themeColor="text1"/>
                <w:kern w:val="2"/>
                <w:sz w:val="24"/>
                <w:szCs w:val="24"/>
                <w:u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、环境保护部办公厅《关于做好环境影响评价制度与排污许可</w:t>
            </w:r>
            <w:r>
              <w:rPr>
                <w:rFonts w:hint="eastAsia" w:cs="Times New Roman"/>
                <w:color w:val="000000" w:themeColor="text1"/>
                <w:kern w:val="2"/>
                <w:sz w:val="24"/>
                <w:szCs w:val="24"/>
                <w:u w:val="none"/>
                <w:lang w:val="en-US" w:eastAsia="zh-CN" w:bidi="ar-SA"/>
                <w14:textFill>
                  <w14:solidFill>
                    <w14:schemeClr w14:val="tx1"/>
                  </w14:solidFill>
                </w14:textFill>
              </w:rPr>
              <w:t>制度</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衔接相关工作的通知》</w:t>
            </w:r>
            <w:r>
              <w:rPr>
                <w:rFonts w:hint="eastAsia" w:cs="Times New Roman"/>
                <w:color w:val="000000" w:themeColor="text1"/>
                <w:kern w:val="2"/>
                <w:sz w:val="24"/>
                <w:szCs w:val="24"/>
                <w:u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环办环评</w:t>
            </w:r>
            <w:r>
              <w:rPr>
                <w:rFonts w:hint="eastAsia" w:cs="Times New Roman"/>
                <w:color w:val="000000" w:themeColor="text1"/>
                <w:kern w:val="2"/>
                <w:sz w:val="24"/>
                <w:szCs w:val="24"/>
                <w:u w:val="none"/>
                <w:lang w:val="en-US" w:eastAsia="zh-CN" w:bidi="ar-SA"/>
                <w14:textFill>
                  <w14:solidFill>
                    <w14:schemeClr w14:val="tx1"/>
                  </w14:solidFill>
                </w14:textFill>
              </w:rPr>
              <w:t>〔2017〕84号），在</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建设项目发生实际排污行为之前，排污单位应当按照国家环境保护相关法律法规以及排污许可证申请与核发技术规范要求申请排污许可证，不得无证排污或不按证排污，环境保护部门通过对企事业单位发放排污许可证并依证监管实施排污许可制。</w:t>
            </w:r>
          </w:p>
          <w:p w14:paraId="6696869A">
            <w:pPr>
              <w:pStyle w:val="106"/>
              <w:spacing w:line="360" w:lineRule="auto"/>
              <w:ind w:firstLine="480"/>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根据《固定污染源排污许可分类管理名录</w:t>
            </w:r>
            <w:r>
              <w:rPr>
                <w:rFonts w:hint="eastAsia" w:cs="Times New Roman"/>
                <w:color w:val="000000" w:themeColor="text1"/>
                <w:kern w:val="2"/>
                <w:sz w:val="24"/>
                <w:szCs w:val="24"/>
                <w:u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2019年版</w:t>
            </w:r>
            <w:r>
              <w:rPr>
                <w:rFonts w:hint="eastAsia" w:cs="Times New Roman"/>
                <w:color w:val="000000" w:themeColor="text1"/>
                <w:kern w:val="2"/>
                <w:sz w:val="24"/>
                <w:szCs w:val="24"/>
                <w:u w:val="none"/>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2"/>
                <w:sz w:val="24"/>
                <w:szCs w:val="24"/>
                <w:u w:val="none"/>
                <w:lang w:val="en-US" w:eastAsia="zh-CN" w:bidi="ar-SA"/>
                <w14:textFill>
                  <w14:solidFill>
                    <w14:schemeClr w14:val="tx1"/>
                  </w14:solidFill>
                </w14:textFill>
              </w:rPr>
              <w:t>》，本项目竣工后在发生实际排污行为之前，建设单位应当按照国家环境保护相关法律法规以及排污许可证申请与核发技术规范要求登记内容。</w:t>
            </w:r>
          </w:p>
          <w:p w14:paraId="4F9DEFC9">
            <w:pPr>
              <w:pStyle w:val="106"/>
              <w:spacing w:line="360" w:lineRule="auto"/>
              <w:ind w:firstLine="480"/>
              <w:rPr>
                <w:rFonts w:hint="eastAsia" w:ascii="Times New Roman" w:hAnsi="Times New Roman" w:eastAsia="宋体" w:cs="Times New Roman"/>
                <w:b/>
                <w:bCs/>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u w:val="none"/>
                <w:lang w:val="en-US" w:eastAsia="zh-CN" w:bidi="ar-SA"/>
                <w14:textFill>
                  <w14:solidFill>
                    <w14:schemeClr w14:val="tx1"/>
                  </w14:solidFill>
                </w14:textFill>
              </w:rPr>
              <w:t>2、项目竣工环境保护验收</w:t>
            </w:r>
          </w:p>
          <w:p w14:paraId="2E0B0582">
            <w:pPr>
              <w:numPr>
                <w:ilvl w:val="0"/>
                <w:numId w:val="0"/>
              </w:numPr>
              <w:spacing w:line="360" w:lineRule="auto"/>
              <w:ind w:firstLine="480" w:firstLineChars="200"/>
              <w:rPr>
                <w:rFonts w:hint="eastAsia" w:ascii="Times New Roman" w:hAnsi="Times New Roman" w:eastAsia="宋体" w:cs="Times New Roman"/>
                <w:b w:val="0"/>
                <w:bCs w:val="0"/>
                <w:color w:val="000000" w:themeColor="text1"/>
                <w:kern w:val="2"/>
                <w:sz w:val="24"/>
                <w:szCs w:val="24"/>
                <w:u w:val="none"/>
                <w:lang w:val="en-US" w:eastAsia="zh-CN" w:bidi="ar-SA"/>
                <w14:textFill>
                  <w14:solidFill>
                    <w14:schemeClr w14:val="tx1"/>
                  </w14:solidFill>
                </w14:textFill>
              </w:rPr>
            </w:pPr>
            <w:r>
              <w:rPr>
                <w:rFonts w:hint="eastAsia" w:ascii="Times New Roman" w:hAnsi="Times New Roman" w:eastAsia="宋体"/>
                <w:color w:val="auto"/>
                <w:kern w:val="18"/>
                <w:sz w:val="24"/>
                <w:szCs w:val="24"/>
                <w:highlight w:val="none"/>
                <w:u w:val="none"/>
                <w:lang w:val="en-US" w:eastAsia="zh-CN"/>
              </w:rPr>
              <w:t>贯彻落实新修改的《建设项目环境保护管理条例》及《建设项目竣工环境保护验收暂行办法》（国环规环评</w:t>
            </w:r>
            <w:r>
              <w:rPr>
                <w:rFonts w:hint="eastAsia"/>
                <w:color w:val="auto"/>
                <w:kern w:val="18"/>
                <w:sz w:val="24"/>
                <w:szCs w:val="24"/>
                <w:highlight w:val="none"/>
                <w:u w:val="none"/>
                <w:lang w:val="en-US" w:eastAsia="zh-CN"/>
              </w:rPr>
              <w:t>〔2017〕4号</w:t>
            </w:r>
            <w:r>
              <w:rPr>
                <w:rFonts w:hint="eastAsia" w:ascii="Times New Roman" w:hAnsi="Times New Roman" w:eastAsia="宋体"/>
                <w:color w:val="auto"/>
                <w:kern w:val="18"/>
                <w:sz w:val="24"/>
                <w:szCs w:val="24"/>
                <w:highlight w:val="none"/>
                <w:u w:val="none"/>
                <w:lang w:val="en-US" w:eastAsia="zh-CN"/>
              </w:rPr>
              <w:t>）（以下简称《暂行办法》），项目竣工后建设单位应自主开展竣工环境保护验收。建设单位是建设项目竣工环境保护验收的责任主体，应当按照《暂行办法》规定的程序和标准，组织对配套建设的环境保护设施进行验收，编制验收报告，公开相关信息，接受社会监督，确保建设项目需要配套建设的环境保护设施与主</w:t>
            </w:r>
            <w:r>
              <w:rPr>
                <w:rFonts w:hint="eastAsia" w:ascii="Times New Roman" w:hAnsi="Times New Roman" w:eastAsia="宋体" w:cs="Times New Roman"/>
                <w:color w:val="auto"/>
                <w:kern w:val="18"/>
                <w:sz w:val="24"/>
                <w:szCs w:val="24"/>
                <w:highlight w:val="none"/>
                <w:u w:val="none"/>
                <w:lang w:val="en-US" w:eastAsia="zh-CN"/>
              </w:rPr>
              <w:t>体工程同时投产或者使用，并对验收内容、结论和所公开信息的真实性、准确性和完整性负责，不得在验收过程中弄虚作假。</w:t>
            </w:r>
          </w:p>
          <w:p w14:paraId="258B56B5">
            <w:pPr>
              <w:spacing w:line="360" w:lineRule="auto"/>
              <w:jc w:val="center"/>
              <w:rPr>
                <w:color w:val="auto"/>
                <w:kern w:val="0"/>
                <w:sz w:val="24"/>
                <w:szCs w:val="24"/>
                <w:highlight w:val="none"/>
                <w:u w:val="none"/>
              </w:rPr>
            </w:pPr>
          </w:p>
        </w:tc>
      </w:tr>
    </w:tbl>
    <w:p w14:paraId="2DE5E4EE">
      <w:pPr>
        <w:spacing w:line="360" w:lineRule="auto"/>
        <w:jc w:val="center"/>
        <w:rPr>
          <w:color w:val="auto"/>
          <w:kern w:val="0"/>
          <w:highlight w:val="none"/>
          <w:u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527AD6E">
      <w:pPr>
        <w:pStyle w:val="3"/>
        <w:spacing w:before="0" w:after="0" w:line="360" w:lineRule="auto"/>
        <w:jc w:val="center"/>
        <w:rPr>
          <w:color w:val="auto"/>
          <w:sz w:val="32"/>
          <w:highlight w:val="none"/>
          <w:u w:val="none"/>
        </w:rPr>
      </w:pPr>
      <w:bookmarkStart w:id="7" w:name="_Toc8906"/>
      <w:r>
        <w:rPr>
          <w:rFonts w:hint="eastAsia"/>
          <w:color w:val="auto"/>
          <w:sz w:val="32"/>
          <w:highlight w:val="none"/>
          <w:u w:val="none"/>
        </w:rPr>
        <w:t>六、结论</w:t>
      </w:r>
      <w:bookmarkEnd w:id="7"/>
    </w:p>
    <w:tbl>
      <w:tblPr>
        <w:tblStyle w:val="3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16D1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Pr>
          <w:p w14:paraId="3AE54744">
            <w:pPr>
              <w:spacing w:line="360" w:lineRule="auto"/>
              <w:ind w:firstLine="480" w:firstLineChars="200"/>
              <w:rPr>
                <w:rFonts w:ascii="宋体" w:cs="宋体"/>
                <w:color w:val="auto"/>
                <w:sz w:val="24"/>
                <w:highlight w:val="none"/>
                <w:u w:val="none"/>
              </w:rPr>
            </w:pPr>
            <w:r>
              <w:rPr>
                <w:rFonts w:hint="eastAsia"/>
                <w:color w:val="auto"/>
                <w:sz w:val="24"/>
                <w:szCs w:val="24"/>
                <w:highlight w:val="none"/>
                <w:u w:val="none"/>
                <w:shd w:val="clear" w:color="auto" w:fill="FFFFFF"/>
              </w:rPr>
              <w:t>湖南意朴电子有限公司先进电子器件生产制造项目</w:t>
            </w:r>
            <w:r>
              <w:rPr>
                <w:rFonts w:hint="eastAsia"/>
                <w:color w:val="auto"/>
                <w:sz w:val="24"/>
                <w:highlight w:val="none"/>
                <w:u w:val="none"/>
              </w:rPr>
              <w:t>符合国家产业政策；项目选址符合相关规划要求；采用的工艺技术成熟可行，通过采取有效的环保措施可实现达标排放，对周边环境的影响也能控制在可接受程度。因此，建设单位在严格执行环保</w:t>
            </w:r>
            <w:r>
              <w:rPr>
                <w:color w:val="auto"/>
                <w:sz w:val="24"/>
                <w:highlight w:val="none"/>
                <w:u w:val="none"/>
              </w:rPr>
              <w:t>“</w:t>
            </w:r>
            <w:r>
              <w:rPr>
                <w:rFonts w:hint="eastAsia"/>
                <w:color w:val="auto"/>
                <w:sz w:val="24"/>
                <w:highlight w:val="none"/>
                <w:u w:val="none"/>
              </w:rPr>
              <w:t>三同时</w:t>
            </w:r>
            <w:r>
              <w:rPr>
                <w:color w:val="auto"/>
                <w:sz w:val="24"/>
                <w:highlight w:val="none"/>
                <w:u w:val="none"/>
              </w:rPr>
              <w:t>”</w:t>
            </w:r>
            <w:r>
              <w:rPr>
                <w:rFonts w:hint="eastAsia"/>
                <w:color w:val="auto"/>
                <w:sz w:val="24"/>
                <w:highlight w:val="none"/>
                <w:u w:val="none"/>
              </w:rPr>
              <w:t>制度，严格落实本报告提出的各项环保措施后，项目建设对环境的影响是可接受的。因此，从环保的角度分析，本项目的建设是可行的。</w:t>
            </w:r>
          </w:p>
          <w:p w14:paraId="4D27E8DB">
            <w:pPr>
              <w:pStyle w:val="17"/>
              <w:rPr>
                <w:color w:val="auto"/>
                <w:highlight w:val="none"/>
                <w:u w:val="none"/>
              </w:rPr>
            </w:pPr>
          </w:p>
          <w:p w14:paraId="599CDD53">
            <w:pPr>
              <w:rPr>
                <w:color w:val="auto"/>
                <w:highlight w:val="none"/>
                <w:u w:val="none"/>
              </w:rPr>
            </w:pPr>
          </w:p>
          <w:p w14:paraId="0C388B53">
            <w:pPr>
              <w:pStyle w:val="17"/>
              <w:rPr>
                <w:color w:val="auto"/>
                <w:highlight w:val="none"/>
                <w:u w:val="none"/>
              </w:rPr>
            </w:pPr>
          </w:p>
          <w:p w14:paraId="5B5DDBB3">
            <w:pPr>
              <w:rPr>
                <w:color w:val="auto"/>
                <w:highlight w:val="none"/>
                <w:u w:val="none"/>
              </w:rPr>
            </w:pPr>
          </w:p>
          <w:p w14:paraId="754D8B58">
            <w:pPr>
              <w:pStyle w:val="17"/>
              <w:rPr>
                <w:color w:val="auto"/>
                <w:highlight w:val="none"/>
                <w:u w:val="none"/>
              </w:rPr>
            </w:pPr>
          </w:p>
          <w:p w14:paraId="06AA26F4">
            <w:pPr>
              <w:rPr>
                <w:color w:val="auto"/>
                <w:highlight w:val="none"/>
                <w:u w:val="none"/>
              </w:rPr>
            </w:pPr>
          </w:p>
          <w:p w14:paraId="36A28682">
            <w:pPr>
              <w:pStyle w:val="17"/>
              <w:rPr>
                <w:color w:val="auto"/>
                <w:highlight w:val="none"/>
                <w:u w:val="none"/>
              </w:rPr>
            </w:pPr>
          </w:p>
          <w:p w14:paraId="3DA5A1ED">
            <w:pPr>
              <w:rPr>
                <w:color w:val="auto"/>
                <w:highlight w:val="none"/>
                <w:u w:val="none"/>
              </w:rPr>
            </w:pPr>
          </w:p>
          <w:p w14:paraId="4B254D6B">
            <w:pPr>
              <w:pStyle w:val="17"/>
              <w:rPr>
                <w:color w:val="auto"/>
                <w:highlight w:val="none"/>
                <w:u w:val="none"/>
              </w:rPr>
            </w:pPr>
          </w:p>
          <w:p w14:paraId="74E0255E">
            <w:pPr>
              <w:pStyle w:val="17"/>
              <w:rPr>
                <w:color w:val="auto"/>
                <w:highlight w:val="none"/>
                <w:u w:val="none"/>
              </w:rPr>
            </w:pPr>
          </w:p>
          <w:p w14:paraId="480EF1F7">
            <w:pPr>
              <w:pStyle w:val="17"/>
              <w:rPr>
                <w:color w:val="auto"/>
                <w:highlight w:val="none"/>
                <w:u w:val="none"/>
              </w:rPr>
            </w:pPr>
          </w:p>
          <w:p w14:paraId="3738E874">
            <w:pPr>
              <w:pStyle w:val="17"/>
              <w:rPr>
                <w:color w:val="auto"/>
                <w:highlight w:val="none"/>
                <w:u w:val="none"/>
              </w:rPr>
            </w:pPr>
          </w:p>
          <w:p w14:paraId="431522D8">
            <w:pPr>
              <w:pStyle w:val="17"/>
              <w:rPr>
                <w:color w:val="auto"/>
                <w:highlight w:val="none"/>
                <w:u w:val="none"/>
              </w:rPr>
            </w:pPr>
          </w:p>
          <w:p w14:paraId="5A7344D8">
            <w:pPr>
              <w:pStyle w:val="17"/>
              <w:rPr>
                <w:color w:val="auto"/>
                <w:highlight w:val="none"/>
                <w:u w:val="none"/>
              </w:rPr>
            </w:pPr>
          </w:p>
          <w:p w14:paraId="0807592B">
            <w:pPr>
              <w:pStyle w:val="17"/>
              <w:rPr>
                <w:color w:val="auto"/>
                <w:highlight w:val="none"/>
                <w:u w:val="none"/>
              </w:rPr>
            </w:pPr>
          </w:p>
          <w:p w14:paraId="65A31CFB">
            <w:pPr>
              <w:pStyle w:val="17"/>
              <w:rPr>
                <w:color w:val="auto"/>
                <w:highlight w:val="none"/>
                <w:u w:val="none"/>
              </w:rPr>
            </w:pPr>
          </w:p>
          <w:p w14:paraId="43BF581D">
            <w:pPr>
              <w:pStyle w:val="17"/>
              <w:rPr>
                <w:color w:val="auto"/>
                <w:highlight w:val="none"/>
                <w:u w:val="none"/>
              </w:rPr>
            </w:pPr>
          </w:p>
          <w:p w14:paraId="36E6E004">
            <w:pPr>
              <w:pStyle w:val="17"/>
              <w:rPr>
                <w:color w:val="auto"/>
                <w:highlight w:val="none"/>
                <w:u w:val="none"/>
              </w:rPr>
            </w:pPr>
          </w:p>
          <w:p w14:paraId="6D29ACA5">
            <w:pPr>
              <w:pStyle w:val="17"/>
              <w:rPr>
                <w:color w:val="auto"/>
                <w:highlight w:val="none"/>
                <w:u w:val="none"/>
              </w:rPr>
            </w:pPr>
          </w:p>
          <w:p w14:paraId="41BDB503">
            <w:pPr>
              <w:pStyle w:val="17"/>
              <w:rPr>
                <w:color w:val="auto"/>
                <w:highlight w:val="none"/>
                <w:u w:val="none"/>
              </w:rPr>
            </w:pPr>
          </w:p>
          <w:p w14:paraId="6648CD12">
            <w:pPr>
              <w:pStyle w:val="17"/>
              <w:rPr>
                <w:color w:val="auto"/>
                <w:highlight w:val="none"/>
                <w:u w:val="none"/>
              </w:rPr>
            </w:pPr>
          </w:p>
          <w:p w14:paraId="1D87F6ED">
            <w:pPr>
              <w:pStyle w:val="17"/>
              <w:rPr>
                <w:color w:val="auto"/>
                <w:highlight w:val="none"/>
                <w:u w:val="none"/>
              </w:rPr>
            </w:pPr>
          </w:p>
          <w:p w14:paraId="2BCCBA8A">
            <w:pPr>
              <w:pStyle w:val="17"/>
              <w:rPr>
                <w:color w:val="auto"/>
                <w:highlight w:val="none"/>
                <w:u w:val="none"/>
              </w:rPr>
            </w:pPr>
          </w:p>
          <w:p w14:paraId="1C05B19F">
            <w:pPr>
              <w:rPr>
                <w:color w:val="auto"/>
                <w:highlight w:val="none"/>
                <w:u w:val="none"/>
              </w:rPr>
            </w:pPr>
          </w:p>
          <w:p w14:paraId="77D22D58">
            <w:pPr>
              <w:pStyle w:val="17"/>
              <w:rPr>
                <w:color w:val="auto"/>
                <w:highlight w:val="none"/>
                <w:u w:val="none"/>
              </w:rPr>
            </w:pPr>
          </w:p>
          <w:p w14:paraId="768A3201">
            <w:pPr>
              <w:rPr>
                <w:color w:val="auto"/>
                <w:highlight w:val="none"/>
                <w:u w:val="none"/>
              </w:rPr>
            </w:pPr>
          </w:p>
        </w:tc>
      </w:tr>
    </w:tbl>
    <w:p w14:paraId="3877CE81">
      <w:pPr>
        <w:pStyle w:val="3"/>
        <w:spacing w:before="0" w:after="0" w:line="360" w:lineRule="auto"/>
        <w:jc w:val="center"/>
        <w:rPr>
          <w:color w:val="auto"/>
          <w:sz w:val="32"/>
          <w:highlight w:val="none"/>
          <w:u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ED6407C">
      <w:pPr>
        <w:pStyle w:val="3"/>
        <w:spacing w:before="0" w:after="0" w:line="360" w:lineRule="auto"/>
        <w:jc w:val="left"/>
        <w:rPr>
          <w:color w:val="auto"/>
          <w:sz w:val="32"/>
          <w:highlight w:val="none"/>
          <w:u w:val="none"/>
        </w:rPr>
      </w:pPr>
      <w:bookmarkStart w:id="8" w:name="_Toc22265"/>
      <w:r>
        <w:rPr>
          <w:rFonts w:hint="eastAsia"/>
          <w:color w:val="auto"/>
          <w:sz w:val="32"/>
          <w:highlight w:val="none"/>
          <w:u w:val="none"/>
        </w:rPr>
        <w:t>附表</w:t>
      </w:r>
      <w:bookmarkEnd w:id="8"/>
    </w:p>
    <w:p w14:paraId="27F31E3B">
      <w:pPr>
        <w:jc w:val="center"/>
        <w:rPr>
          <w:b/>
          <w:bCs/>
          <w:color w:val="auto"/>
          <w:sz w:val="28"/>
          <w:szCs w:val="28"/>
          <w:highlight w:val="none"/>
          <w:u w:val="none"/>
        </w:rPr>
      </w:pPr>
      <w:bookmarkStart w:id="9" w:name="_Toc26910_WPSOffice_Level1"/>
      <w:r>
        <w:rPr>
          <w:rFonts w:hint="eastAsia"/>
          <w:b/>
          <w:bCs/>
          <w:color w:val="auto"/>
          <w:sz w:val="28"/>
          <w:szCs w:val="28"/>
          <w:highlight w:val="none"/>
          <w:u w:val="none"/>
        </w:rPr>
        <w:t>建设项目污染物排放量汇总表</w:t>
      </w:r>
      <w:bookmarkEnd w:id="9"/>
    </w:p>
    <w:tbl>
      <w:tblPr>
        <w:tblStyle w:val="35"/>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492"/>
        <w:gridCol w:w="1293"/>
      </w:tblGrid>
      <w:tr w14:paraId="7E2ECC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tcMar>
              <w:left w:w="28" w:type="dxa"/>
              <w:right w:w="28" w:type="dxa"/>
            </w:tcMar>
            <w:vAlign w:val="center"/>
          </w:tcPr>
          <w:p w14:paraId="59B0D6BC">
            <w:pPr>
              <w:jc w:val="right"/>
              <w:rPr>
                <w:color w:val="auto"/>
                <w:kern w:val="0"/>
                <w:sz w:val="18"/>
                <w:szCs w:val="18"/>
                <w:highlight w:val="none"/>
                <w:u w:val="none"/>
              </w:rPr>
            </w:pPr>
            <w:r>
              <w:rPr>
                <w:rFonts w:hint="eastAsia"/>
                <w:color w:val="auto"/>
                <w:kern w:val="0"/>
                <w:sz w:val="18"/>
                <w:szCs w:val="18"/>
                <w:highlight w:val="none"/>
                <w:u w:val="none"/>
              </w:rPr>
              <w:t>项目</w:t>
            </w:r>
          </w:p>
          <w:p w14:paraId="46A464BA">
            <w:pPr>
              <w:rPr>
                <w:color w:val="auto"/>
                <w:kern w:val="0"/>
                <w:sz w:val="18"/>
                <w:szCs w:val="18"/>
                <w:highlight w:val="none"/>
                <w:u w:val="none"/>
              </w:rPr>
            </w:pPr>
            <w:r>
              <w:rPr>
                <w:rFonts w:hint="eastAsia"/>
                <w:color w:val="auto"/>
                <w:kern w:val="0"/>
                <w:sz w:val="18"/>
                <w:szCs w:val="18"/>
                <w:highlight w:val="none"/>
                <w:u w:val="none"/>
              </w:rPr>
              <w:t>分类</w:t>
            </w:r>
          </w:p>
        </w:tc>
        <w:tc>
          <w:tcPr>
            <w:tcW w:w="1417" w:type="dxa"/>
            <w:tcMar>
              <w:left w:w="28" w:type="dxa"/>
              <w:right w:w="28" w:type="dxa"/>
            </w:tcMar>
            <w:vAlign w:val="center"/>
          </w:tcPr>
          <w:p w14:paraId="57542A01">
            <w:pPr>
              <w:jc w:val="center"/>
              <w:rPr>
                <w:color w:val="auto"/>
                <w:kern w:val="0"/>
                <w:sz w:val="18"/>
                <w:szCs w:val="18"/>
                <w:highlight w:val="none"/>
                <w:u w:val="none"/>
              </w:rPr>
            </w:pPr>
            <w:r>
              <w:rPr>
                <w:rFonts w:hint="eastAsia"/>
                <w:color w:val="auto"/>
                <w:kern w:val="0"/>
                <w:sz w:val="18"/>
                <w:szCs w:val="18"/>
                <w:highlight w:val="none"/>
                <w:u w:val="none"/>
              </w:rPr>
              <w:t>污染物名称</w:t>
            </w:r>
          </w:p>
        </w:tc>
        <w:tc>
          <w:tcPr>
            <w:tcW w:w="1701" w:type="dxa"/>
            <w:tcMar>
              <w:left w:w="28" w:type="dxa"/>
              <w:right w:w="28" w:type="dxa"/>
            </w:tcMar>
            <w:vAlign w:val="center"/>
          </w:tcPr>
          <w:p w14:paraId="7FCEC1E7">
            <w:pPr>
              <w:jc w:val="center"/>
              <w:rPr>
                <w:color w:val="auto"/>
                <w:kern w:val="0"/>
                <w:sz w:val="18"/>
                <w:szCs w:val="18"/>
                <w:highlight w:val="none"/>
                <w:u w:val="none"/>
              </w:rPr>
            </w:pPr>
            <w:r>
              <w:rPr>
                <w:rFonts w:hint="eastAsia"/>
                <w:color w:val="auto"/>
                <w:kern w:val="0"/>
                <w:sz w:val="18"/>
                <w:szCs w:val="18"/>
                <w:highlight w:val="none"/>
                <w:u w:val="none"/>
              </w:rPr>
              <w:t>现有工程</w:t>
            </w:r>
          </w:p>
          <w:p w14:paraId="7E19F00E">
            <w:pPr>
              <w:jc w:val="center"/>
              <w:rPr>
                <w:color w:val="auto"/>
                <w:kern w:val="0"/>
                <w:sz w:val="18"/>
                <w:szCs w:val="18"/>
                <w:highlight w:val="none"/>
                <w:u w:val="none"/>
              </w:rPr>
            </w:pPr>
            <w:r>
              <w:rPr>
                <w:rFonts w:hint="eastAsia"/>
                <w:color w:val="auto"/>
                <w:kern w:val="0"/>
                <w:sz w:val="18"/>
                <w:szCs w:val="18"/>
                <w:highlight w:val="none"/>
                <w:u w:val="none"/>
              </w:rPr>
              <w:t>排放量（固体废物产生量）</w:t>
            </w:r>
            <w:r>
              <w:rPr>
                <w:rFonts w:hint="eastAsia"/>
                <w:color w:val="auto"/>
                <w:kern w:val="0"/>
                <w:sz w:val="18"/>
                <w:szCs w:val="18"/>
                <w:highlight w:val="none"/>
                <w:u w:val="none"/>
              </w:rPr>
              <w:fldChar w:fldCharType="begin"/>
            </w:r>
            <w:r>
              <w:rPr>
                <w:rFonts w:hint="eastAsia"/>
                <w:color w:val="auto"/>
                <w:kern w:val="0"/>
                <w:sz w:val="18"/>
                <w:szCs w:val="18"/>
                <w:highlight w:val="none"/>
                <w:u w:val="none"/>
              </w:rPr>
              <w:instrText xml:space="preserve"> = 1 \* GB3 \* MERGEFORMAT </w:instrText>
            </w:r>
            <w:r>
              <w:rPr>
                <w:rFonts w:hint="eastAsia"/>
                <w:color w:val="auto"/>
                <w:kern w:val="0"/>
                <w:sz w:val="18"/>
                <w:szCs w:val="18"/>
                <w:highlight w:val="none"/>
                <w:u w:val="none"/>
              </w:rPr>
              <w:fldChar w:fldCharType="separate"/>
            </w:r>
            <w:r>
              <w:rPr>
                <w:rFonts w:hint="eastAsia"/>
                <w:color w:val="auto"/>
                <w:kern w:val="0"/>
                <w:sz w:val="18"/>
                <w:szCs w:val="18"/>
                <w:highlight w:val="none"/>
                <w:u w:val="none"/>
              </w:rPr>
              <w:t>①</w:t>
            </w:r>
            <w:r>
              <w:rPr>
                <w:rFonts w:hint="eastAsia"/>
                <w:color w:val="auto"/>
                <w:kern w:val="0"/>
                <w:sz w:val="18"/>
                <w:szCs w:val="18"/>
                <w:highlight w:val="none"/>
                <w:u w:val="none"/>
              </w:rPr>
              <w:fldChar w:fldCharType="end"/>
            </w:r>
          </w:p>
        </w:tc>
        <w:tc>
          <w:tcPr>
            <w:tcW w:w="1276" w:type="dxa"/>
            <w:tcMar>
              <w:left w:w="28" w:type="dxa"/>
              <w:right w:w="28" w:type="dxa"/>
            </w:tcMar>
            <w:vAlign w:val="center"/>
          </w:tcPr>
          <w:p w14:paraId="39F71815">
            <w:pPr>
              <w:jc w:val="center"/>
              <w:rPr>
                <w:color w:val="auto"/>
                <w:kern w:val="0"/>
                <w:sz w:val="18"/>
                <w:szCs w:val="18"/>
                <w:highlight w:val="none"/>
                <w:u w:val="none"/>
              </w:rPr>
            </w:pPr>
            <w:r>
              <w:rPr>
                <w:rFonts w:hint="eastAsia"/>
                <w:color w:val="auto"/>
                <w:kern w:val="0"/>
                <w:sz w:val="18"/>
                <w:szCs w:val="18"/>
                <w:highlight w:val="none"/>
                <w:u w:val="none"/>
              </w:rPr>
              <w:t>现有工程</w:t>
            </w:r>
          </w:p>
          <w:p w14:paraId="2A5224C8">
            <w:pPr>
              <w:jc w:val="center"/>
              <w:rPr>
                <w:color w:val="auto"/>
                <w:kern w:val="0"/>
                <w:sz w:val="18"/>
                <w:szCs w:val="18"/>
                <w:highlight w:val="none"/>
                <w:u w:val="none"/>
              </w:rPr>
            </w:pPr>
            <w:r>
              <w:rPr>
                <w:rFonts w:hint="eastAsia"/>
                <w:color w:val="auto"/>
                <w:kern w:val="0"/>
                <w:sz w:val="18"/>
                <w:szCs w:val="18"/>
                <w:highlight w:val="none"/>
                <w:u w:val="none"/>
              </w:rPr>
              <w:t>许可排放量</w:t>
            </w:r>
          </w:p>
          <w:p w14:paraId="0F5245BB">
            <w:pPr>
              <w:jc w:val="center"/>
              <w:rPr>
                <w:color w:val="auto"/>
                <w:kern w:val="0"/>
                <w:sz w:val="18"/>
                <w:szCs w:val="18"/>
                <w:highlight w:val="none"/>
                <w:u w:val="none"/>
              </w:rPr>
            </w:pPr>
            <w:r>
              <w:rPr>
                <w:rFonts w:hint="eastAsia"/>
                <w:color w:val="auto"/>
                <w:kern w:val="0"/>
                <w:sz w:val="18"/>
                <w:szCs w:val="18"/>
                <w:highlight w:val="none"/>
                <w:u w:val="none"/>
              </w:rPr>
              <w:fldChar w:fldCharType="begin"/>
            </w:r>
            <w:r>
              <w:rPr>
                <w:rFonts w:hint="eastAsia"/>
                <w:color w:val="auto"/>
                <w:kern w:val="0"/>
                <w:sz w:val="18"/>
                <w:szCs w:val="18"/>
                <w:highlight w:val="none"/>
                <w:u w:val="none"/>
              </w:rPr>
              <w:instrText xml:space="preserve"> = 2 \* GB3 \* MERGEFORMAT </w:instrText>
            </w:r>
            <w:r>
              <w:rPr>
                <w:rFonts w:hint="eastAsia"/>
                <w:color w:val="auto"/>
                <w:kern w:val="0"/>
                <w:sz w:val="18"/>
                <w:szCs w:val="18"/>
                <w:highlight w:val="none"/>
                <w:u w:val="none"/>
              </w:rPr>
              <w:fldChar w:fldCharType="separate"/>
            </w:r>
            <w:r>
              <w:rPr>
                <w:rFonts w:hint="eastAsia"/>
                <w:color w:val="auto"/>
                <w:kern w:val="0"/>
                <w:sz w:val="18"/>
                <w:szCs w:val="18"/>
                <w:highlight w:val="none"/>
                <w:u w:val="none"/>
              </w:rPr>
              <w:t>②</w:t>
            </w:r>
            <w:r>
              <w:rPr>
                <w:rFonts w:hint="eastAsia"/>
                <w:color w:val="auto"/>
                <w:kern w:val="0"/>
                <w:sz w:val="18"/>
                <w:szCs w:val="18"/>
                <w:highlight w:val="none"/>
                <w:u w:val="none"/>
              </w:rPr>
              <w:fldChar w:fldCharType="end"/>
            </w:r>
          </w:p>
        </w:tc>
        <w:tc>
          <w:tcPr>
            <w:tcW w:w="1701" w:type="dxa"/>
            <w:tcMar>
              <w:left w:w="28" w:type="dxa"/>
              <w:right w:w="28" w:type="dxa"/>
            </w:tcMar>
            <w:vAlign w:val="center"/>
          </w:tcPr>
          <w:p w14:paraId="261DA6EC">
            <w:pPr>
              <w:jc w:val="center"/>
              <w:rPr>
                <w:color w:val="auto"/>
                <w:kern w:val="0"/>
                <w:sz w:val="18"/>
                <w:szCs w:val="18"/>
                <w:highlight w:val="none"/>
                <w:u w:val="none"/>
              </w:rPr>
            </w:pPr>
            <w:r>
              <w:rPr>
                <w:rFonts w:hint="eastAsia"/>
                <w:color w:val="auto"/>
                <w:kern w:val="0"/>
                <w:sz w:val="18"/>
                <w:szCs w:val="18"/>
                <w:highlight w:val="none"/>
                <w:u w:val="none"/>
              </w:rPr>
              <w:t>在建工程</w:t>
            </w:r>
          </w:p>
          <w:p w14:paraId="4394AB87">
            <w:pPr>
              <w:jc w:val="center"/>
              <w:rPr>
                <w:color w:val="auto"/>
                <w:kern w:val="0"/>
                <w:sz w:val="18"/>
                <w:szCs w:val="18"/>
                <w:highlight w:val="none"/>
                <w:u w:val="none"/>
              </w:rPr>
            </w:pPr>
            <w:r>
              <w:rPr>
                <w:rFonts w:hint="eastAsia"/>
                <w:color w:val="auto"/>
                <w:kern w:val="0"/>
                <w:sz w:val="18"/>
                <w:szCs w:val="18"/>
                <w:highlight w:val="none"/>
                <w:u w:val="none"/>
              </w:rPr>
              <w:t>排放量（固体废物产生量）</w:t>
            </w:r>
            <w:r>
              <w:rPr>
                <w:rFonts w:hint="eastAsia"/>
                <w:color w:val="auto"/>
                <w:kern w:val="0"/>
                <w:sz w:val="18"/>
                <w:szCs w:val="18"/>
                <w:highlight w:val="none"/>
                <w:u w:val="none"/>
              </w:rPr>
              <w:fldChar w:fldCharType="begin"/>
            </w:r>
            <w:r>
              <w:rPr>
                <w:rFonts w:hint="eastAsia"/>
                <w:color w:val="auto"/>
                <w:kern w:val="0"/>
                <w:sz w:val="18"/>
                <w:szCs w:val="18"/>
                <w:highlight w:val="none"/>
                <w:u w:val="none"/>
              </w:rPr>
              <w:instrText xml:space="preserve"> = 3 \* GB3 \* MERGEFORMAT </w:instrText>
            </w:r>
            <w:r>
              <w:rPr>
                <w:rFonts w:hint="eastAsia"/>
                <w:color w:val="auto"/>
                <w:kern w:val="0"/>
                <w:sz w:val="18"/>
                <w:szCs w:val="18"/>
                <w:highlight w:val="none"/>
                <w:u w:val="none"/>
              </w:rPr>
              <w:fldChar w:fldCharType="separate"/>
            </w:r>
            <w:r>
              <w:rPr>
                <w:rFonts w:hint="eastAsia"/>
                <w:color w:val="auto"/>
                <w:kern w:val="0"/>
                <w:sz w:val="18"/>
                <w:szCs w:val="18"/>
                <w:highlight w:val="none"/>
                <w:u w:val="none"/>
              </w:rPr>
              <w:t>③</w:t>
            </w:r>
            <w:r>
              <w:rPr>
                <w:rFonts w:hint="eastAsia"/>
                <w:color w:val="auto"/>
                <w:kern w:val="0"/>
                <w:sz w:val="18"/>
                <w:szCs w:val="18"/>
                <w:highlight w:val="none"/>
                <w:u w:val="none"/>
              </w:rPr>
              <w:fldChar w:fldCharType="end"/>
            </w:r>
          </w:p>
        </w:tc>
        <w:tc>
          <w:tcPr>
            <w:tcW w:w="1559" w:type="dxa"/>
            <w:tcMar>
              <w:left w:w="28" w:type="dxa"/>
              <w:right w:w="28" w:type="dxa"/>
            </w:tcMar>
            <w:vAlign w:val="center"/>
          </w:tcPr>
          <w:p w14:paraId="757B5B59">
            <w:pPr>
              <w:jc w:val="center"/>
              <w:rPr>
                <w:color w:val="auto"/>
                <w:kern w:val="0"/>
                <w:sz w:val="18"/>
                <w:szCs w:val="18"/>
                <w:highlight w:val="none"/>
                <w:u w:val="none"/>
              </w:rPr>
            </w:pPr>
            <w:r>
              <w:rPr>
                <w:rFonts w:hint="eastAsia"/>
                <w:color w:val="auto"/>
                <w:kern w:val="0"/>
                <w:sz w:val="18"/>
                <w:szCs w:val="18"/>
                <w:highlight w:val="none"/>
                <w:u w:val="none"/>
              </w:rPr>
              <w:t>本项目</w:t>
            </w:r>
          </w:p>
          <w:p w14:paraId="62BBDCE3">
            <w:pPr>
              <w:jc w:val="center"/>
              <w:rPr>
                <w:color w:val="auto"/>
                <w:kern w:val="0"/>
                <w:sz w:val="18"/>
                <w:szCs w:val="18"/>
                <w:highlight w:val="none"/>
                <w:u w:val="none"/>
              </w:rPr>
            </w:pPr>
            <w:r>
              <w:rPr>
                <w:rFonts w:hint="eastAsia"/>
                <w:color w:val="auto"/>
                <w:kern w:val="0"/>
                <w:sz w:val="18"/>
                <w:szCs w:val="18"/>
                <w:highlight w:val="none"/>
                <w:u w:val="none"/>
              </w:rPr>
              <w:t>排放量（固体废物产生量）</w:t>
            </w:r>
            <w:r>
              <w:rPr>
                <w:rFonts w:hint="eastAsia"/>
                <w:color w:val="auto"/>
                <w:kern w:val="0"/>
                <w:sz w:val="18"/>
                <w:szCs w:val="18"/>
                <w:highlight w:val="none"/>
                <w:u w:val="none"/>
              </w:rPr>
              <w:fldChar w:fldCharType="begin"/>
            </w:r>
            <w:r>
              <w:rPr>
                <w:rFonts w:hint="eastAsia"/>
                <w:color w:val="auto"/>
                <w:kern w:val="0"/>
                <w:sz w:val="18"/>
                <w:szCs w:val="18"/>
                <w:highlight w:val="none"/>
                <w:u w:val="none"/>
              </w:rPr>
              <w:instrText xml:space="preserve"> = 4 \* GB3 \* MERGEFORMAT </w:instrText>
            </w:r>
            <w:r>
              <w:rPr>
                <w:rFonts w:hint="eastAsia"/>
                <w:color w:val="auto"/>
                <w:kern w:val="0"/>
                <w:sz w:val="18"/>
                <w:szCs w:val="18"/>
                <w:highlight w:val="none"/>
                <w:u w:val="none"/>
              </w:rPr>
              <w:fldChar w:fldCharType="separate"/>
            </w:r>
            <w:r>
              <w:rPr>
                <w:rFonts w:hint="eastAsia"/>
                <w:color w:val="auto"/>
                <w:kern w:val="0"/>
                <w:sz w:val="18"/>
                <w:szCs w:val="18"/>
                <w:highlight w:val="none"/>
                <w:u w:val="none"/>
              </w:rPr>
              <w:t>④</w:t>
            </w:r>
            <w:r>
              <w:rPr>
                <w:rFonts w:hint="eastAsia"/>
                <w:color w:val="auto"/>
                <w:kern w:val="0"/>
                <w:sz w:val="18"/>
                <w:szCs w:val="18"/>
                <w:highlight w:val="none"/>
                <w:u w:val="none"/>
              </w:rPr>
              <w:fldChar w:fldCharType="end"/>
            </w:r>
          </w:p>
        </w:tc>
        <w:tc>
          <w:tcPr>
            <w:tcW w:w="1761" w:type="dxa"/>
            <w:tcMar>
              <w:left w:w="28" w:type="dxa"/>
              <w:right w:w="28" w:type="dxa"/>
            </w:tcMar>
            <w:vAlign w:val="center"/>
          </w:tcPr>
          <w:p w14:paraId="07EAA422">
            <w:pPr>
              <w:jc w:val="center"/>
              <w:rPr>
                <w:color w:val="auto"/>
                <w:kern w:val="0"/>
                <w:sz w:val="18"/>
                <w:szCs w:val="18"/>
                <w:highlight w:val="none"/>
                <w:u w:val="none"/>
              </w:rPr>
            </w:pPr>
            <w:r>
              <w:rPr>
                <w:rFonts w:hint="eastAsia"/>
                <w:color w:val="auto"/>
                <w:kern w:val="0"/>
                <w:sz w:val="18"/>
                <w:szCs w:val="18"/>
                <w:highlight w:val="none"/>
                <w:u w:val="none"/>
              </w:rPr>
              <w:t>以新带老削减量</w:t>
            </w:r>
          </w:p>
          <w:p w14:paraId="0955B1D4">
            <w:pPr>
              <w:jc w:val="center"/>
              <w:rPr>
                <w:color w:val="auto"/>
                <w:kern w:val="0"/>
                <w:sz w:val="18"/>
                <w:szCs w:val="18"/>
                <w:highlight w:val="none"/>
                <w:u w:val="none"/>
              </w:rPr>
            </w:pPr>
            <w:r>
              <w:rPr>
                <w:rFonts w:hint="eastAsia"/>
                <w:color w:val="auto"/>
                <w:kern w:val="0"/>
                <w:sz w:val="18"/>
                <w:szCs w:val="18"/>
                <w:highlight w:val="none"/>
                <w:u w:val="none"/>
              </w:rPr>
              <w:t>（新建项目不填）</w:t>
            </w:r>
            <w:r>
              <w:rPr>
                <w:rFonts w:hint="eastAsia"/>
                <w:color w:val="auto"/>
                <w:kern w:val="0"/>
                <w:sz w:val="18"/>
                <w:szCs w:val="18"/>
                <w:highlight w:val="none"/>
                <w:u w:val="none"/>
              </w:rPr>
              <w:fldChar w:fldCharType="begin"/>
            </w:r>
            <w:r>
              <w:rPr>
                <w:rFonts w:hint="eastAsia"/>
                <w:color w:val="auto"/>
                <w:kern w:val="0"/>
                <w:sz w:val="18"/>
                <w:szCs w:val="18"/>
                <w:highlight w:val="none"/>
                <w:u w:val="none"/>
              </w:rPr>
              <w:instrText xml:space="preserve"> = 5 \* GB3 \* MERGEFORMAT </w:instrText>
            </w:r>
            <w:r>
              <w:rPr>
                <w:rFonts w:hint="eastAsia"/>
                <w:color w:val="auto"/>
                <w:kern w:val="0"/>
                <w:sz w:val="18"/>
                <w:szCs w:val="18"/>
                <w:highlight w:val="none"/>
                <w:u w:val="none"/>
              </w:rPr>
              <w:fldChar w:fldCharType="separate"/>
            </w:r>
            <w:r>
              <w:rPr>
                <w:rFonts w:hint="eastAsia"/>
                <w:color w:val="auto"/>
                <w:kern w:val="0"/>
                <w:sz w:val="18"/>
                <w:szCs w:val="18"/>
                <w:highlight w:val="none"/>
                <w:u w:val="none"/>
              </w:rPr>
              <w:t>⑤</w:t>
            </w:r>
            <w:r>
              <w:rPr>
                <w:rFonts w:hint="eastAsia"/>
                <w:color w:val="auto"/>
                <w:kern w:val="0"/>
                <w:sz w:val="18"/>
                <w:szCs w:val="18"/>
                <w:highlight w:val="none"/>
                <w:u w:val="none"/>
              </w:rPr>
              <w:fldChar w:fldCharType="end"/>
            </w:r>
          </w:p>
        </w:tc>
        <w:tc>
          <w:tcPr>
            <w:tcW w:w="1492" w:type="dxa"/>
            <w:tcMar>
              <w:left w:w="28" w:type="dxa"/>
              <w:right w:w="28" w:type="dxa"/>
            </w:tcMar>
            <w:vAlign w:val="center"/>
          </w:tcPr>
          <w:p w14:paraId="5BE7EEA1">
            <w:pPr>
              <w:jc w:val="center"/>
              <w:rPr>
                <w:color w:val="auto"/>
                <w:kern w:val="0"/>
                <w:sz w:val="18"/>
                <w:szCs w:val="18"/>
                <w:highlight w:val="none"/>
                <w:u w:val="none"/>
              </w:rPr>
            </w:pPr>
            <w:r>
              <w:rPr>
                <w:rFonts w:hint="eastAsia"/>
                <w:color w:val="auto"/>
                <w:kern w:val="0"/>
                <w:sz w:val="18"/>
                <w:szCs w:val="18"/>
                <w:highlight w:val="none"/>
                <w:u w:val="none"/>
              </w:rPr>
              <w:t>本项目建成后</w:t>
            </w:r>
          </w:p>
          <w:p w14:paraId="5DC24E5B">
            <w:pPr>
              <w:jc w:val="center"/>
              <w:rPr>
                <w:color w:val="auto"/>
                <w:kern w:val="0"/>
                <w:sz w:val="18"/>
                <w:szCs w:val="18"/>
                <w:highlight w:val="none"/>
                <w:u w:val="none"/>
              </w:rPr>
            </w:pPr>
            <w:r>
              <w:rPr>
                <w:rFonts w:hint="eastAsia"/>
                <w:color w:val="auto"/>
                <w:kern w:val="0"/>
                <w:sz w:val="18"/>
                <w:szCs w:val="18"/>
                <w:highlight w:val="none"/>
                <w:u w:val="none"/>
              </w:rPr>
              <w:t>全厂排放量（固体废物产生量）</w:t>
            </w:r>
            <w:r>
              <w:rPr>
                <w:rFonts w:hint="eastAsia"/>
                <w:color w:val="auto"/>
                <w:kern w:val="0"/>
                <w:sz w:val="18"/>
                <w:szCs w:val="18"/>
                <w:highlight w:val="none"/>
                <w:u w:val="none"/>
              </w:rPr>
              <w:fldChar w:fldCharType="begin"/>
            </w:r>
            <w:r>
              <w:rPr>
                <w:rFonts w:hint="eastAsia"/>
                <w:color w:val="auto"/>
                <w:kern w:val="0"/>
                <w:sz w:val="18"/>
                <w:szCs w:val="18"/>
                <w:highlight w:val="none"/>
                <w:u w:val="none"/>
              </w:rPr>
              <w:instrText xml:space="preserve"> = 6 \* GB3 \* MERGEFORMAT </w:instrText>
            </w:r>
            <w:r>
              <w:rPr>
                <w:rFonts w:hint="eastAsia"/>
                <w:color w:val="auto"/>
                <w:kern w:val="0"/>
                <w:sz w:val="18"/>
                <w:szCs w:val="18"/>
                <w:highlight w:val="none"/>
                <w:u w:val="none"/>
              </w:rPr>
              <w:fldChar w:fldCharType="separate"/>
            </w:r>
            <w:r>
              <w:rPr>
                <w:rFonts w:hint="eastAsia"/>
                <w:color w:val="auto"/>
                <w:kern w:val="0"/>
                <w:sz w:val="18"/>
                <w:szCs w:val="18"/>
                <w:highlight w:val="none"/>
                <w:u w:val="none"/>
              </w:rPr>
              <w:t>⑥</w:t>
            </w:r>
            <w:r>
              <w:rPr>
                <w:rFonts w:hint="eastAsia"/>
                <w:color w:val="auto"/>
                <w:kern w:val="0"/>
                <w:sz w:val="18"/>
                <w:szCs w:val="18"/>
                <w:highlight w:val="none"/>
                <w:u w:val="none"/>
              </w:rPr>
              <w:fldChar w:fldCharType="end"/>
            </w:r>
          </w:p>
        </w:tc>
        <w:tc>
          <w:tcPr>
            <w:tcW w:w="1293" w:type="dxa"/>
            <w:tcMar>
              <w:left w:w="28" w:type="dxa"/>
              <w:right w:w="28" w:type="dxa"/>
            </w:tcMar>
            <w:vAlign w:val="center"/>
          </w:tcPr>
          <w:p w14:paraId="3C3FDB56">
            <w:pPr>
              <w:jc w:val="center"/>
              <w:rPr>
                <w:color w:val="auto"/>
                <w:kern w:val="0"/>
                <w:sz w:val="18"/>
                <w:szCs w:val="18"/>
                <w:highlight w:val="none"/>
                <w:u w:val="none"/>
              </w:rPr>
            </w:pPr>
            <w:r>
              <w:rPr>
                <w:rFonts w:hint="eastAsia"/>
                <w:color w:val="auto"/>
                <w:kern w:val="0"/>
                <w:sz w:val="18"/>
                <w:szCs w:val="18"/>
                <w:highlight w:val="none"/>
                <w:u w:val="none"/>
              </w:rPr>
              <w:t>变化量</w:t>
            </w:r>
          </w:p>
          <w:p w14:paraId="254911B7">
            <w:pPr>
              <w:jc w:val="center"/>
              <w:rPr>
                <w:color w:val="auto"/>
                <w:kern w:val="0"/>
                <w:sz w:val="18"/>
                <w:szCs w:val="18"/>
                <w:highlight w:val="none"/>
                <w:u w:val="none"/>
              </w:rPr>
            </w:pPr>
            <w:r>
              <w:rPr>
                <w:rFonts w:hint="eastAsia"/>
                <w:color w:val="auto"/>
                <w:kern w:val="0"/>
                <w:sz w:val="18"/>
                <w:szCs w:val="18"/>
                <w:highlight w:val="none"/>
                <w:u w:val="none"/>
              </w:rPr>
              <w:fldChar w:fldCharType="begin"/>
            </w:r>
            <w:r>
              <w:rPr>
                <w:rFonts w:hint="eastAsia"/>
                <w:color w:val="auto"/>
                <w:kern w:val="0"/>
                <w:sz w:val="18"/>
                <w:szCs w:val="18"/>
                <w:highlight w:val="none"/>
                <w:u w:val="none"/>
              </w:rPr>
              <w:instrText xml:space="preserve"> = 7 \* GB3 \* MERGEFORMAT </w:instrText>
            </w:r>
            <w:r>
              <w:rPr>
                <w:rFonts w:hint="eastAsia"/>
                <w:color w:val="auto"/>
                <w:kern w:val="0"/>
                <w:sz w:val="18"/>
                <w:szCs w:val="18"/>
                <w:highlight w:val="none"/>
                <w:u w:val="none"/>
              </w:rPr>
              <w:fldChar w:fldCharType="separate"/>
            </w:r>
            <w:r>
              <w:rPr>
                <w:rFonts w:hint="eastAsia"/>
                <w:color w:val="auto"/>
                <w:kern w:val="0"/>
                <w:sz w:val="18"/>
                <w:szCs w:val="18"/>
                <w:highlight w:val="none"/>
                <w:u w:val="none"/>
              </w:rPr>
              <w:t>⑦</w:t>
            </w:r>
            <w:r>
              <w:rPr>
                <w:rFonts w:hint="eastAsia"/>
                <w:color w:val="auto"/>
                <w:kern w:val="0"/>
                <w:sz w:val="18"/>
                <w:szCs w:val="18"/>
                <w:highlight w:val="none"/>
                <w:u w:val="none"/>
              </w:rPr>
              <w:fldChar w:fldCharType="end"/>
            </w:r>
          </w:p>
        </w:tc>
      </w:tr>
      <w:tr w14:paraId="76B3CA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vAlign w:val="center"/>
          </w:tcPr>
          <w:p w14:paraId="42832D06">
            <w:pPr>
              <w:jc w:val="center"/>
              <w:rPr>
                <w:color w:val="auto"/>
                <w:kern w:val="0"/>
                <w:sz w:val="18"/>
                <w:szCs w:val="18"/>
                <w:highlight w:val="none"/>
                <w:u w:val="none"/>
              </w:rPr>
            </w:pPr>
            <w:r>
              <w:rPr>
                <w:rFonts w:hint="eastAsia"/>
                <w:color w:val="auto"/>
                <w:kern w:val="0"/>
                <w:sz w:val="18"/>
                <w:szCs w:val="18"/>
                <w:highlight w:val="none"/>
                <w:u w:val="none"/>
              </w:rPr>
              <w:t>废气</w:t>
            </w:r>
          </w:p>
        </w:tc>
        <w:tc>
          <w:tcPr>
            <w:tcW w:w="1417" w:type="dxa"/>
            <w:vAlign w:val="center"/>
          </w:tcPr>
          <w:p w14:paraId="5BE7C37C">
            <w:pPr>
              <w:jc w:val="center"/>
              <w:rPr>
                <w:rFonts w:hint="default" w:eastAsia="宋体"/>
                <w:color w:val="auto"/>
                <w:kern w:val="0"/>
                <w:highlight w:val="none"/>
                <w:u w:val="none"/>
                <w:lang w:val="en-US" w:eastAsia="zh-CN"/>
              </w:rPr>
            </w:pPr>
            <w:r>
              <w:rPr>
                <w:rFonts w:hint="eastAsia"/>
                <w:color w:val="auto"/>
                <w:kern w:val="0"/>
                <w:highlight w:val="none"/>
                <w:u w:val="none"/>
                <w:lang w:val="en-US" w:eastAsia="zh-CN"/>
              </w:rPr>
              <w:t>非甲烷总烃</w:t>
            </w:r>
          </w:p>
        </w:tc>
        <w:tc>
          <w:tcPr>
            <w:tcW w:w="1701" w:type="dxa"/>
            <w:vAlign w:val="center"/>
          </w:tcPr>
          <w:p w14:paraId="5481414F">
            <w:pPr>
              <w:jc w:val="center"/>
              <w:rPr>
                <w:color w:val="auto"/>
                <w:kern w:val="0"/>
                <w:highlight w:val="none"/>
                <w:u w:val="none"/>
              </w:rPr>
            </w:pPr>
            <w:r>
              <w:rPr>
                <w:rFonts w:hint="eastAsia"/>
                <w:color w:val="auto"/>
                <w:kern w:val="0"/>
                <w:highlight w:val="none"/>
                <w:u w:val="none"/>
              </w:rPr>
              <w:t>/</w:t>
            </w:r>
          </w:p>
        </w:tc>
        <w:tc>
          <w:tcPr>
            <w:tcW w:w="1276" w:type="dxa"/>
            <w:vAlign w:val="center"/>
          </w:tcPr>
          <w:p w14:paraId="2F90BFED">
            <w:pPr>
              <w:jc w:val="center"/>
              <w:rPr>
                <w:color w:val="auto"/>
                <w:kern w:val="0"/>
                <w:highlight w:val="none"/>
                <w:u w:val="none"/>
              </w:rPr>
            </w:pPr>
            <w:r>
              <w:rPr>
                <w:color w:val="auto"/>
                <w:kern w:val="0"/>
                <w:highlight w:val="none"/>
                <w:u w:val="none"/>
              </w:rPr>
              <w:t>/</w:t>
            </w:r>
          </w:p>
        </w:tc>
        <w:tc>
          <w:tcPr>
            <w:tcW w:w="1701" w:type="dxa"/>
            <w:vAlign w:val="center"/>
          </w:tcPr>
          <w:p w14:paraId="5D3CB874">
            <w:pPr>
              <w:jc w:val="center"/>
              <w:rPr>
                <w:rFonts w:hint="default" w:eastAsia="宋体"/>
                <w:color w:val="auto"/>
                <w:kern w:val="0"/>
                <w:highlight w:val="none"/>
                <w:u w:val="none"/>
                <w:lang w:val="en-US" w:eastAsia="zh-CN"/>
              </w:rPr>
            </w:pPr>
            <w:r>
              <w:rPr>
                <w:rFonts w:hint="eastAsia"/>
                <w:color w:val="auto"/>
                <w:kern w:val="0"/>
                <w:highlight w:val="none"/>
                <w:u w:val="none"/>
                <w:lang w:val="en-US" w:eastAsia="zh-CN"/>
              </w:rPr>
              <w:t>0.5935</w:t>
            </w:r>
            <w:r>
              <w:rPr>
                <w:rFonts w:hint="eastAsia"/>
                <w:color w:val="auto"/>
                <w:highlight w:val="none"/>
                <w:u w:val="none"/>
                <w:lang w:val="en-US" w:eastAsia="zh-CN"/>
              </w:rPr>
              <w:t>t</w:t>
            </w:r>
            <w:r>
              <w:rPr>
                <w:color w:val="auto"/>
                <w:kern w:val="0"/>
                <w:highlight w:val="none"/>
                <w:u w:val="none"/>
              </w:rPr>
              <w:t>/a</w:t>
            </w:r>
          </w:p>
        </w:tc>
        <w:tc>
          <w:tcPr>
            <w:tcW w:w="1559" w:type="dxa"/>
            <w:vAlign w:val="center"/>
          </w:tcPr>
          <w:p w14:paraId="3CEDEB41">
            <w:pPr>
              <w:jc w:val="center"/>
              <w:rPr>
                <w:color w:val="auto"/>
                <w:kern w:val="0"/>
                <w:highlight w:val="none"/>
                <w:u w:val="none"/>
              </w:rPr>
            </w:pPr>
            <w:r>
              <w:rPr>
                <w:rFonts w:hint="eastAsia"/>
                <w:color w:val="auto"/>
                <w:highlight w:val="none"/>
                <w:u w:val="none"/>
                <w:lang w:val="en-US" w:eastAsia="zh-CN"/>
              </w:rPr>
              <w:t>0.6245t</w:t>
            </w:r>
            <w:r>
              <w:rPr>
                <w:color w:val="auto"/>
                <w:kern w:val="0"/>
                <w:highlight w:val="none"/>
                <w:u w:val="none"/>
              </w:rPr>
              <w:t>/a</w:t>
            </w:r>
          </w:p>
        </w:tc>
        <w:tc>
          <w:tcPr>
            <w:tcW w:w="1761" w:type="dxa"/>
            <w:vAlign w:val="center"/>
          </w:tcPr>
          <w:p w14:paraId="5578EEE8">
            <w:pPr>
              <w:jc w:val="center"/>
              <w:rPr>
                <w:color w:val="auto"/>
                <w:kern w:val="0"/>
                <w:highlight w:val="none"/>
                <w:u w:val="none"/>
              </w:rPr>
            </w:pPr>
            <w:r>
              <w:rPr>
                <w:color w:val="auto"/>
                <w:kern w:val="0"/>
                <w:highlight w:val="none"/>
                <w:u w:val="none"/>
              </w:rPr>
              <w:t>/</w:t>
            </w:r>
          </w:p>
        </w:tc>
        <w:tc>
          <w:tcPr>
            <w:tcW w:w="1492" w:type="dxa"/>
            <w:shd w:val="clear" w:color="auto" w:fill="auto"/>
            <w:vAlign w:val="center"/>
          </w:tcPr>
          <w:p w14:paraId="09C886DC">
            <w:pPr>
              <w:jc w:val="center"/>
              <w:rPr>
                <w:rFonts w:ascii="Times New Roman" w:hAnsi="Times New Roman" w:eastAsia="宋体" w:cs="Times New Roman"/>
                <w:color w:val="auto"/>
                <w:kern w:val="0"/>
                <w:sz w:val="21"/>
                <w:szCs w:val="21"/>
                <w:highlight w:val="none"/>
                <w:u w:val="none"/>
                <w:lang w:val="en-US" w:eastAsia="zh-CN" w:bidi="ar-SA"/>
              </w:rPr>
            </w:pPr>
            <w:r>
              <w:rPr>
                <w:rFonts w:hint="eastAsia"/>
                <w:color w:val="auto"/>
                <w:highlight w:val="none"/>
                <w:u w:val="none"/>
                <w:lang w:val="en-US" w:eastAsia="zh-CN"/>
              </w:rPr>
              <w:t>1.218</w:t>
            </w:r>
            <w:r>
              <w:rPr>
                <w:color w:val="auto"/>
                <w:kern w:val="0"/>
                <w:highlight w:val="none"/>
                <w:u w:val="none"/>
              </w:rPr>
              <w:t>/a</w:t>
            </w:r>
          </w:p>
        </w:tc>
        <w:tc>
          <w:tcPr>
            <w:tcW w:w="1293" w:type="dxa"/>
            <w:shd w:val="clear" w:color="auto" w:fill="auto"/>
            <w:vAlign w:val="center"/>
          </w:tcPr>
          <w:p w14:paraId="6EA58E9A">
            <w:pPr>
              <w:jc w:val="center"/>
              <w:rPr>
                <w:rFonts w:ascii="Times New Roman" w:hAnsi="Times New Roman" w:eastAsia="宋体" w:cs="Times New Roman"/>
                <w:color w:val="auto"/>
                <w:kern w:val="0"/>
                <w:sz w:val="21"/>
                <w:szCs w:val="21"/>
                <w:highlight w:val="none"/>
                <w:u w:val="none"/>
                <w:lang w:val="en-US" w:eastAsia="zh-CN" w:bidi="ar-SA"/>
              </w:rPr>
            </w:pPr>
            <w:r>
              <w:rPr>
                <w:rFonts w:hint="eastAsia"/>
                <w:color w:val="auto"/>
                <w:highlight w:val="none"/>
                <w:u w:val="none"/>
                <w:lang w:val="en-US" w:eastAsia="zh-CN"/>
              </w:rPr>
              <w:t>+0.6245t</w:t>
            </w:r>
            <w:r>
              <w:rPr>
                <w:color w:val="auto"/>
                <w:kern w:val="0"/>
                <w:highlight w:val="none"/>
                <w:u w:val="none"/>
              </w:rPr>
              <w:t>/a</w:t>
            </w:r>
          </w:p>
        </w:tc>
      </w:tr>
      <w:tr w14:paraId="116A6C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098EC569">
            <w:pPr>
              <w:jc w:val="center"/>
              <w:rPr>
                <w:rFonts w:hint="eastAsia"/>
                <w:color w:val="auto"/>
                <w:kern w:val="0"/>
                <w:sz w:val="18"/>
                <w:szCs w:val="18"/>
                <w:highlight w:val="none"/>
                <w:u w:val="none"/>
              </w:rPr>
            </w:pPr>
          </w:p>
        </w:tc>
        <w:tc>
          <w:tcPr>
            <w:tcW w:w="1417" w:type="dxa"/>
            <w:vAlign w:val="center"/>
          </w:tcPr>
          <w:p w14:paraId="63243305">
            <w:pPr>
              <w:jc w:val="center"/>
              <w:rPr>
                <w:color w:val="auto"/>
                <w:kern w:val="0"/>
                <w:highlight w:val="none"/>
                <w:u w:val="none"/>
              </w:rPr>
            </w:pPr>
            <w:r>
              <w:rPr>
                <w:rFonts w:hint="eastAsia" w:cs="Times New Roman"/>
                <w:b w:val="0"/>
                <w:bCs w:val="0"/>
                <w:color w:val="auto"/>
                <w:sz w:val="21"/>
                <w:szCs w:val="21"/>
                <w:highlight w:val="none"/>
                <w:u w:val="none" w:color="auto"/>
                <w:lang w:val="en-US" w:eastAsia="zh-CN"/>
              </w:rPr>
              <w:t>甲醛</w:t>
            </w:r>
          </w:p>
        </w:tc>
        <w:tc>
          <w:tcPr>
            <w:tcW w:w="1701" w:type="dxa"/>
            <w:vAlign w:val="center"/>
          </w:tcPr>
          <w:p w14:paraId="7D773B5A">
            <w:pPr>
              <w:jc w:val="center"/>
              <w:rPr>
                <w:rFonts w:hint="eastAsia"/>
                <w:color w:val="auto"/>
                <w:kern w:val="0"/>
                <w:highlight w:val="none"/>
                <w:u w:val="none"/>
              </w:rPr>
            </w:pPr>
            <w:r>
              <w:rPr>
                <w:rFonts w:hint="eastAsia"/>
                <w:color w:val="auto"/>
                <w:kern w:val="0"/>
                <w:highlight w:val="none"/>
                <w:u w:val="none"/>
              </w:rPr>
              <w:t>/</w:t>
            </w:r>
          </w:p>
        </w:tc>
        <w:tc>
          <w:tcPr>
            <w:tcW w:w="1276" w:type="dxa"/>
            <w:vAlign w:val="center"/>
          </w:tcPr>
          <w:p w14:paraId="0620A942">
            <w:pPr>
              <w:jc w:val="center"/>
              <w:rPr>
                <w:color w:val="auto"/>
                <w:kern w:val="0"/>
                <w:highlight w:val="none"/>
                <w:u w:val="none"/>
              </w:rPr>
            </w:pPr>
            <w:r>
              <w:rPr>
                <w:rFonts w:hint="eastAsia"/>
                <w:color w:val="auto"/>
                <w:kern w:val="0"/>
                <w:highlight w:val="none"/>
                <w:u w:val="none"/>
              </w:rPr>
              <w:t>/</w:t>
            </w:r>
          </w:p>
        </w:tc>
        <w:tc>
          <w:tcPr>
            <w:tcW w:w="1701" w:type="dxa"/>
            <w:vAlign w:val="center"/>
          </w:tcPr>
          <w:p w14:paraId="26CB5477">
            <w:pPr>
              <w:jc w:val="center"/>
              <w:rPr>
                <w:color w:val="auto"/>
                <w:kern w:val="0"/>
                <w:highlight w:val="none"/>
                <w:u w:val="none"/>
              </w:rPr>
            </w:pPr>
            <w:r>
              <w:rPr>
                <w:rFonts w:hint="eastAsia"/>
                <w:color w:val="auto"/>
                <w:kern w:val="0"/>
                <w:highlight w:val="none"/>
                <w:u w:val="none"/>
              </w:rPr>
              <w:t>/</w:t>
            </w:r>
          </w:p>
        </w:tc>
        <w:tc>
          <w:tcPr>
            <w:tcW w:w="1559" w:type="dxa"/>
            <w:vAlign w:val="center"/>
          </w:tcPr>
          <w:p w14:paraId="1C8F614B">
            <w:pPr>
              <w:jc w:val="center"/>
              <w:rPr>
                <w:rFonts w:hint="default" w:eastAsia="宋体"/>
                <w:color w:val="auto"/>
                <w:highlight w:val="none"/>
                <w:u w:val="none"/>
                <w:lang w:val="en-US" w:eastAsia="zh-CN"/>
              </w:rPr>
            </w:pPr>
            <w:r>
              <w:rPr>
                <w:rFonts w:hint="eastAsia"/>
                <w:color w:val="auto"/>
                <w:highlight w:val="none"/>
                <w:u w:val="none"/>
                <w:lang w:val="en-US" w:eastAsia="zh-CN"/>
              </w:rPr>
              <w:t>0.004</w:t>
            </w:r>
            <w:r>
              <w:rPr>
                <w:color w:val="auto"/>
                <w:kern w:val="0"/>
                <w:highlight w:val="none"/>
                <w:u w:val="none"/>
              </w:rPr>
              <w:t>t/a</w:t>
            </w:r>
          </w:p>
        </w:tc>
        <w:tc>
          <w:tcPr>
            <w:tcW w:w="1761" w:type="dxa"/>
            <w:vAlign w:val="center"/>
          </w:tcPr>
          <w:p w14:paraId="108846DF">
            <w:pPr>
              <w:jc w:val="center"/>
              <w:rPr>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2E53DC2B">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highlight w:val="none"/>
                <w:u w:val="none"/>
                <w:lang w:val="en-US" w:eastAsia="zh-CN"/>
              </w:rPr>
              <w:t>0.004</w:t>
            </w:r>
            <w:r>
              <w:rPr>
                <w:color w:val="auto"/>
                <w:kern w:val="0"/>
                <w:highlight w:val="none"/>
                <w:u w:val="none"/>
              </w:rPr>
              <w:t>t/a</w:t>
            </w:r>
          </w:p>
        </w:tc>
        <w:tc>
          <w:tcPr>
            <w:tcW w:w="1293" w:type="dxa"/>
            <w:shd w:val="clear" w:color="auto" w:fill="auto"/>
            <w:vAlign w:val="center"/>
          </w:tcPr>
          <w:p w14:paraId="6794BA5F">
            <w:pPr>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color w:val="auto"/>
                <w:highlight w:val="none"/>
                <w:u w:val="none"/>
                <w:lang w:val="en-US" w:eastAsia="zh-CN"/>
              </w:rPr>
              <w:t>+0.004</w:t>
            </w:r>
            <w:r>
              <w:rPr>
                <w:color w:val="auto"/>
                <w:kern w:val="0"/>
                <w:highlight w:val="none"/>
                <w:u w:val="none"/>
              </w:rPr>
              <w:t>t/a</w:t>
            </w:r>
          </w:p>
        </w:tc>
      </w:tr>
      <w:tr w14:paraId="058C4B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08138E23">
            <w:pPr>
              <w:jc w:val="center"/>
              <w:rPr>
                <w:rFonts w:hint="eastAsia"/>
                <w:color w:val="auto"/>
                <w:kern w:val="0"/>
                <w:sz w:val="18"/>
                <w:szCs w:val="18"/>
                <w:highlight w:val="none"/>
                <w:u w:val="none"/>
              </w:rPr>
            </w:pPr>
          </w:p>
        </w:tc>
        <w:tc>
          <w:tcPr>
            <w:tcW w:w="1417" w:type="dxa"/>
            <w:vAlign w:val="center"/>
          </w:tcPr>
          <w:p w14:paraId="59453154">
            <w:pPr>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乙醛</w:t>
            </w:r>
          </w:p>
        </w:tc>
        <w:tc>
          <w:tcPr>
            <w:tcW w:w="1701" w:type="dxa"/>
            <w:vAlign w:val="center"/>
          </w:tcPr>
          <w:p w14:paraId="53D1029B">
            <w:pPr>
              <w:jc w:val="center"/>
              <w:rPr>
                <w:rFonts w:hint="eastAsia"/>
                <w:color w:val="auto"/>
                <w:kern w:val="0"/>
                <w:highlight w:val="none"/>
                <w:u w:val="none"/>
              </w:rPr>
            </w:pPr>
            <w:r>
              <w:rPr>
                <w:rFonts w:hint="eastAsia"/>
                <w:color w:val="auto"/>
                <w:kern w:val="0"/>
                <w:highlight w:val="none"/>
                <w:u w:val="none"/>
              </w:rPr>
              <w:t>/</w:t>
            </w:r>
          </w:p>
        </w:tc>
        <w:tc>
          <w:tcPr>
            <w:tcW w:w="1276" w:type="dxa"/>
            <w:vAlign w:val="center"/>
          </w:tcPr>
          <w:p w14:paraId="25FE30FE">
            <w:pPr>
              <w:jc w:val="center"/>
              <w:rPr>
                <w:rFonts w:hint="eastAsia"/>
                <w:color w:val="auto"/>
                <w:kern w:val="0"/>
                <w:highlight w:val="none"/>
                <w:u w:val="none"/>
              </w:rPr>
            </w:pPr>
            <w:r>
              <w:rPr>
                <w:rFonts w:hint="eastAsia"/>
                <w:color w:val="auto"/>
                <w:kern w:val="0"/>
                <w:highlight w:val="none"/>
                <w:u w:val="none"/>
              </w:rPr>
              <w:t>/</w:t>
            </w:r>
          </w:p>
        </w:tc>
        <w:tc>
          <w:tcPr>
            <w:tcW w:w="1701" w:type="dxa"/>
            <w:vAlign w:val="center"/>
          </w:tcPr>
          <w:p w14:paraId="6A0F651A">
            <w:pPr>
              <w:jc w:val="center"/>
              <w:rPr>
                <w:rFonts w:hint="eastAsia"/>
                <w:color w:val="auto"/>
                <w:kern w:val="0"/>
                <w:highlight w:val="none"/>
                <w:u w:val="none"/>
              </w:rPr>
            </w:pPr>
            <w:r>
              <w:rPr>
                <w:rFonts w:hint="eastAsia"/>
                <w:color w:val="auto"/>
                <w:kern w:val="0"/>
                <w:highlight w:val="none"/>
                <w:u w:val="none"/>
              </w:rPr>
              <w:t>/</w:t>
            </w:r>
          </w:p>
        </w:tc>
        <w:tc>
          <w:tcPr>
            <w:tcW w:w="1559" w:type="dxa"/>
            <w:vAlign w:val="center"/>
          </w:tcPr>
          <w:p w14:paraId="2D681926">
            <w:pPr>
              <w:jc w:val="center"/>
              <w:rPr>
                <w:rFonts w:hint="default"/>
                <w:color w:val="auto"/>
                <w:highlight w:val="none"/>
                <w:u w:val="none"/>
                <w:lang w:val="en-US" w:eastAsia="zh-CN"/>
              </w:rPr>
            </w:pPr>
            <w:r>
              <w:rPr>
                <w:rFonts w:hint="eastAsia"/>
                <w:color w:val="auto"/>
                <w:highlight w:val="none"/>
                <w:u w:val="none"/>
                <w:lang w:val="en-US" w:eastAsia="zh-CN"/>
              </w:rPr>
              <w:t>0.00068</w:t>
            </w:r>
            <w:r>
              <w:rPr>
                <w:color w:val="auto"/>
                <w:kern w:val="0"/>
                <w:highlight w:val="none"/>
                <w:u w:val="none"/>
              </w:rPr>
              <w:t>t/a</w:t>
            </w:r>
          </w:p>
        </w:tc>
        <w:tc>
          <w:tcPr>
            <w:tcW w:w="1761" w:type="dxa"/>
            <w:vAlign w:val="center"/>
          </w:tcPr>
          <w:p w14:paraId="2A104E08">
            <w:pPr>
              <w:jc w:val="center"/>
              <w:rPr>
                <w:rFonts w:hint="eastAsia"/>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760F3F24">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highlight w:val="none"/>
                <w:u w:val="none"/>
                <w:lang w:val="en-US" w:eastAsia="zh-CN"/>
              </w:rPr>
              <w:t>0.00068</w:t>
            </w:r>
            <w:r>
              <w:rPr>
                <w:color w:val="auto"/>
                <w:kern w:val="0"/>
                <w:highlight w:val="none"/>
                <w:u w:val="none"/>
              </w:rPr>
              <w:t>t/a</w:t>
            </w:r>
          </w:p>
        </w:tc>
        <w:tc>
          <w:tcPr>
            <w:tcW w:w="1293" w:type="dxa"/>
            <w:shd w:val="clear" w:color="auto" w:fill="auto"/>
            <w:vAlign w:val="center"/>
          </w:tcPr>
          <w:p w14:paraId="37A52EA6">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highlight w:val="none"/>
                <w:u w:val="none"/>
                <w:lang w:val="en-US" w:eastAsia="zh-CN"/>
              </w:rPr>
              <w:t>+0.00068</w:t>
            </w:r>
            <w:r>
              <w:rPr>
                <w:color w:val="auto"/>
                <w:kern w:val="0"/>
                <w:highlight w:val="none"/>
                <w:u w:val="none"/>
              </w:rPr>
              <w:t>t/a</w:t>
            </w:r>
          </w:p>
        </w:tc>
      </w:tr>
      <w:tr w14:paraId="0B9B09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5A0C6ED9">
            <w:pPr>
              <w:jc w:val="center"/>
              <w:rPr>
                <w:rFonts w:hint="eastAsia"/>
                <w:color w:val="auto"/>
                <w:kern w:val="0"/>
                <w:sz w:val="18"/>
                <w:szCs w:val="18"/>
                <w:highlight w:val="none"/>
                <w:u w:val="none"/>
              </w:rPr>
            </w:pPr>
          </w:p>
        </w:tc>
        <w:tc>
          <w:tcPr>
            <w:tcW w:w="1417" w:type="dxa"/>
            <w:vAlign w:val="center"/>
          </w:tcPr>
          <w:p w14:paraId="5CFBCDF9">
            <w:pPr>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酚类</w:t>
            </w:r>
          </w:p>
        </w:tc>
        <w:tc>
          <w:tcPr>
            <w:tcW w:w="1701" w:type="dxa"/>
            <w:vAlign w:val="center"/>
          </w:tcPr>
          <w:p w14:paraId="7B7B3142">
            <w:pPr>
              <w:jc w:val="center"/>
              <w:rPr>
                <w:rFonts w:hint="eastAsia"/>
                <w:color w:val="auto"/>
                <w:kern w:val="0"/>
                <w:highlight w:val="none"/>
                <w:u w:val="none"/>
              </w:rPr>
            </w:pPr>
            <w:r>
              <w:rPr>
                <w:rFonts w:hint="eastAsia"/>
                <w:color w:val="auto"/>
                <w:kern w:val="0"/>
                <w:highlight w:val="none"/>
                <w:u w:val="none"/>
              </w:rPr>
              <w:t>/</w:t>
            </w:r>
          </w:p>
        </w:tc>
        <w:tc>
          <w:tcPr>
            <w:tcW w:w="1276" w:type="dxa"/>
            <w:vAlign w:val="center"/>
          </w:tcPr>
          <w:p w14:paraId="33F1D888">
            <w:pPr>
              <w:jc w:val="center"/>
              <w:rPr>
                <w:rFonts w:hint="eastAsia"/>
                <w:color w:val="auto"/>
                <w:kern w:val="0"/>
                <w:highlight w:val="none"/>
                <w:u w:val="none"/>
              </w:rPr>
            </w:pPr>
            <w:r>
              <w:rPr>
                <w:rFonts w:hint="eastAsia"/>
                <w:color w:val="auto"/>
                <w:kern w:val="0"/>
                <w:highlight w:val="none"/>
                <w:u w:val="none"/>
              </w:rPr>
              <w:t>/</w:t>
            </w:r>
          </w:p>
        </w:tc>
        <w:tc>
          <w:tcPr>
            <w:tcW w:w="1701" w:type="dxa"/>
            <w:vAlign w:val="center"/>
          </w:tcPr>
          <w:p w14:paraId="31EA44C9">
            <w:pPr>
              <w:jc w:val="center"/>
              <w:rPr>
                <w:rFonts w:hint="eastAsia"/>
                <w:color w:val="auto"/>
                <w:kern w:val="0"/>
                <w:highlight w:val="none"/>
                <w:u w:val="none"/>
              </w:rPr>
            </w:pPr>
            <w:r>
              <w:rPr>
                <w:rFonts w:hint="eastAsia"/>
                <w:color w:val="auto"/>
                <w:kern w:val="0"/>
                <w:highlight w:val="none"/>
                <w:u w:val="none"/>
              </w:rPr>
              <w:t>/</w:t>
            </w:r>
          </w:p>
        </w:tc>
        <w:tc>
          <w:tcPr>
            <w:tcW w:w="1559" w:type="dxa"/>
            <w:vAlign w:val="center"/>
          </w:tcPr>
          <w:p w14:paraId="1205358F">
            <w:pPr>
              <w:jc w:val="center"/>
              <w:rPr>
                <w:rFonts w:hint="default"/>
                <w:color w:val="auto"/>
                <w:highlight w:val="none"/>
                <w:u w:val="none"/>
                <w:lang w:val="en-US" w:eastAsia="zh-CN"/>
              </w:rPr>
            </w:pPr>
            <w:r>
              <w:rPr>
                <w:rFonts w:hint="eastAsia"/>
                <w:color w:val="auto"/>
                <w:highlight w:val="none"/>
                <w:u w:val="none"/>
                <w:lang w:val="en-US" w:eastAsia="zh-CN"/>
              </w:rPr>
              <w:t>0.014</w:t>
            </w:r>
            <w:r>
              <w:rPr>
                <w:color w:val="auto"/>
                <w:kern w:val="0"/>
                <w:highlight w:val="none"/>
                <w:u w:val="none"/>
              </w:rPr>
              <w:t>t/a</w:t>
            </w:r>
          </w:p>
        </w:tc>
        <w:tc>
          <w:tcPr>
            <w:tcW w:w="1761" w:type="dxa"/>
            <w:vAlign w:val="center"/>
          </w:tcPr>
          <w:p w14:paraId="6A2B35AD">
            <w:pPr>
              <w:jc w:val="center"/>
              <w:rPr>
                <w:rFonts w:hint="eastAsia"/>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0D9A390E">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highlight w:val="none"/>
                <w:u w:val="none"/>
                <w:lang w:val="en-US" w:eastAsia="zh-CN"/>
              </w:rPr>
              <w:t>0.014</w:t>
            </w:r>
            <w:r>
              <w:rPr>
                <w:color w:val="auto"/>
                <w:kern w:val="0"/>
                <w:highlight w:val="none"/>
                <w:u w:val="none"/>
              </w:rPr>
              <w:t>t/a</w:t>
            </w:r>
          </w:p>
        </w:tc>
        <w:tc>
          <w:tcPr>
            <w:tcW w:w="1293" w:type="dxa"/>
            <w:shd w:val="clear" w:color="auto" w:fill="auto"/>
            <w:vAlign w:val="center"/>
          </w:tcPr>
          <w:p w14:paraId="4D6DC2EC">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highlight w:val="none"/>
                <w:u w:val="none"/>
                <w:lang w:val="en-US" w:eastAsia="zh-CN"/>
              </w:rPr>
              <w:t>+0.014</w:t>
            </w:r>
            <w:r>
              <w:rPr>
                <w:color w:val="auto"/>
                <w:kern w:val="0"/>
                <w:highlight w:val="none"/>
                <w:u w:val="none"/>
              </w:rPr>
              <w:t>t/a</w:t>
            </w:r>
          </w:p>
        </w:tc>
      </w:tr>
      <w:tr w14:paraId="1C5A50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2FADECD2">
            <w:pPr>
              <w:jc w:val="center"/>
              <w:rPr>
                <w:rFonts w:hint="eastAsia"/>
                <w:color w:val="auto"/>
                <w:kern w:val="0"/>
                <w:sz w:val="18"/>
                <w:szCs w:val="18"/>
                <w:highlight w:val="none"/>
                <w:u w:val="none"/>
              </w:rPr>
            </w:pPr>
          </w:p>
        </w:tc>
        <w:tc>
          <w:tcPr>
            <w:tcW w:w="1417" w:type="dxa"/>
            <w:vAlign w:val="center"/>
          </w:tcPr>
          <w:p w14:paraId="2A47176F">
            <w:pPr>
              <w:jc w:val="center"/>
              <w:rPr>
                <w:rFonts w:hint="default" w:ascii="Times New Roman" w:hAnsi="Times New Roman" w:eastAsia="宋体" w:cs="Times New Roman"/>
                <w:b w:val="0"/>
                <w:bCs w:val="0"/>
                <w:color w:val="auto"/>
                <w:sz w:val="21"/>
                <w:szCs w:val="21"/>
                <w:highlight w:val="none"/>
                <w:u w:val="none" w:color="auto"/>
                <w:lang w:val="en-US" w:eastAsia="zh-CN"/>
              </w:rPr>
            </w:pPr>
            <w:r>
              <w:rPr>
                <w:rFonts w:hint="eastAsia" w:cs="Times New Roman"/>
                <w:b w:val="0"/>
                <w:bCs w:val="0"/>
                <w:color w:val="auto"/>
                <w:sz w:val="21"/>
                <w:szCs w:val="21"/>
                <w:highlight w:val="none"/>
                <w:u w:val="none" w:color="auto"/>
                <w:lang w:val="en-US" w:eastAsia="zh-CN"/>
              </w:rPr>
              <w:t>四氢呋喃</w:t>
            </w:r>
          </w:p>
        </w:tc>
        <w:tc>
          <w:tcPr>
            <w:tcW w:w="1701" w:type="dxa"/>
            <w:vAlign w:val="center"/>
          </w:tcPr>
          <w:p w14:paraId="5FD7DD6D">
            <w:pPr>
              <w:jc w:val="center"/>
              <w:rPr>
                <w:rFonts w:hint="eastAsia"/>
                <w:color w:val="auto"/>
                <w:kern w:val="0"/>
                <w:highlight w:val="none"/>
                <w:u w:val="none"/>
              </w:rPr>
            </w:pPr>
            <w:r>
              <w:rPr>
                <w:rFonts w:hint="eastAsia"/>
                <w:color w:val="auto"/>
                <w:kern w:val="0"/>
                <w:highlight w:val="none"/>
                <w:u w:val="none"/>
              </w:rPr>
              <w:t>/</w:t>
            </w:r>
          </w:p>
        </w:tc>
        <w:tc>
          <w:tcPr>
            <w:tcW w:w="1276" w:type="dxa"/>
            <w:vAlign w:val="center"/>
          </w:tcPr>
          <w:p w14:paraId="290CB085">
            <w:pPr>
              <w:jc w:val="center"/>
              <w:rPr>
                <w:rFonts w:hint="eastAsia"/>
                <w:color w:val="auto"/>
                <w:kern w:val="0"/>
                <w:highlight w:val="none"/>
                <w:u w:val="none"/>
              </w:rPr>
            </w:pPr>
            <w:r>
              <w:rPr>
                <w:rFonts w:hint="eastAsia"/>
                <w:color w:val="auto"/>
                <w:kern w:val="0"/>
                <w:highlight w:val="none"/>
                <w:u w:val="none"/>
              </w:rPr>
              <w:t>/</w:t>
            </w:r>
          </w:p>
        </w:tc>
        <w:tc>
          <w:tcPr>
            <w:tcW w:w="1701" w:type="dxa"/>
            <w:vAlign w:val="center"/>
          </w:tcPr>
          <w:p w14:paraId="0C259EF8">
            <w:pPr>
              <w:jc w:val="center"/>
              <w:rPr>
                <w:rFonts w:hint="eastAsia"/>
                <w:color w:val="auto"/>
                <w:kern w:val="0"/>
                <w:highlight w:val="none"/>
                <w:u w:val="none"/>
              </w:rPr>
            </w:pPr>
            <w:r>
              <w:rPr>
                <w:rFonts w:hint="eastAsia"/>
                <w:color w:val="auto"/>
                <w:kern w:val="0"/>
                <w:highlight w:val="none"/>
                <w:u w:val="none"/>
              </w:rPr>
              <w:t>/</w:t>
            </w:r>
          </w:p>
        </w:tc>
        <w:tc>
          <w:tcPr>
            <w:tcW w:w="1559" w:type="dxa"/>
            <w:vAlign w:val="center"/>
          </w:tcPr>
          <w:p w14:paraId="5A6A6BF6">
            <w:pPr>
              <w:jc w:val="center"/>
              <w:rPr>
                <w:rFonts w:hint="default"/>
                <w:color w:val="auto"/>
                <w:highlight w:val="none"/>
                <w:u w:val="none"/>
                <w:lang w:val="en-US" w:eastAsia="zh-CN"/>
              </w:rPr>
            </w:pPr>
            <w:r>
              <w:rPr>
                <w:rFonts w:hint="eastAsia"/>
                <w:color w:val="auto"/>
                <w:highlight w:val="none"/>
                <w:u w:val="none"/>
                <w:lang w:val="en-US" w:eastAsia="zh-CN"/>
              </w:rPr>
              <w:t>0.0167</w:t>
            </w:r>
            <w:r>
              <w:rPr>
                <w:color w:val="auto"/>
                <w:kern w:val="0"/>
                <w:highlight w:val="none"/>
                <w:u w:val="none"/>
              </w:rPr>
              <w:t>t/a</w:t>
            </w:r>
          </w:p>
        </w:tc>
        <w:tc>
          <w:tcPr>
            <w:tcW w:w="1761" w:type="dxa"/>
            <w:vAlign w:val="center"/>
          </w:tcPr>
          <w:p w14:paraId="30726F42">
            <w:pPr>
              <w:jc w:val="center"/>
              <w:rPr>
                <w:rFonts w:hint="eastAsia"/>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6DE053B4">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highlight w:val="none"/>
                <w:u w:val="none"/>
                <w:lang w:val="en-US" w:eastAsia="zh-CN"/>
              </w:rPr>
              <w:t>0.0167</w:t>
            </w:r>
            <w:r>
              <w:rPr>
                <w:color w:val="auto"/>
                <w:kern w:val="0"/>
                <w:highlight w:val="none"/>
                <w:u w:val="none"/>
              </w:rPr>
              <w:t>t/a</w:t>
            </w:r>
          </w:p>
        </w:tc>
        <w:tc>
          <w:tcPr>
            <w:tcW w:w="1293" w:type="dxa"/>
            <w:shd w:val="clear" w:color="auto" w:fill="auto"/>
            <w:vAlign w:val="center"/>
          </w:tcPr>
          <w:p w14:paraId="4D089505">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highlight w:val="none"/>
                <w:u w:val="none"/>
                <w:lang w:val="en-US" w:eastAsia="zh-CN"/>
              </w:rPr>
              <w:t>+0.0167</w:t>
            </w:r>
            <w:r>
              <w:rPr>
                <w:color w:val="auto"/>
                <w:kern w:val="0"/>
                <w:highlight w:val="none"/>
                <w:u w:val="none"/>
              </w:rPr>
              <w:t>t/a</w:t>
            </w:r>
          </w:p>
        </w:tc>
      </w:tr>
      <w:tr w14:paraId="74A733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22DBA147">
            <w:pPr>
              <w:jc w:val="center"/>
              <w:rPr>
                <w:color w:val="auto"/>
                <w:kern w:val="0"/>
                <w:sz w:val="18"/>
                <w:szCs w:val="18"/>
                <w:highlight w:val="none"/>
                <w:u w:val="none"/>
              </w:rPr>
            </w:pPr>
          </w:p>
        </w:tc>
        <w:tc>
          <w:tcPr>
            <w:tcW w:w="1417" w:type="dxa"/>
            <w:vAlign w:val="center"/>
          </w:tcPr>
          <w:p w14:paraId="361644A6">
            <w:pPr>
              <w:widowControl/>
              <w:jc w:val="center"/>
              <w:rPr>
                <w:color w:val="auto"/>
                <w:kern w:val="0"/>
                <w:highlight w:val="none"/>
                <w:u w:val="none"/>
              </w:rPr>
            </w:pPr>
            <w:r>
              <w:rPr>
                <w:rFonts w:hint="eastAsia"/>
                <w:color w:val="auto"/>
                <w:kern w:val="0"/>
                <w:highlight w:val="none"/>
                <w:u w:val="none"/>
              </w:rPr>
              <w:t>颗粒物</w:t>
            </w:r>
          </w:p>
        </w:tc>
        <w:tc>
          <w:tcPr>
            <w:tcW w:w="1701" w:type="dxa"/>
            <w:vAlign w:val="center"/>
          </w:tcPr>
          <w:p w14:paraId="494D1523">
            <w:pPr>
              <w:jc w:val="center"/>
              <w:rPr>
                <w:color w:val="auto"/>
                <w:kern w:val="0"/>
                <w:highlight w:val="none"/>
                <w:u w:val="none"/>
              </w:rPr>
            </w:pPr>
            <w:r>
              <w:rPr>
                <w:rFonts w:hint="eastAsia"/>
                <w:color w:val="auto"/>
                <w:kern w:val="0"/>
                <w:highlight w:val="none"/>
                <w:u w:val="none"/>
              </w:rPr>
              <w:t>/</w:t>
            </w:r>
          </w:p>
        </w:tc>
        <w:tc>
          <w:tcPr>
            <w:tcW w:w="1276" w:type="dxa"/>
            <w:vAlign w:val="center"/>
          </w:tcPr>
          <w:p w14:paraId="6C875143">
            <w:pPr>
              <w:jc w:val="center"/>
              <w:rPr>
                <w:color w:val="auto"/>
                <w:kern w:val="0"/>
                <w:highlight w:val="none"/>
                <w:u w:val="none"/>
              </w:rPr>
            </w:pPr>
            <w:r>
              <w:rPr>
                <w:rFonts w:hint="eastAsia"/>
                <w:color w:val="auto"/>
                <w:kern w:val="0"/>
                <w:highlight w:val="none"/>
                <w:u w:val="none"/>
              </w:rPr>
              <w:t>/</w:t>
            </w:r>
          </w:p>
        </w:tc>
        <w:tc>
          <w:tcPr>
            <w:tcW w:w="1701" w:type="dxa"/>
            <w:vAlign w:val="center"/>
          </w:tcPr>
          <w:p w14:paraId="34DCA345">
            <w:pPr>
              <w:jc w:val="center"/>
              <w:rPr>
                <w:rFonts w:hint="default" w:eastAsia="宋体"/>
                <w:color w:val="auto"/>
                <w:kern w:val="0"/>
                <w:highlight w:val="none"/>
                <w:u w:val="none"/>
                <w:lang w:val="en-US" w:eastAsia="zh-CN"/>
              </w:rPr>
            </w:pPr>
            <w:r>
              <w:rPr>
                <w:rFonts w:hint="eastAsia"/>
                <w:color w:val="auto"/>
                <w:kern w:val="0"/>
                <w:highlight w:val="none"/>
                <w:u w:val="none"/>
                <w:lang w:val="en-US" w:eastAsia="zh-CN"/>
              </w:rPr>
              <w:t>0.1041</w:t>
            </w:r>
            <w:r>
              <w:rPr>
                <w:rFonts w:hint="eastAsia"/>
                <w:color w:val="auto"/>
                <w:highlight w:val="none"/>
                <w:u w:val="none"/>
                <w:lang w:val="en-US" w:eastAsia="zh-CN"/>
              </w:rPr>
              <w:t>t</w:t>
            </w:r>
            <w:r>
              <w:rPr>
                <w:color w:val="auto"/>
                <w:kern w:val="0"/>
                <w:highlight w:val="none"/>
                <w:u w:val="none"/>
              </w:rPr>
              <w:t>/a</w:t>
            </w:r>
          </w:p>
        </w:tc>
        <w:tc>
          <w:tcPr>
            <w:tcW w:w="1559" w:type="dxa"/>
            <w:vAlign w:val="center"/>
          </w:tcPr>
          <w:p w14:paraId="37BB78DB">
            <w:pPr>
              <w:jc w:val="center"/>
              <w:rPr>
                <w:color w:val="auto"/>
                <w:highlight w:val="none"/>
                <w:u w:val="none"/>
              </w:rPr>
            </w:pPr>
            <w:r>
              <w:rPr>
                <w:rFonts w:hint="eastAsia"/>
                <w:color w:val="auto"/>
                <w:highlight w:val="none"/>
                <w:u w:val="none"/>
                <w:lang w:val="en-US" w:eastAsia="zh-CN"/>
              </w:rPr>
              <w:t>+0.0784</w:t>
            </w:r>
            <w:r>
              <w:rPr>
                <w:rFonts w:hint="eastAsia"/>
                <w:color w:val="auto"/>
                <w:highlight w:val="none"/>
                <w:u w:val="none"/>
              </w:rPr>
              <w:t>t/a</w:t>
            </w:r>
          </w:p>
        </w:tc>
        <w:tc>
          <w:tcPr>
            <w:tcW w:w="1761" w:type="dxa"/>
            <w:vAlign w:val="center"/>
          </w:tcPr>
          <w:p w14:paraId="22194332">
            <w:pPr>
              <w:jc w:val="center"/>
              <w:rPr>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30D9FD0B">
            <w:pPr>
              <w:jc w:val="center"/>
              <w:rPr>
                <w:rFonts w:ascii="Times New Roman" w:hAnsi="Times New Roman" w:eastAsia="宋体" w:cs="Times New Roman"/>
                <w:color w:val="auto"/>
                <w:kern w:val="2"/>
                <w:sz w:val="21"/>
                <w:szCs w:val="21"/>
                <w:highlight w:val="none"/>
                <w:u w:val="none"/>
                <w:lang w:val="en-US" w:eastAsia="zh-CN" w:bidi="ar-SA"/>
              </w:rPr>
            </w:pPr>
            <w:r>
              <w:rPr>
                <w:rFonts w:hint="eastAsia"/>
                <w:color w:val="auto"/>
                <w:highlight w:val="none"/>
                <w:u w:val="none"/>
                <w:lang w:val="en-US" w:eastAsia="zh-CN"/>
              </w:rPr>
              <w:t>0.1825</w:t>
            </w:r>
            <w:r>
              <w:rPr>
                <w:rFonts w:hint="eastAsia"/>
                <w:color w:val="auto"/>
                <w:highlight w:val="none"/>
                <w:u w:val="none"/>
              </w:rPr>
              <w:t>t/a</w:t>
            </w:r>
          </w:p>
        </w:tc>
        <w:tc>
          <w:tcPr>
            <w:tcW w:w="1293" w:type="dxa"/>
            <w:shd w:val="clear" w:color="auto" w:fill="auto"/>
            <w:vAlign w:val="center"/>
          </w:tcPr>
          <w:p w14:paraId="39167223">
            <w:pPr>
              <w:jc w:val="center"/>
              <w:rPr>
                <w:rFonts w:ascii="Times New Roman" w:hAnsi="Times New Roman" w:eastAsia="宋体" w:cs="Times New Roman"/>
                <w:color w:val="auto"/>
                <w:kern w:val="2"/>
                <w:sz w:val="21"/>
                <w:szCs w:val="21"/>
                <w:highlight w:val="none"/>
                <w:u w:val="none"/>
                <w:lang w:val="en-US" w:eastAsia="zh-CN" w:bidi="ar-SA"/>
              </w:rPr>
            </w:pPr>
            <w:r>
              <w:rPr>
                <w:rFonts w:hint="eastAsia"/>
                <w:color w:val="auto"/>
                <w:highlight w:val="none"/>
                <w:u w:val="none"/>
                <w:lang w:val="en-US" w:eastAsia="zh-CN"/>
              </w:rPr>
              <w:t>+0.0784</w:t>
            </w:r>
            <w:r>
              <w:rPr>
                <w:rFonts w:hint="eastAsia"/>
                <w:color w:val="auto"/>
                <w:highlight w:val="none"/>
                <w:u w:val="none"/>
              </w:rPr>
              <w:t>t/a</w:t>
            </w:r>
          </w:p>
        </w:tc>
      </w:tr>
      <w:tr w14:paraId="05246C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4D0575BE">
            <w:pPr>
              <w:jc w:val="center"/>
              <w:rPr>
                <w:color w:val="auto"/>
                <w:kern w:val="0"/>
                <w:sz w:val="18"/>
                <w:szCs w:val="18"/>
                <w:highlight w:val="none"/>
                <w:u w:val="none"/>
              </w:rPr>
            </w:pPr>
          </w:p>
        </w:tc>
        <w:tc>
          <w:tcPr>
            <w:tcW w:w="1417" w:type="dxa"/>
            <w:vAlign w:val="center"/>
          </w:tcPr>
          <w:p w14:paraId="78BC3987">
            <w:pPr>
              <w:jc w:val="center"/>
              <w:rPr>
                <w:color w:val="auto"/>
                <w:kern w:val="0"/>
                <w:highlight w:val="none"/>
                <w:u w:val="none"/>
                <w:lang w:bidi="ar"/>
              </w:rPr>
            </w:pPr>
            <w:r>
              <w:rPr>
                <w:color w:val="auto"/>
                <w:kern w:val="0"/>
                <w:highlight w:val="none"/>
                <w:u w:val="none"/>
                <w:lang w:bidi="ar"/>
              </w:rPr>
              <w:t>臭气浓度</w:t>
            </w:r>
          </w:p>
        </w:tc>
        <w:tc>
          <w:tcPr>
            <w:tcW w:w="1701" w:type="dxa"/>
            <w:vAlign w:val="center"/>
          </w:tcPr>
          <w:p w14:paraId="591862FB">
            <w:pPr>
              <w:jc w:val="center"/>
              <w:rPr>
                <w:color w:val="auto"/>
                <w:kern w:val="0"/>
                <w:highlight w:val="none"/>
                <w:u w:val="none"/>
              </w:rPr>
            </w:pPr>
            <w:r>
              <w:rPr>
                <w:color w:val="auto"/>
                <w:kern w:val="0"/>
                <w:highlight w:val="none"/>
                <w:u w:val="none"/>
              </w:rPr>
              <w:t>/</w:t>
            </w:r>
          </w:p>
        </w:tc>
        <w:tc>
          <w:tcPr>
            <w:tcW w:w="1276" w:type="dxa"/>
            <w:vAlign w:val="center"/>
          </w:tcPr>
          <w:p w14:paraId="2F0C516D">
            <w:pPr>
              <w:jc w:val="center"/>
              <w:rPr>
                <w:color w:val="auto"/>
                <w:kern w:val="0"/>
                <w:highlight w:val="none"/>
                <w:u w:val="none"/>
              </w:rPr>
            </w:pPr>
            <w:r>
              <w:rPr>
                <w:color w:val="auto"/>
                <w:kern w:val="0"/>
                <w:highlight w:val="none"/>
                <w:u w:val="none"/>
              </w:rPr>
              <w:t>/</w:t>
            </w:r>
          </w:p>
        </w:tc>
        <w:tc>
          <w:tcPr>
            <w:tcW w:w="1701" w:type="dxa"/>
            <w:vAlign w:val="center"/>
          </w:tcPr>
          <w:p w14:paraId="48EB7DD7">
            <w:pPr>
              <w:jc w:val="center"/>
              <w:rPr>
                <w:color w:val="auto"/>
                <w:kern w:val="0"/>
                <w:highlight w:val="none"/>
                <w:u w:val="none"/>
              </w:rPr>
            </w:pPr>
            <w:r>
              <w:rPr>
                <w:color w:val="auto"/>
                <w:kern w:val="0"/>
                <w:highlight w:val="none"/>
                <w:u w:val="none"/>
              </w:rPr>
              <w:t>少量</w:t>
            </w:r>
          </w:p>
        </w:tc>
        <w:tc>
          <w:tcPr>
            <w:tcW w:w="1559" w:type="dxa"/>
            <w:vAlign w:val="center"/>
          </w:tcPr>
          <w:p w14:paraId="7DF412DC">
            <w:pPr>
              <w:jc w:val="center"/>
              <w:rPr>
                <w:color w:val="auto"/>
                <w:highlight w:val="none"/>
                <w:u w:val="none"/>
              </w:rPr>
            </w:pPr>
            <w:r>
              <w:rPr>
                <w:color w:val="auto"/>
                <w:kern w:val="0"/>
                <w:highlight w:val="none"/>
                <w:u w:val="none"/>
              </w:rPr>
              <w:t>少量</w:t>
            </w:r>
          </w:p>
        </w:tc>
        <w:tc>
          <w:tcPr>
            <w:tcW w:w="1761" w:type="dxa"/>
            <w:vAlign w:val="center"/>
          </w:tcPr>
          <w:p w14:paraId="6D4D3FBB">
            <w:pPr>
              <w:jc w:val="center"/>
              <w:rPr>
                <w:color w:val="auto"/>
                <w:kern w:val="0"/>
                <w:highlight w:val="none"/>
                <w:u w:val="none"/>
              </w:rPr>
            </w:pPr>
            <w:r>
              <w:rPr>
                <w:color w:val="auto"/>
                <w:kern w:val="0"/>
                <w:highlight w:val="none"/>
                <w:u w:val="none"/>
              </w:rPr>
              <w:t>/</w:t>
            </w:r>
          </w:p>
        </w:tc>
        <w:tc>
          <w:tcPr>
            <w:tcW w:w="1492" w:type="dxa"/>
            <w:vAlign w:val="center"/>
          </w:tcPr>
          <w:p w14:paraId="06B0CDA7">
            <w:pPr>
              <w:jc w:val="center"/>
              <w:rPr>
                <w:color w:val="auto"/>
                <w:highlight w:val="none"/>
                <w:u w:val="none"/>
              </w:rPr>
            </w:pPr>
            <w:r>
              <w:rPr>
                <w:color w:val="auto"/>
                <w:kern w:val="0"/>
                <w:highlight w:val="none"/>
                <w:u w:val="none"/>
              </w:rPr>
              <w:t>少量</w:t>
            </w:r>
          </w:p>
        </w:tc>
        <w:tc>
          <w:tcPr>
            <w:tcW w:w="1293" w:type="dxa"/>
            <w:vAlign w:val="center"/>
          </w:tcPr>
          <w:p w14:paraId="3689BAE9">
            <w:pPr>
              <w:jc w:val="center"/>
              <w:rPr>
                <w:color w:val="auto"/>
                <w:kern w:val="0"/>
                <w:highlight w:val="none"/>
                <w:u w:val="none"/>
              </w:rPr>
            </w:pPr>
            <w:r>
              <w:rPr>
                <w:color w:val="auto"/>
                <w:kern w:val="0"/>
                <w:highlight w:val="none"/>
                <w:u w:val="none"/>
              </w:rPr>
              <w:t>少量</w:t>
            </w:r>
          </w:p>
        </w:tc>
      </w:tr>
      <w:tr w14:paraId="60CF9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vAlign w:val="center"/>
          </w:tcPr>
          <w:p w14:paraId="66B92776">
            <w:pPr>
              <w:jc w:val="center"/>
              <w:rPr>
                <w:color w:val="auto"/>
                <w:kern w:val="0"/>
                <w:sz w:val="18"/>
                <w:szCs w:val="18"/>
                <w:highlight w:val="none"/>
                <w:u w:val="none"/>
              </w:rPr>
            </w:pPr>
            <w:r>
              <w:rPr>
                <w:rFonts w:hint="eastAsia"/>
                <w:color w:val="auto"/>
                <w:kern w:val="0"/>
                <w:sz w:val="18"/>
                <w:szCs w:val="18"/>
                <w:highlight w:val="none"/>
                <w:u w:val="none"/>
              </w:rPr>
              <w:t>废水</w:t>
            </w:r>
          </w:p>
        </w:tc>
        <w:tc>
          <w:tcPr>
            <w:tcW w:w="1417" w:type="dxa"/>
            <w:vAlign w:val="center"/>
          </w:tcPr>
          <w:p w14:paraId="1B2B48B5">
            <w:pPr>
              <w:widowControl/>
              <w:spacing w:line="240" w:lineRule="auto"/>
              <w:jc w:val="center"/>
              <w:rPr>
                <w:color w:val="auto"/>
                <w:kern w:val="0"/>
                <w:highlight w:val="none"/>
                <w:u w:val="none"/>
              </w:rPr>
            </w:pPr>
            <w:r>
              <w:rPr>
                <w:rFonts w:hint="eastAsia" w:ascii="Times New Roman" w:hAnsi="Times New Roman" w:eastAsia="宋体" w:cs="Times New Roman"/>
                <w:color w:val="auto"/>
                <w:kern w:val="0"/>
                <w:sz w:val="21"/>
                <w:szCs w:val="21"/>
                <w:u w:val="none"/>
                <w:lang w:val="en-US" w:eastAsia="zh-CN"/>
              </w:rPr>
              <w:t>BOD</w:t>
            </w:r>
            <w:r>
              <w:rPr>
                <w:rFonts w:hint="eastAsia" w:ascii="Times New Roman" w:hAnsi="Times New Roman" w:eastAsia="宋体" w:cs="Times New Roman"/>
                <w:color w:val="auto"/>
                <w:kern w:val="0"/>
                <w:sz w:val="21"/>
                <w:szCs w:val="21"/>
                <w:u w:val="none"/>
                <w:vertAlign w:val="subscript"/>
                <w:lang w:val="en-US" w:eastAsia="zh-CN"/>
              </w:rPr>
              <w:t>5</w:t>
            </w:r>
          </w:p>
        </w:tc>
        <w:tc>
          <w:tcPr>
            <w:tcW w:w="1701" w:type="dxa"/>
            <w:vAlign w:val="center"/>
          </w:tcPr>
          <w:p w14:paraId="0EE68D6C">
            <w:pPr>
              <w:jc w:val="center"/>
              <w:rPr>
                <w:rFonts w:hint="default" w:eastAsia="宋体"/>
                <w:color w:val="auto"/>
                <w:kern w:val="0"/>
                <w:highlight w:val="none"/>
                <w:u w:val="none"/>
                <w:lang w:val="en-US" w:eastAsia="zh-CN"/>
              </w:rPr>
            </w:pPr>
            <w:r>
              <w:rPr>
                <w:color w:val="auto"/>
                <w:kern w:val="0"/>
                <w:highlight w:val="none"/>
                <w:u w:val="none"/>
              </w:rPr>
              <w:t>/</w:t>
            </w:r>
          </w:p>
        </w:tc>
        <w:tc>
          <w:tcPr>
            <w:tcW w:w="1276" w:type="dxa"/>
            <w:vAlign w:val="center"/>
          </w:tcPr>
          <w:p w14:paraId="0C1B52D1">
            <w:pPr>
              <w:jc w:val="center"/>
              <w:rPr>
                <w:color w:val="auto"/>
                <w:kern w:val="0"/>
                <w:highlight w:val="none"/>
                <w:u w:val="none"/>
              </w:rPr>
            </w:pPr>
            <w:r>
              <w:rPr>
                <w:rFonts w:hint="eastAsia"/>
                <w:color w:val="auto"/>
                <w:kern w:val="0"/>
                <w:highlight w:val="none"/>
                <w:u w:val="none"/>
              </w:rPr>
              <w:t>/</w:t>
            </w:r>
          </w:p>
        </w:tc>
        <w:tc>
          <w:tcPr>
            <w:tcW w:w="1701" w:type="dxa"/>
            <w:vAlign w:val="center"/>
          </w:tcPr>
          <w:p w14:paraId="372C6771">
            <w:pPr>
              <w:jc w:val="center"/>
              <w:rPr>
                <w:color w:val="auto"/>
                <w:kern w:val="0"/>
                <w:highlight w:val="none"/>
                <w:u w:val="none"/>
              </w:rPr>
            </w:pPr>
            <w:r>
              <w:rPr>
                <w:rFonts w:hint="eastAsia"/>
                <w:color w:val="auto"/>
                <w:kern w:val="0"/>
                <w:highlight w:val="none"/>
                <w:u w:val="none"/>
                <w:lang w:val="en-US" w:eastAsia="zh-CN"/>
              </w:rPr>
              <w:t>0.194</w:t>
            </w:r>
            <w:r>
              <w:rPr>
                <w:rFonts w:hint="eastAsia"/>
                <w:color w:val="auto"/>
                <w:highlight w:val="none"/>
                <w:u w:val="none"/>
              </w:rPr>
              <w:t>t/a</w:t>
            </w:r>
          </w:p>
        </w:tc>
        <w:tc>
          <w:tcPr>
            <w:tcW w:w="1559" w:type="dxa"/>
            <w:vAlign w:val="center"/>
          </w:tcPr>
          <w:p w14:paraId="65CE978C">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0.108t/a</w:t>
            </w:r>
          </w:p>
        </w:tc>
        <w:tc>
          <w:tcPr>
            <w:tcW w:w="1761" w:type="dxa"/>
            <w:vAlign w:val="center"/>
          </w:tcPr>
          <w:p w14:paraId="75E9E8F6">
            <w:pPr>
              <w:jc w:val="center"/>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0.194t/a</w:t>
            </w:r>
          </w:p>
        </w:tc>
        <w:tc>
          <w:tcPr>
            <w:tcW w:w="1492" w:type="dxa"/>
            <w:shd w:val="clear" w:color="auto" w:fill="auto"/>
            <w:vAlign w:val="center"/>
          </w:tcPr>
          <w:p w14:paraId="2CE85261">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0.108t/a</w:t>
            </w:r>
          </w:p>
        </w:tc>
        <w:tc>
          <w:tcPr>
            <w:tcW w:w="1293" w:type="dxa"/>
            <w:shd w:val="clear" w:color="auto" w:fill="auto"/>
            <w:vAlign w:val="center"/>
          </w:tcPr>
          <w:p w14:paraId="638AD8E9">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-0.086t/a</w:t>
            </w:r>
          </w:p>
        </w:tc>
      </w:tr>
      <w:tr w14:paraId="6D6C1D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62DB021F">
            <w:pPr>
              <w:jc w:val="center"/>
              <w:rPr>
                <w:color w:val="auto"/>
                <w:kern w:val="0"/>
                <w:sz w:val="18"/>
                <w:szCs w:val="18"/>
                <w:highlight w:val="none"/>
                <w:u w:val="none"/>
              </w:rPr>
            </w:pPr>
          </w:p>
        </w:tc>
        <w:tc>
          <w:tcPr>
            <w:tcW w:w="1417" w:type="dxa"/>
            <w:vAlign w:val="center"/>
          </w:tcPr>
          <w:p w14:paraId="6ED4CD9F">
            <w:pPr>
              <w:widowControl/>
              <w:spacing w:line="240" w:lineRule="auto"/>
              <w:jc w:val="center"/>
              <w:rPr>
                <w:color w:val="auto"/>
                <w:kern w:val="0"/>
                <w:highlight w:val="none"/>
                <w:u w:val="none"/>
              </w:rPr>
            </w:pPr>
            <w:r>
              <w:rPr>
                <w:rFonts w:hint="eastAsia" w:ascii="Times New Roman" w:hAnsi="Times New Roman" w:eastAsia="宋体" w:cs="Times New Roman"/>
                <w:color w:val="auto"/>
                <w:kern w:val="0"/>
                <w:sz w:val="21"/>
                <w:szCs w:val="21"/>
                <w:u w:val="none"/>
                <w:lang w:val="en-US" w:eastAsia="zh-CN"/>
              </w:rPr>
              <w:t>SS</w:t>
            </w:r>
          </w:p>
        </w:tc>
        <w:tc>
          <w:tcPr>
            <w:tcW w:w="1701" w:type="dxa"/>
            <w:vAlign w:val="center"/>
          </w:tcPr>
          <w:p w14:paraId="27114072">
            <w:pPr>
              <w:jc w:val="center"/>
              <w:rPr>
                <w:rFonts w:hint="default" w:eastAsia="宋体"/>
                <w:color w:val="auto"/>
                <w:kern w:val="0"/>
                <w:highlight w:val="none"/>
                <w:u w:val="none"/>
                <w:lang w:val="en-US" w:eastAsia="zh-CN"/>
              </w:rPr>
            </w:pPr>
            <w:r>
              <w:rPr>
                <w:color w:val="auto"/>
                <w:kern w:val="0"/>
                <w:highlight w:val="none"/>
                <w:u w:val="none"/>
              </w:rPr>
              <w:t>/</w:t>
            </w:r>
          </w:p>
        </w:tc>
        <w:tc>
          <w:tcPr>
            <w:tcW w:w="1276" w:type="dxa"/>
            <w:vAlign w:val="center"/>
          </w:tcPr>
          <w:p w14:paraId="1390E726">
            <w:pPr>
              <w:jc w:val="center"/>
              <w:rPr>
                <w:color w:val="auto"/>
                <w:kern w:val="0"/>
                <w:highlight w:val="none"/>
                <w:u w:val="none"/>
              </w:rPr>
            </w:pPr>
            <w:r>
              <w:rPr>
                <w:rFonts w:hint="eastAsia"/>
                <w:color w:val="auto"/>
                <w:kern w:val="0"/>
                <w:highlight w:val="none"/>
                <w:u w:val="none"/>
              </w:rPr>
              <w:t>/</w:t>
            </w:r>
          </w:p>
        </w:tc>
        <w:tc>
          <w:tcPr>
            <w:tcW w:w="1701" w:type="dxa"/>
            <w:vAlign w:val="center"/>
          </w:tcPr>
          <w:p w14:paraId="34A39212">
            <w:pPr>
              <w:jc w:val="center"/>
              <w:rPr>
                <w:color w:val="auto"/>
                <w:kern w:val="0"/>
                <w:highlight w:val="none"/>
                <w:u w:val="none"/>
              </w:rPr>
            </w:pPr>
            <w:r>
              <w:rPr>
                <w:rFonts w:hint="eastAsia"/>
                <w:color w:val="auto"/>
                <w:kern w:val="0"/>
                <w:highlight w:val="none"/>
                <w:u w:val="none"/>
                <w:lang w:val="en-US" w:eastAsia="zh-CN"/>
              </w:rPr>
              <w:t>0.151</w:t>
            </w:r>
            <w:r>
              <w:rPr>
                <w:rFonts w:hint="eastAsia"/>
                <w:color w:val="auto"/>
                <w:highlight w:val="none"/>
                <w:u w:val="none"/>
              </w:rPr>
              <w:t>t/a</w:t>
            </w:r>
          </w:p>
        </w:tc>
        <w:tc>
          <w:tcPr>
            <w:tcW w:w="1559" w:type="dxa"/>
            <w:vAlign w:val="center"/>
          </w:tcPr>
          <w:p w14:paraId="282EF6DE">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0.084t/a</w:t>
            </w:r>
          </w:p>
        </w:tc>
        <w:tc>
          <w:tcPr>
            <w:tcW w:w="1761" w:type="dxa"/>
            <w:vAlign w:val="center"/>
          </w:tcPr>
          <w:p w14:paraId="23835A7F">
            <w:pPr>
              <w:jc w:val="center"/>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0.151t/a</w:t>
            </w:r>
          </w:p>
        </w:tc>
        <w:tc>
          <w:tcPr>
            <w:tcW w:w="1492" w:type="dxa"/>
            <w:shd w:val="clear" w:color="auto" w:fill="auto"/>
            <w:vAlign w:val="center"/>
          </w:tcPr>
          <w:p w14:paraId="406F6180">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0.084t/a</w:t>
            </w:r>
          </w:p>
        </w:tc>
        <w:tc>
          <w:tcPr>
            <w:tcW w:w="1293" w:type="dxa"/>
            <w:shd w:val="clear" w:color="auto" w:fill="auto"/>
            <w:vAlign w:val="center"/>
          </w:tcPr>
          <w:p w14:paraId="0B54A05D">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-0.067t/a</w:t>
            </w:r>
          </w:p>
        </w:tc>
      </w:tr>
      <w:tr w14:paraId="6DD92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402D1A90">
            <w:pPr>
              <w:jc w:val="center"/>
              <w:rPr>
                <w:color w:val="auto"/>
                <w:kern w:val="0"/>
                <w:sz w:val="18"/>
                <w:szCs w:val="18"/>
                <w:highlight w:val="none"/>
                <w:u w:val="none"/>
              </w:rPr>
            </w:pPr>
          </w:p>
        </w:tc>
        <w:tc>
          <w:tcPr>
            <w:tcW w:w="1417" w:type="dxa"/>
            <w:vAlign w:val="center"/>
          </w:tcPr>
          <w:p w14:paraId="5E461F94">
            <w:pPr>
              <w:widowControl/>
              <w:spacing w:line="240" w:lineRule="auto"/>
              <w:jc w:val="center"/>
              <w:rPr>
                <w:color w:val="auto"/>
                <w:kern w:val="0"/>
                <w:highlight w:val="none"/>
                <w:u w:val="none"/>
              </w:rPr>
            </w:pPr>
            <w:r>
              <w:rPr>
                <w:rFonts w:hint="eastAsia" w:ascii="Times New Roman" w:hAnsi="Times New Roman" w:eastAsia="宋体" w:cs="Times New Roman"/>
                <w:color w:val="auto"/>
                <w:kern w:val="0"/>
                <w:sz w:val="21"/>
                <w:szCs w:val="21"/>
                <w:u w:val="none"/>
                <w:lang w:val="en-US" w:eastAsia="zh-CN"/>
              </w:rPr>
              <w:t>COD</w:t>
            </w:r>
          </w:p>
        </w:tc>
        <w:tc>
          <w:tcPr>
            <w:tcW w:w="1701" w:type="dxa"/>
            <w:vAlign w:val="center"/>
          </w:tcPr>
          <w:p w14:paraId="71F5BBDF">
            <w:pPr>
              <w:jc w:val="center"/>
              <w:rPr>
                <w:rFonts w:hint="default" w:eastAsia="宋体"/>
                <w:color w:val="auto"/>
                <w:kern w:val="0"/>
                <w:highlight w:val="none"/>
                <w:u w:val="none"/>
                <w:lang w:val="en-US" w:eastAsia="zh-CN"/>
              </w:rPr>
            </w:pPr>
            <w:r>
              <w:rPr>
                <w:color w:val="auto"/>
                <w:kern w:val="0"/>
                <w:highlight w:val="none"/>
                <w:u w:val="none"/>
              </w:rPr>
              <w:t>/</w:t>
            </w:r>
          </w:p>
        </w:tc>
        <w:tc>
          <w:tcPr>
            <w:tcW w:w="1276" w:type="dxa"/>
            <w:vAlign w:val="center"/>
          </w:tcPr>
          <w:p w14:paraId="0B472244">
            <w:pPr>
              <w:jc w:val="center"/>
              <w:rPr>
                <w:color w:val="auto"/>
                <w:kern w:val="0"/>
                <w:highlight w:val="none"/>
                <w:u w:val="none"/>
              </w:rPr>
            </w:pPr>
            <w:r>
              <w:rPr>
                <w:rFonts w:hint="eastAsia"/>
                <w:color w:val="auto"/>
                <w:kern w:val="0"/>
                <w:highlight w:val="none"/>
                <w:u w:val="none"/>
              </w:rPr>
              <w:t>/</w:t>
            </w:r>
          </w:p>
        </w:tc>
        <w:tc>
          <w:tcPr>
            <w:tcW w:w="1701" w:type="dxa"/>
            <w:vAlign w:val="center"/>
          </w:tcPr>
          <w:p w14:paraId="5E2172AF">
            <w:pPr>
              <w:jc w:val="center"/>
              <w:rPr>
                <w:color w:val="auto"/>
                <w:kern w:val="0"/>
                <w:highlight w:val="none"/>
                <w:u w:val="none"/>
              </w:rPr>
            </w:pPr>
            <w:r>
              <w:rPr>
                <w:rFonts w:hint="eastAsia"/>
                <w:color w:val="auto"/>
                <w:kern w:val="0"/>
                <w:highlight w:val="none"/>
                <w:u w:val="none"/>
                <w:lang w:val="en-US" w:eastAsia="zh-CN"/>
              </w:rPr>
              <w:t>0.324</w:t>
            </w:r>
            <w:r>
              <w:rPr>
                <w:rFonts w:hint="eastAsia"/>
                <w:color w:val="auto"/>
                <w:highlight w:val="none"/>
                <w:u w:val="none"/>
              </w:rPr>
              <w:t>t/a</w:t>
            </w:r>
          </w:p>
        </w:tc>
        <w:tc>
          <w:tcPr>
            <w:tcW w:w="1559" w:type="dxa"/>
            <w:vAlign w:val="center"/>
          </w:tcPr>
          <w:p w14:paraId="5248C673">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0.180t/a</w:t>
            </w:r>
          </w:p>
        </w:tc>
        <w:tc>
          <w:tcPr>
            <w:tcW w:w="1761" w:type="dxa"/>
            <w:vAlign w:val="center"/>
          </w:tcPr>
          <w:p w14:paraId="16E0663D">
            <w:pPr>
              <w:jc w:val="center"/>
              <w:rPr>
                <w:rFonts w:hint="default"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0.324t/a</w:t>
            </w:r>
          </w:p>
        </w:tc>
        <w:tc>
          <w:tcPr>
            <w:tcW w:w="1492" w:type="dxa"/>
            <w:shd w:val="clear" w:color="auto" w:fill="auto"/>
            <w:vAlign w:val="center"/>
          </w:tcPr>
          <w:p w14:paraId="71F0DA82">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0.180t/a</w:t>
            </w:r>
          </w:p>
        </w:tc>
        <w:tc>
          <w:tcPr>
            <w:tcW w:w="1293" w:type="dxa"/>
            <w:shd w:val="clear" w:color="auto" w:fill="auto"/>
            <w:vAlign w:val="center"/>
          </w:tcPr>
          <w:p w14:paraId="2E428FC4">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-0.144t/a</w:t>
            </w:r>
          </w:p>
        </w:tc>
      </w:tr>
      <w:tr w14:paraId="3ADCC7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71DF1F39">
            <w:pPr>
              <w:jc w:val="center"/>
              <w:rPr>
                <w:color w:val="auto"/>
                <w:kern w:val="0"/>
                <w:sz w:val="18"/>
                <w:szCs w:val="18"/>
                <w:highlight w:val="none"/>
                <w:u w:val="none"/>
              </w:rPr>
            </w:pPr>
          </w:p>
        </w:tc>
        <w:tc>
          <w:tcPr>
            <w:tcW w:w="1417" w:type="dxa"/>
            <w:vAlign w:val="center"/>
          </w:tcPr>
          <w:p w14:paraId="7F265310">
            <w:pPr>
              <w:widowControl/>
              <w:spacing w:line="240" w:lineRule="auto"/>
              <w:jc w:val="center"/>
              <w:rPr>
                <w:color w:val="auto"/>
                <w:kern w:val="0"/>
                <w:highlight w:val="none"/>
                <w:u w:val="none"/>
              </w:rPr>
            </w:pPr>
            <w:r>
              <w:rPr>
                <w:rFonts w:hint="eastAsia" w:ascii="Times New Roman" w:hAnsi="Times New Roman" w:eastAsia="宋体" w:cs="Times New Roman"/>
                <w:color w:val="auto"/>
                <w:kern w:val="0"/>
                <w:sz w:val="21"/>
                <w:szCs w:val="21"/>
                <w:u w:val="none"/>
                <w:lang w:val="en-US" w:eastAsia="zh-CN"/>
              </w:rPr>
              <w:t>氨氮</w:t>
            </w:r>
          </w:p>
        </w:tc>
        <w:tc>
          <w:tcPr>
            <w:tcW w:w="1701" w:type="dxa"/>
            <w:vAlign w:val="center"/>
          </w:tcPr>
          <w:p w14:paraId="2EB471E9">
            <w:pPr>
              <w:jc w:val="center"/>
              <w:rPr>
                <w:rFonts w:hint="default" w:eastAsia="宋体"/>
                <w:color w:val="auto"/>
                <w:kern w:val="0"/>
                <w:highlight w:val="none"/>
                <w:u w:val="none"/>
                <w:lang w:val="en-US" w:eastAsia="zh-CN"/>
              </w:rPr>
            </w:pPr>
            <w:r>
              <w:rPr>
                <w:color w:val="auto"/>
                <w:kern w:val="0"/>
                <w:highlight w:val="none"/>
                <w:u w:val="none"/>
              </w:rPr>
              <w:t>/</w:t>
            </w:r>
          </w:p>
        </w:tc>
        <w:tc>
          <w:tcPr>
            <w:tcW w:w="1276" w:type="dxa"/>
            <w:vAlign w:val="center"/>
          </w:tcPr>
          <w:p w14:paraId="0583DD99">
            <w:pPr>
              <w:jc w:val="center"/>
              <w:rPr>
                <w:color w:val="auto"/>
                <w:kern w:val="0"/>
                <w:highlight w:val="none"/>
                <w:u w:val="none"/>
              </w:rPr>
            </w:pPr>
            <w:r>
              <w:rPr>
                <w:rFonts w:hint="eastAsia"/>
                <w:color w:val="auto"/>
                <w:kern w:val="0"/>
                <w:highlight w:val="none"/>
                <w:u w:val="none"/>
              </w:rPr>
              <w:t>/</w:t>
            </w:r>
          </w:p>
        </w:tc>
        <w:tc>
          <w:tcPr>
            <w:tcW w:w="1701" w:type="dxa"/>
            <w:vAlign w:val="center"/>
          </w:tcPr>
          <w:p w14:paraId="7580A0B8">
            <w:pPr>
              <w:jc w:val="center"/>
              <w:rPr>
                <w:color w:val="auto"/>
                <w:kern w:val="0"/>
                <w:highlight w:val="none"/>
                <w:u w:val="none"/>
              </w:rPr>
            </w:pPr>
            <w:r>
              <w:rPr>
                <w:rFonts w:hint="eastAsia"/>
                <w:color w:val="auto"/>
                <w:kern w:val="0"/>
                <w:highlight w:val="none"/>
                <w:u w:val="none"/>
                <w:lang w:val="en-US" w:eastAsia="zh-CN"/>
              </w:rPr>
              <w:t>0.0324</w:t>
            </w:r>
            <w:r>
              <w:rPr>
                <w:rFonts w:hint="eastAsia"/>
                <w:color w:val="auto"/>
                <w:highlight w:val="none"/>
                <w:u w:val="none"/>
              </w:rPr>
              <w:t>t/a</w:t>
            </w:r>
          </w:p>
        </w:tc>
        <w:tc>
          <w:tcPr>
            <w:tcW w:w="1559" w:type="dxa"/>
            <w:vAlign w:val="center"/>
          </w:tcPr>
          <w:p w14:paraId="32376F98">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0.018t/a</w:t>
            </w:r>
          </w:p>
        </w:tc>
        <w:tc>
          <w:tcPr>
            <w:tcW w:w="1761" w:type="dxa"/>
            <w:vAlign w:val="center"/>
          </w:tcPr>
          <w:p w14:paraId="4D06EDC1">
            <w:pPr>
              <w:jc w:val="center"/>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0.0324t/a</w:t>
            </w:r>
          </w:p>
        </w:tc>
        <w:tc>
          <w:tcPr>
            <w:tcW w:w="1492" w:type="dxa"/>
            <w:shd w:val="clear" w:color="auto" w:fill="auto"/>
            <w:vAlign w:val="center"/>
          </w:tcPr>
          <w:p w14:paraId="66317431">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0.018t/a</w:t>
            </w:r>
          </w:p>
        </w:tc>
        <w:tc>
          <w:tcPr>
            <w:tcW w:w="1293" w:type="dxa"/>
            <w:shd w:val="clear" w:color="auto" w:fill="auto"/>
            <w:vAlign w:val="center"/>
          </w:tcPr>
          <w:p w14:paraId="7D868483">
            <w:pPr>
              <w:pStyle w:val="47"/>
              <w:ind w:firstLine="0" w:firstLineChars="0"/>
              <w:rPr>
                <w:rFonts w:hint="eastAsia"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kern w:val="0"/>
                <w:sz w:val="21"/>
                <w:szCs w:val="21"/>
                <w:highlight w:val="none"/>
                <w:u w:val="none"/>
                <w:lang w:val="en-US" w:eastAsia="zh-CN" w:bidi="ar-SA"/>
              </w:rPr>
              <w:t>-0.0144t/a</w:t>
            </w:r>
          </w:p>
        </w:tc>
      </w:tr>
      <w:tr w14:paraId="50B463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vAlign w:val="center"/>
          </w:tcPr>
          <w:p w14:paraId="25CA9147">
            <w:pPr>
              <w:jc w:val="center"/>
              <w:rPr>
                <w:color w:val="auto"/>
                <w:kern w:val="0"/>
                <w:sz w:val="18"/>
                <w:szCs w:val="18"/>
                <w:highlight w:val="none"/>
                <w:u w:val="none"/>
              </w:rPr>
            </w:pPr>
            <w:r>
              <w:rPr>
                <w:rFonts w:hint="eastAsia"/>
                <w:color w:val="auto"/>
                <w:kern w:val="0"/>
                <w:sz w:val="18"/>
                <w:szCs w:val="18"/>
                <w:highlight w:val="none"/>
                <w:u w:val="none"/>
              </w:rPr>
              <w:t>一般工业</w:t>
            </w:r>
          </w:p>
          <w:p w14:paraId="3C80A0CA">
            <w:pPr>
              <w:jc w:val="center"/>
              <w:rPr>
                <w:color w:val="auto"/>
                <w:kern w:val="0"/>
                <w:sz w:val="18"/>
                <w:szCs w:val="18"/>
                <w:highlight w:val="none"/>
                <w:u w:val="none"/>
              </w:rPr>
            </w:pPr>
            <w:r>
              <w:rPr>
                <w:rFonts w:hint="eastAsia"/>
                <w:color w:val="auto"/>
                <w:kern w:val="0"/>
                <w:sz w:val="18"/>
                <w:szCs w:val="18"/>
                <w:highlight w:val="none"/>
                <w:u w:val="none"/>
              </w:rPr>
              <w:t>固体废物</w:t>
            </w:r>
          </w:p>
        </w:tc>
        <w:tc>
          <w:tcPr>
            <w:tcW w:w="1417" w:type="dxa"/>
            <w:shd w:val="clear" w:color="auto" w:fill="auto"/>
            <w:vAlign w:val="center"/>
          </w:tcPr>
          <w:p w14:paraId="09B3E0D4">
            <w:pPr>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lang w:val="en-US" w:eastAsia="zh-CN"/>
              </w:rPr>
              <w:t>不合格品</w:t>
            </w:r>
          </w:p>
        </w:tc>
        <w:tc>
          <w:tcPr>
            <w:tcW w:w="1701" w:type="dxa"/>
            <w:vAlign w:val="center"/>
          </w:tcPr>
          <w:p w14:paraId="2157A0D8">
            <w:pPr>
              <w:jc w:val="center"/>
              <w:rPr>
                <w:color w:val="auto"/>
                <w:kern w:val="0"/>
                <w:highlight w:val="none"/>
                <w:u w:val="none"/>
              </w:rPr>
            </w:pPr>
            <w:r>
              <w:rPr>
                <w:color w:val="auto"/>
                <w:kern w:val="0"/>
                <w:highlight w:val="none"/>
                <w:u w:val="none"/>
              </w:rPr>
              <w:t>/</w:t>
            </w:r>
          </w:p>
        </w:tc>
        <w:tc>
          <w:tcPr>
            <w:tcW w:w="1276" w:type="dxa"/>
            <w:vAlign w:val="center"/>
          </w:tcPr>
          <w:p w14:paraId="73ECBB2C">
            <w:pPr>
              <w:jc w:val="center"/>
              <w:rPr>
                <w:color w:val="auto"/>
                <w:kern w:val="0"/>
                <w:highlight w:val="none"/>
                <w:u w:val="none"/>
              </w:rPr>
            </w:pPr>
            <w:r>
              <w:rPr>
                <w:rFonts w:hint="eastAsia"/>
                <w:color w:val="auto"/>
                <w:kern w:val="0"/>
                <w:highlight w:val="none"/>
                <w:u w:val="none"/>
              </w:rPr>
              <w:t>/</w:t>
            </w:r>
          </w:p>
        </w:tc>
        <w:tc>
          <w:tcPr>
            <w:tcW w:w="1701" w:type="dxa"/>
            <w:vAlign w:val="center"/>
          </w:tcPr>
          <w:p w14:paraId="6AEB0048">
            <w:pPr>
              <w:jc w:val="center"/>
              <w:rPr>
                <w:rFonts w:hint="eastAsia" w:eastAsia="宋体"/>
                <w:color w:val="auto"/>
                <w:kern w:val="0"/>
                <w:highlight w:val="none"/>
                <w:u w:val="none"/>
                <w:lang w:eastAsia="zh-CN"/>
              </w:rPr>
            </w:pPr>
            <w:r>
              <w:rPr>
                <w:rFonts w:hint="eastAsia"/>
                <w:color w:val="auto"/>
                <w:kern w:val="0"/>
                <w:highlight w:val="none"/>
                <w:u w:val="none"/>
                <w:lang w:val="en-US" w:eastAsia="zh-CN"/>
              </w:rPr>
              <w:t>2</w:t>
            </w:r>
            <w:r>
              <w:rPr>
                <w:rFonts w:hint="eastAsia"/>
                <w:color w:val="auto"/>
                <w:highlight w:val="none"/>
                <w:u w:val="none"/>
              </w:rPr>
              <w:t>t/a</w:t>
            </w:r>
          </w:p>
        </w:tc>
        <w:tc>
          <w:tcPr>
            <w:tcW w:w="1559" w:type="dxa"/>
            <w:vAlign w:val="center"/>
          </w:tcPr>
          <w:p w14:paraId="60D38432">
            <w:pPr>
              <w:jc w:val="center"/>
              <w:rPr>
                <w:color w:val="auto"/>
                <w:kern w:val="0"/>
                <w:sz w:val="20"/>
                <w:szCs w:val="20"/>
                <w:highlight w:val="none"/>
                <w:u w:val="none"/>
              </w:rPr>
            </w:pPr>
            <w:r>
              <w:rPr>
                <w:rFonts w:hint="eastAsia"/>
                <w:color w:val="auto"/>
                <w:sz w:val="21"/>
                <w:szCs w:val="21"/>
                <w:highlight w:val="none"/>
                <w:u w:val="none"/>
                <w:lang w:val="en-US" w:eastAsia="zh-CN"/>
              </w:rPr>
              <w:t>0.2</w:t>
            </w:r>
            <w:r>
              <w:rPr>
                <w:rFonts w:hint="eastAsia"/>
                <w:color w:val="auto"/>
                <w:highlight w:val="none"/>
                <w:u w:val="none"/>
              </w:rPr>
              <w:t>t/a</w:t>
            </w:r>
          </w:p>
        </w:tc>
        <w:tc>
          <w:tcPr>
            <w:tcW w:w="1761" w:type="dxa"/>
            <w:vAlign w:val="center"/>
          </w:tcPr>
          <w:p w14:paraId="283453D6">
            <w:pPr>
              <w:jc w:val="center"/>
              <w:rPr>
                <w:rFonts w:hint="default" w:eastAsia="宋体"/>
                <w:color w:val="auto"/>
                <w:kern w:val="0"/>
                <w:highlight w:val="none"/>
                <w:u w:val="none"/>
                <w:lang w:val="en-US" w:eastAsia="zh-CN"/>
              </w:rPr>
            </w:pPr>
            <w:r>
              <w:rPr>
                <w:rFonts w:hint="eastAsia"/>
                <w:color w:val="auto"/>
                <w:kern w:val="0"/>
                <w:highlight w:val="none"/>
                <w:u w:val="none"/>
                <w:lang w:val="en-US" w:eastAsia="zh-CN"/>
              </w:rPr>
              <w:t>2</w:t>
            </w:r>
            <w:r>
              <w:rPr>
                <w:rFonts w:hint="eastAsia"/>
                <w:color w:val="auto"/>
                <w:highlight w:val="none"/>
                <w:u w:val="none"/>
              </w:rPr>
              <w:t>t/a</w:t>
            </w:r>
          </w:p>
        </w:tc>
        <w:tc>
          <w:tcPr>
            <w:tcW w:w="1492" w:type="dxa"/>
            <w:shd w:val="clear" w:color="auto" w:fill="auto"/>
            <w:vAlign w:val="center"/>
          </w:tcPr>
          <w:p w14:paraId="45ECC7E4">
            <w:pPr>
              <w:jc w:val="center"/>
              <w:rPr>
                <w:rFonts w:ascii="Times New Roman" w:hAnsi="Times New Roman" w:eastAsia="宋体" w:cs="Times New Roman"/>
                <w:color w:val="auto"/>
                <w:kern w:val="0"/>
                <w:sz w:val="20"/>
                <w:szCs w:val="20"/>
                <w:highlight w:val="none"/>
                <w:u w:val="none"/>
                <w:lang w:val="en-US" w:eastAsia="zh-CN" w:bidi="ar-SA"/>
              </w:rPr>
            </w:pPr>
            <w:r>
              <w:rPr>
                <w:rFonts w:hint="eastAsia"/>
                <w:color w:val="auto"/>
                <w:sz w:val="21"/>
                <w:szCs w:val="21"/>
                <w:highlight w:val="none"/>
                <w:u w:val="none"/>
                <w:lang w:val="en-US" w:eastAsia="zh-CN"/>
              </w:rPr>
              <w:t>0.2</w:t>
            </w:r>
            <w:r>
              <w:rPr>
                <w:rFonts w:hint="eastAsia"/>
                <w:color w:val="auto"/>
                <w:highlight w:val="none"/>
                <w:u w:val="none"/>
              </w:rPr>
              <w:t>t/a</w:t>
            </w:r>
          </w:p>
        </w:tc>
        <w:tc>
          <w:tcPr>
            <w:tcW w:w="1293" w:type="dxa"/>
            <w:shd w:val="clear" w:color="auto" w:fill="auto"/>
            <w:vAlign w:val="center"/>
          </w:tcPr>
          <w:p w14:paraId="4B262ECC">
            <w:pPr>
              <w:jc w:val="center"/>
              <w:rPr>
                <w:rFonts w:ascii="Times New Roman" w:hAnsi="Times New Roman" w:eastAsia="宋体" w:cs="Times New Roman"/>
                <w:color w:val="auto"/>
                <w:kern w:val="0"/>
                <w:sz w:val="20"/>
                <w:szCs w:val="20"/>
                <w:highlight w:val="none"/>
                <w:u w:val="none"/>
                <w:lang w:val="en-US" w:eastAsia="zh-CN" w:bidi="ar-SA"/>
              </w:rPr>
            </w:pPr>
            <w:r>
              <w:rPr>
                <w:rFonts w:hint="eastAsia"/>
                <w:color w:val="auto"/>
                <w:kern w:val="0"/>
                <w:highlight w:val="none"/>
                <w:u w:val="none"/>
                <w:lang w:val="en-US" w:eastAsia="zh-CN"/>
              </w:rPr>
              <w:t>-1.8</w:t>
            </w:r>
            <w:r>
              <w:rPr>
                <w:rFonts w:hint="eastAsia"/>
                <w:color w:val="auto"/>
                <w:highlight w:val="none"/>
                <w:u w:val="none"/>
              </w:rPr>
              <w:t>t/a</w:t>
            </w:r>
          </w:p>
        </w:tc>
      </w:tr>
      <w:tr w14:paraId="337E1D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0D7D2C19">
            <w:pPr>
              <w:jc w:val="center"/>
              <w:rPr>
                <w:color w:val="auto"/>
                <w:kern w:val="0"/>
                <w:sz w:val="18"/>
                <w:szCs w:val="18"/>
                <w:highlight w:val="none"/>
                <w:u w:val="none"/>
              </w:rPr>
            </w:pPr>
          </w:p>
        </w:tc>
        <w:tc>
          <w:tcPr>
            <w:tcW w:w="1417" w:type="dxa"/>
            <w:shd w:val="clear" w:color="auto" w:fill="auto"/>
            <w:vAlign w:val="center"/>
          </w:tcPr>
          <w:p w14:paraId="0FDACF3D">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eastAsia="宋体"/>
                <w:color w:val="auto"/>
                <w:sz w:val="21"/>
                <w:szCs w:val="21"/>
                <w:highlight w:val="none"/>
                <w:u w:val="none"/>
              </w:rPr>
              <w:t>废包装材料</w:t>
            </w:r>
          </w:p>
        </w:tc>
        <w:tc>
          <w:tcPr>
            <w:tcW w:w="1701" w:type="dxa"/>
            <w:vAlign w:val="center"/>
          </w:tcPr>
          <w:p w14:paraId="670C0DA9">
            <w:pPr>
              <w:jc w:val="center"/>
              <w:rPr>
                <w:color w:val="auto"/>
                <w:kern w:val="0"/>
                <w:highlight w:val="none"/>
                <w:u w:val="none"/>
              </w:rPr>
            </w:pPr>
            <w:r>
              <w:rPr>
                <w:color w:val="auto"/>
                <w:kern w:val="0"/>
                <w:highlight w:val="none"/>
                <w:u w:val="none"/>
              </w:rPr>
              <w:t>/</w:t>
            </w:r>
          </w:p>
        </w:tc>
        <w:tc>
          <w:tcPr>
            <w:tcW w:w="1276" w:type="dxa"/>
            <w:vAlign w:val="center"/>
          </w:tcPr>
          <w:p w14:paraId="008D50BC">
            <w:pPr>
              <w:jc w:val="center"/>
              <w:rPr>
                <w:color w:val="auto"/>
                <w:kern w:val="0"/>
                <w:highlight w:val="none"/>
                <w:u w:val="none"/>
              </w:rPr>
            </w:pPr>
            <w:r>
              <w:rPr>
                <w:rFonts w:hint="eastAsia"/>
                <w:color w:val="auto"/>
                <w:kern w:val="0"/>
                <w:highlight w:val="none"/>
                <w:u w:val="none"/>
              </w:rPr>
              <w:t>/</w:t>
            </w:r>
          </w:p>
        </w:tc>
        <w:tc>
          <w:tcPr>
            <w:tcW w:w="1701" w:type="dxa"/>
            <w:vAlign w:val="center"/>
          </w:tcPr>
          <w:p w14:paraId="5F952F50">
            <w:pPr>
              <w:jc w:val="center"/>
              <w:rPr>
                <w:rFonts w:hint="eastAsia" w:eastAsia="宋体"/>
                <w:color w:val="auto"/>
                <w:kern w:val="0"/>
                <w:highlight w:val="none"/>
                <w:u w:val="none"/>
                <w:lang w:eastAsia="zh-CN"/>
              </w:rPr>
            </w:pPr>
            <w:r>
              <w:rPr>
                <w:rFonts w:hint="eastAsia"/>
                <w:color w:val="auto"/>
                <w:kern w:val="0"/>
                <w:highlight w:val="none"/>
                <w:u w:val="none"/>
                <w:lang w:val="en-US" w:eastAsia="zh-CN"/>
              </w:rPr>
              <w:t>1</w:t>
            </w:r>
            <w:r>
              <w:rPr>
                <w:rFonts w:hint="eastAsia"/>
                <w:color w:val="auto"/>
                <w:highlight w:val="none"/>
                <w:u w:val="none"/>
              </w:rPr>
              <w:t>t/a</w:t>
            </w:r>
          </w:p>
        </w:tc>
        <w:tc>
          <w:tcPr>
            <w:tcW w:w="1559" w:type="dxa"/>
            <w:vAlign w:val="center"/>
          </w:tcPr>
          <w:p w14:paraId="660A4648">
            <w:pPr>
              <w:jc w:val="center"/>
              <w:rPr>
                <w:color w:val="auto"/>
                <w:kern w:val="0"/>
                <w:sz w:val="20"/>
                <w:szCs w:val="20"/>
                <w:highlight w:val="none"/>
                <w:u w:val="none"/>
              </w:rPr>
            </w:pPr>
            <w:r>
              <w:rPr>
                <w:rFonts w:hint="eastAsia"/>
                <w:color w:val="auto"/>
                <w:highlight w:val="none"/>
                <w:u w:val="none"/>
                <w:lang w:val="en-US" w:eastAsia="zh-CN"/>
              </w:rPr>
              <w:t>0.5</w:t>
            </w:r>
            <w:r>
              <w:rPr>
                <w:rFonts w:hint="eastAsia"/>
                <w:color w:val="auto"/>
                <w:highlight w:val="none"/>
                <w:u w:val="none"/>
              </w:rPr>
              <w:t>t/a</w:t>
            </w:r>
          </w:p>
        </w:tc>
        <w:tc>
          <w:tcPr>
            <w:tcW w:w="1761" w:type="dxa"/>
            <w:vAlign w:val="center"/>
          </w:tcPr>
          <w:p w14:paraId="3FAD0125">
            <w:pPr>
              <w:jc w:val="center"/>
              <w:rPr>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684423EF">
            <w:pPr>
              <w:jc w:val="center"/>
              <w:rPr>
                <w:rFonts w:ascii="Times New Roman" w:hAnsi="Times New Roman" w:eastAsia="宋体" w:cs="Times New Roman"/>
                <w:color w:val="auto"/>
                <w:kern w:val="0"/>
                <w:sz w:val="20"/>
                <w:szCs w:val="20"/>
                <w:highlight w:val="none"/>
                <w:u w:val="none"/>
                <w:lang w:val="en-US" w:eastAsia="zh-CN" w:bidi="ar-SA"/>
              </w:rPr>
            </w:pPr>
            <w:r>
              <w:rPr>
                <w:rFonts w:hint="eastAsia"/>
                <w:color w:val="auto"/>
                <w:sz w:val="21"/>
                <w:szCs w:val="21"/>
                <w:highlight w:val="none"/>
                <w:u w:val="none"/>
                <w:lang w:val="en-US" w:eastAsia="zh-CN"/>
              </w:rPr>
              <w:t>1.5</w:t>
            </w:r>
            <w:r>
              <w:rPr>
                <w:rFonts w:hint="eastAsia"/>
                <w:color w:val="auto"/>
                <w:highlight w:val="none"/>
                <w:u w:val="none"/>
              </w:rPr>
              <w:t>t/a</w:t>
            </w:r>
          </w:p>
        </w:tc>
        <w:tc>
          <w:tcPr>
            <w:tcW w:w="1293" w:type="dxa"/>
            <w:shd w:val="clear" w:color="auto" w:fill="auto"/>
            <w:vAlign w:val="center"/>
          </w:tcPr>
          <w:p w14:paraId="2F0CB0D4">
            <w:pPr>
              <w:jc w:val="center"/>
              <w:rPr>
                <w:rFonts w:ascii="Times New Roman" w:hAnsi="Times New Roman" w:eastAsia="宋体" w:cs="Times New Roman"/>
                <w:color w:val="auto"/>
                <w:kern w:val="0"/>
                <w:sz w:val="20"/>
                <w:szCs w:val="20"/>
                <w:highlight w:val="none"/>
                <w:u w:val="none"/>
                <w:lang w:val="en-US" w:eastAsia="zh-CN" w:bidi="ar-SA"/>
              </w:rPr>
            </w:pPr>
            <w:r>
              <w:rPr>
                <w:rFonts w:hint="eastAsia"/>
                <w:color w:val="auto"/>
                <w:sz w:val="21"/>
                <w:szCs w:val="21"/>
                <w:highlight w:val="none"/>
                <w:u w:val="none"/>
                <w:lang w:val="en-US" w:eastAsia="zh-CN"/>
              </w:rPr>
              <w:t>+0.5</w:t>
            </w:r>
            <w:r>
              <w:rPr>
                <w:rFonts w:hint="eastAsia"/>
                <w:color w:val="auto"/>
                <w:highlight w:val="none"/>
                <w:u w:val="none"/>
              </w:rPr>
              <w:t>t/a</w:t>
            </w:r>
          </w:p>
        </w:tc>
      </w:tr>
      <w:tr w14:paraId="68A63A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13FE7EA4">
            <w:pPr>
              <w:jc w:val="center"/>
              <w:rPr>
                <w:color w:val="auto"/>
                <w:kern w:val="0"/>
                <w:sz w:val="18"/>
                <w:szCs w:val="18"/>
                <w:highlight w:val="none"/>
                <w:u w:val="none"/>
              </w:rPr>
            </w:pPr>
          </w:p>
        </w:tc>
        <w:tc>
          <w:tcPr>
            <w:tcW w:w="1417" w:type="dxa"/>
            <w:shd w:val="clear" w:color="auto" w:fill="auto"/>
            <w:vAlign w:val="center"/>
          </w:tcPr>
          <w:p w14:paraId="1F9B0AD8">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eastAsia="宋体"/>
                <w:color w:val="auto"/>
                <w:sz w:val="21"/>
                <w:szCs w:val="21"/>
                <w:highlight w:val="none"/>
                <w:u w:val="none"/>
              </w:rPr>
              <w:t>注塑边角料</w:t>
            </w:r>
          </w:p>
        </w:tc>
        <w:tc>
          <w:tcPr>
            <w:tcW w:w="1701" w:type="dxa"/>
            <w:vAlign w:val="center"/>
          </w:tcPr>
          <w:p w14:paraId="6450B403">
            <w:pPr>
              <w:jc w:val="center"/>
              <w:rPr>
                <w:rFonts w:hint="eastAsia" w:eastAsia="宋体"/>
                <w:color w:val="auto"/>
                <w:kern w:val="0"/>
                <w:highlight w:val="none"/>
                <w:u w:val="none"/>
                <w:lang w:val="en-US" w:eastAsia="zh-CN"/>
              </w:rPr>
            </w:pPr>
            <w:r>
              <w:rPr>
                <w:rFonts w:hint="eastAsia"/>
                <w:color w:val="auto"/>
                <w:kern w:val="0"/>
                <w:highlight w:val="none"/>
                <w:u w:val="none"/>
                <w:lang w:val="en-US" w:eastAsia="zh-CN"/>
              </w:rPr>
              <w:t>/</w:t>
            </w:r>
          </w:p>
        </w:tc>
        <w:tc>
          <w:tcPr>
            <w:tcW w:w="1276" w:type="dxa"/>
            <w:vAlign w:val="center"/>
          </w:tcPr>
          <w:p w14:paraId="43E857EB">
            <w:pPr>
              <w:jc w:val="center"/>
              <w:rPr>
                <w:color w:val="auto"/>
                <w:kern w:val="0"/>
                <w:highlight w:val="none"/>
                <w:u w:val="none"/>
              </w:rPr>
            </w:pPr>
            <w:r>
              <w:rPr>
                <w:rFonts w:hint="eastAsia"/>
                <w:color w:val="auto"/>
                <w:kern w:val="0"/>
                <w:highlight w:val="none"/>
                <w:u w:val="none"/>
              </w:rPr>
              <w:t>/</w:t>
            </w:r>
          </w:p>
        </w:tc>
        <w:tc>
          <w:tcPr>
            <w:tcW w:w="1701" w:type="dxa"/>
            <w:vAlign w:val="center"/>
          </w:tcPr>
          <w:p w14:paraId="1635B672">
            <w:pPr>
              <w:jc w:val="center"/>
              <w:rPr>
                <w:color w:val="auto"/>
                <w:kern w:val="0"/>
                <w:highlight w:val="none"/>
                <w:u w:val="none"/>
              </w:rPr>
            </w:pPr>
            <w:r>
              <w:rPr>
                <w:rFonts w:hint="eastAsia"/>
                <w:color w:val="auto"/>
                <w:sz w:val="21"/>
                <w:szCs w:val="21"/>
                <w:highlight w:val="none"/>
                <w:u w:val="none"/>
                <w:lang w:val="en-US" w:eastAsia="zh-CN"/>
              </w:rPr>
              <w:t>0.2</w:t>
            </w:r>
            <w:r>
              <w:rPr>
                <w:rFonts w:hint="eastAsia"/>
                <w:color w:val="auto"/>
                <w:highlight w:val="none"/>
                <w:u w:val="none"/>
              </w:rPr>
              <w:t>t/a</w:t>
            </w:r>
          </w:p>
        </w:tc>
        <w:tc>
          <w:tcPr>
            <w:tcW w:w="1559" w:type="dxa"/>
            <w:vAlign w:val="center"/>
          </w:tcPr>
          <w:p w14:paraId="7D70A7F7">
            <w:pPr>
              <w:jc w:val="center"/>
              <w:rPr>
                <w:color w:val="auto"/>
                <w:kern w:val="0"/>
                <w:sz w:val="20"/>
                <w:szCs w:val="20"/>
                <w:highlight w:val="none"/>
                <w:u w:val="none"/>
              </w:rPr>
            </w:pPr>
            <w:r>
              <w:rPr>
                <w:rFonts w:hint="eastAsia"/>
                <w:color w:val="auto"/>
                <w:sz w:val="21"/>
                <w:szCs w:val="21"/>
                <w:highlight w:val="none"/>
                <w:u w:val="none"/>
                <w:lang w:val="en-US" w:eastAsia="zh-CN"/>
              </w:rPr>
              <w:t>0.1</w:t>
            </w:r>
            <w:r>
              <w:rPr>
                <w:rFonts w:hint="eastAsia"/>
                <w:color w:val="auto"/>
                <w:highlight w:val="none"/>
                <w:u w:val="none"/>
              </w:rPr>
              <w:t>t/a</w:t>
            </w:r>
          </w:p>
        </w:tc>
        <w:tc>
          <w:tcPr>
            <w:tcW w:w="1761" w:type="dxa"/>
            <w:vAlign w:val="center"/>
          </w:tcPr>
          <w:p w14:paraId="7CAB279C">
            <w:pPr>
              <w:jc w:val="center"/>
              <w:rPr>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6F9ED9C4">
            <w:pPr>
              <w:jc w:val="center"/>
              <w:rPr>
                <w:rFonts w:ascii="Times New Roman" w:hAnsi="Times New Roman" w:eastAsia="宋体" w:cs="Times New Roman"/>
                <w:color w:val="auto"/>
                <w:kern w:val="0"/>
                <w:sz w:val="20"/>
                <w:szCs w:val="20"/>
                <w:highlight w:val="none"/>
                <w:u w:val="none"/>
                <w:lang w:val="en-US" w:eastAsia="zh-CN" w:bidi="ar-SA"/>
              </w:rPr>
            </w:pPr>
            <w:r>
              <w:rPr>
                <w:rFonts w:hint="eastAsia"/>
                <w:color w:val="auto"/>
                <w:sz w:val="21"/>
                <w:szCs w:val="21"/>
                <w:highlight w:val="none"/>
                <w:u w:val="none"/>
                <w:lang w:val="en-US" w:eastAsia="zh-CN"/>
              </w:rPr>
              <w:t>0.3</w:t>
            </w:r>
            <w:r>
              <w:rPr>
                <w:rFonts w:hint="eastAsia"/>
                <w:color w:val="auto"/>
                <w:highlight w:val="none"/>
                <w:u w:val="none"/>
              </w:rPr>
              <w:t>t/a</w:t>
            </w:r>
          </w:p>
        </w:tc>
        <w:tc>
          <w:tcPr>
            <w:tcW w:w="1293" w:type="dxa"/>
            <w:shd w:val="clear" w:color="auto" w:fill="auto"/>
            <w:vAlign w:val="center"/>
          </w:tcPr>
          <w:p w14:paraId="23E7945D">
            <w:pPr>
              <w:jc w:val="center"/>
              <w:rPr>
                <w:rFonts w:ascii="Times New Roman" w:hAnsi="Times New Roman" w:eastAsia="宋体" w:cs="Times New Roman"/>
                <w:color w:val="auto"/>
                <w:kern w:val="0"/>
                <w:sz w:val="20"/>
                <w:szCs w:val="20"/>
                <w:highlight w:val="none"/>
                <w:u w:val="none"/>
                <w:lang w:val="en-US" w:eastAsia="zh-CN" w:bidi="ar-SA"/>
              </w:rPr>
            </w:pPr>
            <w:r>
              <w:rPr>
                <w:rFonts w:hint="eastAsia"/>
                <w:color w:val="auto"/>
                <w:sz w:val="21"/>
                <w:szCs w:val="21"/>
                <w:highlight w:val="none"/>
                <w:u w:val="none"/>
                <w:lang w:val="en-US" w:eastAsia="zh-CN"/>
              </w:rPr>
              <w:t>+0.1</w:t>
            </w:r>
            <w:r>
              <w:rPr>
                <w:rFonts w:hint="eastAsia"/>
                <w:color w:val="auto"/>
                <w:highlight w:val="none"/>
                <w:u w:val="none"/>
              </w:rPr>
              <w:t>t/a</w:t>
            </w:r>
          </w:p>
        </w:tc>
      </w:tr>
      <w:tr w14:paraId="4C7722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0468E3E6">
            <w:pPr>
              <w:jc w:val="center"/>
              <w:rPr>
                <w:color w:val="auto"/>
                <w:kern w:val="0"/>
                <w:sz w:val="18"/>
                <w:szCs w:val="18"/>
                <w:highlight w:val="none"/>
                <w:u w:val="none"/>
              </w:rPr>
            </w:pPr>
          </w:p>
        </w:tc>
        <w:tc>
          <w:tcPr>
            <w:tcW w:w="1417" w:type="dxa"/>
            <w:shd w:val="clear" w:color="auto" w:fill="auto"/>
            <w:vAlign w:val="center"/>
          </w:tcPr>
          <w:p w14:paraId="515BD75B">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lang w:val="en-US" w:eastAsia="zh-CN"/>
              </w:rPr>
              <w:t>焊</w:t>
            </w:r>
            <w:r>
              <w:rPr>
                <w:rFonts w:hint="eastAsia" w:eastAsia="宋体"/>
                <w:color w:val="auto"/>
                <w:sz w:val="21"/>
                <w:szCs w:val="21"/>
                <w:highlight w:val="none"/>
                <w:u w:val="none"/>
              </w:rPr>
              <w:t>渣</w:t>
            </w:r>
          </w:p>
        </w:tc>
        <w:tc>
          <w:tcPr>
            <w:tcW w:w="1701" w:type="dxa"/>
            <w:vAlign w:val="center"/>
          </w:tcPr>
          <w:p w14:paraId="3E4A55AF">
            <w:pPr>
              <w:jc w:val="center"/>
              <w:rPr>
                <w:color w:val="auto"/>
                <w:kern w:val="0"/>
                <w:highlight w:val="none"/>
                <w:u w:val="none"/>
              </w:rPr>
            </w:pPr>
            <w:r>
              <w:rPr>
                <w:color w:val="auto"/>
                <w:kern w:val="0"/>
                <w:highlight w:val="none"/>
                <w:u w:val="none"/>
              </w:rPr>
              <w:t>/</w:t>
            </w:r>
          </w:p>
        </w:tc>
        <w:tc>
          <w:tcPr>
            <w:tcW w:w="1276" w:type="dxa"/>
            <w:vAlign w:val="center"/>
          </w:tcPr>
          <w:p w14:paraId="6DD4C013">
            <w:pPr>
              <w:jc w:val="center"/>
              <w:rPr>
                <w:rFonts w:hint="eastAsia"/>
                <w:color w:val="auto"/>
                <w:kern w:val="0"/>
                <w:highlight w:val="none"/>
                <w:u w:val="none"/>
              </w:rPr>
            </w:pPr>
            <w:r>
              <w:rPr>
                <w:color w:val="auto"/>
                <w:kern w:val="0"/>
                <w:highlight w:val="none"/>
                <w:u w:val="none"/>
              </w:rPr>
              <w:t>/</w:t>
            </w:r>
          </w:p>
        </w:tc>
        <w:tc>
          <w:tcPr>
            <w:tcW w:w="1701" w:type="dxa"/>
            <w:vAlign w:val="center"/>
          </w:tcPr>
          <w:p w14:paraId="5FB89DDA">
            <w:pPr>
              <w:jc w:val="center"/>
              <w:rPr>
                <w:rFonts w:hint="eastAsia"/>
                <w:color w:val="auto"/>
                <w:kern w:val="0"/>
                <w:highlight w:val="none"/>
                <w:u w:val="none"/>
              </w:rPr>
            </w:pPr>
            <w:r>
              <w:rPr>
                <w:rFonts w:hint="eastAsia"/>
                <w:color w:val="auto"/>
                <w:sz w:val="21"/>
                <w:szCs w:val="21"/>
                <w:highlight w:val="none"/>
                <w:u w:val="none"/>
                <w:lang w:val="en-US" w:eastAsia="zh-CN"/>
              </w:rPr>
              <w:t>0.05</w:t>
            </w:r>
            <w:r>
              <w:rPr>
                <w:rFonts w:hint="eastAsia"/>
                <w:color w:val="auto"/>
                <w:highlight w:val="none"/>
                <w:u w:val="none"/>
              </w:rPr>
              <w:t>t/a</w:t>
            </w:r>
          </w:p>
        </w:tc>
        <w:tc>
          <w:tcPr>
            <w:tcW w:w="1559" w:type="dxa"/>
            <w:vAlign w:val="center"/>
          </w:tcPr>
          <w:p w14:paraId="75D28108">
            <w:pPr>
              <w:jc w:val="center"/>
              <w:rPr>
                <w:rFonts w:hint="default" w:eastAsia="宋体"/>
                <w:color w:val="auto"/>
                <w:kern w:val="0"/>
                <w:sz w:val="20"/>
                <w:szCs w:val="20"/>
                <w:highlight w:val="none"/>
                <w:u w:val="none"/>
                <w:lang w:val="en-US" w:eastAsia="zh-CN"/>
              </w:rPr>
            </w:pPr>
            <w:r>
              <w:rPr>
                <w:rFonts w:hint="eastAsia"/>
                <w:color w:val="auto"/>
                <w:sz w:val="21"/>
                <w:szCs w:val="21"/>
                <w:highlight w:val="none"/>
                <w:u w:val="none"/>
                <w:lang w:val="en-US" w:eastAsia="zh-CN"/>
              </w:rPr>
              <w:t>0</w:t>
            </w:r>
          </w:p>
        </w:tc>
        <w:tc>
          <w:tcPr>
            <w:tcW w:w="1761" w:type="dxa"/>
            <w:vAlign w:val="center"/>
          </w:tcPr>
          <w:p w14:paraId="627C5043">
            <w:pPr>
              <w:jc w:val="center"/>
              <w:rPr>
                <w:rFonts w:hint="eastAsia"/>
                <w:color w:val="auto"/>
                <w:kern w:val="0"/>
                <w:highlight w:val="none"/>
                <w:u w:val="none"/>
              </w:rPr>
            </w:pPr>
            <w:r>
              <w:rPr>
                <w:color w:val="auto"/>
                <w:kern w:val="0"/>
                <w:highlight w:val="none"/>
                <w:u w:val="none"/>
              </w:rPr>
              <w:t>/</w:t>
            </w:r>
          </w:p>
        </w:tc>
        <w:tc>
          <w:tcPr>
            <w:tcW w:w="1492" w:type="dxa"/>
            <w:shd w:val="clear" w:color="auto" w:fill="auto"/>
            <w:vAlign w:val="center"/>
          </w:tcPr>
          <w:p w14:paraId="2937D03C">
            <w:pPr>
              <w:jc w:val="center"/>
              <w:rPr>
                <w:rFonts w:hint="eastAsia" w:ascii="Times New Roman" w:hAnsi="Times New Roman" w:eastAsia="宋体" w:cs="Times New Roman"/>
                <w:color w:val="auto"/>
                <w:kern w:val="0"/>
                <w:sz w:val="20"/>
                <w:szCs w:val="20"/>
                <w:highlight w:val="none"/>
                <w:u w:val="none"/>
                <w:lang w:val="en-US" w:eastAsia="zh-CN" w:bidi="ar-SA"/>
              </w:rPr>
            </w:pPr>
            <w:r>
              <w:rPr>
                <w:rFonts w:hint="eastAsia"/>
                <w:color w:val="auto"/>
                <w:sz w:val="21"/>
                <w:szCs w:val="21"/>
                <w:highlight w:val="none"/>
                <w:u w:val="none"/>
                <w:lang w:val="en-US" w:eastAsia="zh-CN"/>
              </w:rPr>
              <w:t>0.05</w:t>
            </w:r>
            <w:r>
              <w:rPr>
                <w:rFonts w:hint="eastAsia"/>
                <w:color w:val="auto"/>
                <w:highlight w:val="none"/>
                <w:u w:val="none"/>
              </w:rPr>
              <w:t>t/a</w:t>
            </w:r>
          </w:p>
        </w:tc>
        <w:tc>
          <w:tcPr>
            <w:tcW w:w="1293" w:type="dxa"/>
            <w:shd w:val="clear" w:color="auto" w:fill="auto"/>
            <w:vAlign w:val="center"/>
          </w:tcPr>
          <w:p w14:paraId="7B437575">
            <w:pPr>
              <w:jc w:val="center"/>
              <w:rPr>
                <w:rFonts w:hint="eastAsia" w:ascii="Times New Roman" w:hAnsi="Times New Roman" w:eastAsia="宋体" w:cs="Times New Roman"/>
                <w:color w:val="auto"/>
                <w:kern w:val="0"/>
                <w:sz w:val="20"/>
                <w:szCs w:val="20"/>
                <w:highlight w:val="none"/>
                <w:u w:val="none"/>
                <w:lang w:val="en-US" w:eastAsia="zh-CN" w:bidi="ar-SA"/>
              </w:rPr>
            </w:pPr>
            <w:r>
              <w:rPr>
                <w:rFonts w:hint="eastAsia"/>
                <w:color w:val="auto"/>
                <w:sz w:val="21"/>
                <w:szCs w:val="21"/>
                <w:highlight w:val="none"/>
                <w:u w:val="none"/>
                <w:lang w:val="en-US" w:eastAsia="zh-CN"/>
              </w:rPr>
              <w:t>0</w:t>
            </w:r>
          </w:p>
        </w:tc>
      </w:tr>
      <w:tr w14:paraId="0326D0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4BC20968">
            <w:pPr>
              <w:jc w:val="center"/>
              <w:rPr>
                <w:color w:val="auto"/>
                <w:kern w:val="0"/>
                <w:sz w:val="18"/>
                <w:szCs w:val="18"/>
                <w:highlight w:val="none"/>
                <w:u w:val="none"/>
              </w:rPr>
            </w:pPr>
          </w:p>
        </w:tc>
        <w:tc>
          <w:tcPr>
            <w:tcW w:w="1417" w:type="dxa"/>
            <w:shd w:val="clear" w:color="auto" w:fill="auto"/>
            <w:vAlign w:val="center"/>
          </w:tcPr>
          <w:p w14:paraId="3A58A286">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default" w:eastAsia="宋体"/>
                <w:color w:val="auto"/>
                <w:sz w:val="21"/>
                <w:szCs w:val="21"/>
                <w:highlight w:val="none"/>
                <w:u w:val="none"/>
                <w:lang w:val="en-US" w:eastAsia="zh-CN"/>
              </w:rPr>
              <w:t>喷砂产尘</w:t>
            </w:r>
          </w:p>
        </w:tc>
        <w:tc>
          <w:tcPr>
            <w:tcW w:w="1701" w:type="dxa"/>
            <w:vAlign w:val="center"/>
          </w:tcPr>
          <w:p w14:paraId="287CAF2F">
            <w:pPr>
              <w:jc w:val="center"/>
              <w:rPr>
                <w:rFonts w:hint="default" w:eastAsia="宋体"/>
                <w:color w:val="auto"/>
                <w:kern w:val="0"/>
                <w:highlight w:val="none"/>
                <w:u w:val="none"/>
                <w:lang w:val="en-US" w:eastAsia="zh-CN"/>
              </w:rPr>
            </w:pPr>
            <w:r>
              <w:rPr>
                <w:color w:val="auto"/>
                <w:kern w:val="0"/>
                <w:highlight w:val="none"/>
                <w:u w:val="none"/>
              </w:rPr>
              <w:t>/</w:t>
            </w:r>
          </w:p>
        </w:tc>
        <w:tc>
          <w:tcPr>
            <w:tcW w:w="1276" w:type="dxa"/>
            <w:vAlign w:val="center"/>
          </w:tcPr>
          <w:p w14:paraId="3048ADEC">
            <w:pPr>
              <w:jc w:val="center"/>
              <w:rPr>
                <w:color w:val="auto"/>
                <w:kern w:val="0"/>
                <w:highlight w:val="none"/>
                <w:u w:val="none"/>
              </w:rPr>
            </w:pPr>
            <w:r>
              <w:rPr>
                <w:color w:val="auto"/>
                <w:kern w:val="0"/>
                <w:highlight w:val="none"/>
                <w:u w:val="none"/>
              </w:rPr>
              <w:t>/</w:t>
            </w:r>
          </w:p>
        </w:tc>
        <w:tc>
          <w:tcPr>
            <w:tcW w:w="1701" w:type="dxa"/>
            <w:vAlign w:val="center"/>
          </w:tcPr>
          <w:p w14:paraId="07DAF94A">
            <w:pPr>
              <w:jc w:val="center"/>
              <w:rPr>
                <w:color w:val="auto"/>
                <w:kern w:val="0"/>
                <w:highlight w:val="none"/>
                <w:u w:val="none"/>
              </w:rPr>
            </w:pPr>
            <w:r>
              <w:rPr>
                <w:rFonts w:hint="eastAsia"/>
                <w:color w:val="auto"/>
                <w:kern w:val="0"/>
                <w:highlight w:val="none"/>
                <w:u w:val="none"/>
                <w:lang w:val="en-US" w:eastAsia="zh-CN"/>
              </w:rPr>
              <w:t>0.351</w:t>
            </w:r>
            <w:r>
              <w:rPr>
                <w:rFonts w:hint="eastAsia"/>
                <w:color w:val="auto"/>
                <w:highlight w:val="none"/>
                <w:u w:val="none"/>
              </w:rPr>
              <w:t>t/a</w:t>
            </w:r>
          </w:p>
        </w:tc>
        <w:tc>
          <w:tcPr>
            <w:tcW w:w="1559" w:type="dxa"/>
            <w:vAlign w:val="center"/>
          </w:tcPr>
          <w:p w14:paraId="7DE4552D">
            <w:pPr>
              <w:jc w:val="center"/>
              <w:rPr>
                <w:color w:val="auto"/>
                <w:kern w:val="0"/>
                <w:sz w:val="20"/>
                <w:szCs w:val="20"/>
                <w:highlight w:val="none"/>
                <w:u w:val="none"/>
              </w:rPr>
            </w:pPr>
            <w:r>
              <w:rPr>
                <w:rFonts w:hint="eastAsia"/>
                <w:color w:val="auto"/>
                <w:sz w:val="21"/>
                <w:szCs w:val="21"/>
                <w:highlight w:val="none"/>
                <w:u w:val="none"/>
                <w:lang w:val="en-US" w:eastAsia="zh-CN"/>
              </w:rPr>
              <w:t>0</w:t>
            </w:r>
          </w:p>
        </w:tc>
        <w:tc>
          <w:tcPr>
            <w:tcW w:w="1761" w:type="dxa"/>
            <w:vAlign w:val="center"/>
          </w:tcPr>
          <w:p w14:paraId="61385DB0">
            <w:pPr>
              <w:jc w:val="center"/>
              <w:rPr>
                <w:color w:val="auto"/>
                <w:kern w:val="0"/>
                <w:highlight w:val="none"/>
                <w:u w:val="none"/>
              </w:rPr>
            </w:pPr>
            <w:r>
              <w:rPr>
                <w:color w:val="auto"/>
                <w:kern w:val="0"/>
                <w:highlight w:val="none"/>
                <w:u w:val="none"/>
              </w:rPr>
              <w:t>/</w:t>
            </w:r>
          </w:p>
        </w:tc>
        <w:tc>
          <w:tcPr>
            <w:tcW w:w="1492" w:type="dxa"/>
            <w:shd w:val="clear" w:color="auto" w:fill="auto"/>
            <w:vAlign w:val="center"/>
          </w:tcPr>
          <w:p w14:paraId="7A0BCDF7">
            <w:pPr>
              <w:jc w:val="center"/>
              <w:rPr>
                <w:rFonts w:ascii="Times New Roman" w:hAnsi="Times New Roman" w:eastAsia="宋体" w:cs="Times New Roman"/>
                <w:color w:val="auto"/>
                <w:kern w:val="0"/>
                <w:sz w:val="20"/>
                <w:szCs w:val="20"/>
                <w:highlight w:val="none"/>
                <w:u w:val="none"/>
                <w:lang w:val="en-US" w:eastAsia="zh-CN" w:bidi="ar-SA"/>
              </w:rPr>
            </w:pPr>
            <w:r>
              <w:rPr>
                <w:rFonts w:hint="eastAsia"/>
                <w:color w:val="auto"/>
                <w:sz w:val="21"/>
                <w:szCs w:val="21"/>
                <w:highlight w:val="none"/>
                <w:u w:val="none"/>
                <w:lang w:val="en-US" w:eastAsia="zh-CN"/>
              </w:rPr>
              <w:t>0.351</w:t>
            </w:r>
            <w:r>
              <w:rPr>
                <w:rFonts w:hint="eastAsia"/>
                <w:color w:val="auto"/>
                <w:highlight w:val="none"/>
                <w:u w:val="none"/>
              </w:rPr>
              <w:t>t/a</w:t>
            </w:r>
          </w:p>
        </w:tc>
        <w:tc>
          <w:tcPr>
            <w:tcW w:w="1293" w:type="dxa"/>
            <w:shd w:val="clear" w:color="auto" w:fill="auto"/>
            <w:vAlign w:val="center"/>
          </w:tcPr>
          <w:p w14:paraId="3BE0D683">
            <w:pPr>
              <w:jc w:val="center"/>
              <w:rPr>
                <w:rFonts w:ascii="Times New Roman" w:hAnsi="Times New Roman" w:eastAsia="宋体" w:cs="Times New Roman"/>
                <w:color w:val="auto"/>
                <w:kern w:val="0"/>
                <w:sz w:val="20"/>
                <w:szCs w:val="20"/>
                <w:highlight w:val="none"/>
                <w:u w:val="none"/>
                <w:lang w:val="en-US" w:eastAsia="zh-CN" w:bidi="ar-SA"/>
              </w:rPr>
            </w:pPr>
            <w:r>
              <w:rPr>
                <w:rFonts w:hint="eastAsia"/>
                <w:color w:val="auto"/>
                <w:sz w:val="21"/>
                <w:szCs w:val="21"/>
                <w:highlight w:val="none"/>
                <w:u w:val="none"/>
                <w:lang w:val="en-US" w:eastAsia="zh-CN"/>
              </w:rPr>
              <w:t>0</w:t>
            </w:r>
          </w:p>
        </w:tc>
      </w:tr>
      <w:tr w14:paraId="50D065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73DFB117">
            <w:pPr>
              <w:jc w:val="center"/>
              <w:rPr>
                <w:color w:val="auto"/>
                <w:kern w:val="0"/>
                <w:sz w:val="18"/>
                <w:szCs w:val="18"/>
                <w:highlight w:val="none"/>
                <w:u w:val="none"/>
              </w:rPr>
            </w:pPr>
          </w:p>
        </w:tc>
        <w:tc>
          <w:tcPr>
            <w:tcW w:w="1417" w:type="dxa"/>
            <w:shd w:val="clear" w:color="auto" w:fill="auto"/>
            <w:vAlign w:val="center"/>
          </w:tcPr>
          <w:p w14:paraId="76072CF8">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eastAsia="宋体"/>
                <w:color w:val="auto"/>
                <w:sz w:val="21"/>
                <w:szCs w:val="21"/>
                <w:highlight w:val="none"/>
                <w:u w:val="none"/>
              </w:rPr>
              <w:t>生活垃圾</w:t>
            </w:r>
          </w:p>
        </w:tc>
        <w:tc>
          <w:tcPr>
            <w:tcW w:w="1701" w:type="dxa"/>
            <w:vAlign w:val="center"/>
          </w:tcPr>
          <w:p w14:paraId="64D63B45">
            <w:pPr>
              <w:jc w:val="center"/>
              <w:rPr>
                <w:rFonts w:hint="default" w:eastAsia="宋体"/>
                <w:color w:val="auto"/>
                <w:kern w:val="0"/>
                <w:highlight w:val="none"/>
                <w:u w:val="none"/>
                <w:lang w:val="en-US" w:eastAsia="zh-CN"/>
              </w:rPr>
            </w:pPr>
            <w:r>
              <w:rPr>
                <w:color w:val="auto"/>
                <w:kern w:val="0"/>
                <w:highlight w:val="none"/>
                <w:u w:val="none"/>
              </w:rPr>
              <w:t>/</w:t>
            </w:r>
          </w:p>
        </w:tc>
        <w:tc>
          <w:tcPr>
            <w:tcW w:w="1276" w:type="dxa"/>
            <w:vAlign w:val="center"/>
          </w:tcPr>
          <w:p w14:paraId="53E33A32">
            <w:pPr>
              <w:jc w:val="center"/>
              <w:rPr>
                <w:rFonts w:hint="eastAsia"/>
                <w:color w:val="auto"/>
                <w:kern w:val="0"/>
                <w:highlight w:val="none"/>
                <w:u w:val="none"/>
              </w:rPr>
            </w:pPr>
            <w:r>
              <w:rPr>
                <w:color w:val="auto"/>
                <w:kern w:val="0"/>
                <w:highlight w:val="none"/>
                <w:u w:val="none"/>
              </w:rPr>
              <w:t>/</w:t>
            </w:r>
          </w:p>
        </w:tc>
        <w:tc>
          <w:tcPr>
            <w:tcW w:w="1701" w:type="dxa"/>
            <w:vAlign w:val="center"/>
          </w:tcPr>
          <w:p w14:paraId="4F34DF68">
            <w:pPr>
              <w:jc w:val="center"/>
              <w:rPr>
                <w:rFonts w:hint="eastAsia"/>
                <w:color w:val="auto"/>
                <w:kern w:val="0"/>
                <w:highlight w:val="none"/>
                <w:u w:val="none"/>
              </w:rPr>
            </w:pPr>
            <w:r>
              <w:rPr>
                <w:rFonts w:hint="eastAsia"/>
                <w:color w:val="auto"/>
                <w:kern w:val="0"/>
                <w:highlight w:val="none"/>
                <w:u w:val="none"/>
                <w:lang w:val="en-US" w:eastAsia="zh-CN"/>
              </w:rPr>
              <w:t>25.92</w:t>
            </w:r>
            <w:r>
              <w:rPr>
                <w:rFonts w:hint="eastAsia"/>
                <w:color w:val="auto"/>
                <w:highlight w:val="none"/>
                <w:u w:val="none"/>
              </w:rPr>
              <w:t>t/a</w:t>
            </w:r>
          </w:p>
        </w:tc>
        <w:tc>
          <w:tcPr>
            <w:tcW w:w="1559" w:type="dxa"/>
            <w:vAlign w:val="center"/>
          </w:tcPr>
          <w:p w14:paraId="6784F947">
            <w:pPr>
              <w:jc w:val="center"/>
              <w:rPr>
                <w:rFonts w:hint="eastAsia"/>
                <w:color w:val="auto"/>
                <w:highlight w:val="none"/>
                <w:u w:val="none"/>
              </w:rPr>
            </w:pPr>
            <w:r>
              <w:rPr>
                <w:rFonts w:hint="eastAsia"/>
                <w:color w:val="auto"/>
                <w:sz w:val="21"/>
                <w:szCs w:val="21"/>
                <w:highlight w:val="none"/>
                <w:u w:val="none"/>
                <w:lang w:val="en-US" w:eastAsia="zh-CN"/>
              </w:rPr>
              <w:t>15</w:t>
            </w:r>
            <w:r>
              <w:rPr>
                <w:rFonts w:hint="eastAsia"/>
                <w:color w:val="auto"/>
                <w:highlight w:val="none"/>
                <w:u w:val="none"/>
              </w:rPr>
              <w:t>t/a</w:t>
            </w:r>
          </w:p>
        </w:tc>
        <w:tc>
          <w:tcPr>
            <w:tcW w:w="1761" w:type="dxa"/>
            <w:vAlign w:val="center"/>
          </w:tcPr>
          <w:p w14:paraId="00E86A99">
            <w:pPr>
              <w:jc w:val="center"/>
              <w:rPr>
                <w:rFonts w:hint="eastAsia"/>
                <w:color w:val="auto"/>
                <w:kern w:val="0"/>
                <w:highlight w:val="none"/>
                <w:u w:val="none"/>
              </w:rPr>
            </w:pPr>
            <w:r>
              <w:rPr>
                <w:rFonts w:hint="eastAsia"/>
                <w:color w:val="auto"/>
                <w:sz w:val="21"/>
                <w:szCs w:val="21"/>
                <w:highlight w:val="none"/>
                <w:u w:val="none"/>
                <w:lang w:val="en-US" w:eastAsia="zh-CN"/>
              </w:rPr>
              <w:t>10.92</w:t>
            </w:r>
            <w:r>
              <w:rPr>
                <w:rFonts w:hint="eastAsia"/>
                <w:color w:val="auto"/>
                <w:highlight w:val="none"/>
                <w:u w:val="none"/>
              </w:rPr>
              <w:t>t/a</w:t>
            </w:r>
          </w:p>
        </w:tc>
        <w:tc>
          <w:tcPr>
            <w:tcW w:w="1492" w:type="dxa"/>
            <w:shd w:val="clear" w:color="auto" w:fill="auto"/>
            <w:vAlign w:val="center"/>
          </w:tcPr>
          <w:p w14:paraId="5AA359C1">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lang w:val="en-US" w:eastAsia="zh-CN"/>
              </w:rPr>
              <w:t>15</w:t>
            </w:r>
            <w:r>
              <w:rPr>
                <w:rFonts w:hint="eastAsia"/>
                <w:color w:val="auto"/>
                <w:highlight w:val="none"/>
                <w:u w:val="none"/>
              </w:rPr>
              <w:t>t/a</w:t>
            </w:r>
          </w:p>
        </w:tc>
        <w:tc>
          <w:tcPr>
            <w:tcW w:w="1293" w:type="dxa"/>
            <w:shd w:val="clear" w:color="auto" w:fill="auto"/>
            <w:vAlign w:val="center"/>
          </w:tcPr>
          <w:p w14:paraId="606CB667">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lang w:val="en-US" w:eastAsia="zh-CN"/>
              </w:rPr>
              <w:t>-10.92</w:t>
            </w:r>
            <w:r>
              <w:rPr>
                <w:rFonts w:hint="eastAsia"/>
                <w:color w:val="auto"/>
                <w:highlight w:val="none"/>
                <w:u w:val="none"/>
              </w:rPr>
              <w:t>t/a</w:t>
            </w:r>
          </w:p>
        </w:tc>
      </w:tr>
      <w:tr w14:paraId="6146B9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vAlign w:val="center"/>
          </w:tcPr>
          <w:p w14:paraId="1628242C">
            <w:pPr>
              <w:jc w:val="center"/>
              <w:rPr>
                <w:color w:val="auto"/>
                <w:kern w:val="0"/>
                <w:sz w:val="18"/>
                <w:szCs w:val="18"/>
                <w:highlight w:val="none"/>
                <w:u w:val="none"/>
              </w:rPr>
            </w:pPr>
            <w:r>
              <w:rPr>
                <w:rFonts w:hint="eastAsia"/>
                <w:color w:val="auto"/>
                <w:kern w:val="0"/>
                <w:sz w:val="18"/>
                <w:szCs w:val="18"/>
                <w:highlight w:val="none"/>
                <w:u w:val="none"/>
              </w:rPr>
              <w:t>危险废物</w:t>
            </w:r>
          </w:p>
        </w:tc>
        <w:tc>
          <w:tcPr>
            <w:tcW w:w="1417" w:type="dxa"/>
            <w:vAlign w:val="center"/>
          </w:tcPr>
          <w:p w14:paraId="73011406">
            <w:pPr>
              <w:jc w:val="center"/>
              <w:rPr>
                <w:color w:val="auto"/>
                <w:kern w:val="0"/>
                <w:highlight w:val="none"/>
                <w:u w:val="none"/>
              </w:rPr>
            </w:pPr>
            <w:r>
              <w:rPr>
                <w:rFonts w:hint="default" w:eastAsia="宋体"/>
                <w:color w:val="auto"/>
                <w:sz w:val="21"/>
                <w:szCs w:val="21"/>
                <w:highlight w:val="none"/>
                <w:u w:val="none"/>
                <w:lang w:val="en-US" w:eastAsia="zh-CN"/>
              </w:rPr>
              <w:t>废化学品包装</w:t>
            </w:r>
          </w:p>
        </w:tc>
        <w:tc>
          <w:tcPr>
            <w:tcW w:w="1701" w:type="dxa"/>
            <w:vAlign w:val="center"/>
          </w:tcPr>
          <w:p w14:paraId="57B90BF6">
            <w:pPr>
              <w:jc w:val="center"/>
              <w:rPr>
                <w:color w:val="auto"/>
                <w:kern w:val="0"/>
                <w:highlight w:val="none"/>
                <w:u w:val="none"/>
              </w:rPr>
            </w:pPr>
            <w:r>
              <w:rPr>
                <w:color w:val="auto"/>
                <w:kern w:val="0"/>
                <w:highlight w:val="none"/>
                <w:u w:val="none"/>
              </w:rPr>
              <w:t>/</w:t>
            </w:r>
          </w:p>
        </w:tc>
        <w:tc>
          <w:tcPr>
            <w:tcW w:w="1276" w:type="dxa"/>
            <w:vAlign w:val="center"/>
          </w:tcPr>
          <w:p w14:paraId="14CF0348">
            <w:pPr>
              <w:jc w:val="center"/>
              <w:rPr>
                <w:color w:val="auto"/>
                <w:kern w:val="0"/>
                <w:highlight w:val="none"/>
                <w:u w:val="none"/>
              </w:rPr>
            </w:pPr>
            <w:r>
              <w:rPr>
                <w:rFonts w:hint="eastAsia"/>
                <w:color w:val="auto"/>
                <w:kern w:val="0"/>
                <w:highlight w:val="none"/>
                <w:u w:val="none"/>
              </w:rPr>
              <w:t>/</w:t>
            </w:r>
          </w:p>
        </w:tc>
        <w:tc>
          <w:tcPr>
            <w:tcW w:w="1701" w:type="dxa"/>
            <w:vAlign w:val="center"/>
          </w:tcPr>
          <w:p w14:paraId="2DE0D35E">
            <w:pPr>
              <w:jc w:val="center"/>
              <w:rPr>
                <w:color w:val="auto"/>
                <w:kern w:val="0"/>
                <w:highlight w:val="none"/>
                <w:u w:val="none"/>
              </w:rPr>
            </w:pPr>
            <w:r>
              <w:rPr>
                <w:rFonts w:ascii="Times New Roman" w:hAnsi="Times New Roman" w:eastAsia="宋体" w:cs="Times New Roman"/>
                <w:sz w:val="21"/>
                <w:szCs w:val="21"/>
                <w:highlight w:val="none"/>
              </w:rPr>
              <w:t>0.</w:t>
            </w:r>
            <w:r>
              <w:rPr>
                <w:rFonts w:hint="eastAsia" w:ascii="Times New Roman" w:hAnsi="Times New Roman" w:eastAsia="宋体" w:cs="Times New Roman"/>
                <w:sz w:val="21"/>
                <w:szCs w:val="21"/>
                <w:highlight w:val="none"/>
                <w:lang w:val="en-US" w:eastAsia="zh-CN"/>
              </w:rPr>
              <w:t>284</w:t>
            </w:r>
            <w:r>
              <w:rPr>
                <w:rFonts w:hint="eastAsia" w:ascii="Times New Roman" w:hAnsi="Times New Roman" w:eastAsia="宋体" w:cs="Times New Roman"/>
                <w:sz w:val="21"/>
                <w:szCs w:val="21"/>
                <w:highlight w:val="none"/>
              </w:rPr>
              <w:t>t/a</w:t>
            </w:r>
          </w:p>
        </w:tc>
        <w:tc>
          <w:tcPr>
            <w:tcW w:w="1559" w:type="dxa"/>
            <w:vAlign w:val="center"/>
          </w:tcPr>
          <w:p w14:paraId="474179DE">
            <w:pPr>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0.004</w:t>
            </w:r>
            <w:r>
              <w:rPr>
                <w:rFonts w:hint="eastAsia"/>
                <w:color w:val="auto"/>
                <w:highlight w:val="none"/>
                <w:u w:val="none"/>
              </w:rPr>
              <w:t>t/a</w:t>
            </w:r>
          </w:p>
        </w:tc>
        <w:tc>
          <w:tcPr>
            <w:tcW w:w="1761" w:type="dxa"/>
            <w:vAlign w:val="center"/>
          </w:tcPr>
          <w:p w14:paraId="432D5BA2">
            <w:pPr>
              <w:jc w:val="center"/>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w:t>
            </w:r>
          </w:p>
        </w:tc>
        <w:tc>
          <w:tcPr>
            <w:tcW w:w="1492" w:type="dxa"/>
            <w:shd w:val="clear" w:color="auto" w:fill="auto"/>
            <w:vAlign w:val="center"/>
          </w:tcPr>
          <w:p w14:paraId="19B9D404">
            <w:pPr>
              <w:jc w:val="center"/>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sz w:val="21"/>
                <w:szCs w:val="21"/>
                <w:highlight w:val="none"/>
              </w:rPr>
              <w:t>0.</w:t>
            </w:r>
            <w:r>
              <w:rPr>
                <w:rFonts w:hint="eastAsia" w:cs="Times New Roman"/>
                <w:sz w:val="21"/>
                <w:szCs w:val="21"/>
                <w:highlight w:val="none"/>
                <w:lang w:val="en-US" w:eastAsia="zh-CN"/>
              </w:rPr>
              <w:t>288</w:t>
            </w:r>
            <w:r>
              <w:rPr>
                <w:rFonts w:hint="eastAsia" w:ascii="Times New Roman" w:hAnsi="Times New Roman" w:eastAsia="宋体" w:cs="Times New Roman"/>
                <w:sz w:val="21"/>
                <w:szCs w:val="21"/>
                <w:highlight w:val="none"/>
              </w:rPr>
              <w:t>t/a</w:t>
            </w:r>
          </w:p>
        </w:tc>
        <w:tc>
          <w:tcPr>
            <w:tcW w:w="1293" w:type="dxa"/>
            <w:shd w:val="clear" w:color="auto" w:fill="auto"/>
            <w:vAlign w:val="center"/>
          </w:tcPr>
          <w:p w14:paraId="04BE8818">
            <w:pPr>
              <w:jc w:val="center"/>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w:t>
            </w:r>
            <w:r>
              <w:rPr>
                <w:rFonts w:ascii="Times New Roman" w:hAnsi="Times New Roman" w:eastAsia="宋体" w:cs="Times New Roman"/>
                <w:sz w:val="21"/>
                <w:szCs w:val="21"/>
                <w:highlight w:val="none"/>
              </w:rPr>
              <w:t>0.</w:t>
            </w:r>
            <w:r>
              <w:rPr>
                <w:rFonts w:hint="eastAsia" w:cs="Times New Roman"/>
                <w:sz w:val="21"/>
                <w:szCs w:val="21"/>
                <w:highlight w:val="none"/>
                <w:lang w:val="en-US" w:eastAsia="zh-CN"/>
              </w:rPr>
              <w:t>00</w:t>
            </w:r>
            <w:r>
              <w:rPr>
                <w:rFonts w:hint="eastAsia" w:ascii="Times New Roman" w:hAnsi="Times New Roman" w:eastAsia="宋体" w:cs="Times New Roman"/>
                <w:sz w:val="21"/>
                <w:szCs w:val="21"/>
                <w:highlight w:val="none"/>
                <w:lang w:val="en-US" w:eastAsia="zh-CN"/>
              </w:rPr>
              <w:t>4</w:t>
            </w:r>
            <w:r>
              <w:rPr>
                <w:rFonts w:hint="eastAsia" w:ascii="Times New Roman" w:hAnsi="Times New Roman" w:eastAsia="宋体" w:cs="Times New Roman"/>
                <w:sz w:val="21"/>
                <w:szCs w:val="21"/>
                <w:highlight w:val="none"/>
              </w:rPr>
              <w:t>t/a</w:t>
            </w:r>
          </w:p>
        </w:tc>
      </w:tr>
      <w:tr w14:paraId="64898B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1EA40AF1">
            <w:pPr>
              <w:jc w:val="center"/>
              <w:rPr>
                <w:color w:val="auto"/>
                <w:kern w:val="0"/>
                <w:sz w:val="18"/>
                <w:szCs w:val="18"/>
                <w:highlight w:val="none"/>
                <w:u w:val="none"/>
              </w:rPr>
            </w:pPr>
            <w:bookmarkStart w:id="10" w:name="_Toc22696_WPSOffice_Level1"/>
          </w:p>
        </w:tc>
        <w:tc>
          <w:tcPr>
            <w:tcW w:w="1417" w:type="dxa"/>
            <w:vAlign w:val="center"/>
          </w:tcPr>
          <w:p w14:paraId="43541F3B">
            <w:pPr>
              <w:jc w:val="center"/>
              <w:rPr>
                <w:color w:val="auto"/>
                <w:highlight w:val="none"/>
                <w:u w:val="none"/>
              </w:rPr>
            </w:pPr>
            <w:r>
              <w:rPr>
                <w:rFonts w:hint="default" w:eastAsia="宋体"/>
                <w:color w:val="auto"/>
                <w:sz w:val="21"/>
                <w:szCs w:val="21"/>
                <w:highlight w:val="none"/>
                <w:u w:val="none"/>
                <w:lang w:val="en-US" w:eastAsia="zh-CN"/>
              </w:rPr>
              <w:t>废</w:t>
            </w:r>
            <w:r>
              <w:rPr>
                <w:rFonts w:hint="eastAsia" w:eastAsia="宋体"/>
                <w:color w:val="auto"/>
                <w:sz w:val="21"/>
                <w:szCs w:val="21"/>
                <w:highlight w:val="none"/>
                <w:u w:val="none"/>
                <w:lang w:val="en-US" w:eastAsia="zh-CN"/>
              </w:rPr>
              <w:t>液压</w:t>
            </w:r>
            <w:r>
              <w:rPr>
                <w:rFonts w:hint="default" w:eastAsia="宋体"/>
                <w:color w:val="auto"/>
                <w:sz w:val="21"/>
                <w:szCs w:val="21"/>
                <w:highlight w:val="none"/>
                <w:u w:val="none"/>
                <w:lang w:val="en-US" w:eastAsia="zh-CN"/>
              </w:rPr>
              <w:t>油</w:t>
            </w:r>
          </w:p>
        </w:tc>
        <w:tc>
          <w:tcPr>
            <w:tcW w:w="1701" w:type="dxa"/>
            <w:vAlign w:val="center"/>
          </w:tcPr>
          <w:p w14:paraId="3031AD6B">
            <w:pPr>
              <w:jc w:val="center"/>
              <w:rPr>
                <w:color w:val="auto"/>
                <w:kern w:val="0"/>
                <w:highlight w:val="none"/>
                <w:u w:val="none"/>
              </w:rPr>
            </w:pPr>
            <w:r>
              <w:rPr>
                <w:rFonts w:hint="eastAsia"/>
                <w:color w:val="auto"/>
                <w:kern w:val="0"/>
                <w:highlight w:val="none"/>
                <w:u w:val="none"/>
              </w:rPr>
              <w:t>/</w:t>
            </w:r>
          </w:p>
        </w:tc>
        <w:tc>
          <w:tcPr>
            <w:tcW w:w="1276" w:type="dxa"/>
            <w:vAlign w:val="center"/>
          </w:tcPr>
          <w:p w14:paraId="55162315">
            <w:pPr>
              <w:jc w:val="center"/>
              <w:rPr>
                <w:color w:val="auto"/>
                <w:kern w:val="0"/>
                <w:highlight w:val="none"/>
                <w:u w:val="none"/>
              </w:rPr>
            </w:pPr>
            <w:r>
              <w:rPr>
                <w:rFonts w:hint="eastAsia"/>
                <w:color w:val="auto"/>
                <w:kern w:val="0"/>
                <w:highlight w:val="none"/>
                <w:u w:val="none"/>
              </w:rPr>
              <w:t>/</w:t>
            </w:r>
          </w:p>
        </w:tc>
        <w:tc>
          <w:tcPr>
            <w:tcW w:w="1701" w:type="dxa"/>
            <w:vAlign w:val="center"/>
          </w:tcPr>
          <w:p w14:paraId="3104D869">
            <w:pPr>
              <w:jc w:val="center"/>
              <w:rPr>
                <w:rFonts w:hint="default" w:eastAsia="宋体"/>
                <w:color w:val="auto"/>
                <w:kern w:val="0"/>
                <w:highlight w:val="none"/>
                <w:u w:val="none"/>
                <w:lang w:val="en-US" w:eastAsia="zh-CN"/>
              </w:rPr>
            </w:pPr>
            <w:r>
              <w:rPr>
                <w:rFonts w:hint="eastAsia"/>
                <w:color w:val="auto"/>
                <w:kern w:val="0"/>
                <w:highlight w:val="none"/>
                <w:u w:val="none"/>
                <w:lang w:val="en-US" w:eastAsia="zh-CN"/>
              </w:rPr>
              <w:t>0.01</w:t>
            </w:r>
            <w:r>
              <w:rPr>
                <w:rFonts w:hint="eastAsia"/>
                <w:color w:val="auto"/>
                <w:highlight w:val="none"/>
                <w:u w:val="none"/>
              </w:rPr>
              <w:t>t/a</w:t>
            </w:r>
          </w:p>
        </w:tc>
        <w:tc>
          <w:tcPr>
            <w:tcW w:w="1559" w:type="dxa"/>
            <w:vAlign w:val="center"/>
          </w:tcPr>
          <w:p w14:paraId="28F46172">
            <w:pPr>
              <w:jc w:val="center"/>
              <w:rPr>
                <w:color w:val="auto"/>
                <w:highlight w:val="none"/>
                <w:u w:val="none"/>
              </w:rPr>
            </w:pPr>
            <w:r>
              <w:rPr>
                <w:rFonts w:ascii="Times New Roman" w:hAnsi="Times New Roman"/>
                <w:sz w:val="21"/>
                <w:szCs w:val="21"/>
                <w:highlight w:val="none"/>
              </w:rPr>
              <w:t>0.1</w:t>
            </w:r>
            <w:r>
              <w:rPr>
                <w:rFonts w:hint="eastAsia"/>
                <w:color w:val="auto"/>
                <w:highlight w:val="none"/>
                <w:u w:val="none"/>
              </w:rPr>
              <w:t>t/a</w:t>
            </w:r>
          </w:p>
        </w:tc>
        <w:tc>
          <w:tcPr>
            <w:tcW w:w="1761" w:type="dxa"/>
            <w:vAlign w:val="center"/>
          </w:tcPr>
          <w:p w14:paraId="1D6ADCED">
            <w:pPr>
              <w:jc w:val="center"/>
              <w:rPr>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3A175723">
            <w:pPr>
              <w:jc w:val="center"/>
              <w:rPr>
                <w:rFonts w:ascii="Times New Roman" w:hAnsi="Times New Roman" w:eastAsia="宋体" w:cs="Times New Roman"/>
                <w:color w:val="auto"/>
                <w:kern w:val="2"/>
                <w:sz w:val="21"/>
                <w:szCs w:val="21"/>
                <w:highlight w:val="none"/>
                <w:u w:val="none"/>
                <w:lang w:val="en-US" w:eastAsia="zh-CN" w:bidi="ar-SA"/>
              </w:rPr>
            </w:pPr>
            <w:r>
              <w:rPr>
                <w:rFonts w:ascii="Times New Roman" w:hAnsi="Times New Roman"/>
                <w:sz w:val="21"/>
                <w:szCs w:val="21"/>
                <w:highlight w:val="none"/>
              </w:rPr>
              <w:t>0.1</w:t>
            </w:r>
            <w:r>
              <w:rPr>
                <w:rFonts w:hint="eastAsia"/>
                <w:color w:val="auto"/>
                <w:highlight w:val="none"/>
                <w:u w:val="none"/>
              </w:rPr>
              <w:t>t/a</w:t>
            </w:r>
          </w:p>
        </w:tc>
        <w:tc>
          <w:tcPr>
            <w:tcW w:w="1293" w:type="dxa"/>
            <w:shd w:val="clear" w:color="auto" w:fill="auto"/>
            <w:vAlign w:val="center"/>
          </w:tcPr>
          <w:p w14:paraId="1B45D5AA">
            <w:pPr>
              <w:jc w:val="center"/>
              <w:rPr>
                <w:rFonts w:ascii="Times New Roman" w:hAnsi="Times New Roman" w:eastAsia="宋体" w:cs="Times New Roman"/>
                <w:color w:val="auto"/>
                <w:kern w:val="2"/>
                <w:sz w:val="21"/>
                <w:szCs w:val="21"/>
                <w:highlight w:val="none"/>
                <w:u w:val="none"/>
                <w:lang w:val="en-US" w:eastAsia="zh-CN" w:bidi="ar-SA"/>
              </w:rPr>
            </w:pPr>
            <w:r>
              <w:rPr>
                <w:rFonts w:hint="eastAsia" w:ascii="Times New Roman" w:hAnsi="Times New Roman"/>
                <w:sz w:val="21"/>
                <w:szCs w:val="21"/>
                <w:highlight w:val="none"/>
                <w:lang w:val="en-US" w:eastAsia="zh-CN"/>
              </w:rPr>
              <w:t>+</w:t>
            </w:r>
            <w:r>
              <w:rPr>
                <w:rFonts w:ascii="Times New Roman" w:hAnsi="Times New Roman"/>
                <w:sz w:val="21"/>
                <w:szCs w:val="21"/>
                <w:highlight w:val="none"/>
              </w:rPr>
              <w:t>0.0</w:t>
            </w:r>
            <w:r>
              <w:rPr>
                <w:rFonts w:hint="eastAsia"/>
                <w:sz w:val="21"/>
                <w:szCs w:val="21"/>
                <w:highlight w:val="none"/>
                <w:lang w:val="en-US" w:eastAsia="zh-CN"/>
              </w:rPr>
              <w:t>9</w:t>
            </w:r>
            <w:r>
              <w:rPr>
                <w:rFonts w:hint="eastAsia"/>
                <w:color w:val="auto"/>
                <w:highlight w:val="none"/>
                <w:u w:val="none"/>
              </w:rPr>
              <w:t>t/a</w:t>
            </w:r>
          </w:p>
        </w:tc>
      </w:tr>
      <w:tr w14:paraId="4AC790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66785D0A">
            <w:pPr>
              <w:jc w:val="center"/>
              <w:rPr>
                <w:color w:val="auto"/>
                <w:kern w:val="0"/>
                <w:sz w:val="18"/>
                <w:szCs w:val="18"/>
                <w:highlight w:val="none"/>
                <w:u w:val="none"/>
              </w:rPr>
            </w:pPr>
          </w:p>
        </w:tc>
        <w:tc>
          <w:tcPr>
            <w:tcW w:w="1417" w:type="dxa"/>
            <w:vAlign w:val="center"/>
          </w:tcPr>
          <w:p w14:paraId="46B7A522">
            <w:pPr>
              <w:jc w:val="center"/>
              <w:rPr>
                <w:color w:val="auto"/>
                <w:highlight w:val="none"/>
                <w:u w:val="none"/>
              </w:rPr>
            </w:pPr>
            <w:r>
              <w:rPr>
                <w:rFonts w:hint="eastAsia" w:eastAsia="宋体"/>
                <w:color w:val="auto"/>
                <w:sz w:val="21"/>
                <w:szCs w:val="21"/>
                <w:highlight w:val="none"/>
                <w:u w:val="none"/>
                <w:lang w:val="en-US" w:eastAsia="zh-CN"/>
              </w:rPr>
              <w:t>液压油废桶</w:t>
            </w:r>
          </w:p>
        </w:tc>
        <w:tc>
          <w:tcPr>
            <w:tcW w:w="1701" w:type="dxa"/>
            <w:vAlign w:val="center"/>
          </w:tcPr>
          <w:p w14:paraId="70967E0C">
            <w:pPr>
              <w:jc w:val="center"/>
              <w:rPr>
                <w:color w:val="auto"/>
                <w:kern w:val="0"/>
                <w:highlight w:val="none"/>
                <w:u w:val="none"/>
              </w:rPr>
            </w:pPr>
            <w:r>
              <w:rPr>
                <w:rFonts w:hint="eastAsia"/>
                <w:color w:val="auto"/>
                <w:kern w:val="0"/>
                <w:highlight w:val="none"/>
                <w:u w:val="none"/>
              </w:rPr>
              <w:t>/</w:t>
            </w:r>
          </w:p>
        </w:tc>
        <w:tc>
          <w:tcPr>
            <w:tcW w:w="1276" w:type="dxa"/>
            <w:vAlign w:val="center"/>
          </w:tcPr>
          <w:p w14:paraId="7825BC11">
            <w:pPr>
              <w:jc w:val="center"/>
              <w:rPr>
                <w:color w:val="auto"/>
                <w:kern w:val="0"/>
                <w:highlight w:val="none"/>
                <w:u w:val="none"/>
              </w:rPr>
            </w:pPr>
            <w:r>
              <w:rPr>
                <w:rFonts w:hint="eastAsia"/>
                <w:color w:val="auto"/>
                <w:kern w:val="0"/>
                <w:highlight w:val="none"/>
                <w:u w:val="none"/>
              </w:rPr>
              <w:t>/</w:t>
            </w:r>
          </w:p>
        </w:tc>
        <w:tc>
          <w:tcPr>
            <w:tcW w:w="1701" w:type="dxa"/>
            <w:vAlign w:val="center"/>
          </w:tcPr>
          <w:p w14:paraId="2EFDAC7C">
            <w:pPr>
              <w:jc w:val="center"/>
              <w:rPr>
                <w:rFonts w:hint="default" w:eastAsia="宋体"/>
                <w:color w:val="auto"/>
                <w:kern w:val="0"/>
                <w:highlight w:val="none"/>
                <w:u w:val="none"/>
                <w:lang w:val="en-US" w:eastAsia="zh-CN"/>
              </w:rPr>
            </w:pPr>
            <w:r>
              <w:rPr>
                <w:rFonts w:hint="eastAsia"/>
                <w:color w:val="auto"/>
                <w:kern w:val="0"/>
                <w:highlight w:val="none"/>
                <w:u w:val="none"/>
                <w:lang w:val="en-US" w:eastAsia="zh-CN"/>
              </w:rPr>
              <w:t>0.01</w:t>
            </w:r>
            <w:r>
              <w:rPr>
                <w:rFonts w:hint="eastAsia"/>
                <w:color w:val="auto"/>
                <w:highlight w:val="none"/>
                <w:u w:val="none"/>
              </w:rPr>
              <w:t>t/a</w:t>
            </w:r>
          </w:p>
        </w:tc>
        <w:tc>
          <w:tcPr>
            <w:tcW w:w="1559" w:type="dxa"/>
            <w:vAlign w:val="center"/>
          </w:tcPr>
          <w:p w14:paraId="6B05F8E8">
            <w:pPr>
              <w:jc w:val="center"/>
              <w:rPr>
                <w:color w:val="auto"/>
                <w:highlight w:val="none"/>
                <w:u w:val="none"/>
              </w:rPr>
            </w:pPr>
            <w:r>
              <w:rPr>
                <w:rFonts w:ascii="Times New Roman" w:hAnsi="Times New Roman" w:cs="Times New Roman"/>
                <w:sz w:val="21"/>
                <w:szCs w:val="21"/>
                <w:highlight w:val="none"/>
              </w:rPr>
              <w:t>0.01</w:t>
            </w:r>
            <w:r>
              <w:rPr>
                <w:rFonts w:hint="eastAsia"/>
                <w:color w:val="auto"/>
                <w:highlight w:val="none"/>
                <w:u w:val="none"/>
              </w:rPr>
              <w:t>t/a</w:t>
            </w:r>
          </w:p>
        </w:tc>
        <w:tc>
          <w:tcPr>
            <w:tcW w:w="1761" w:type="dxa"/>
            <w:vAlign w:val="center"/>
          </w:tcPr>
          <w:p w14:paraId="48DE7CDF">
            <w:pPr>
              <w:jc w:val="center"/>
              <w:rPr>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1C9222B9">
            <w:pPr>
              <w:jc w:val="center"/>
              <w:rPr>
                <w:rFonts w:ascii="Times New Roman" w:hAnsi="Times New Roman" w:eastAsia="宋体" w:cs="Times New Roman"/>
                <w:color w:val="auto"/>
                <w:kern w:val="2"/>
                <w:sz w:val="21"/>
                <w:szCs w:val="21"/>
                <w:highlight w:val="none"/>
                <w:u w:val="none"/>
                <w:lang w:val="en-US" w:eastAsia="zh-CN" w:bidi="ar-SA"/>
              </w:rPr>
            </w:pPr>
            <w:r>
              <w:rPr>
                <w:rFonts w:ascii="Times New Roman" w:hAnsi="Times New Roman" w:cs="Times New Roman"/>
                <w:sz w:val="21"/>
                <w:szCs w:val="21"/>
                <w:highlight w:val="none"/>
              </w:rPr>
              <w:t>0.0</w:t>
            </w:r>
            <w:r>
              <w:rPr>
                <w:rFonts w:hint="eastAsia" w:cs="Times New Roman"/>
                <w:sz w:val="21"/>
                <w:szCs w:val="21"/>
                <w:highlight w:val="none"/>
                <w:lang w:val="en-US" w:eastAsia="zh-CN"/>
              </w:rPr>
              <w:t>2</w:t>
            </w:r>
            <w:r>
              <w:rPr>
                <w:rFonts w:hint="eastAsia"/>
                <w:color w:val="auto"/>
                <w:highlight w:val="none"/>
                <w:u w:val="none"/>
              </w:rPr>
              <w:t>t/a</w:t>
            </w:r>
          </w:p>
        </w:tc>
        <w:tc>
          <w:tcPr>
            <w:tcW w:w="1293" w:type="dxa"/>
            <w:shd w:val="clear" w:color="auto" w:fill="auto"/>
            <w:vAlign w:val="center"/>
          </w:tcPr>
          <w:p w14:paraId="17410958">
            <w:pPr>
              <w:jc w:val="center"/>
              <w:rPr>
                <w:rFonts w:ascii="Times New Roman" w:hAnsi="Times New Roman" w:eastAsia="宋体" w:cs="Times New Roman"/>
                <w:color w:val="auto"/>
                <w:kern w:val="2"/>
                <w:sz w:val="21"/>
                <w:szCs w:val="21"/>
                <w:highlight w:val="none"/>
                <w:u w:val="none"/>
                <w:lang w:val="en-US" w:eastAsia="zh-CN" w:bidi="ar-SA"/>
              </w:rPr>
            </w:pPr>
            <w:r>
              <w:rPr>
                <w:rFonts w:hint="eastAsia" w:cs="Times New Roman"/>
                <w:sz w:val="21"/>
                <w:szCs w:val="21"/>
                <w:highlight w:val="none"/>
                <w:lang w:val="en-US" w:eastAsia="zh-CN"/>
              </w:rPr>
              <w:t>0</w:t>
            </w:r>
          </w:p>
        </w:tc>
      </w:tr>
      <w:tr w14:paraId="033A13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1D4D4FBD">
            <w:pPr>
              <w:jc w:val="center"/>
              <w:rPr>
                <w:color w:val="auto"/>
                <w:kern w:val="0"/>
                <w:sz w:val="18"/>
                <w:szCs w:val="18"/>
                <w:highlight w:val="none"/>
                <w:u w:val="none"/>
              </w:rPr>
            </w:pPr>
          </w:p>
        </w:tc>
        <w:tc>
          <w:tcPr>
            <w:tcW w:w="1417" w:type="dxa"/>
            <w:vAlign w:val="center"/>
          </w:tcPr>
          <w:p w14:paraId="3A7518DA">
            <w:pPr>
              <w:jc w:val="center"/>
              <w:rPr>
                <w:color w:val="auto"/>
                <w:highlight w:val="none"/>
                <w:u w:val="none"/>
              </w:rPr>
            </w:pPr>
            <w:r>
              <w:rPr>
                <w:rFonts w:hint="default" w:eastAsia="宋体"/>
                <w:color w:val="auto"/>
                <w:sz w:val="21"/>
                <w:szCs w:val="21"/>
                <w:highlight w:val="none"/>
                <w:u w:val="none"/>
                <w:lang w:val="en-US" w:eastAsia="zh-CN"/>
              </w:rPr>
              <w:t>废活性炭</w:t>
            </w:r>
          </w:p>
        </w:tc>
        <w:tc>
          <w:tcPr>
            <w:tcW w:w="1701" w:type="dxa"/>
            <w:vAlign w:val="center"/>
          </w:tcPr>
          <w:p w14:paraId="254B79A0">
            <w:pPr>
              <w:jc w:val="center"/>
              <w:rPr>
                <w:rFonts w:hint="eastAsia"/>
                <w:color w:val="auto"/>
                <w:kern w:val="0"/>
                <w:highlight w:val="none"/>
                <w:u w:val="none"/>
              </w:rPr>
            </w:pPr>
            <w:r>
              <w:rPr>
                <w:rFonts w:hint="eastAsia"/>
                <w:color w:val="auto"/>
                <w:kern w:val="0"/>
                <w:highlight w:val="none"/>
                <w:u w:val="none"/>
              </w:rPr>
              <w:t>/</w:t>
            </w:r>
          </w:p>
        </w:tc>
        <w:tc>
          <w:tcPr>
            <w:tcW w:w="1276" w:type="dxa"/>
            <w:vAlign w:val="center"/>
          </w:tcPr>
          <w:p w14:paraId="6A2E8EAE">
            <w:pPr>
              <w:jc w:val="center"/>
              <w:rPr>
                <w:rFonts w:hint="eastAsia"/>
                <w:color w:val="auto"/>
                <w:kern w:val="0"/>
                <w:highlight w:val="none"/>
                <w:u w:val="none"/>
              </w:rPr>
            </w:pPr>
            <w:r>
              <w:rPr>
                <w:rFonts w:hint="eastAsia"/>
                <w:color w:val="auto"/>
                <w:kern w:val="0"/>
                <w:highlight w:val="none"/>
                <w:u w:val="none"/>
              </w:rPr>
              <w:t>/</w:t>
            </w:r>
          </w:p>
        </w:tc>
        <w:tc>
          <w:tcPr>
            <w:tcW w:w="1701" w:type="dxa"/>
            <w:vAlign w:val="center"/>
          </w:tcPr>
          <w:p w14:paraId="0742D465">
            <w:pPr>
              <w:jc w:val="center"/>
              <w:rPr>
                <w:rFonts w:hint="default" w:eastAsia="宋体"/>
                <w:color w:val="auto"/>
                <w:kern w:val="0"/>
                <w:highlight w:val="none"/>
                <w:u w:val="none"/>
                <w:lang w:val="en-US" w:eastAsia="zh-CN"/>
              </w:rPr>
            </w:pPr>
            <w:r>
              <w:rPr>
                <w:rFonts w:hint="eastAsia"/>
                <w:color w:val="auto"/>
                <w:kern w:val="0"/>
                <w:highlight w:val="none"/>
                <w:u w:val="none"/>
                <w:lang w:val="en-US" w:eastAsia="zh-CN"/>
              </w:rPr>
              <w:t>3.84</w:t>
            </w:r>
            <w:r>
              <w:rPr>
                <w:rFonts w:hint="eastAsia"/>
                <w:color w:val="auto"/>
                <w:highlight w:val="none"/>
                <w:u w:val="none"/>
              </w:rPr>
              <w:t>t/a</w:t>
            </w:r>
          </w:p>
        </w:tc>
        <w:tc>
          <w:tcPr>
            <w:tcW w:w="1559" w:type="dxa"/>
            <w:vAlign w:val="center"/>
          </w:tcPr>
          <w:p w14:paraId="295F0786">
            <w:pPr>
              <w:jc w:val="center"/>
              <w:rPr>
                <w:color w:val="auto"/>
                <w:highlight w:val="none"/>
                <w:u w:val="none"/>
              </w:rPr>
            </w:pPr>
            <w:r>
              <w:rPr>
                <w:rFonts w:hint="eastAsia" w:cs="Times New Roman"/>
                <w:color w:val="auto"/>
                <w:sz w:val="21"/>
                <w:szCs w:val="21"/>
                <w:highlight w:val="none"/>
                <w:lang w:val="en-US" w:eastAsia="zh-CN"/>
              </w:rPr>
              <w:t>4.06</w:t>
            </w:r>
            <w:r>
              <w:rPr>
                <w:rFonts w:hint="eastAsia"/>
                <w:color w:val="auto"/>
                <w:highlight w:val="none"/>
                <w:u w:val="none"/>
              </w:rPr>
              <w:t>t/a</w:t>
            </w:r>
          </w:p>
        </w:tc>
        <w:tc>
          <w:tcPr>
            <w:tcW w:w="1761" w:type="dxa"/>
            <w:vAlign w:val="center"/>
          </w:tcPr>
          <w:p w14:paraId="57C29EC9">
            <w:pPr>
              <w:jc w:val="center"/>
              <w:rPr>
                <w:rFonts w:hint="eastAsia"/>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5FF0EF42">
            <w:pPr>
              <w:jc w:val="center"/>
              <w:rPr>
                <w:rFonts w:ascii="Times New Roman" w:hAnsi="Times New Roman" w:eastAsia="宋体" w:cs="Times New Roman"/>
                <w:color w:val="auto"/>
                <w:kern w:val="2"/>
                <w:sz w:val="21"/>
                <w:szCs w:val="21"/>
                <w:highlight w:val="none"/>
                <w:u w:val="none"/>
                <w:lang w:val="en-US" w:eastAsia="zh-CN" w:bidi="ar-SA"/>
              </w:rPr>
            </w:pPr>
            <w:r>
              <w:rPr>
                <w:rFonts w:hint="eastAsia" w:cs="Times New Roman"/>
                <w:color w:val="auto"/>
                <w:sz w:val="21"/>
                <w:szCs w:val="21"/>
                <w:highlight w:val="none"/>
                <w:lang w:val="en-US" w:eastAsia="zh-CN"/>
              </w:rPr>
              <w:t>4.06</w:t>
            </w:r>
            <w:r>
              <w:rPr>
                <w:rFonts w:hint="eastAsia"/>
                <w:color w:val="auto"/>
                <w:highlight w:val="none"/>
                <w:u w:val="none"/>
              </w:rPr>
              <w:t>t/a</w:t>
            </w:r>
          </w:p>
        </w:tc>
        <w:tc>
          <w:tcPr>
            <w:tcW w:w="1293" w:type="dxa"/>
            <w:shd w:val="clear" w:color="auto" w:fill="auto"/>
            <w:vAlign w:val="center"/>
          </w:tcPr>
          <w:p w14:paraId="28E98B04">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s="Times New Roman"/>
                <w:color w:val="auto"/>
                <w:sz w:val="21"/>
                <w:szCs w:val="21"/>
                <w:highlight w:val="none"/>
                <w:lang w:val="en-US" w:eastAsia="zh-CN"/>
              </w:rPr>
              <w:t>+0.22</w:t>
            </w:r>
            <w:r>
              <w:rPr>
                <w:rFonts w:hint="eastAsia"/>
                <w:color w:val="auto"/>
                <w:highlight w:val="none"/>
                <w:u w:val="none"/>
              </w:rPr>
              <w:t>t/a</w:t>
            </w:r>
          </w:p>
        </w:tc>
      </w:tr>
      <w:tr w14:paraId="5D6B0B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66085C30">
            <w:pPr>
              <w:jc w:val="center"/>
              <w:rPr>
                <w:color w:val="auto"/>
                <w:kern w:val="0"/>
                <w:sz w:val="18"/>
                <w:szCs w:val="18"/>
                <w:highlight w:val="none"/>
                <w:u w:val="none"/>
              </w:rPr>
            </w:pPr>
          </w:p>
        </w:tc>
        <w:tc>
          <w:tcPr>
            <w:tcW w:w="1417" w:type="dxa"/>
            <w:vAlign w:val="center"/>
          </w:tcPr>
          <w:p w14:paraId="00E3ECBC">
            <w:pPr>
              <w:jc w:val="center"/>
              <w:rPr>
                <w:color w:val="auto"/>
                <w:highlight w:val="none"/>
                <w:u w:val="none"/>
              </w:rPr>
            </w:pPr>
            <w:r>
              <w:rPr>
                <w:rFonts w:hint="default" w:eastAsia="宋体"/>
                <w:color w:val="auto"/>
                <w:sz w:val="21"/>
                <w:szCs w:val="21"/>
                <w:highlight w:val="none"/>
                <w:u w:val="none"/>
                <w:lang w:val="en-US" w:eastAsia="zh-CN"/>
              </w:rPr>
              <w:t>废润滑油</w:t>
            </w:r>
          </w:p>
        </w:tc>
        <w:tc>
          <w:tcPr>
            <w:tcW w:w="1701" w:type="dxa"/>
            <w:vAlign w:val="center"/>
          </w:tcPr>
          <w:p w14:paraId="426BDFAD">
            <w:pPr>
              <w:jc w:val="center"/>
              <w:rPr>
                <w:rFonts w:hint="eastAsia"/>
                <w:color w:val="auto"/>
                <w:kern w:val="0"/>
                <w:highlight w:val="none"/>
                <w:u w:val="none"/>
              </w:rPr>
            </w:pPr>
            <w:r>
              <w:rPr>
                <w:rFonts w:hint="eastAsia"/>
                <w:color w:val="auto"/>
                <w:kern w:val="0"/>
                <w:highlight w:val="none"/>
                <w:u w:val="none"/>
              </w:rPr>
              <w:t>/</w:t>
            </w:r>
          </w:p>
        </w:tc>
        <w:tc>
          <w:tcPr>
            <w:tcW w:w="1276" w:type="dxa"/>
            <w:vAlign w:val="center"/>
          </w:tcPr>
          <w:p w14:paraId="4D717E8D">
            <w:pPr>
              <w:jc w:val="center"/>
              <w:rPr>
                <w:rFonts w:hint="eastAsia"/>
                <w:color w:val="auto"/>
                <w:kern w:val="0"/>
                <w:highlight w:val="none"/>
                <w:u w:val="none"/>
              </w:rPr>
            </w:pPr>
            <w:r>
              <w:rPr>
                <w:rFonts w:hint="eastAsia"/>
                <w:color w:val="auto"/>
                <w:kern w:val="0"/>
                <w:highlight w:val="none"/>
                <w:u w:val="none"/>
              </w:rPr>
              <w:t>/</w:t>
            </w:r>
          </w:p>
        </w:tc>
        <w:tc>
          <w:tcPr>
            <w:tcW w:w="1701" w:type="dxa"/>
            <w:vAlign w:val="center"/>
          </w:tcPr>
          <w:p w14:paraId="7A946B3E">
            <w:pPr>
              <w:jc w:val="center"/>
              <w:rPr>
                <w:rFonts w:hint="default" w:eastAsia="宋体"/>
                <w:color w:val="auto"/>
                <w:kern w:val="0"/>
                <w:highlight w:val="none"/>
                <w:u w:val="none"/>
                <w:lang w:val="en-US" w:eastAsia="zh-CN"/>
              </w:rPr>
            </w:pPr>
            <w:r>
              <w:rPr>
                <w:rFonts w:hint="eastAsia"/>
                <w:color w:val="auto"/>
                <w:kern w:val="0"/>
                <w:highlight w:val="none"/>
                <w:u w:val="none"/>
                <w:lang w:val="en-US" w:eastAsia="zh-CN"/>
              </w:rPr>
              <w:t>0.03</w:t>
            </w:r>
            <w:r>
              <w:rPr>
                <w:rFonts w:hint="eastAsia"/>
                <w:color w:val="auto"/>
                <w:highlight w:val="none"/>
                <w:u w:val="none"/>
              </w:rPr>
              <w:t>t/a</w:t>
            </w:r>
          </w:p>
        </w:tc>
        <w:tc>
          <w:tcPr>
            <w:tcW w:w="1559" w:type="dxa"/>
            <w:vAlign w:val="center"/>
          </w:tcPr>
          <w:p w14:paraId="37D886E2">
            <w:pPr>
              <w:jc w:val="center"/>
              <w:rPr>
                <w:color w:val="auto"/>
                <w:highlight w:val="none"/>
                <w:u w:val="none"/>
              </w:rPr>
            </w:pPr>
            <w:r>
              <w:rPr>
                <w:rFonts w:hint="eastAsia"/>
                <w:color w:val="auto"/>
                <w:sz w:val="21"/>
                <w:szCs w:val="21"/>
                <w:highlight w:val="none"/>
                <w:u w:val="none" w:color="auto"/>
                <w:lang w:val="en-US" w:eastAsia="zh-CN"/>
              </w:rPr>
              <w:t>0.05</w:t>
            </w:r>
            <w:r>
              <w:rPr>
                <w:rFonts w:hint="eastAsia"/>
                <w:color w:val="auto"/>
                <w:highlight w:val="none"/>
                <w:u w:val="none"/>
              </w:rPr>
              <w:t>t/a</w:t>
            </w:r>
          </w:p>
        </w:tc>
        <w:tc>
          <w:tcPr>
            <w:tcW w:w="1761" w:type="dxa"/>
            <w:vAlign w:val="center"/>
          </w:tcPr>
          <w:p w14:paraId="04EE84D0">
            <w:pPr>
              <w:jc w:val="center"/>
              <w:rPr>
                <w:rFonts w:hint="eastAsia"/>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77ECB5FD">
            <w:pPr>
              <w:jc w:val="center"/>
              <w:rPr>
                <w:rFonts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color="auto"/>
                <w:lang w:val="en-US" w:eastAsia="zh-CN"/>
              </w:rPr>
              <w:t>0.05</w:t>
            </w:r>
            <w:r>
              <w:rPr>
                <w:rFonts w:hint="eastAsia"/>
                <w:color w:val="auto"/>
                <w:highlight w:val="none"/>
                <w:u w:val="none"/>
              </w:rPr>
              <w:t>t/a</w:t>
            </w:r>
          </w:p>
        </w:tc>
        <w:tc>
          <w:tcPr>
            <w:tcW w:w="1293" w:type="dxa"/>
            <w:shd w:val="clear" w:color="auto" w:fill="auto"/>
            <w:vAlign w:val="center"/>
          </w:tcPr>
          <w:p w14:paraId="6F57A0BE">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color="auto"/>
                <w:lang w:val="en-US" w:eastAsia="zh-CN"/>
              </w:rPr>
              <w:t>+0.02</w:t>
            </w:r>
            <w:r>
              <w:rPr>
                <w:rFonts w:hint="eastAsia"/>
                <w:color w:val="auto"/>
                <w:highlight w:val="none"/>
                <w:u w:val="none"/>
              </w:rPr>
              <w:t>t/a</w:t>
            </w:r>
          </w:p>
        </w:tc>
      </w:tr>
      <w:tr w14:paraId="230EB0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351A423E">
            <w:pPr>
              <w:jc w:val="center"/>
              <w:rPr>
                <w:color w:val="auto"/>
                <w:kern w:val="0"/>
                <w:sz w:val="18"/>
                <w:szCs w:val="18"/>
                <w:highlight w:val="none"/>
                <w:u w:val="none"/>
              </w:rPr>
            </w:pPr>
          </w:p>
        </w:tc>
        <w:tc>
          <w:tcPr>
            <w:tcW w:w="1417" w:type="dxa"/>
            <w:vAlign w:val="center"/>
          </w:tcPr>
          <w:p w14:paraId="0589FE3E">
            <w:pPr>
              <w:jc w:val="center"/>
              <w:rPr>
                <w:color w:val="auto"/>
                <w:highlight w:val="none"/>
                <w:u w:val="none"/>
              </w:rPr>
            </w:pPr>
            <w:r>
              <w:rPr>
                <w:rFonts w:hint="default" w:eastAsia="宋体"/>
                <w:color w:val="auto"/>
                <w:sz w:val="21"/>
                <w:szCs w:val="21"/>
                <w:highlight w:val="none"/>
                <w:u w:val="none"/>
                <w:lang w:val="en-US" w:eastAsia="zh-CN"/>
              </w:rPr>
              <w:t>机修废机油</w:t>
            </w:r>
          </w:p>
        </w:tc>
        <w:tc>
          <w:tcPr>
            <w:tcW w:w="1701" w:type="dxa"/>
            <w:vAlign w:val="center"/>
          </w:tcPr>
          <w:p w14:paraId="4681B9E9">
            <w:pPr>
              <w:jc w:val="center"/>
              <w:rPr>
                <w:rFonts w:hint="eastAsia"/>
                <w:color w:val="auto"/>
                <w:kern w:val="0"/>
                <w:highlight w:val="none"/>
                <w:u w:val="none"/>
              </w:rPr>
            </w:pPr>
            <w:r>
              <w:rPr>
                <w:rFonts w:hint="eastAsia"/>
                <w:color w:val="auto"/>
                <w:kern w:val="0"/>
                <w:highlight w:val="none"/>
                <w:u w:val="none"/>
              </w:rPr>
              <w:t>/</w:t>
            </w:r>
          </w:p>
        </w:tc>
        <w:tc>
          <w:tcPr>
            <w:tcW w:w="1276" w:type="dxa"/>
            <w:vAlign w:val="center"/>
          </w:tcPr>
          <w:p w14:paraId="12F315BE">
            <w:pPr>
              <w:jc w:val="center"/>
              <w:rPr>
                <w:rFonts w:hint="eastAsia"/>
                <w:color w:val="auto"/>
                <w:kern w:val="0"/>
                <w:highlight w:val="none"/>
                <w:u w:val="none"/>
              </w:rPr>
            </w:pPr>
            <w:r>
              <w:rPr>
                <w:rFonts w:hint="eastAsia"/>
                <w:color w:val="auto"/>
                <w:kern w:val="0"/>
                <w:highlight w:val="none"/>
                <w:u w:val="none"/>
              </w:rPr>
              <w:t>/</w:t>
            </w:r>
          </w:p>
        </w:tc>
        <w:tc>
          <w:tcPr>
            <w:tcW w:w="1701" w:type="dxa"/>
            <w:vAlign w:val="center"/>
          </w:tcPr>
          <w:p w14:paraId="5DA2A959">
            <w:pPr>
              <w:jc w:val="center"/>
              <w:rPr>
                <w:rFonts w:hint="default" w:eastAsia="宋体"/>
                <w:color w:val="auto"/>
                <w:kern w:val="0"/>
                <w:highlight w:val="none"/>
                <w:u w:val="none"/>
                <w:lang w:val="en-US" w:eastAsia="zh-CN"/>
              </w:rPr>
            </w:pPr>
            <w:r>
              <w:rPr>
                <w:rFonts w:hint="eastAsia"/>
                <w:color w:val="auto"/>
                <w:kern w:val="0"/>
                <w:highlight w:val="none"/>
                <w:u w:val="none"/>
                <w:lang w:val="en-US" w:eastAsia="zh-CN"/>
              </w:rPr>
              <w:t>0.01</w:t>
            </w:r>
            <w:r>
              <w:rPr>
                <w:rFonts w:hint="eastAsia"/>
                <w:color w:val="auto"/>
                <w:highlight w:val="none"/>
                <w:u w:val="none"/>
              </w:rPr>
              <w:t>t/a</w:t>
            </w:r>
          </w:p>
        </w:tc>
        <w:tc>
          <w:tcPr>
            <w:tcW w:w="1559" w:type="dxa"/>
            <w:vAlign w:val="center"/>
          </w:tcPr>
          <w:p w14:paraId="7DA139A5">
            <w:pPr>
              <w:jc w:val="center"/>
              <w:rPr>
                <w:color w:val="auto"/>
                <w:highlight w:val="none"/>
                <w:u w:val="none"/>
              </w:rPr>
            </w:pPr>
            <w:r>
              <w:rPr>
                <w:rFonts w:hint="eastAsia"/>
                <w:color w:val="auto"/>
                <w:sz w:val="21"/>
                <w:szCs w:val="21"/>
                <w:highlight w:val="none"/>
                <w:u w:val="none" w:color="auto"/>
                <w:lang w:val="en-US" w:eastAsia="zh-CN"/>
              </w:rPr>
              <w:t>0.1</w:t>
            </w:r>
            <w:r>
              <w:rPr>
                <w:rFonts w:hint="eastAsia"/>
                <w:color w:val="auto"/>
                <w:highlight w:val="none"/>
                <w:u w:val="none"/>
              </w:rPr>
              <w:t>t/a</w:t>
            </w:r>
          </w:p>
        </w:tc>
        <w:tc>
          <w:tcPr>
            <w:tcW w:w="1761" w:type="dxa"/>
            <w:vAlign w:val="center"/>
          </w:tcPr>
          <w:p w14:paraId="629775F2">
            <w:pPr>
              <w:jc w:val="center"/>
              <w:rPr>
                <w:rFonts w:hint="eastAsia"/>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77E83177">
            <w:pPr>
              <w:jc w:val="center"/>
              <w:rPr>
                <w:rFonts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color="auto"/>
                <w:lang w:val="en-US" w:eastAsia="zh-CN"/>
              </w:rPr>
              <w:t>0.1</w:t>
            </w:r>
            <w:r>
              <w:rPr>
                <w:rFonts w:hint="eastAsia"/>
                <w:color w:val="auto"/>
                <w:highlight w:val="none"/>
                <w:u w:val="none"/>
              </w:rPr>
              <w:t>t/a</w:t>
            </w:r>
          </w:p>
        </w:tc>
        <w:tc>
          <w:tcPr>
            <w:tcW w:w="1293" w:type="dxa"/>
            <w:shd w:val="clear" w:color="auto" w:fill="auto"/>
            <w:vAlign w:val="center"/>
          </w:tcPr>
          <w:p w14:paraId="309F6650">
            <w:pPr>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color w:val="auto"/>
                <w:sz w:val="21"/>
                <w:szCs w:val="21"/>
                <w:highlight w:val="none"/>
                <w:u w:val="none" w:color="auto"/>
                <w:lang w:val="en-US" w:eastAsia="zh-CN"/>
              </w:rPr>
              <w:t>+0.09</w:t>
            </w:r>
            <w:r>
              <w:rPr>
                <w:rFonts w:hint="eastAsia"/>
                <w:color w:val="auto"/>
                <w:highlight w:val="none"/>
                <w:u w:val="none"/>
              </w:rPr>
              <w:t>t/a</w:t>
            </w:r>
          </w:p>
        </w:tc>
      </w:tr>
      <w:tr w14:paraId="6FAC05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vAlign w:val="center"/>
          </w:tcPr>
          <w:p w14:paraId="045D998F">
            <w:pPr>
              <w:jc w:val="center"/>
              <w:rPr>
                <w:color w:val="auto"/>
                <w:kern w:val="0"/>
                <w:sz w:val="18"/>
                <w:szCs w:val="18"/>
                <w:highlight w:val="none"/>
                <w:u w:val="none"/>
              </w:rPr>
            </w:pPr>
          </w:p>
        </w:tc>
        <w:tc>
          <w:tcPr>
            <w:tcW w:w="1417" w:type="dxa"/>
            <w:vAlign w:val="center"/>
          </w:tcPr>
          <w:p w14:paraId="57B428B8">
            <w:pPr>
              <w:jc w:val="center"/>
              <w:rPr>
                <w:color w:val="auto"/>
                <w:kern w:val="0"/>
                <w:highlight w:val="none"/>
                <w:u w:val="none"/>
              </w:rPr>
            </w:pPr>
            <w:r>
              <w:rPr>
                <w:rFonts w:hint="default" w:eastAsia="宋体"/>
                <w:color w:val="auto"/>
                <w:sz w:val="21"/>
                <w:szCs w:val="21"/>
                <w:highlight w:val="none"/>
                <w:u w:val="none"/>
                <w:lang w:val="en-US" w:eastAsia="zh-CN"/>
              </w:rPr>
              <w:t>含油废抹布</w:t>
            </w:r>
            <w:r>
              <w:rPr>
                <w:rFonts w:hint="eastAsia" w:eastAsia="宋体"/>
                <w:color w:val="auto"/>
                <w:sz w:val="21"/>
                <w:szCs w:val="21"/>
                <w:highlight w:val="none"/>
                <w:u w:val="none"/>
                <w:lang w:val="en-US" w:eastAsia="zh-CN"/>
              </w:rPr>
              <w:t>及</w:t>
            </w:r>
            <w:r>
              <w:rPr>
                <w:rFonts w:hint="default" w:eastAsia="宋体"/>
                <w:color w:val="auto"/>
                <w:sz w:val="21"/>
                <w:szCs w:val="21"/>
                <w:highlight w:val="none"/>
                <w:u w:val="none"/>
                <w:lang w:val="en-US" w:eastAsia="zh-CN"/>
              </w:rPr>
              <w:t>手套</w:t>
            </w:r>
          </w:p>
        </w:tc>
        <w:tc>
          <w:tcPr>
            <w:tcW w:w="1701" w:type="dxa"/>
            <w:vAlign w:val="center"/>
          </w:tcPr>
          <w:p w14:paraId="6010CC6F">
            <w:pPr>
              <w:jc w:val="center"/>
              <w:rPr>
                <w:color w:val="auto"/>
                <w:kern w:val="0"/>
                <w:highlight w:val="none"/>
                <w:u w:val="none"/>
              </w:rPr>
            </w:pPr>
            <w:r>
              <w:rPr>
                <w:rFonts w:hint="eastAsia"/>
                <w:color w:val="auto"/>
                <w:kern w:val="0"/>
                <w:highlight w:val="none"/>
                <w:u w:val="none"/>
              </w:rPr>
              <w:t>/</w:t>
            </w:r>
          </w:p>
        </w:tc>
        <w:tc>
          <w:tcPr>
            <w:tcW w:w="1276" w:type="dxa"/>
            <w:vAlign w:val="center"/>
          </w:tcPr>
          <w:p w14:paraId="2D49C236">
            <w:pPr>
              <w:jc w:val="center"/>
              <w:rPr>
                <w:color w:val="auto"/>
                <w:kern w:val="0"/>
                <w:highlight w:val="none"/>
                <w:u w:val="none"/>
              </w:rPr>
            </w:pPr>
            <w:r>
              <w:rPr>
                <w:rFonts w:hint="eastAsia"/>
                <w:color w:val="auto"/>
                <w:kern w:val="0"/>
                <w:highlight w:val="none"/>
                <w:u w:val="none"/>
              </w:rPr>
              <w:t>/</w:t>
            </w:r>
          </w:p>
        </w:tc>
        <w:tc>
          <w:tcPr>
            <w:tcW w:w="1701" w:type="dxa"/>
            <w:vAlign w:val="center"/>
          </w:tcPr>
          <w:p w14:paraId="64A19E34">
            <w:pPr>
              <w:jc w:val="center"/>
              <w:rPr>
                <w:rFonts w:hint="default" w:eastAsia="宋体"/>
                <w:color w:val="auto"/>
                <w:kern w:val="0"/>
                <w:highlight w:val="none"/>
                <w:u w:val="none"/>
                <w:lang w:val="en-US" w:eastAsia="zh-CN"/>
              </w:rPr>
            </w:pPr>
            <w:r>
              <w:rPr>
                <w:rFonts w:hint="eastAsia"/>
                <w:color w:val="auto"/>
                <w:kern w:val="0"/>
                <w:highlight w:val="none"/>
                <w:u w:val="none"/>
                <w:lang w:val="en-US" w:eastAsia="zh-CN"/>
              </w:rPr>
              <w:t>0.001</w:t>
            </w:r>
            <w:r>
              <w:rPr>
                <w:rFonts w:hint="eastAsia"/>
                <w:color w:val="auto"/>
                <w:highlight w:val="none"/>
                <w:u w:val="none"/>
              </w:rPr>
              <w:t>t/a</w:t>
            </w:r>
          </w:p>
        </w:tc>
        <w:tc>
          <w:tcPr>
            <w:tcW w:w="1559" w:type="dxa"/>
            <w:vAlign w:val="center"/>
          </w:tcPr>
          <w:p w14:paraId="757B746B">
            <w:pPr>
              <w:jc w:val="center"/>
              <w:rPr>
                <w:color w:val="auto"/>
                <w:kern w:val="0"/>
                <w:highlight w:val="none"/>
                <w:u w:val="none"/>
              </w:rPr>
            </w:pPr>
            <w:r>
              <w:rPr>
                <w:rFonts w:hint="default" w:ascii="Times New Roman" w:hAnsi="Times New Roman" w:eastAsia="宋体" w:cs="Times New Roman"/>
                <w:color w:val="auto"/>
                <w:sz w:val="21"/>
                <w:szCs w:val="21"/>
                <w:highlight w:val="none"/>
                <w:u w:val="none" w:color="auto"/>
                <w:lang w:eastAsia="zh-CN"/>
              </w:rPr>
              <w:t>0.00</w:t>
            </w:r>
            <w:r>
              <w:rPr>
                <w:rFonts w:hint="eastAsia" w:ascii="Times New Roman" w:eastAsia="宋体" w:cs="Times New Roman"/>
                <w:color w:val="auto"/>
                <w:sz w:val="21"/>
                <w:szCs w:val="21"/>
                <w:highlight w:val="none"/>
                <w:u w:val="none" w:color="auto"/>
                <w:lang w:val="en-US" w:eastAsia="zh-CN"/>
              </w:rPr>
              <w:t>1</w:t>
            </w:r>
            <w:r>
              <w:rPr>
                <w:rFonts w:hint="eastAsia"/>
                <w:color w:val="auto"/>
                <w:highlight w:val="none"/>
                <w:u w:val="none"/>
              </w:rPr>
              <w:t>t/a</w:t>
            </w:r>
          </w:p>
        </w:tc>
        <w:tc>
          <w:tcPr>
            <w:tcW w:w="1761" w:type="dxa"/>
            <w:vAlign w:val="center"/>
          </w:tcPr>
          <w:p w14:paraId="102D27D9">
            <w:pPr>
              <w:jc w:val="center"/>
              <w:rPr>
                <w:color w:val="auto"/>
                <w:kern w:val="0"/>
                <w:highlight w:val="none"/>
                <w:u w:val="none"/>
              </w:rPr>
            </w:pPr>
            <w:r>
              <w:rPr>
                <w:rFonts w:hint="eastAsia"/>
                <w:color w:val="auto"/>
                <w:kern w:val="0"/>
                <w:highlight w:val="none"/>
                <w:u w:val="none"/>
              </w:rPr>
              <w:t>/</w:t>
            </w:r>
          </w:p>
        </w:tc>
        <w:tc>
          <w:tcPr>
            <w:tcW w:w="1492" w:type="dxa"/>
            <w:shd w:val="clear" w:color="auto" w:fill="auto"/>
            <w:vAlign w:val="center"/>
          </w:tcPr>
          <w:p w14:paraId="390123AC">
            <w:pPr>
              <w:jc w:val="center"/>
              <w:rPr>
                <w:rFonts w:ascii="Times New Roman" w:hAnsi="Times New Roman" w:eastAsia="宋体" w:cs="Times New Roman"/>
                <w:color w:val="auto"/>
                <w:kern w:val="0"/>
                <w:sz w:val="21"/>
                <w:szCs w:val="21"/>
                <w:highlight w:val="none"/>
                <w:u w:val="none"/>
                <w:lang w:val="en-US" w:eastAsia="zh-CN" w:bidi="ar-SA"/>
              </w:rPr>
            </w:pPr>
            <w:r>
              <w:rPr>
                <w:rFonts w:hint="default" w:ascii="Times New Roman" w:hAnsi="Times New Roman" w:eastAsia="宋体" w:cs="Times New Roman"/>
                <w:color w:val="auto"/>
                <w:sz w:val="21"/>
                <w:szCs w:val="21"/>
                <w:highlight w:val="none"/>
                <w:u w:val="none" w:color="auto"/>
                <w:lang w:eastAsia="zh-CN"/>
              </w:rPr>
              <w:t>0.00</w:t>
            </w:r>
            <w:r>
              <w:rPr>
                <w:rFonts w:hint="eastAsia" w:cs="Times New Roman"/>
                <w:color w:val="auto"/>
                <w:sz w:val="21"/>
                <w:szCs w:val="21"/>
                <w:highlight w:val="none"/>
                <w:u w:val="none" w:color="auto"/>
                <w:lang w:val="en-US" w:eastAsia="zh-CN"/>
              </w:rPr>
              <w:t>2</w:t>
            </w:r>
            <w:r>
              <w:rPr>
                <w:rFonts w:hint="eastAsia"/>
                <w:color w:val="auto"/>
                <w:highlight w:val="none"/>
                <w:u w:val="none"/>
              </w:rPr>
              <w:t>t/a</w:t>
            </w:r>
          </w:p>
        </w:tc>
        <w:tc>
          <w:tcPr>
            <w:tcW w:w="1293" w:type="dxa"/>
            <w:shd w:val="clear" w:color="auto" w:fill="auto"/>
            <w:vAlign w:val="center"/>
          </w:tcPr>
          <w:p w14:paraId="3690B7DA">
            <w:pPr>
              <w:jc w:val="center"/>
              <w:rPr>
                <w:rFonts w:ascii="Times New Roman" w:hAnsi="Times New Roman" w:eastAsia="宋体" w:cs="Times New Roman"/>
                <w:color w:val="auto"/>
                <w:kern w:val="0"/>
                <w:sz w:val="21"/>
                <w:szCs w:val="21"/>
                <w:highlight w:val="none"/>
                <w:u w:val="none"/>
                <w:lang w:val="en-US" w:eastAsia="zh-CN" w:bidi="ar-SA"/>
              </w:rPr>
            </w:pPr>
            <w:r>
              <w:rPr>
                <w:rFonts w:hint="eastAsia" w:ascii="Times New Roman" w:hAnsi="Times New Roman" w:eastAsia="宋体" w:cs="Times New Roman"/>
                <w:color w:val="auto"/>
                <w:sz w:val="21"/>
                <w:szCs w:val="21"/>
                <w:highlight w:val="none"/>
                <w:u w:val="none" w:color="auto"/>
                <w:lang w:val="en-US" w:eastAsia="zh-CN"/>
              </w:rPr>
              <w:t>+</w:t>
            </w:r>
            <w:r>
              <w:rPr>
                <w:rFonts w:hint="default" w:ascii="Times New Roman" w:hAnsi="Times New Roman" w:eastAsia="宋体" w:cs="Times New Roman"/>
                <w:color w:val="auto"/>
                <w:sz w:val="21"/>
                <w:szCs w:val="21"/>
                <w:highlight w:val="none"/>
                <w:u w:val="none" w:color="auto"/>
                <w:lang w:eastAsia="zh-CN"/>
              </w:rPr>
              <w:t>0.00</w:t>
            </w:r>
            <w:r>
              <w:rPr>
                <w:rFonts w:hint="eastAsia" w:ascii="Times New Roman" w:eastAsia="宋体" w:cs="Times New Roman"/>
                <w:color w:val="auto"/>
                <w:sz w:val="21"/>
                <w:szCs w:val="21"/>
                <w:highlight w:val="none"/>
                <w:u w:val="none" w:color="auto"/>
                <w:lang w:val="en-US" w:eastAsia="zh-CN"/>
              </w:rPr>
              <w:t>1</w:t>
            </w:r>
            <w:r>
              <w:rPr>
                <w:rFonts w:hint="eastAsia"/>
                <w:color w:val="auto"/>
                <w:highlight w:val="none"/>
                <w:u w:val="none"/>
              </w:rPr>
              <w:t>t/a</w:t>
            </w:r>
          </w:p>
        </w:tc>
      </w:tr>
    </w:tbl>
    <w:p w14:paraId="1E549882">
      <w:pPr>
        <w:rPr>
          <w:color w:val="auto"/>
          <w:highlight w:val="none"/>
          <w:u w:val="none"/>
        </w:rPr>
      </w:pPr>
      <w:r>
        <w:rPr>
          <w:color w:val="auto"/>
          <w:highlight w:val="none"/>
          <w:u w:val="none"/>
        </w:rPr>
        <w:t>注：</w:t>
      </w:r>
      <w:r>
        <w:rPr>
          <w:color w:val="auto"/>
          <w:highlight w:val="none"/>
          <w:u w:val="none"/>
        </w:rPr>
        <w:fldChar w:fldCharType="begin"/>
      </w:r>
      <w:r>
        <w:rPr>
          <w:color w:val="auto"/>
          <w:highlight w:val="none"/>
          <w:u w:val="none"/>
        </w:rPr>
        <w:instrText xml:space="preserve"> = 6 \* GB3 \*</w:instrText>
      </w:r>
      <w:bookmarkEnd w:id="10"/>
      <w:r>
        <w:rPr>
          <w:color w:val="auto"/>
          <w:highlight w:val="none"/>
          <w:u w:val="none"/>
        </w:rPr>
        <w:instrText xml:space="preserve"> MERGEFORMAT </w:instrText>
      </w:r>
      <w:r>
        <w:rPr>
          <w:color w:val="auto"/>
          <w:highlight w:val="none"/>
          <w:u w:val="none"/>
        </w:rPr>
        <w:fldChar w:fldCharType="separate"/>
      </w:r>
      <w:r>
        <w:rPr>
          <w:color w:val="auto"/>
          <w:highlight w:val="none"/>
          <w:u w:val="none"/>
        </w:rPr>
        <w:t>⑥</w:t>
      </w:r>
      <w:r>
        <w:rPr>
          <w:color w:val="auto"/>
          <w:highlight w:val="none"/>
          <w:u w:val="none"/>
        </w:rPr>
        <w:fldChar w:fldCharType="end"/>
      </w:r>
      <w:r>
        <w:rPr>
          <w:color w:val="auto"/>
          <w:highlight w:val="none"/>
          <w:u w:val="none"/>
        </w:rPr>
        <w:t>=</w:t>
      </w:r>
      <w:r>
        <w:rPr>
          <w:color w:val="auto"/>
          <w:highlight w:val="none"/>
          <w:u w:val="none"/>
        </w:rPr>
        <w:fldChar w:fldCharType="begin"/>
      </w:r>
      <w:r>
        <w:rPr>
          <w:color w:val="auto"/>
          <w:highlight w:val="none"/>
          <w:u w:val="none"/>
        </w:rPr>
        <w:instrText xml:space="preserve"> = 1 \* GB3 \* MERGEFORMAT </w:instrText>
      </w:r>
      <w:r>
        <w:rPr>
          <w:color w:val="auto"/>
          <w:highlight w:val="none"/>
          <w:u w:val="none"/>
        </w:rPr>
        <w:fldChar w:fldCharType="separate"/>
      </w:r>
      <w:r>
        <w:rPr>
          <w:color w:val="auto"/>
          <w:highlight w:val="none"/>
          <w:u w:val="none"/>
        </w:rPr>
        <w:t>①</w:t>
      </w:r>
      <w:r>
        <w:rPr>
          <w:color w:val="auto"/>
          <w:highlight w:val="none"/>
          <w:u w:val="none"/>
        </w:rPr>
        <w:fldChar w:fldCharType="end"/>
      </w:r>
      <w:r>
        <w:rPr>
          <w:color w:val="auto"/>
          <w:highlight w:val="none"/>
          <w:u w:val="none"/>
        </w:rPr>
        <w:t>+</w:t>
      </w:r>
      <w:r>
        <w:rPr>
          <w:color w:val="auto"/>
          <w:highlight w:val="none"/>
          <w:u w:val="none"/>
        </w:rPr>
        <w:fldChar w:fldCharType="begin"/>
      </w:r>
      <w:r>
        <w:rPr>
          <w:color w:val="auto"/>
          <w:highlight w:val="none"/>
          <w:u w:val="none"/>
        </w:rPr>
        <w:instrText xml:space="preserve"> = 3 \* GB3 \* MERGEFORMAT </w:instrText>
      </w:r>
      <w:r>
        <w:rPr>
          <w:color w:val="auto"/>
          <w:highlight w:val="none"/>
          <w:u w:val="none"/>
        </w:rPr>
        <w:fldChar w:fldCharType="separate"/>
      </w:r>
      <w:r>
        <w:rPr>
          <w:color w:val="auto"/>
          <w:highlight w:val="none"/>
          <w:u w:val="none"/>
        </w:rPr>
        <w:t>③</w:t>
      </w:r>
      <w:r>
        <w:rPr>
          <w:color w:val="auto"/>
          <w:highlight w:val="none"/>
          <w:u w:val="none"/>
        </w:rPr>
        <w:fldChar w:fldCharType="end"/>
      </w:r>
      <w:r>
        <w:rPr>
          <w:color w:val="auto"/>
          <w:highlight w:val="none"/>
          <w:u w:val="none"/>
        </w:rPr>
        <w:t>+</w:t>
      </w:r>
      <w:r>
        <w:rPr>
          <w:color w:val="auto"/>
          <w:highlight w:val="none"/>
          <w:u w:val="none"/>
        </w:rPr>
        <w:fldChar w:fldCharType="begin"/>
      </w:r>
      <w:r>
        <w:rPr>
          <w:color w:val="auto"/>
          <w:highlight w:val="none"/>
          <w:u w:val="none"/>
        </w:rPr>
        <w:instrText xml:space="preserve"> = 4 \* GB3 \* MERGEFORMAT </w:instrText>
      </w:r>
      <w:r>
        <w:rPr>
          <w:color w:val="auto"/>
          <w:highlight w:val="none"/>
          <w:u w:val="none"/>
        </w:rPr>
        <w:fldChar w:fldCharType="separate"/>
      </w:r>
      <w:r>
        <w:rPr>
          <w:color w:val="auto"/>
          <w:highlight w:val="none"/>
          <w:u w:val="none"/>
        </w:rPr>
        <w:t>④</w:t>
      </w:r>
      <w:r>
        <w:rPr>
          <w:color w:val="auto"/>
          <w:highlight w:val="none"/>
          <w:u w:val="none"/>
        </w:rPr>
        <w:fldChar w:fldCharType="end"/>
      </w:r>
      <w:r>
        <w:rPr>
          <w:color w:val="auto"/>
          <w:highlight w:val="none"/>
          <w:u w:val="none"/>
        </w:rPr>
        <w:t>-</w:t>
      </w:r>
      <w:r>
        <w:rPr>
          <w:color w:val="auto"/>
          <w:highlight w:val="none"/>
          <w:u w:val="none"/>
        </w:rPr>
        <w:fldChar w:fldCharType="begin"/>
      </w:r>
      <w:r>
        <w:rPr>
          <w:color w:val="auto"/>
          <w:highlight w:val="none"/>
          <w:u w:val="none"/>
        </w:rPr>
        <w:instrText xml:space="preserve"> = 5 \* GB3 \* MERGEFORMAT </w:instrText>
      </w:r>
      <w:r>
        <w:rPr>
          <w:color w:val="auto"/>
          <w:highlight w:val="none"/>
          <w:u w:val="none"/>
        </w:rPr>
        <w:fldChar w:fldCharType="separate"/>
      </w:r>
      <w:r>
        <w:rPr>
          <w:color w:val="auto"/>
          <w:highlight w:val="none"/>
          <w:u w:val="none"/>
        </w:rPr>
        <w:t>⑤</w:t>
      </w:r>
      <w:r>
        <w:rPr>
          <w:color w:val="auto"/>
          <w:highlight w:val="none"/>
          <w:u w:val="none"/>
        </w:rPr>
        <w:fldChar w:fldCharType="end"/>
      </w:r>
      <w:r>
        <w:rPr>
          <w:color w:val="auto"/>
          <w:highlight w:val="none"/>
          <w:u w:val="none"/>
        </w:rPr>
        <w:t>；</w:t>
      </w:r>
      <w:r>
        <w:rPr>
          <w:color w:val="auto"/>
          <w:highlight w:val="none"/>
          <w:u w:val="none"/>
        </w:rPr>
        <w:fldChar w:fldCharType="begin"/>
      </w:r>
      <w:r>
        <w:rPr>
          <w:color w:val="auto"/>
          <w:highlight w:val="none"/>
          <w:u w:val="none"/>
        </w:rPr>
        <w:instrText xml:space="preserve"> = 7 \* GB3 \* MERGEFORMAT </w:instrText>
      </w:r>
      <w:r>
        <w:rPr>
          <w:color w:val="auto"/>
          <w:highlight w:val="none"/>
          <w:u w:val="none"/>
        </w:rPr>
        <w:fldChar w:fldCharType="separate"/>
      </w:r>
      <w:r>
        <w:rPr>
          <w:color w:val="auto"/>
          <w:highlight w:val="none"/>
          <w:u w:val="none"/>
        </w:rPr>
        <w:t>⑦</w:t>
      </w:r>
      <w:r>
        <w:rPr>
          <w:color w:val="auto"/>
          <w:highlight w:val="none"/>
          <w:u w:val="none"/>
        </w:rPr>
        <w:fldChar w:fldCharType="end"/>
      </w:r>
      <w:r>
        <w:rPr>
          <w:color w:val="auto"/>
          <w:highlight w:val="none"/>
          <w:u w:val="none"/>
        </w:rPr>
        <w:t>=</w:t>
      </w:r>
      <w:r>
        <w:rPr>
          <w:color w:val="auto"/>
          <w:highlight w:val="none"/>
          <w:u w:val="none"/>
        </w:rPr>
        <w:fldChar w:fldCharType="begin"/>
      </w:r>
      <w:r>
        <w:rPr>
          <w:color w:val="auto"/>
          <w:highlight w:val="none"/>
          <w:u w:val="none"/>
        </w:rPr>
        <w:instrText xml:space="preserve"> = 6 \* GB3 \* MERGEFORMAT </w:instrText>
      </w:r>
      <w:r>
        <w:rPr>
          <w:color w:val="auto"/>
          <w:highlight w:val="none"/>
          <w:u w:val="none"/>
        </w:rPr>
        <w:fldChar w:fldCharType="separate"/>
      </w:r>
      <w:r>
        <w:rPr>
          <w:color w:val="auto"/>
          <w:highlight w:val="none"/>
          <w:u w:val="none"/>
        </w:rPr>
        <w:t>⑥</w:t>
      </w:r>
      <w:r>
        <w:rPr>
          <w:color w:val="auto"/>
          <w:highlight w:val="none"/>
          <w:u w:val="none"/>
        </w:rPr>
        <w:fldChar w:fldCharType="end"/>
      </w:r>
      <w:r>
        <w:rPr>
          <w:color w:val="auto"/>
          <w:highlight w:val="none"/>
          <w:u w:val="none"/>
        </w:rPr>
        <w:t>-</w:t>
      </w:r>
      <w:r>
        <w:rPr>
          <w:color w:val="auto"/>
          <w:highlight w:val="none"/>
          <w:u w:val="none"/>
        </w:rPr>
        <w:fldChar w:fldCharType="begin"/>
      </w:r>
      <w:r>
        <w:rPr>
          <w:color w:val="auto"/>
          <w:highlight w:val="none"/>
          <w:u w:val="none"/>
        </w:rPr>
        <w:instrText xml:space="preserve"> = 1 \* GB3 \* MERGEFORMAT </w:instrText>
      </w:r>
      <w:r>
        <w:rPr>
          <w:color w:val="auto"/>
          <w:highlight w:val="none"/>
          <w:u w:val="none"/>
        </w:rPr>
        <w:fldChar w:fldCharType="separate"/>
      </w:r>
      <w:r>
        <w:rPr>
          <w:color w:val="auto"/>
          <w:highlight w:val="none"/>
          <w:u w:val="none"/>
        </w:rPr>
        <w:t>①</w:t>
      </w:r>
      <w:r>
        <w:rPr>
          <w:color w:val="auto"/>
          <w:highlight w:val="none"/>
          <w:u w:val="none"/>
        </w:rPr>
        <w:fldChar w:fldCharType="end"/>
      </w:r>
    </w:p>
    <w:p w14:paraId="3C3DF837">
      <w:pPr>
        <w:pStyle w:val="17"/>
        <w:rPr>
          <w:color w:val="auto"/>
          <w:highlight w:val="none"/>
          <w:u w:val="none"/>
        </w:rPr>
      </w:pPr>
    </w:p>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Arial Unicode MS">
    <w:panose1 w:val="020B0604020202020204"/>
    <w:charset w:val="86"/>
    <w:family w:val="swiss"/>
    <w:pitch w:val="default"/>
    <w:sig w:usb0="F7FFAEFF" w:usb1="F9DFFFFF" w:usb2="0000007F" w:usb3="00000000" w:csb0="203F01FF" w:csb1="DFFF0000"/>
  </w:font>
  <w:font w:name="Arial Black">
    <w:panose1 w:val="020B0A04020102020204"/>
    <w:charset w:val="00"/>
    <w:family w:val="swiss"/>
    <w:pitch w:val="default"/>
    <w:sig w:usb0="A00002AF" w:usb1="400078FB" w:usb2="00000000" w:usb3="00000000" w:csb0="6000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Yu Mincho Light">
    <w:altName w:val="Yu Gothic"/>
    <w:panose1 w:val="00000000000000000000"/>
    <w:charset w:val="80"/>
    <w:family w:val="roman"/>
    <w:pitch w:val="default"/>
    <w:sig w:usb0="00000000" w:usb1="00000000" w:usb2="00000012" w:usb3="00000000" w:csb0="0002009F" w:csb1="00000000"/>
  </w:font>
  <w:font w:name="Yu Gothic">
    <w:panose1 w:val="020B0400000000000000"/>
    <w:charset w:val="80"/>
    <w:family w:val="auto"/>
    <w:pitch w:val="default"/>
    <w:sig w:usb0="E00002FF" w:usb1="2AC7FDFF" w:usb2="00000016" w:usb3="00000000" w:csb0="200200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BF9CB">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6432F">
    <w:pPr>
      <w:pStyle w:val="2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-142875</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6F116">
                          <w:pPr>
                            <w:pStyle w:val="23"/>
                            <w:rPr>
                              <w:sz w:val="24"/>
                              <w:szCs w:val="24"/>
                            </w:rPr>
                          </w:pPr>
                          <w:r>
                            <w:rPr>
                              <w:rFonts w:hint="eastAsia"/>
                              <w:sz w:val="24"/>
                              <w:szCs w:val="24"/>
                            </w:rPr>
                            <w:t xml:space="preserve">第 </w:t>
                          </w: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25</w:t>
                          </w:r>
                          <w:r>
                            <w:rPr>
                              <w:rFonts w:hint="eastAsia"/>
                              <w:sz w:val="24"/>
                              <w:szCs w:val="24"/>
                            </w:rPr>
                            <w:fldChar w:fldCharType="end"/>
                          </w:r>
                          <w:r>
                            <w:rPr>
                              <w:rFonts w:hint="eastAsia"/>
                              <w:sz w:val="24"/>
                              <w:szCs w:val="24"/>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1.25pt;height:144pt;width:144pt;mso-position-horizontal:center;mso-position-horizontal-relative:margin;mso-wrap-style:none;z-index:251661312;mso-width-relative:page;mso-height-relative:page;" filled="f" stroked="f" coordsize="21600,21600" o:gfxdata="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uJpwn1gAAAAgBAAAPAAAAAAAAAAEAIAAAACIAAABkcnMvZG93bnJldi54bWxQSwECFAAU&#10;AAAACACHTuJAYsnXPywCAABXBAAADgAAAAAAAAABACAAAAAlAQAAZHJzL2Uyb0RvYy54bWxQSwUG&#10;AAAAAAYABgBZAQAAwwUAAAAA&#10;">
              <v:fill on="f" focussize="0,0"/>
              <v:stroke on="f" weight="0.5pt"/>
              <v:imagedata o:title=""/>
              <o:lock v:ext="edit" aspectratio="f"/>
              <v:textbox inset="0mm,0mm,0mm,0mm" style="mso-fit-shape-to-text:t;">
                <w:txbxContent>
                  <w:p w14:paraId="62B6F116">
                    <w:pPr>
                      <w:pStyle w:val="23"/>
                      <w:rPr>
                        <w:sz w:val="24"/>
                        <w:szCs w:val="24"/>
                      </w:rPr>
                    </w:pPr>
                    <w:r>
                      <w:rPr>
                        <w:rFonts w:hint="eastAsia"/>
                        <w:sz w:val="24"/>
                        <w:szCs w:val="24"/>
                      </w:rPr>
                      <w:t xml:space="preserve">第 </w:t>
                    </w: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25</w:t>
                    </w:r>
                    <w:r>
                      <w:rPr>
                        <w:rFonts w:hint="eastAsia"/>
                        <w:sz w:val="24"/>
                        <w:szCs w:val="24"/>
                      </w:rPr>
                      <w:fldChar w:fldCharType="end"/>
                    </w:r>
                    <w:r>
                      <w:rPr>
                        <w:rFonts w:hint="eastAsia"/>
                        <w:sz w:val="24"/>
                        <w:szCs w:val="24"/>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0073F">
    <w:pPr>
      <w:pStyle w:val="2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BFB227"/>
    <w:multiLevelType w:val="singleLevel"/>
    <w:tmpl w:val="CFBFB227"/>
    <w:lvl w:ilvl="0" w:tentative="0">
      <w:start w:val="6"/>
      <w:numFmt w:val="decimal"/>
      <w:suff w:val="nothing"/>
      <w:lvlText w:val="%1、"/>
      <w:lvlJc w:val="left"/>
    </w:lvl>
  </w:abstractNum>
  <w:abstractNum w:abstractNumId="1">
    <w:nsid w:val="38D0E490"/>
    <w:multiLevelType w:val="singleLevel"/>
    <w:tmpl w:val="38D0E490"/>
    <w:lvl w:ilvl="0" w:tentative="0">
      <w:start w:val="1"/>
      <w:numFmt w:val="decimal"/>
      <w:suff w:val="nothing"/>
      <w:lvlText w:val="（%1）"/>
      <w:lvlJc w:val="left"/>
      <w:pPr>
        <w:ind w:left="0" w:leftChars="0" w:firstLine="345" w:firstLineChars="0"/>
      </w:pPr>
    </w:lvl>
  </w:abstractNum>
  <w:abstractNum w:abstractNumId="2">
    <w:nsid w:val="7671A3DD"/>
    <w:multiLevelType w:val="multilevel"/>
    <w:tmpl w:val="7671A3DD"/>
    <w:lvl w:ilvl="0" w:tentative="0">
      <w:start w:val="1"/>
      <w:numFmt w:val="decimal"/>
      <w:lvlText w:val="%1"/>
      <w:lvlJc w:val="center"/>
      <w:pPr>
        <w:tabs>
          <w:tab w:val="left" w:pos="0"/>
        </w:tabs>
        <w:ind w:left="0" w:firstLine="567"/>
      </w:pPr>
      <w:rPr>
        <w:rFonts w:hint="default" w:ascii="Times New Roman" w:hAnsi="Times New Roman" w:eastAsia="宋体" w:cs="Times New Roman"/>
        <w:sz w:val="44"/>
        <w:szCs w:val="44"/>
      </w:rPr>
    </w:lvl>
    <w:lvl w:ilvl="1" w:tentative="0">
      <w:start w:val="1"/>
      <w:numFmt w:val="decimal"/>
      <w:lvlText w:val="%1.%2"/>
      <w:lvlJc w:val="left"/>
      <w:pPr>
        <w:tabs>
          <w:tab w:val="left" w:pos="0"/>
        </w:tabs>
        <w:ind w:left="0" w:firstLine="0"/>
      </w:pPr>
    </w:lvl>
    <w:lvl w:ilvl="2" w:tentative="0">
      <w:start w:val="1"/>
      <w:numFmt w:val="decimal"/>
      <w:pStyle w:val="9"/>
      <w:lvlText w:val="%1.%2.%3"/>
      <w:lvlJc w:val="left"/>
      <w:pPr>
        <w:tabs>
          <w:tab w:val="left" w:pos="1277"/>
        </w:tabs>
        <w:ind w:left="710" w:firstLine="0"/>
      </w:pPr>
      <w:rPr>
        <w:rFonts w:hint="default" w:ascii="Times New Roman" w:hAnsi="Times New Roman" w:eastAsia="宋体" w:cs="Times New Roman"/>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hideSpellingErrors/>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mNTliYmUwZTA0NzE5ZTI5MjBjZjNhNDg4NzIzMTkifQ=="/>
  </w:docVars>
  <w:rsids>
    <w:rsidRoot w:val="0B656334"/>
    <w:rsid w:val="00011752"/>
    <w:rsid w:val="00011FD0"/>
    <w:rsid w:val="0002007A"/>
    <w:rsid w:val="00042383"/>
    <w:rsid w:val="0007560E"/>
    <w:rsid w:val="00081D52"/>
    <w:rsid w:val="00083161"/>
    <w:rsid w:val="000B0D08"/>
    <w:rsid w:val="000D21EE"/>
    <w:rsid w:val="000D50EB"/>
    <w:rsid w:val="000F7AA6"/>
    <w:rsid w:val="0011293F"/>
    <w:rsid w:val="00117866"/>
    <w:rsid w:val="00142915"/>
    <w:rsid w:val="00163CB2"/>
    <w:rsid w:val="00171E44"/>
    <w:rsid w:val="00181DBE"/>
    <w:rsid w:val="001A4CEE"/>
    <w:rsid w:val="001D626C"/>
    <w:rsid w:val="001E60D4"/>
    <w:rsid w:val="00202B6A"/>
    <w:rsid w:val="002134F6"/>
    <w:rsid w:val="00222AD0"/>
    <w:rsid w:val="002425B2"/>
    <w:rsid w:val="00303760"/>
    <w:rsid w:val="003208C9"/>
    <w:rsid w:val="00356870"/>
    <w:rsid w:val="0038535B"/>
    <w:rsid w:val="003B048A"/>
    <w:rsid w:val="003C44A1"/>
    <w:rsid w:val="003E1D13"/>
    <w:rsid w:val="00404331"/>
    <w:rsid w:val="00415835"/>
    <w:rsid w:val="00415FE0"/>
    <w:rsid w:val="004253CA"/>
    <w:rsid w:val="0043125D"/>
    <w:rsid w:val="004B6508"/>
    <w:rsid w:val="004C19D9"/>
    <w:rsid w:val="004C42CE"/>
    <w:rsid w:val="004D5396"/>
    <w:rsid w:val="004E7394"/>
    <w:rsid w:val="00506A39"/>
    <w:rsid w:val="00522F3D"/>
    <w:rsid w:val="00530F5B"/>
    <w:rsid w:val="00537C28"/>
    <w:rsid w:val="005519F3"/>
    <w:rsid w:val="00563247"/>
    <w:rsid w:val="00585CCB"/>
    <w:rsid w:val="005D2854"/>
    <w:rsid w:val="006456E9"/>
    <w:rsid w:val="00646C39"/>
    <w:rsid w:val="006555B7"/>
    <w:rsid w:val="00657114"/>
    <w:rsid w:val="00670CED"/>
    <w:rsid w:val="006724F8"/>
    <w:rsid w:val="00673947"/>
    <w:rsid w:val="006A3017"/>
    <w:rsid w:val="006B0BB5"/>
    <w:rsid w:val="006B3FDF"/>
    <w:rsid w:val="006C1A9C"/>
    <w:rsid w:val="006E05BE"/>
    <w:rsid w:val="006F3A44"/>
    <w:rsid w:val="00724552"/>
    <w:rsid w:val="007739BF"/>
    <w:rsid w:val="00775137"/>
    <w:rsid w:val="0079542A"/>
    <w:rsid w:val="007B0B16"/>
    <w:rsid w:val="007B29C8"/>
    <w:rsid w:val="007C00A2"/>
    <w:rsid w:val="007C246E"/>
    <w:rsid w:val="007C456C"/>
    <w:rsid w:val="007D7BF7"/>
    <w:rsid w:val="007D7DD0"/>
    <w:rsid w:val="007F552B"/>
    <w:rsid w:val="00864FD4"/>
    <w:rsid w:val="00874B98"/>
    <w:rsid w:val="00881373"/>
    <w:rsid w:val="00887231"/>
    <w:rsid w:val="00887C8D"/>
    <w:rsid w:val="008B36C1"/>
    <w:rsid w:val="008C5EE3"/>
    <w:rsid w:val="008E1139"/>
    <w:rsid w:val="009250CF"/>
    <w:rsid w:val="009253C0"/>
    <w:rsid w:val="009471D7"/>
    <w:rsid w:val="00947EA4"/>
    <w:rsid w:val="00977068"/>
    <w:rsid w:val="009D6886"/>
    <w:rsid w:val="009E1A7C"/>
    <w:rsid w:val="009E309F"/>
    <w:rsid w:val="00A12B8F"/>
    <w:rsid w:val="00A21B09"/>
    <w:rsid w:val="00A26F66"/>
    <w:rsid w:val="00A415E2"/>
    <w:rsid w:val="00A54615"/>
    <w:rsid w:val="00A82B79"/>
    <w:rsid w:val="00A86105"/>
    <w:rsid w:val="00A86A0D"/>
    <w:rsid w:val="00AC7932"/>
    <w:rsid w:val="00AD1842"/>
    <w:rsid w:val="00AD6799"/>
    <w:rsid w:val="00B0227B"/>
    <w:rsid w:val="00B26DB2"/>
    <w:rsid w:val="00B336DF"/>
    <w:rsid w:val="00B35F40"/>
    <w:rsid w:val="00B4269C"/>
    <w:rsid w:val="00B6251F"/>
    <w:rsid w:val="00B62FD1"/>
    <w:rsid w:val="00B74804"/>
    <w:rsid w:val="00B92AF3"/>
    <w:rsid w:val="00BB469A"/>
    <w:rsid w:val="00BC0218"/>
    <w:rsid w:val="00BC143B"/>
    <w:rsid w:val="00BC1D8A"/>
    <w:rsid w:val="00BD18F1"/>
    <w:rsid w:val="00BD65C6"/>
    <w:rsid w:val="00BE325C"/>
    <w:rsid w:val="00C3138D"/>
    <w:rsid w:val="00C350A7"/>
    <w:rsid w:val="00C3794F"/>
    <w:rsid w:val="00C46728"/>
    <w:rsid w:val="00C621A8"/>
    <w:rsid w:val="00CA17F6"/>
    <w:rsid w:val="00CE2FF7"/>
    <w:rsid w:val="00CF2A94"/>
    <w:rsid w:val="00CF5500"/>
    <w:rsid w:val="00D32699"/>
    <w:rsid w:val="00D64E8B"/>
    <w:rsid w:val="00D876A9"/>
    <w:rsid w:val="00D9012D"/>
    <w:rsid w:val="00D959ED"/>
    <w:rsid w:val="00D97AB3"/>
    <w:rsid w:val="00DA5097"/>
    <w:rsid w:val="00DD33B3"/>
    <w:rsid w:val="00DF5A5B"/>
    <w:rsid w:val="00E16FE2"/>
    <w:rsid w:val="00E8400E"/>
    <w:rsid w:val="00E92F8A"/>
    <w:rsid w:val="00EC7E96"/>
    <w:rsid w:val="00EE47DC"/>
    <w:rsid w:val="00F211EF"/>
    <w:rsid w:val="00F32BCB"/>
    <w:rsid w:val="00F37EC5"/>
    <w:rsid w:val="00F83DAC"/>
    <w:rsid w:val="00FB7A3E"/>
    <w:rsid w:val="00FE10B4"/>
    <w:rsid w:val="00FF68B3"/>
    <w:rsid w:val="00FF6D2C"/>
    <w:rsid w:val="01004415"/>
    <w:rsid w:val="01020F18"/>
    <w:rsid w:val="01040C80"/>
    <w:rsid w:val="01050043"/>
    <w:rsid w:val="01056AFD"/>
    <w:rsid w:val="01066E8F"/>
    <w:rsid w:val="01127EAC"/>
    <w:rsid w:val="01154EDD"/>
    <w:rsid w:val="01162FB9"/>
    <w:rsid w:val="0118422B"/>
    <w:rsid w:val="0118446B"/>
    <w:rsid w:val="012278A7"/>
    <w:rsid w:val="01246604"/>
    <w:rsid w:val="01250C48"/>
    <w:rsid w:val="01276C53"/>
    <w:rsid w:val="012A2737"/>
    <w:rsid w:val="012D0E34"/>
    <w:rsid w:val="012E08B7"/>
    <w:rsid w:val="0135396D"/>
    <w:rsid w:val="013655A5"/>
    <w:rsid w:val="013B111F"/>
    <w:rsid w:val="013C03C5"/>
    <w:rsid w:val="013D6EBF"/>
    <w:rsid w:val="01465EF5"/>
    <w:rsid w:val="014A102B"/>
    <w:rsid w:val="014D2EBB"/>
    <w:rsid w:val="01510698"/>
    <w:rsid w:val="01537A00"/>
    <w:rsid w:val="01545A05"/>
    <w:rsid w:val="01545C82"/>
    <w:rsid w:val="0157584B"/>
    <w:rsid w:val="01581C2B"/>
    <w:rsid w:val="01583748"/>
    <w:rsid w:val="015C58A7"/>
    <w:rsid w:val="015F600A"/>
    <w:rsid w:val="01600628"/>
    <w:rsid w:val="01626374"/>
    <w:rsid w:val="01634C38"/>
    <w:rsid w:val="01694E7C"/>
    <w:rsid w:val="016A3DEB"/>
    <w:rsid w:val="016A450D"/>
    <w:rsid w:val="016B1327"/>
    <w:rsid w:val="016B2D33"/>
    <w:rsid w:val="01707E0F"/>
    <w:rsid w:val="01714AB1"/>
    <w:rsid w:val="01726E60"/>
    <w:rsid w:val="01736E05"/>
    <w:rsid w:val="017A5EEE"/>
    <w:rsid w:val="017B5D0D"/>
    <w:rsid w:val="017F4424"/>
    <w:rsid w:val="017F66A7"/>
    <w:rsid w:val="01814D99"/>
    <w:rsid w:val="01863694"/>
    <w:rsid w:val="018F305A"/>
    <w:rsid w:val="01916C5A"/>
    <w:rsid w:val="019777E5"/>
    <w:rsid w:val="01A324E9"/>
    <w:rsid w:val="01A9674E"/>
    <w:rsid w:val="01AC75F0"/>
    <w:rsid w:val="01AF60B6"/>
    <w:rsid w:val="01B048BF"/>
    <w:rsid w:val="01B1798A"/>
    <w:rsid w:val="01B41FA1"/>
    <w:rsid w:val="01C509CE"/>
    <w:rsid w:val="01C81F50"/>
    <w:rsid w:val="01CF4D23"/>
    <w:rsid w:val="01D23B0C"/>
    <w:rsid w:val="01D62AE5"/>
    <w:rsid w:val="01D65B9A"/>
    <w:rsid w:val="01D969B2"/>
    <w:rsid w:val="01DA5914"/>
    <w:rsid w:val="01DB7298"/>
    <w:rsid w:val="01E035AE"/>
    <w:rsid w:val="01E04878"/>
    <w:rsid w:val="01E56010"/>
    <w:rsid w:val="01E650AB"/>
    <w:rsid w:val="01E73526"/>
    <w:rsid w:val="01E76A78"/>
    <w:rsid w:val="01F0606B"/>
    <w:rsid w:val="01F36FCC"/>
    <w:rsid w:val="01F4090C"/>
    <w:rsid w:val="01FE5729"/>
    <w:rsid w:val="0201031E"/>
    <w:rsid w:val="0204567E"/>
    <w:rsid w:val="0205292A"/>
    <w:rsid w:val="02056920"/>
    <w:rsid w:val="020B3EC5"/>
    <w:rsid w:val="02112A90"/>
    <w:rsid w:val="021318B6"/>
    <w:rsid w:val="02170AAD"/>
    <w:rsid w:val="021A6CFA"/>
    <w:rsid w:val="021C2346"/>
    <w:rsid w:val="021D3714"/>
    <w:rsid w:val="021E2FAD"/>
    <w:rsid w:val="022314BF"/>
    <w:rsid w:val="02255AEF"/>
    <w:rsid w:val="022B2A7C"/>
    <w:rsid w:val="022E3020"/>
    <w:rsid w:val="02323C99"/>
    <w:rsid w:val="023A0102"/>
    <w:rsid w:val="023C396E"/>
    <w:rsid w:val="023E0222"/>
    <w:rsid w:val="023E4610"/>
    <w:rsid w:val="02404F3C"/>
    <w:rsid w:val="024057D2"/>
    <w:rsid w:val="024B4D22"/>
    <w:rsid w:val="024B5400"/>
    <w:rsid w:val="024B7E57"/>
    <w:rsid w:val="02516442"/>
    <w:rsid w:val="025264E9"/>
    <w:rsid w:val="02574C4D"/>
    <w:rsid w:val="02615989"/>
    <w:rsid w:val="026524A1"/>
    <w:rsid w:val="02695EA9"/>
    <w:rsid w:val="026E6FF5"/>
    <w:rsid w:val="0274792E"/>
    <w:rsid w:val="027605F1"/>
    <w:rsid w:val="0277099F"/>
    <w:rsid w:val="02792590"/>
    <w:rsid w:val="027A7B2E"/>
    <w:rsid w:val="027D033A"/>
    <w:rsid w:val="028247F4"/>
    <w:rsid w:val="02830E4B"/>
    <w:rsid w:val="02862D13"/>
    <w:rsid w:val="02875CA4"/>
    <w:rsid w:val="028E2991"/>
    <w:rsid w:val="028E2D8F"/>
    <w:rsid w:val="02917BD3"/>
    <w:rsid w:val="0293427F"/>
    <w:rsid w:val="02965FB8"/>
    <w:rsid w:val="029D30F5"/>
    <w:rsid w:val="029E7D21"/>
    <w:rsid w:val="02A17814"/>
    <w:rsid w:val="02A2635C"/>
    <w:rsid w:val="02A7282A"/>
    <w:rsid w:val="02A94314"/>
    <w:rsid w:val="02AA01E9"/>
    <w:rsid w:val="02AC3930"/>
    <w:rsid w:val="02B250F8"/>
    <w:rsid w:val="02B275C5"/>
    <w:rsid w:val="02B63CEC"/>
    <w:rsid w:val="02C23470"/>
    <w:rsid w:val="02C661C1"/>
    <w:rsid w:val="02C711CB"/>
    <w:rsid w:val="02C848FD"/>
    <w:rsid w:val="02C85C78"/>
    <w:rsid w:val="02C95CCF"/>
    <w:rsid w:val="02CA3B3B"/>
    <w:rsid w:val="02CA46A1"/>
    <w:rsid w:val="02CB1CF7"/>
    <w:rsid w:val="02CE6BBF"/>
    <w:rsid w:val="02D23086"/>
    <w:rsid w:val="02DB592A"/>
    <w:rsid w:val="02E07CDD"/>
    <w:rsid w:val="02E2772A"/>
    <w:rsid w:val="02E554D2"/>
    <w:rsid w:val="02EE5AE4"/>
    <w:rsid w:val="02F11FBB"/>
    <w:rsid w:val="02F16AF1"/>
    <w:rsid w:val="02F22F52"/>
    <w:rsid w:val="02F50007"/>
    <w:rsid w:val="02F65DFC"/>
    <w:rsid w:val="02F86556"/>
    <w:rsid w:val="03010B79"/>
    <w:rsid w:val="030117F6"/>
    <w:rsid w:val="030376E3"/>
    <w:rsid w:val="03080117"/>
    <w:rsid w:val="03094CFE"/>
    <w:rsid w:val="030F0E2D"/>
    <w:rsid w:val="03183AEE"/>
    <w:rsid w:val="031C1147"/>
    <w:rsid w:val="031C5DE8"/>
    <w:rsid w:val="031F23B2"/>
    <w:rsid w:val="031F25FD"/>
    <w:rsid w:val="032059A3"/>
    <w:rsid w:val="03265180"/>
    <w:rsid w:val="03265673"/>
    <w:rsid w:val="032953CF"/>
    <w:rsid w:val="032D209A"/>
    <w:rsid w:val="032E61EE"/>
    <w:rsid w:val="03320232"/>
    <w:rsid w:val="033426A1"/>
    <w:rsid w:val="03343ED0"/>
    <w:rsid w:val="0338115C"/>
    <w:rsid w:val="03385F32"/>
    <w:rsid w:val="033905B8"/>
    <w:rsid w:val="033D62B7"/>
    <w:rsid w:val="033F14D1"/>
    <w:rsid w:val="03453307"/>
    <w:rsid w:val="034578E6"/>
    <w:rsid w:val="03457CFC"/>
    <w:rsid w:val="034923FD"/>
    <w:rsid w:val="034A33E9"/>
    <w:rsid w:val="034B105E"/>
    <w:rsid w:val="035319AC"/>
    <w:rsid w:val="03555A65"/>
    <w:rsid w:val="03577DC2"/>
    <w:rsid w:val="035B562E"/>
    <w:rsid w:val="035F7EB7"/>
    <w:rsid w:val="03600692"/>
    <w:rsid w:val="0362286F"/>
    <w:rsid w:val="03667C72"/>
    <w:rsid w:val="03675EC4"/>
    <w:rsid w:val="036B7414"/>
    <w:rsid w:val="036D4E11"/>
    <w:rsid w:val="036F5EFD"/>
    <w:rsid w:val="03710AF1"/>
    <w:rsid w:val="037405E1"/>
    <w:rsid w:val="0374413D"/>
    <w:rsid w:val="0379002B"/>
    <w:rsid w:val="037A39C6"/>
    <w:rsid w:val="037D04C3"/>
    <w:rsid w:val="037D0BB4"/>
    <w:rsid w:val="038038D1"/>
    <w:rsid w:val="03887BE8"/>
    <w:rsid w:val="038D0ED7"/>
    <w:rsid w:val="038D78D4"/>
    <w:rsid w:val="038F0961"/>
    <w:rsid w:val="038F0AD1"/>
    <w:rsid w:val="038F71C9"/>
    <w:rsid w:val="03920A67"/>
    <w:rsid w:val="039219C3"/>
    <w:rsid w:val="03922815"/>
    <w:rsid w:val="0394341C"/>
    <w:rsid w:val="039458E1"/>
    <w:rsid w:val="03972F28"/>
    <w:rsid w:val="0397445A"/>
    <w:rsid w:val="039F0049"/>
    <w:rsid w:val="039F28B3"/>
    <w:rsid w:val="03A26B0A"/>
    <w:rsid w:val="03A631F3"/>
    <w:rsid w:val="03A93168"/>
    <w:rsid w:val="03AF3185"/>
    <w:rsid w:val="03B10D14"/>
    <w:rsid w:val="03B378B8"/>
    <w:rsid w:val="03B906C0"/>
    <w:rsid w:val="03BA303B"/>
    <w:rsid w:val="03BE6337"/>
    <w:rsid w:val="03BF1FDC"/>
    <w:rsid w:val="03C0247C"/>
    <w:rsid w:val="03C15FEF"/>
    <w:rsid w:val="03C671D8"/>
    <w:rsid w:val="03C800F3"/>
    <w:rsid w:val="03CD2C73"/>
    <w:rsid w:val="03CD50CC"/>
    <w:rsid w:val="03CE1238"/>
    <w:rsid w:val="03D26E2B"/>
    <w:rsid w:val="03D33B9A"/>
    <w:rsid w:val="03D866D3"/>
    <w:rsid w:val="03DF1EFE"/>
    <w:rsid w:val="03DF372F"/>
    <w:rsid w:val="03E017D2"/>
    <w:rsid w:val="03E02166"/>
    <w:rsid w:val="03E10112"/>
    <w:rsid w:val="03E310A3"/>
    <w:rsid w:val="03E50453"/>
    <w:rsid w:val="03E54A04"/>
    <w:rsid w:val="03E5659E"/>
    <w:rsid w:val="03E93A36"/>
    <w:rsid w:val="03EA5CC0"/>
    <w:rsid w:val="03EC43AD"/>
    <w:rsid w:val="03EE4592"/>
    <w:rsid w:val="03EE6C21"/>
    <w:rsid w:val="03F16D6A"/>
    <w:rsid w:val="03F37D4C"/>
    <w:rsid w:val="03F95D58"/>
    <w:rsid w:val="03FC3442"/>
    <w:rsid w:val="03FD6B36"/>
    <w:rsid w:val="040D6CBE"/>
    <w:rsid w:val="04127757"/>
    <w:rsid w:val="0416454E"/>
    <w:rsid w:val="04166DA4"/>
    <w:rsid w:val="041802E2"/>
    <w:rsid w:val="041E4040"/>
    <w:rsid w:val="04285CFD"/>
    <w:rsid w:val="042A0872"/>
    <w:rsid w:val="042A0F84"/>
    <w:rsid w:val="042B29A8"/>
    <w:rsid w:val="04313EE8"/>
    <w:rsid w:val="043B1A3D"/>
    <w:rsid w:val="043C3C00"/>
    <w:rsid w:val="043D434C"/>
    <w:rsid w:val="043D7656"/>
    <w:rsid w:val="04425FE9"/>
    <w:rsid w:val="04471852"/>
    <w:rsid w:val="044955CA"/>
    <w:rsid w:val="044A7471"/>
    <w:rsid w:val="045521C0"/>
    <w:rsid w:val="045B07C8"/>
    <w:rsid w:val="045B6EFC"/>
    <w:rsid w:val="045D72C7"/>
    <w:rsid w:val="04600287"/>
    <w:rsid w:val="046402BE"/>
    <w:rsid w:val="046441B2"/>
    <w:rsid w:val="0467540E"/>
    <w:rsid w:val="0468161E"/>
    <w:rsid w:val="046A643B"/>
    <w:rsid w:val="046E5307"/>
    <w:rsid w:val="047324FE"/>
    <w:rsid w:val="04787933"/>
    <w:rsid w:val="04796264"/>
    <w:rsid w:val="047A39D5"/>
    <w:rsid w:val="047F2D99"/>
    <w:rsid w:val="047F648C"/>
    <w:rsid w:val="04821155"/>
    <w:rsid w:val="0485721D"/>
    <w:rsid w:val="048B63AD"/>
    <w:rsid w:val="048F3572"/>
    <w:rsid w:val="04901A65"/>
    <w:rsid w:val="04921C3D"/>
    <w:rsid w:val="0492701B"/>
    <w:rsid w:val="04957D2E"/>
    <w:rsid w:val="0496152D"/>
    <w:rsid w:val="049770B4"/>
    <w:rsid w:val="04A31104"/>
    <w:rsid w:val="04A500AF"/>
    <w:rsid w:val="04A9587C"/>
    <w:rsid w:val="04AA63B6"/>
    <w:rsid w:val="04AE2218"/>
    <w:rsid w:val="04B255F7"/>
    <w:rsid w:val="04B3047C"/>
    <w:rsid w:val="04B61706"/>
    <w:rsid w:val="04B834EF"/>
    <w:rsid w:val="04B95068"/>
    <w:rsid w:val="04C1792C"/>
    <w:rsid w:val="04C57ABD"/>
    <w:rsid w:val="04C71DFD"/>
    <w:rsid w:val="04CD05C5"/>
    <w:rsid w:val="04D035F5"/>
    <w:rsid w:val="04D123CD"/>
    <w:rsid w:val="04D501CA"/>
    <w:rsid w:val="04D7142F"/>
    <w:rsid w:val="04D81AA8"/>
    <w:rsid w:val="04D8203E"/>
    <w:rsid w:val="04DC58E1"/>
    <w:rsid w:val="04DD5F4F"/>
    <w:rsid w:val="04DF5321"/>
    <w:rsid w:val="04E13250"/>
    <w:rsid w:val="04E14E8E"/>
    <w:rsid w:val="04E20BBA"/>
    <w:rsid w:val="04E473A1"/>
    <w:rsid w:val="04E572F2"/>
    <w:rsid w:val="04EE5790"/>
    <w:rsid w:val="04F81F65"/>
    <w:rsid w:val="04F91110"/>
    <w:rsid w:val="04FB550F"/>
    <w:rsid w:val="04FD0162"/>
    <w:rsid w:val="0500293C"/>
    <w:rsid w:val="0501715A"/>
    <w:rsid w:val="050363B3"/>
    <w:rsid w:val="050921BA"/>
    <w:rsid w:val="050A6217"/>
    <w:rsid w:val="050D73C0"/>
    <w:rsid w:val="051756C8"/>
    <w:rsid w:val="051B71D7"/>
    <w:rsid w:val="051C00A7"/>
    <w:rsid w:val="051C4A9F"/>
    <w:rsid w:val="051E1EC4"/>
    <w:rsid w:val="05235F87"/>
    <w:rsid w:val="05241B35"/>
    <w:rsid w:val="05310C15"/>
    <w:rsid w:val="05453FE3"/>
    <w:rsid w:val="05455307"/>
    <w:rsid w:val="05467D5B"/>
    <w:rsid w:val="054762E6"/>
    <w:rsid w:val="05477992"/>
    <w:rsid w:val="05521868"/>
    <w:rsid w:val="05557F9E"/>
    <w:rsid w:val="055661F0"/>
    <w:rsid w:val="05592E6C"/>
    <w:rsid w:val="056108FE"/>
    <w:rsid w:val="05653915"/>
    <w:rsid w:val="05656433"/>
    <w:rsid w:val="05660551"/>
    <w:rsid w:val="056970B8"/>
    <w:rsid w:val="056A3E77"/>
    <w:rsid w:val="05721CE4"/>
    <w:rsid w:val="057554FB"/>
    <w:rsid w:val="05757B51"/>
    <w:rsid w:val="057679DA"/>
    <w:rsid w:val="05782C7F"/>
    <w:rsid w:val="057D36D4"/>
    <w:rsid w:val="05837F5E"/>
    <w:rsid w:val="05875907"/>
    <w:rsid w:val="058A6009"/>
    <w:rsid w:val="058C2434"/>
    <w:rsid w:val="058D5616"/>
    <w:rsid w:val="058D6ABB"/>
    <w:rsid w:val="058E6E09"/>
    <w:rsid w:val="058F11EC"/>
    <w:rsid w:val="05934985"/>
    <w:rsid w:val="0593767F"/>
    <w:rsid w:val="05945248"/>
    <w:rsid w:val="05952C82"/>
    <w:rsid w:val="059D23F3"/>
    <w:rsid w:val="059D52F6"/>
    <w:rsid w:val="05A1721B"/>
    <w:rsid w:val="05A179AA"/>
    <w:rsid w:val="05A21435"/>
    <w:rsid w:val="05A264ED"/>
    <w:rsid w:val="05A356C7"/>
    <w:rsid w:val="05A46CFC"/>
    <w:rsid w:val="05A6269A"/>
    <w:rsid w:val="05A66251"/>
    <w:rsid w:val="05AA58B8"/>
    <w:rsid w:val="05AB18C4"/>
    <w:rsid w:val="05AD58C0"/>
    <w:rsid w:val="05B20F4D"/>
    <w:rsid w:val="05B31DC7"/>
    <w:rsid w:val="05B4253B"/>
    <w:rsid w:val="05B442C4"/>
    <w:rsid w:val="05B95624"/>
    <w:rsid w:val="05C066BC"/>
    <w:rsid w:val="05C611CE"/>
    <w:rsid w:val="05CD0BDE"/>
    <w:rsid w:val="05CF074C"/>
    <w:rsid w:val="05CF5064"/>
    <w:rsid w:val="05D64C8C"/>
    <w:rsid w:val="05DA4367"/>
    <w:rsid w:val="05DE61E6"/>
    <w:rsid w:val="05E01F5E"/>
    <w:rsid w:val="05E05350"/>
    <w:rsid w:val="05E10961"/>
    <w:rsid w:val="05E41A4E"/>
    <w:rsid w:val="05E71FB0"/>
    <w:rsid w:val="05E879A5"/>
    <w:rsid w:val="05EB0642"/>
    <w:rsid w:val="05EC719D"/>
    <w:rsid w:val="05ED6B19"/>
    <w:rsid w:val="05EF1EAD"/>
    <w:rsid w:val="05F65EB3"/>
    <w:rsid w:val="05F73BE2"/>
    <w:rsid w:val="05F85039"/>
    <w:rsid w:val="05FA005A"/>
    <w:rsid w:val="05FC32B6"/>
    <w:rsid w:val="05FE41FA"/>
    <w:rsid w:val="05FF5B72"/>
    <w:rsid w:val="06011FFF"/>
    <w:rsid w:val="060318F6"/>
    <w:rsid w:val="06077939"/>
    <w:rsid w:val="060A7125"/>
    <w:rsid w:val="060C4B01"/>
    <w:rsid w:val="060F45F1"/>
    <w:rsid w:val="06141C07"/>
    <w:rsid w:val="06153DBF"/>
    <w:rsid w:val="061610B5"/>
    <w:rsid w:val="06187C62"/>
    <w:rsid w:val="061C481C"/>
    <w:rsid w:val="06201651"/>
    <w:rsid w:val="0622504D"/>
    <w:rsid w:val="0626297C"/>
    <w:rsid w:val="06284AC5"/>
    <w:rsid w:val="06293E6D"/>
    <w:rsid w:val="062A14DC"/>
    <w:rsid w:val="062A3893"/>
    <w:rsid w:val="062B671E"/>
    <w:rsid w:val="062B67A8"/>
    <w:rsid w:val="06370D08"/>
    <w:rsid w:val="063B5C66"/>
    <w:rsid w:val="063F3B0B"/>
    <w:rsid w:val="06425E5C"/>
    <w:rsid w:val="064424ED"/>
    <w:rsid w:val="06467C7A"/>
    <w:rsid w:val="06497AA9"/>
    <w:rsid w:val="064E0415"/>
    <w:rsid w:val="064E79AC"/>
    <w:rsid w:val="065C3193"/>
    <w:rsid w:val="065F2CC3"/>
    <w:rsid w:val="065F5FB7"/>
    <w:rsid w:val="06624721"/>
    <w:rsid w:val="06627D7A"/>
    <w:rsid w:val="066F698A"/>
    <w:rsid w:val="06735BBD"/>
    <w:rsid w:val="06801DB9"/>
    <w:rsid w:val="0681249E"/>
    <w:rsid w:val="06837C81"/>
    <w:rsid w:val="06856AF3"/>
    <w:rsid w:val="0686568B"/>
    <w:rsid w:val="068B547E"/>
    <w:rsid w:val="068D7A88"/>
    <w:rsid w:val="0690363C"/>
    <w:rsid w:val="069166A8"/>
    <w:rsid w:val="06976974"/>
    <w:rsid w:val="069F26BD"/>
    <w:rsid w:val="06A22D94"/>
    <w:rsid w:val="06A3214A"/>
    <w:rsid w:val="06A40330"/>
    <w:rsid w:val="06AF6467"/>
    <w:rsid w:val="06B156A8"/>
    <w:rsid w:val="06B60FFF"/>
    <w:rsid w:val="06B84607"/>
    <w:rsid w:val="06BA455D"/>
    <w:rsid w:val="06BD2262"/>
    <w:rsid w:val="06BD54D5"/>
    <w:rsid w:val="06BE74B8"/>
    <w:rsid w:val="06C75404"/>
    <w:rsid w:val="06C76C7A"/>
    <w:rsid w:val="06CC0B36"/>
    <w:rsid w:val="06D10EA0"/>
    <w:rsid w:val="06D231ED"/>
    <w:rsid w:val="06D8239E"/>
    <w:rsid w:val="06DC39DB"/>
    <w:rsid w:val="06E432B5"/>
    <w:rsid w:val="06E73A93"/>
    <w:rsid w:val="06E94E42"/>
    <w:rsid w:val="06E969AB"/>
    <w:rsid w:val="06EA7C14"/>
    <w:rsid w:val="06EC66E0"/>
    <w:rsid w:val="06ED502F"/>
    <w:rsid w:val="06EF5E3B"/>
    <w:rsid w:val="06F135BB"/>
    <w:rsid w:val="06F15AA5"/>
    <w:rsid w:val="06F86A4C"/>
    <w:rsid w:val="06F9484D"/>
    <w:rsid w:val="06FB2FF5"/>
    <w:rsid w:val="06FD7603"/>
    <w:rsid w:val="070003EE"/>
    <w:rsid w:val="070103DE"/>
    <w:rsid w:val="07025D14"/>
    <w:rsid w:val="07031DF0"/>
    <w:rsid w:val="0703641F"/>
    <w:rsid w:val="07041994"/>
    <w:rsid w:val="070C6A79"/>
    <w:rsid w:val="070E3C81"/>
    <w:rsid w:val="070E5271"/>
    <w:rsid w:val="070F188B"/>
    <w:rsid w:val="071075CB"/>
    <w:rsid w:val="07136403"/>
    <w:rsid w:val="07171801"/>
    <w:rsid w:val="071A3058"/>
    <w:rsid w:val="071F2CFC"/>
    <w:rsid w:val="07214B27"/>
    <w:rsid w:val="07215B8C"/>
    <w:rsid w:val="07216F4F"/>
    <w:rsid w:val="072266D1"/>
    <w:rsid w:val="0726228F"/>
    <w:rsid w:val="072E0AA7"/>
    <w:rsid w:val="072F0F5B"/>
    <w:rsid w:val="072F6DEF"/>
    <w:rsid w:val="0730479F"/>
    <w:rsid w:val="07347751"/>
    <w:rsid w:val="07385A6B"/>
    <w:rsid w:val="073A05FF"/>
    <w:rsid w:val="073F21D6"/>
    <w:rsid w:val="07424B85"/>
    <w:rsid w:val="074402CA"/>
    <w:rsid w:val="07441231"/>
    <w:rsid w:val="07456B8A"/>
    <w:rsid w:val="074829CB"/>
    <w:rsid w:val="0749110F"/>
    <w:rsid w:val="074942C6"/>
    <w:rsid w:val="07500AA3"/>
    <w:rsid w:val="075D7700"/>
    <w:rsid w:val="07624EF4"/>
    <w:rsid w:val="076F0EEE"/>
    <w:rsid w:val="076F2302"/>
    <w:rsid w:val="07706000"/>
    <w:rsid w:val="07765051"/>
    <w:rsid w:val="077741FC"/>
    <w:rsid w:val="077F1302"/>
    <w:rsid w:val="07812D8B"/>
    <w:rsid w:val="07827ED5"/>
    <w:rsid w:val="07860EB2"/>
    <w:rsid w:val="078618B8"/>
    <w:rsid w:val="07875709"/>
    <w:rsid w:val="07905053"/>
    <w:rsid w:val="07971F69"/>
    <w:rsid w:val="079A613C"/>
    <w:rsid w:val="079C3C62"/>
    <w:rsid w:val="079E73A6"/>
    <w:rsid w:val="079F42D9"/>
    <w:rsid w:val="07A3126D"/>
    <w:rsid w:val="07AA45D1"/>
    <w:rsid w:val="07AE1574"/>
    <w:rsid w:val="07B156FC"/>
    <w:rsid w:val="07B3723C"/>
    <w:rsid w:val="07B55475"/>
    <w:rsid w:val="07BA5014"/>
    <w:rsid w:val="07BC4304"/>
    <w:rsid w:val="07BD4F74"/>
    <w:rsid w:val="07C10465"/>
    <w:rsid w:val="07C12F11"/>
    <w:rsid w:val="07C1389A"/>
    <w:rsid w:val="07C31799"/>
    <w:rsid w:val="07C31BC5"/>
    <w:rsid w:val="07C6073B"/>
    <w:rsid w:val="07C6477B"/>
    <w:rsid w:val="07C67BD0"/>
    <w:rsid w:val="07CC09EB"/>
    <w:rsid w:val="07CD14C6"/>
    <w:rsid w:val="07CF5DE6"/>
    <w:rsid w:val="07D267E8"/>
    <w:rsid w:val="07D31D63"/>
    <w:rsid w:val="07D4259A"/>
    <w:rsid w:val="07D6456F"/>
    <w:rsid w:val="07D64C44"/>
    <w:rsid w:val="07D84C4B"/>
    <w:rsid w:val="07DB6796"/>
    <w:rsid w:val="07DF16E1"/>
    <w:rsid w:val="07DF756E"/>
    <w:rsid w:val="07E37EB2"/>
    <w:rsid w:val="07E623FE"/>
    <w:rsid w:val="07EC3D00"/>
    <w:rsid w:val="07EE4348"/>
    <w:rsid w:val="07F12200"/>
    <w:rsid w:val="07F67816"/>
    <w:rsid w:val="07F7533D"/>
    <w:rsid w:val="07F80307"/>
    <w:rsid w:val="07FE66CB"/>
    <w:rsid w:val="07FF1788"/>
    <w:rsid w:val="08020957"/>
    <w:rsid w:val="0807113B"/>
    <w:rsid w:val="080737D2"/>
    <w:rsid w:val="080833FD"/>
    <w:rsid w:val="080B64C4"/>
    <w:rsid w:val="080D18D5"/>
    <w:rsid w:val="081128B1"/>
    <w:rsid w:val="081508EA"/>
    <w:rsid w:val="081E41E2"/>
    <w:rsid w:val="081F5EB6"/>
    <w:rsid w:val="081F7A0E"/>
    <w:rsid w:val="08261334"/>
    <w:rsid w:val="08272D3C"/>
    <w:rsid w:val="082D0FA0"/>
    <w:rsid w:val="083159C3"/>
    <w:rsid w:val="0834105E"/>
    <w:rsid w:val="08362309"/>
    <w:rsid w:val="08365D32"/>
    <w:rsid w:val="08370D4C"/>
    <w:rsid w:val="08374E18"/>
    <w:rsid w:val="083D4460"/>
    <w:rsid w:val="083F1131"/>
    <w:rsid w:val="0840221F"/>
    <w:rsid w:val="0845623E"/>
    <w:rsid w:val="08470351"/>
    <w:rsid w:val="084B315C"/>
    <w:rsid w:val="084B4055"/>
    <w:rsid w:val="084C18B8"/>
    <w:rsid w:val="08527909"/>
    <w:rsid w:val="08532FE9"/>
    <w:rsid w:val="085B71D4"/>
    <w:rsid w:val="085E53BC"/>
    <w:rsid w:val="08620612"/>
    <w:rsid w:val="08630558"/>
    <w:rsid w:val="086504F8"/>
    <w:rsid w:val="08687C2A"/>
    <w:rsid w:val="086A160D"/>
    <w:rsid w:val="086D2801"/>
    <w:rsid w:val="087542B2"/>
    <w:rsid w:val="08766BA9"/>
    <w:rsid w:val="087D5842"/>
    <w:rsid w:val="08806083"/>
    <w:rsid w:val="088132D1"/>
    <w:rsid w:val="08835E32"/>
    <w:rsid w:val="0887259F"/>
    <w:rsid w:val="08872F45"/>
    <w:rsid w:val="08891179"/>
    <w:rsid w:val="0889351D"/>
    <w:rsid w:val="088A4C7A"/>
    <w:rsid w:val="088B48FF"/>
    <w:rsid w:val="08901A26"/>
    <w:rsid w:val="0893717D"/>
    <w:rsid w:val="089552EA"/>
    <w:rsid w:val="08961C1D"/>
    <w:rsid w:val="08964E3E"/>
    <w:rsid w:val="089B216C"/>
    <w:rsid w:val="089F02DC"/>
    <w:rsid w:val="08A30F02"/>
    <w:rsid w:val="08A62264"/>
    <w:rsid w:val="08A722D7"/>
    <w:rsid w:val="08AA0601"/>
    <w:rsid w:val="08AA52B7"/>
    <w:rsid w:val="08B56C78"/>
    <w:rsid w:val="08B576D2"/>
    <w:rsid w:val="08B603F3"/>
    <w:rsid w:val="08BD4F78"/>
    <w:rsid w:val="08D15CCC"/>
    <w:rsid w:val="08D5567E"/>
    <w:rsid w:val="08DA1F04"/>
    <w:rsid w:val="08E0654E"/>
    <w:rsid w:val="08E104A3"/>
    <w:rsid w:val="08EA1056"/>
    <w:rsid w:val="08ED22FA"/>
    <w:rsid w:val="08F16230"/>
    <w:rsid w:val="08F30DBE"/>
    <w:rsid w:val="08F56AD5"/>
    <w:rsid w:val="08F74A37"/>
    <w:rsid w:val="08F8353B"/>
    <w:rsid w:val="08FB166A"/>
    <w:rsid w:val="08FF094D"/>
    <w:rsid w:val="08FF26FB"/>
    <w:rsid w:val="09014C2D"/>
    <w:rsid w:val="090B3CA3"/>
    <w:rsid w:val="090D1421"/>
    <w:rsid w:val="090D7807"/>
    <w:rsid w:val="09170BF1"/>
    <w:rsid w:val="091B4B5C"/>
    <w:rsid w:val="091B505B"/>
    <w:rsid w:val="09242161"/>
    <w:rsid w:val="09340EC3"/>
    <w:rsid w:val="09342499"/>
    <w:rsid w:val="09397971"/>
    <w:rsid w:val="093B2311"/>
    <w:rsid w:val="09400926"/>
    <w:rsid w:val="09414AC1"/>
    <w:rsid w:val="09424036"/>
    <w:rsid w:val="09424D1C"/>
    <w:rsid w:val="0946657C"/>
    <w:rsid w:val="0947084A"/>
    <w:rsid w:val="0948695F"/>
    <w:rsid w:val="09491F51"/>
    <w:rsid w:val="094A02B6"/>
    <w:rsid w:val="094B3F2F"/>
    <w:rsid w:val="094D6F5C"/>
    <w:rsid w:val="0951424E"/>
    <w:rsid w:val="0954358B"/>
    <w:rsid w:val="09572537"/>
    <w:rsid w:val="095C1E89"/>
    <w:rsid w:val="095D1E13"/>
    <w:rsid w:val="096133B5"/>
    <w:rsid w:val="09670E51"/>
    <w:rsid w:val="09697100"/>
    <w:rsid w:val="096D4589"/>
    <w:rsid w:val="09715D1D"/>
    <w:rsid w:val="09722ECD"/>
    <w:rsid w:val="09742E22"/>
    <w:rsid w:val="09745EFB"/>
    <w:rsid w:val="09750ACE"/>
    <w:rsid w:val="097535BC"/>
    <w:rsid w:val="097924AD"/>
    <w:rsid w:val="097E0E9C"/>
    <w:rsid w:val="097F4158"/>
    <w:rsid w:val="09815806"/>
    <w:rsid w:val="09821238"/>
    <w:rsid w:val="098C082F"/>
    <w:rsid w:val="099217C1"/>
    <w:rsid w:val="0993788D"/>
    <w:rsid w:val="09952E2A"/>
    <w:rsid w:val="099759C8"/>
    <w:rsid w:val="099C2434"/>
    <w:rsid w:val="099E1F14"/>
    <w:rsid w:val="09A42D99"/>
    <w:rsid w:val="09A7513C"/>
    <w:rsid w:val="09AB3DD1"/>
    <w:rsid w:val="09B27489"/>
    <w:rsid w:val="09BA1C3B"/>
    <w:rsid w:val="09BF238B"/>
    <w:rsid w:val="09C67978"/>
    <w:rsid w:val="09D35EC1"/>
    <w:rsid w:val="09DF4C99"/>
    <w:rsid w:val="09E564B8"/>
    <w:rsid w:val="09E72F9D"/>
    <w:rsid w:val="09EA4169"/>
    <w:rsid w:val="09EC1A4A"/>
    <w:rsid w:val="09EC4B1D"/>
    <w:rsid w:val="09ED4D69"/>
    <w:rsid w:val="09EE01B8"/>
    <w:rsid w:val="09EF0C15"/>
    <w:rsid w:val="09F73012"/>
    <w:rsid w:val="09FA52F8"/>
    <w:rsid w:val="09FB1DE8"/>
    <w:rsid w:val="0A002E4F"/>
    <w:rsid w:val="0A003262"/>
    <w:rsid w:val="0A0A6661"/>
    <w:rsid w:val="0A0B3F39"/>
    <w:rsid w:val="0A0F5A24"/>
    <w:rsid w:val="0A1048B9"/>
    <w:rsid w:val="0A115B9F"/>
    <w:rsid w:val="0A117A4A"/>
    <w:rsid w:val="0A1254C0"/>
    <w:rsid w:val="0A140428"/>
    <w:rsid w:val="0A140E60"/>
    <w:rsid w:val="0A1579EA"/>
    <w:rsid w:val="0A18031C"/>
    <w:rsid w:val="0A194215"/>
    <w:rsid w:val="0A1C23E3"/>
    <w:rsid w:val="0A1E4E03"/>
    <w:rsid w:val="0A2605D9"/>
    <w:rsid w:val="0A325BF1"/>
    <w:rsid w:val="0A3473DF"/>
    <w:rsid w:val="0A3524B6"/>
    <w:rsid w:val="0A3820A3"/>
    <w:rsid w:val="0A39113B"/>
    <w:rsid w:val="0A393E77"/>
    <w:rsid w:val="0A397C82"/>
    <w:rsid w:val="0A410AF1"/>
    <w:rsid w:val="0A414FB3"/>
    <w:rsid w:val="0A4512E5"/>
    <w:rsid w:val="0A4707FD"/>
    <w:rsid w:val="0A4E39BC"/>
    <w:rsid w:val="0A5005D8"/>
    <w:rsid w:val="0A5819F1"/>
    <w:rsid w:val="0A605CE2"/>
    <w:rsid w:val="0A6223BB"/>
    <w:rsid w:val="0A674113"/>
    <w:rsid w:val="0A685C97"/>
    <w:rsid w:val="0A6964A7"/>
    <w:rsid w:val="0A6F788E"/>
    <w:rsid w:val="0A710471"/>
    <w:rsid w:val="0A71382C"/>
    <w:rsid w:val="0A755E13"/>
    <w:rsid w:val="0A7A375D"/>
    <w:rsid w:val="0A7C0A44"/>
    <w:rsid w:val="0A7C1511"/>
    <w:rsid w:val="0A88322A"/>
    <w:rsid w:val="0A8A06EA"/>
    <w:rsid w:val="0A8A48C1"/>
    <w:rsid w:val="0A8F7C35"/>
    <w:rsid w:val="0A9214F3"/>
    <w:rsid w:val="0A9357C9"/>
    <w:rsid w:val="0A955B09"/>
    <w:rsid w:val="0A963055"/>
    <w:rsid w:val="0A9876D7"/>
    <w:rsid w:val="0A9A63D1"/>
    <w:rsid w:val="0A9B184E"/>
    <w:rsid w:val="0A9C4781"/>
    <w:rsid w:val="0A9D4D8B"/>
    <w:rsid w:val="0A9D666F"/>
    <w:rsid w:val="0AA92168"/>
    <w:rsid w:val="0AAB4748"/>
    <w:rsid w:val="0AAE6745"/>
    <w:rsid w:val="0AAF1D1B"/>
    <w:rsid w:val="0AB11FED"/>
    <w:rsid w:val="0AB25CBD"/>
    <w:rsid w:val="0AB543CF"/>
    <w:rsid w:val="0ABB7F29"/>
    <w:rsid w:val="0AC141B6"/>
    <w:rsid w:val="0AC7370B"/>
    <w:rsid w:val="0AD218BD"/>
    <w:rsid w:val="0AD3491F"/>
    <w:rsid w:val="0AD659AD"/>
    <w:rsid w:val="0AD947C8"/>
    <w:rsid w:val="0AD9523C"/>
    <w:rsid w:val="0ADA6043"/>
    <w:rsid w:val="0AE4604C"/>
    <w:rsid w:val="0AE60C5F"/>
    <w:rsid w:val="0AF12958"/>
    <w:rsid w:val="0AF86FA9"/>
    <w:rsid w:val="0AF918CF"/>
    <w:rsid w:val="0AFA0B65"/>
    <w:rsid w:val="0B0009AC"/>
    <w:rsid w:val="0B024724"/>
    <w:rsid w:val="0B055CC3"/>
    <w:rsid w:val="0B06433B"/>
    <w:rsid w:val="0B081B22"/>
    <w:rsid w:val="0B0E4080"/>
    <w:rsid w:val="0B101AA4"/>
    <w:rsid w:val="0B11457D"/>
    <w:rsid w:val="0B13160C"/>
    <w:rsid w:val="0B143EF7"/>
    <w:rsid w:val="0B14662F"/>
    <w:rsid w:val="0B253F95"/>
    <w:rsid w:val="0B2F12B9"/>
    <w:rsid w:val="0B2F4A1B"/>
    <w:rsid w:val="0B36265A"/>
    <w:rsid w:val="0B370C21"/>
    <w:rsid w:val="0B372AC4"/>
    <w:rsid w:val="0B383136"/>
    <w:rsid w:val="0B3A2110"/>
    <w:rsid w:val="0B3E1D1E"/>
    <w:rsid w:val="0B41349E"/>
    <w:rsid w:val="0B473C91"/>
    <w:rsid w:val="0B495799"/>
    <w:rsid w:val="0B4B3FE0"/>
    <w:rsid w:val="0B4B7FEB"/>
    <w:rsid w:val="0B4F4D20"/>
    <w:rsid w:val="0B586CD6"/>
    <w:rsid w:val="0B5F3925"/>
    <w:rsid w:val="0B5F757A"/>
    <w:rsid w:val="0B625644"/>
    <w:rsid w:val="0B65090D"/>
    <w:rsid w:val="0B656334"/>
    <w:rsid w:val="0B6A038D"/>
    <w:rsid w:val="0B6A1952"/>
    <w:rsid w:val="0B71322B"/>
    <w:rsid w:val="0B7241BE"/>
    <w:rsid w:val="0B733044"/>
    <w:rsid w:val="0B795AEB"/>
    <w:rsid w:val="0B7A48C9"/>
    <w:rsid w:val="0B7D76AD"/>
    <w:rsid w:val="0B7E1768"/>
    <w:rsid w:val="0B7E252B"/>
    <w:rsid w:val="0B7E2E29"/>
    <w:rsid w:val="0B7F6E60"/>
    <w:rsid w:val="0B8028B6"/>
    <w:rsid w:val="0B89350B"/>
    <w:rsid w:val="0B8C3FEE"/>
    <w:rsid w:val="0B8E1E49"/>
    <w:rsid w:val="0B8E40BD"/>
    <w:rsid w:val="0B8F6A6B"/>
    <w:rsid w:val="0B973CCF"/>
    <w:rsid w:val="0B980635"/>
    <w:rsid w:val="0B9F21C4"/>
    <w:rsid w:val="0BA16E92"/>
    <w:rsid w:val="0BA553E0"/>
    <w:rsid w:val="0BAA481A"/>
    <w:rsid w:val="0BAB0B5A"/>
    <w:rsid w:val="0BAD4176"/>
    <w:rsid w:val="0BB72EEC"/>
    <w:rsid w:val="0BC15688"/>
    <w:rsid w:val="0BC40CAC"/>
    <w:rsid w:val="0BCB2CB7"/>
    <w:rsid w:val="0BCE5141"/>
    <w:rsid w:val="0BCF16C5"/>
    <w:rsid w:val="0BD30718"/>
    <w:rsid w:val="0BD30FE9"/>
    <w:rsid w:val="0BD56DCA"/>
    <w:rsid w:val="0BD56F5F"/>
    <w:rsid w:val="0BD76B24"/>
    <w:rsid w:val="0BE3318D"/>
    <w:rsid w:val="0BE873A6"/>
    <w:rsid w:val="0BE9260A"/>
    <w:rsid w:val="0BF30BC5"/>
    <w:rsid w:val="0BF3738F"/>
    <w:rsid w:val="0BF4523A"/>
    <w:rsid w:val="0BF54B12"/>
    <w:rsid w:val="0BF60263"/>
    <w:rsid w:val="0BF901CD"/>
    <w:rsid w:val="0BFF1B26"/>
    <w:rsid w:val="0C0B7609"/>
    <w:rsid w:val="0C13154B"/>
    <w:rsid w:val="0C190A75"/>
    <w:rsid w:val="0C1C0799"/>
    <w:rsid w:val="0C20248C"/>
    <w:rsid w:val="0C2112B1"/>
    <w:rsid w:val="0C2212AA"/>
    <w:rsid w:val="0C244E75"/>
    <w:rsid w:val="0C253989"/>
    <w:rsid w:val="0C295AA7"/>
    <w:rsid w:val="0C2F4BDA"/>
    <w:rsid w:val="0C3A196A"/>
    <w:rsid w:val="0C416856"/>
    <w:rsid w:val="0C42194D"/>
    <w:rsid w:val="0C4604C1"/>
    <w:rsid w:val="0C471B51"/>
    <w:rsid w:val="0C5153FE"/>
    <w:rsid w:val="0C5350A6"/>
    <w:rsid w:val="0C5A3486"/>
    <w:rsid w:val="0C5C06B2"/>
    <w:rsid w:val="0C5D4061"/>
    <w:rsid w:val="0C5D7D80"/>
    <w:rsid w:val="0C627835"/>
    <w:rsid w:val="0C6449DC"/>
    <w:rsid w:val="0C6C4786"/>
    <w:rsid w:val="0C6D3EAE"/>
    <w:rsid w:val="0C6D62F9"/>
    <w:rsid w:val="0C712A75"/>
    <w:rsid w:val="0C7156BE"/>
    <w:rsid w:val="0C721F12"/>
    <w:rsid w:val="0C722B2E"/>
    <w:rsid w:val="0C7240F2"/>
    <w:rsid w:val="0C752919"/>
    <w:rsid w:val="0C77761B"/>
    <w:rsid w:val="0C7B669C"/>
    <w:rsid w:val="0C8000D8"/>
    <w:rsid w:val="0C814381"/>
    <w:rsid w:val="0C8353F1"/>
    <w:rsid w:val="0C8531F6"/>
    <w:rsid w:val="0C8557FA"/>
    <w:rsid w:val="0C865C61"/>
    <w:rsid w:val="0C8912E7"/>
    <w:rsid w:val="0C8A2FC6"/>
    <w:rsid w:val="0C8D2002"/>
    <w:rsid w:val="0C8E47F0"/>
    <w:rsid w:val="0C933490"/>
    <w:rsid w:val="0C966112"/>
    <w:rsid w:val="0C966B53"/>
    <w:rsid w:val="0C9A23C8"/>
    <w:rsid w:val="0C9B77F7"/>
    <w:rsid w:val="0C9D2956"/>
    <w:rsid w:val="0C9E578F"/>
    <w:rsid w:val="0CA12074"/>
    <w:rsid w:val="0CA9639D"/>
    <w:rsid w:val="0CAA33A9"/>
    <w:rsid w:val="0CAB3B91"/>
    <w:rsid w:val="0CAC72F0"/>
    <w:rsid w:val="0CAD06CE"/>
    <w:rsid w:val="0CB657C6"/>
    <w:rsid w:val="0CB72B04"/>
    <w:rsid w:val="0CB81F92"/>
    <w:rsid w:val="0CB94C54"/>
    <w:rsid w:val="0CB952B6"/>
    <w:rsid w:val="0CBE339F"/>
    <w:rsid w:val="0CBE7328"/>
    <w:rsid w:val="0CC243EB"/>
    <w:rsid w:val="0CC52BCF"/>
    <w:rsid w:val="0CCB0A4F"/>
    <w:rsid w:val="0CD10852"/>
    <w:rsid w:val="0CD10CC4"/>
    <w:rsid w:val="0CD52839"/>
    <w:rsid w:val="0CD55035"/>
    <w:rsid w:val="0CD63518"/>
    <w:rsid w:val="0CDA4950"/>
    <w:rsid w:val="0CE660F1"/>
    <w:rsid w:val="0CEA2434"/>
    <w:rsid w:val="0CEB54B1"/>
    <w:rsid w:val="0CED1744"/>
    <w:rsid w:val="0CEF2A86"/>
    <w:rsid w:val="0CF022AC"/>
    <w:rsid w:val="0CF147A9"/>
    <w:rsid w:val="0CF168CA"/>
    <w:rsid w:val="0CF81646"/>
    <w:rsid w:val="0CF8247C"/>
    <w:rsid w:val="0CFA0A4C"/>
    <w:rsid w:val="0CFC6E0F"/>
    <w:rsid w:val="0CFF4D55"/>
    <w:rsid w:val="0D047BD5"/>
    <w:rsid w:val="0D05751D"/>
    <w:rsid w:val="0D07099D"/>
    <w:rsid w:val="0D08369A"/>
    <w:rsid w:val="0D0A01D1"/>
    <w:rsid w:val="0D0A2DD2"/>
    <w:rsid w:val="0D0F0C82"/>
    <w:rsid w:val="0D0F4ED6"/>
    <w:rsid w:val="0D1134F2"/>
    <w:rsid w:val="0D120370"/>
    <w:rsid w:val="0D125840"/>
    <w:rsid w:val="0D141B00"/>
    <w:rsid w:val="0D15648E"/>
    <w:rsid w:val="0D185733"/>
    <w:rsid w:val="0D186106"/>
    <w:rsid w:val="0D1A1606"/>
    <w:rsid w:val="0D1B1ACD"/>
    <w:rsid w:val="0D2026AE"/>
    <w:rsid w:val="0D2334A3"/>
    <w:rsid w:val="0D2441DC"/>
    <w:rsid w:val="0D2A1AB9"/>
    <w:rsid w:val="0D2C4EF6"/>
    <w:rsid w:val="0D2E5F77"/>
    <w:rsid w:val="0D370585"/>
    <w:rsid w:val="0D375B65"/>
    <w:rsid w:val="0D383AA4"/>
    <w:rsid w:val="0D383B00"/>
    <w:rsid w:val="0D38442D"/>
    <w:rsid w:val="0D387990"/>
    <w:rsid w:val="0D39317C"/>
    <w:rsid w:val="0D3A1F53"/>
    <w:rsid w:val="0D3B7FEA"/>
    <w:rsid w:val="0D3F3E68"/>
    <w:rsid w:val="0D425700"/>
    <w:rsid w:val="0D442DC1"/>
    <w:rsid w:val="0D453880"/>
    <w:rsid w:val="0D477518"/>
    <w:rsid w:val="0D4A37F8"/>
    <w:rsid w:val="0D4A54D6"/>
    <w:rsid w:val="0D4B23FE"/>
    <w:rsid w:val="0D4E2564"/>
    <w:rsid w:val="0D4F4AA7"/>
    <w:rsid w:val="0D521D20"/>
    <w:rsid w:val="0D5346B6"/>
    <w:rsid w:val="0D554FDF"/>
    <w:rsid w:val="0D5B011C"/>
    <w:rsid w:val="0D5B2EE7"/>
    <w:rsid w:val="0D621371"/>
    <w:rsid w:val="0D6253DE"/>
    <w:rsid w:val="0D645E17"/>
    <w:rsid w:val="0D664608"/>
    <w:rsid w:val="0D6671EC"/>
    <w:rsid w:val="0D667FDC"/>
    <w:rsid w:val="0D6A08ED"/>
    <w:rsid w:val="0D701DE1"/>
    <w:rsid w:val="0D72487B"/>
    <w:rsid w:val="0D7C12A6"/>
    <w:rsid w:val="0D8330FF"/>
    <w:rsid w:val="0D841421"/>
    <w:rsid w:val="0D845969"/>
    <w:rsid w:val="0D8F59D5"/>
    <w:rsid w:val="0D8F5FCA"/>
    <w:rsid w:val="0D95362E"/>
    <w:rsid w:val="0D980078"/>
    <w:rsid w:val="0D9A45DF"/>
    <w:rsid w:val="0DA05A1E"/>
    <w:rsid w:val="0DA15239"/>
    <w:rsid w:val="0DA33F9D"/>
    <w:rsid w:val="0DA93588"/>
    <w:rsid w:val="0DB408BA"/>
    <w:rsid w:val="0DB64CAA"/>
    <w:rsid w:val="0DBA12E6"/>
    <w:rsid w:val="0DBB20F0"/>
    <w:rsid w:val="0DBC1468"/>
    <w:rsid w:val="0DC22427"/>
    <w:rsid w:val="0DC23A88"/>
    <w:rsid w:val="0DC53122"/>
    <w:rsid w:val="0DCC49B6"/>
    <w:rsid w:val="0DCD6E2C"/>
    <w:rsid w:val="0DCE2D7C"/>
    <w:rsid w:val="0DCF3D45"/>
    <w:rsid w:val="0DD31445"/>
    <w:rsid w:val="0DD52EAB"/>
    <w:rsid w:val="0DD57ECE"/>
    <w:rsid w:val="0DD73C46"/>
    <w:rsid w:val="0DDF4AB1"/>
    <w:rsid w:val="0DE06D36"/>
    <w:rsid w:val="0DE41958"/>
    <w:rsid w:val="0DE739D1"/>
    <w:rsid w:val="0DE776D8"/>
    <w:rsid w:val="0DF17F28"/>
    <w:rsid w:val="0DF5231E"/>
    <w:rsid w:val="0DF63928"/>
    <w:rsid w:val="0DF67552"/>
    <w:rsid w:val="0DFA2CD6"/>
    <w:rsid w:val="0DFC5082"/>
    <w:rsid w:val="0DFC6CD9"/>
    <w:rsid w:val="0DFD1CA5"/>
    <w:rsid w:val="0DFF4C9E"/>
    <w:rsid w:val="0E007ABF"/>
    <w:rsid w:val="0E073833"/>
    <w:rsid w:val="0E0D1416"/>
    <w:rsid w:val="0E0D39BA"/>
    <w:rsid w:val="0E0E07A1"/>
    <w:rsid w:val="0E142078"/>
    <w:rsid w:val="0E142097"/>
    <w:rsid w:val="0E160310"/>
    <w:rsid w:val="0E18160C"/>
    <w:rsid w:val="0E1A4816"/>
    <w:rsid w:val="0E1E6066"/>
    <w:rsid w:val="0E1F33D6"/>
    <w:rsid w:val="0E2022F7"/>
    <w:rsid w:val="0E207CBE"/>
    <w:rsid w:val="0E230C39"/>
    <w:rsid w:val="0E236A35"/>
    <w:rsid w:val="0E2373CF"/>
    <w:rsid w:val="0E26520F"/>
    <w:rsid w:val="0E284CB5"/>
    <w:rsid w:val="0E2A3CC2"/>
    <w:rsid w:val="0E2C21E4"/>
    <w:rsid w:val="0E2F2DB2"/>
    <w:rsid w:val="0E3069F8"/>
    <w:rsid w:val="0E343B2B"/>
    <w:rsid w:val="0E362465"/>
    <w:rsid w:val="0E37269F"/>
    <w:rsid w:val="0E3B77C5"/>
    <w:rsid w:val="0E3C5AE8"/>
    <w:rsid w:val="0E3C7C7B"/>
    <w:rsid w:val="0E420118"/>
    <w:rsid w:val="0E4E523F"/>
    <w:rsid w:val="0E536185"/>
    <w:rsid w:val="0E552F51"/>
    <w:rsid w:val="0E5666EE"/>
    <w:rsid w:val="0E5B1BC1"/>
    <w:rsid w:val="0E5C6447"/>
    <w:rsid w:val="0E613657"/>
    <w:rsid w:val="0E65008C"/>
    <w:rsid w:val="0E6549B2"/>
    <w:rsid w:val="0E660AE4"/>
    <w:rsid w:val="0E665CAE"/>
    <w:rsid w:val="0E680436"/>
    <w:rsid w:val="0E692F38"/>
    <w:rsid w:val="0E69745F"/>
    <w:rsid w:val="0E6C7C4B"/>
    <w:rsid w:val="0E6D6391"/>
    <w:rsid w:val="0E704310"/>
    <w:rsid w:val="0E742487"/>
    <w:rsid w:val="0E787115"/>
    <w:rsid w:val="0E794667"/>
    <w:rsid w:val="0E79539D"/>
    <w:rsid w:val="0E7C0EB4"/>
    <w:rsid w:val="0E820056"/>
    <w:rsid w:val="0E83781C"/>
    <w:rsid w:val="0E865D17"/>
    <w:rsid w:val="0E8D6581"/>
    <w:rsid w:val="0E8E3D8C"/>
    <w:rsid w:val="0E906819"/>
    <w:rsid w:val="0E912D6F"/>
    <w:rsid w:val="0E91602B"/>
    <w:rsid w:val="0E94053F"/>
    <w:rsid w:val="0E9841FC"/>
    <w:rsid w:val="0E9A6252"/>
    <w:rsid w:val="0E9C4B20"/>
    <w:rsid w:val="0E9D552F"/>
    <w:rsid w:val="0EA71CEC"/>
    <w:rsid w:val="0EAD0CF4"/>
    <w:rsid w:val="0EAD2B27"/>
    <w:rsid w:val="0EAD50E7"/>
    <w:rsid w:val="0EB135BA"/>
    <w:rsid w:val="0EB4788E"/>
    <w:rsid w:val="0EB61AAE"/>
    <w:rsid w:val="0EB775D4"/>
    <w:rsid w:val="0EB831EB"/>
    <w:rsid w:val="0EBA2416"/>
    <w:rsid w:val="0EBA7893"/>
    <w:rsid w:val="0EBD6463"/>
    <w:rsid w:val="0EBD6751"/>
    <w:rsid w:val="0EBF5FFA"/>
    <w:rsid w:val="0EC63EAF"/>
    <w:rsid w:val="0EC643CC"/>
    <w:rsid w:val="0EC6591B"/>
    <w:rsid w:val="0EC70BA4"/>
    <w:rsid w:val="0ECB1BA7"/>
    <w:rsid w:val="0ED256FC"/>
    <w:rsid w:val="0ED34575"/>
    <w:rsid w:val="0ED45870"/>
    <w:rsid w:val="0ED56997"/>
    <w:rsid w:val="0ED63FC6"/>
    <w:rsid w:val="0ED97A1C"/>
    <w:rsid w:val="0EDA5936"/>
    <w:rsid w:val="0EDD086D"/>
    <w:rsid w:val="0EDD0FB3"/>
    <w:rsid w:val="0EDD7461"/>
    <w:rsid w:val="0EE04D7C"/>
    <w:rsid w:val="0EE35C5B"/>
    <w:rsid w:val="0EE54141"/>
    <w:rsid w:val="0EE6258E"/>
    <w:rsid w:val="0EE74150"/>
    <w:rsid w:val="0EF13FFC"/>
    <w:rsid w:val="0EF55119"/>
    <w:rsid w:val="0EF74833"/>
    <w:rsid w:val="0EF91A90"/>
    <w:rsid w:val="0EFA3987"/>
    <w:rsid w:val="0EFB2030"/>
    <w:rsid w:val="0EFF0AB6"/>
    <w:rsid w:val="0F04787C"/>
    <w:rsid w:val="0F050BF9"/>
    <w:rsid w:val="0F054195"/>
    <w:rsid w:val="0F0A6B58"/>
    <w:rsid w:val="0F1326E1"/>
    <w:rsid w:val="0F1550AF"/>
    <w:rsid w:val="0F165C3F"/>
    <w:rsid w:val="0F1666E3"/>
    <w:rsid w:val="0F1F7028"/>
    <w:rsid w:val="0F2D2AD3"/>
    <w:rsid w:val="0F346CDF"/>
    <w:rsid w:val="0F355BAE"/>
    <w:rsid w:val="0F380F23"/>
    <w:rsid w:val="0F3879C1"/>
    <w:rsid w:val="0F414281"/>
    <w:rsid w:val="0F423590"/>
    <w:rsid w:val="0F452812"/>
    <w:rsid w:val="0F465689"/>
    <w:rsid w:val="0F46715A"/>
    <w:rsid w:val="0F470FC8"/>
    <w:rsid w:val="0F47397D"/>
    <w:rsid w:val="0F4A4D6E"/>
    <w:rsid w:val="0F4E0B26"/>
    <w:rsid w:val="0F512A6F"/>
    <w:rsid w:val="0F550C40"/>
    <w:rsid w:val="0F576F21"/>
    <w:rsid w:val="0F5871DF"/>
    <w:rsid w:val="0F5D19FB"/>
    <w:rsid w:val="0F5F1029"/>
    <w:rsid w:val="0F636903"/>
    <w:rsid w:val="0F651255"/>
    <w:rsid w:val="0F6A4A65"/>
    <w:rsid w:val="0F6A59F7"/>
    <w:rsid w:val="0F6D79A8"/>
    <w:rsid w:val="0F6E6A8A"/>
    <w:rsid w:val="0F71044D"/>
    <w:rsid w:val="0F7272E4"/>
    <w:rsid w:val="0F7327F9"/>
    <w:rsid w:val="0F750E61"/>
    <w:rsid w:val="0F75392B"/>
    <w:rsid w:val="0F7B331C"/>
    <w:rsid w:val="0F7C5A07"/>
    <w:rsid w:val="0F813539"/>
    <w:rsid w:val="0F8D4423"/>
    <w:rsid w:val="0F9202C3"/>
    <w:rsid w:val="0F945C36"/>
    <w:rsid w:val="0F945D0C"/>
    <w:rsid w:val="0F95411B"/>
    <w:rsid w:val="0F963E7B"/>
    <w:rsid w:val="0F987B0B"/>
    <w:rsid w:val="0F9F2542"/>
    <w:rsid w:val="0F9F69E6"/>
    <w:rsid w:val="0FA20991"/>
    <w:rsid w:val="0FA36D1F"/>
    <w:rsid w:val="0FA54B6B"/>
    <w:rsid w:val="0FAA0427"/>
    <w:rsid w:val="0FAB616C"/>
    <w:rsid w:val="0FAB747F"/>
    <w:rsid w:val="0FAE09D7"/>
    <w:rsid w:val="0FB25C04"/>
    <w:rsid w:val="0FB35FED"/>
    <w:rsid w:val="0FB36BA9"/>
    <w:rsid w:val="0FB50383"/>
    <w:rsid w:val="0FBB1C3F"/>
    <w:rsid w:val="0FC35146"/>
    <w:rsid w:val="0FC65381"/>
    <w:rsid w:val="0FC761AF"/>
    <w:rsid w:val="0FCC0762"/>
    <w:rsid w:val="0FCF5115"/>
    <w:rsid w:val="0FD5709B"/>
    <w:rsid w:val="0FD839E6"/>
    <w:rsid w:val="0FDA17CC"/>
    <w:rsid w:val="0FDA3C21"/>
    <w:rsid w:val="0FDC02B9"/>
    <w:rsid w:val="0FDC40C0"/>
    <w:rsid w:val="0FDD4328"/>
    <w:rsid w:val="0FE11C84"/>
    <w:rsid w:val="0FE87BC1"/>
    <w:rsid w:val="0FEC3F97"/>
    <w:rsid w:val="0FEC5032"/>
    <w:rsid w:val="0FF13CCE"/>
    <w:rsid w:val="0FF67DF5"/>
    <w:rsid w:val="0FF97BAB"/>
    <w:rsid w:val="0FFE2051"/>
    <w:rsid w:val="0FFF005F"/>
    <w:rsid w:val="10006789"/>
    <w:rsid w:val="1002694A"/>
    <w:rsid w:val="10030F3B"/>
    <w:rsid w:val="10032BF0"/>
    <w:rsid w:val="10040A14"/>
    <w:rsid w:val="10042E78"/>
    <w:rsid w:val="10077361"/>
    <w:rsid w:val="10085F8B"/>
    <w:rsid w:val="100B71D9"/>
    <w:rsid w:val="100C0350"/>
    <w:rsid w:val="101605CB"/>
    <w:rsid w:val="101C4C5B"/>
    <w:rsid w:val="10224A63"/>
    <w:rsid w:val="10234F21"/>
    <w:rsid w:val="102875B6"/>
    <w:rsid w:val="102C5FA1"/>
    <w:rsid w:val="102F1958"/>
    <w:rsid w:val="10301AAC"/>
    <w:rsid w:val="1031523A"/>
    <w:rsid w:val="1032464A"/>
    <w:rsid w:val="1034616A"/>
    <w:rsid w:val="103B1611"/>
    <w:rsid w:val="103E2BA3"/>
    <w:rsid w:val="103F7841"/>
    <w:rsid w:val="10400A7B"/>
    <w:rsid w:val="10431423"/>
    <w:rsid w:val="104703DC"/>
    <w:rsid w:val="104A02FB"/>
    <w:rsid w:val="104A4BA3"/>
    <w:rsid w:val="104A5135"/>
    <w:rsid w:val="104B5CBD"/>
    <w:rsid w:val="104C1593"/>
    <w:rsid w:val="10535E46"/>
    <w:rsid w:val="10545DB4"/>
    <w:rsid w:val="105517FE"/>
    <w:rsid w:val="105A626B"/>
    <w:rsid w:val="105A6C43"/>
    <w:rsid w:val="105D13E3"/>
    <w:rsid w:val="105D47FC"/>
    <w:rsid w:val="105F6A12"/>
    <w:rsid w:val="10637CCA"/>
    <w:rsid w:val="10696EC5"/>
    <w:rsid w:val="106A1B34"/>
    <w:rsid w:val="10712331"/>
    <w:rsid w:val="10740282"/>
    <w:rsid w:val="10746441"/>
    <w:rsid w:val="10747D87"/>
    <w:rsid w:val="107624D2"/>
    <w:rsid w:val="107C0F2A"/>
    <w:rsid w:val="10866D90"/>
    <w:rsid w:val="108707AB"/>
    <w:rsid w:val="108A0934"/>
    <w:rsid w:val="108A416C"/>
    <w:rsid w:val="108B0DC9"/>
    <w:rsid w:val="108F351D"/>
    <w:rsid w:val="10942E08"/>
    <w:rsid w:val="109B447F"/>
    <w:rsid w:val="109D0537"/>
    <w:rsid w:val="10A27582"/>
    <w:rsid w:val="10A5056A"/>
    <w:rsid w:val="10B02F4F"/>
    <w:rsid w:val="10B84EC1"/>
    <w:rsid w:val="10BD54FC"/>
    <w:rsid w:val="10C06C14"/>
    <w:rsid w:val="10C75465"/>
    <w:rsid w:val="10CE2DC1"/>
    <w:rsid w:val="10CE424B"/>
    <w:rsid w:val="10CE7847"/>
    <w:rsid w:val="10D11B21"/>
    <w:rsid w:val="10D42625"/>
    <w:rsid w:val="10D56010"/>
    <w:rsid w:val="10D77E46"/>
    <w:rsid w:val="10D80638"/>
    <w:rsid w:val="10D8227B"/>
    <w:rsid w:val="10DA4867"/>
    <w:rsid w:val="10DD3A0F"/>
    <w:rsid w:val="10DD5192"/>
    <w:rsid w:val="10E06B98"/>
    <w:rsid w:val="10E24DDC"/>
    <w:rsid w:val="10E36384"/>
    <w:rsid w:val="10E62D8B"/>
    <w:rsid w:val="10E75614"/>
    <w:rsid w:val="10E80E99"/>
    <w:rsid w:val="10EB0F86"/>
    <w:rsid w:val="10EE2849"/>
    <w:rsid w:val="10EF238F"/>
    <w:rsid w:val="10F624C4"/>
    <w:rsid w:val="11013A48"/>
    <w:rsid w:val="11014CCA"/>
    <w:rsid w:val="11027B7E"/>
    <w:rsid w:val="11037534"/>
    <w:rsid w:val="110715C4"/>
    <w:rsid w:val="11080F45"/>
    <w:rsid w:val="110C00AB"/>
    <w:rsid w:val="110D3E8C"/>
    <w:rsid w:val="110F76E9"/>
    <w:rsid w:val="111449BF"/>
    <w:rsid w:val="111668FC"/>
    <w:rsid w:val="111C76FD"/>
    <w:rsid w:val="11200440"/>
    <w:rsid w:val="11242889"/>
    <w:rsid w:val="112453F4"/>
    <w:rsid w:val="11292A0B"/>
    <w:rsid w:val="11297418"/>
    <w:rsid w:val="112B29EA"/>
    <w:rsid w:val="113F2519"/>
    <w:rsid w:val="11435DD1"/>
    <w:rsid w:val="11445E84"/>
    <w:rsid w:val="114608F0"/>
    <w:rsid w:val="114C04A7"/>
    <w:rsid w:val="114C1E0B"/>
    <w:rsid w:val="114C7862"/>
    <w:rsid w:val="11555AEA"/>
    <w:rsid w:val="11577A38"/>
    <w:rsid w:val="115D08AD"/>
    <w:rsid w:val="11624D50"/>
    <w:rsid w:val="11636A2C"/>
    <w:rsid w:val="11641C95"/>
    <w:rsid w:val="116577BB"/>
    <w:rsid w:val="11684EE3"/>
    <w:rsid w:val="116B21E0"/>
    <w:rsid w:val="116C081E"/>
    <w:rsid w:val="116C15B9"/>
    <w:rsid w:val="116C7D43"/>
    <w:rsid w:val="117745B6"/>
    <w:rsid w:val="11813B00"/>
    <w:rsid w:val="11813C7A"/>
    <w:rsid w:val="11830853"/>
    <w:rsid w:val="11865968"/>
    <w:rsid w:val="1187120A"/>
    <w:rsid w:val="118714DF"/>
    <w:rsid w:val="118729E8"/>
    <w:rsid w:val="118922D8"/>
    <w:rsid w:val="11912B16"/>
    <w:rsid w:val="1194282C"/>
    <w:rsid w:val="11942C1A"/>
    <w:rsid w:val="119B0355"/>
    <w:rsid w:val="119D42D7"/>
    <w:rsid w:val="119F5510"/>
    <w:rsid w:val="11A007F3"/>
    <w:rsid w:val="11A622AD"/>
    <w:rsid w:val="11A7508B"/>
    <w:rsid w:val="11A92618"/>
    <w:rsid w:val="11AF3C25"/>
    <w:rsid w:val="11B74ABA"/>
    <w:rsid w:val="11B851EE"/>
    <w:rsid w:val="11C71C99"/>
    <w:rsid w:val="11C72580"/>
    <w:rsid w:val="11C73D6C"/>
    <w:rsid w:val="11CA102E"/>
    <w:rsid w:val="11CB1D14"/>
    <w:rsid w:val="11CC179F"/>
    <w:rsid w:val="11CE03F4"/>
    <w:rsid w:val="11CE3A8C"/>
    <w:rsid w:val="11D47244"/>
    <w:rsid w:val="11D669F0"/>
    <w:rsid w:val="11D753F7"/>
    <w:rsid w:val="11DF69E5"/>
    <w:rsid w:val="11E038A6"/>
    <w:rsid w:val="11E31F43"/>
    <w:rsid w:val="11E550DD"/>
    <w:rsid w:val="11EA633C"/>
    <w:rsid w:val="11EA7ADB"/>
    <w:rsid w:val="11EB0016"/>
    <w:rsid w:val="11EF128D"/>
    <w:rsid w:val="11EF5098"/>
    <w:rsid w:val="11F343CF"/>
    <w:rsid w:val="11F84B9D"/>
    <w:rsid w:val="11FA57D3"/>
    <w:rsid w:val="11FB5600"/>
    <w:rsid w:val="11FB6067"/>
    <w:rsid w:val="12026B98"/>
    <w:rsid w:val="12062757"/>
    <w:rsid w:val="12071F5E"/>
    <w:rsid w:val="120803DE"/>
    <w:rsid w:val="120B3EBE"/>
    <w:rsid w:val="120F4469"/>
    <w:rsid w:val="121376A9"/>
    <w:rsid w:val="121511E1"/>
    <w:rsid w:val="12181E94"/>
    <w:rsid w:val="121E3F35"/>
    <w:rsid w:val="12212807"/>
    <w:rsid w:val="122B78DD"/>
    <w:rsid w:val="122D02D9"/>
    <w:rsid w:val="122D773A"/>
    <w:rsid w:val="122E49F2"/>
    <w:rsid w:val="122E519E"/>
    <w:rsid w:val="12347BF2"/>
    <w:rsid w:val="123A1F2E"/>
    <w:rsid w:val="123A6ADB"/>
    <w:rsid w:val="123F2E70"/>
    <w:rsid w:val="123F5A2B"/>
    <w:rsid w:val="12415F84"/>
    <w:rsid w:val="12435D4E"/>
    <w:rsid w:val="124473D0"/>
    <w:rsid w:val="12456365"/>
    <w:rsid w:val="1246035C"/>
    <w:rsid w:val="124652B6"/>
    <w:rsid w:val="124D44D7"/>
    <w:rsid w:val="124F25F2"/>
    <w:rsid w:val="125171F4"/>
    <w:rsid w:val="12517924"/>
    <w:rsid w:val="125203C7"/>
    <w:rsid w:val="125E1D7C"/>
    <w:rsid w:val="125E58C4"/>
    <w:rsid w:val="125F23B2"/>
    <w:rsid w:val="12664649"/>
    <w:rsid w:val="126D6927"/>
    <w:rsid w:val="126F3367"/>
    <w:rsid w:val="127504BF"/>
    <w:rsid w:val="127630A6"/>
    <w:rsid w:val="127A7AF5"/>
    <w:rsid w:val="127E1C8C"/>
    <w:rsid w:val="12804229"/>
    <w:rsid w:val="12845337"/>
    <w:rsid w:val="12850F9B"/>
    <w:rsid w:val="1285507D"/>
    <w:rsid w:val="12877D4A"/>
    <w:rsid w:val="128A6B13"/>
    <w:rsid w:val="128C0D76"/>
    <w:rsid w:val="128C6B15"/>
    <w:rsid w:val="12943A94"/>
    <w:rsid w:val="12983C92"/>
    <w:rsid w:val="129A2D76"/>
    <w:rsid w:val="129C2A12"/>
    <w:rsid w:val="12A13E35"/>
    <w:rsid w:val="12B26A30"/>
    <w:rsid w:val="12B51897"/>
    <w:rsid w:val="12B852AB"/>
    <w:rsid w:val="12BC66D0"/>
    <w:rsid w:val="12BD0A5E"/>
    <w:rsid w:val="12C11630"/>
    <w:rsid w:val="12C34AEE"/>
    <w:rsid w:val="12C610A6"/>
    <w:rsid w:val="12C6490E"/>
    <w:rsid w:val="12C86923"/>
    <w:rsid w:val="12CA16F4"/>
    <w:rsid w:val="12CC678A"/>
    <w:rsid w:val="12CE7599"/>
    <w:rsid w:val="12CF1D52"/>
    <w:rsid w:val="12D10EFB"/>
    <w:rsid w:val="12D31A26"/>
    <w:rsid w:val="12D36873"/>
    <w:rsid w:val="12D4198A"/>
    <w:rsid w:val="12D52D5A"/>
    <w:rsid w:val="12DB3A96"/>
    <w:rsid w:val="12E110C3"/>
    <w:rsid w:val="12E12B97"/>
    <w:rsid w:val="12E32EDE"/>
    <w:rsid w:val="12E35825"/>
    <w:rsid w:val="12EA3ECA"/>
    <w:rsid w:val="12EC72ED"/>
    <w:rsid w:val="12EE3D16"/>
    <w:rsid w:val="12EF6331"/>
    <w:rsid w:val="12F0773C"/>
    <w:rsid w:val="12F1469F"/>
    <w:rsid w:val="12F5121A"/>
    <w:rsid w:val="12F72006"/>
    <w:rsid w:val="12F75A15"/>
    <w:rsid w:val="12FA396C"/>
    <w:rsid w:val="12FA77D2"/>
    <w:rsid w:val="12FE4614"/>
    <w:rsid w:val="13014D64"/>
    <w:rsid w:val="130204D2"/>
    <w:rsid w:val="13045EA4"/>
    <w:rsid w:val="13070B2A"/>
    <w:rsid w:val="130732DA"/>
    <w:rsid w:val="13077893"/>
    <w:rsid w:val="13083E0E"/>
    <w:rsid w:val="130B5F34"/>
    <w:rsid w:val="130B5FF9"/>
    <w:rsid w:val="130B7EEE"/>
    <w:rsid w:val="13116237"/>
    <w:rsid w:val="13141499"/>
    <w:rsid w:val="13165211"/>
    <w:rsid w:val="1317080D"/>
    <w:rsid w:val="13180F89"/>
    <w:rsid w:val="131917DF"/>
    <w:rsid w:val="13201641"/>
    <w:rsid w:val="13214A02"/>
    <w:rsid w:val="13214FDA"/>
    <w:rsid w:val="1324583A"/>
    <w:rsid w:val="13253EB6"/>
    <w:rsid w:val="132711CC"/>
    <w:rsid w:val="13272FB7"/>
    <w:rsid w:val="132A4371"/>
    <w:rsid w:val="132A4B3D"/>
    <w:rsid w:val="132C0590"/>
    <w:rsid w:val="132C6688"/>
    <w:rsid w:val="132F13D1"/>
    <w:rsid w:val="133B6560"/>
    <w:rsid w:val="133C45D4"/>
    <w:rsid w:val="133E3516"/>
    <w:rsid w:val="133F3F08"/>
    <w:rsid w:val="1347012C"/>
    <w:rsid w:val="13497394"/>
    <w:rsid w:val="134E1D7C"/>
    <w:rsid w:val="134F24D1"/>
    <w:rsid w:val="135853C2"/>
    <w:rsid w:val="135A559A"/>
    <w:rsid w:val="135E4187"/>
    <w:rsid w:val="135E4B41"/>
    <w:rsid w:val="13655B82"/>
    <w:rsid w:val="136715C8"/>
    <w:rsid w:val="13693592"/>
    <w:rsid w:val="13694080"/>
    <w:rsid w:val="136A10B9"/>
    <w:rsid w:val="136A4906"/>
    <w:rsid w:val="136F2FE8"/>
    <w:rsid w:val="136F66CF"/>
    <w:rsid w:val="137131EE"/>
    <w:rsid w:val="13744E9F"/>
    <w:rsid w:val="137F5A4A"/>
    <w:rsid w:val="13800D8A"/>
    <w:rsid w:val="1383516D"/>
    <w:rsid w:val="1384351B"/>
    <w:rsid w:val="138548BB"/>
    <w:rsid w:val="1385589A"/>
    <w:rsid w:val="138A2DF9"/>
    <w:rsid w:val="138A57AC"/>
    <w:rsid w:val="138C5E20"/>
    <w:rsid w:val="138E4DA7"/>
    <w:rsid w:val="138F50F9"/>
    <w:rsid w:val="138F7135"/>
    <w:rsid w:val="13930CC2"/>
    <w:rsid w:val="1393409F"/>
    <w:rsid w:val="13947992"/>
    <w:rsid w:val="13956844"/>
    <w:rsid w:val="1397116A"/>
    <w:rsid w:val="139856BB"/>
    <w:rsid w:val="139E7ACA"/>
    <w:rsid w:val="13A11D27"/>
    <w:rsid w:val="13B123AF"/>
    <w:rsid w:val="13B131E8"/>
    <w:rsid w:val="13B9313B"/>
    <w:rsid w:val="13BA2040"/>
    <w:rsid w:val="13C3709B"/>
    <w:rsid w:val="13C609E5"/>
    <w:rsid w:val="13CB7DA9"/>
    <w:rsid w:val="13CC3B21"/>
    <w:rsid w:val="13D34EB0"/>
    <w:rsid w:val="13D604FC"/>
    <w:rsid w:val="13D7175A"/>
    <w:rsid w:val="13DC4142"/>
    <w:rsid w:val="13DE0D89"/>
    <w:rsid w:val="13DE0E6F"/>
    <w:rsid w:val="13E34A05"/>
    <w:rsid w:val="13E4726C"/>
    <w:rsid w:val="13EF25FA"/>
    <w:rsid w:val="13F154FB"/>
    <w:rsid w:val="13FC2785"/>
    <w:rsid w:val="13FC53F1"/>
    <w:rsid w:val="14000867"/>
    <w:rsid w:val="14003118"/>
    <w:rsid w:val="14012868"/>
    <w:rsid w:val="140176DE"/>
    <w:rsid w:val="14030837"/>
    <w:rsid w:val="14087F39"/>
    <w:rsid w:val="14093CE5"/>
    <w:rsid w:val="140D291E"/>
    <w:rsid w:val="14124554"/>
    <w:rsid w:val="141A663B"/>
    <w:rsid w:val="141D73B1"/>
    <w:rsid w:val="141F0D8D"/>
    <w:rsid w:val="141F3F78"/>
    <w:rsid w:val="141F6347"/>
    <w:rsid w:val="142253B5"/>
    <w:rsid w:val="142309A5"/>
    <w:rsid w:val="14237BE5"/>
    <w:rsid w:val="142812FC"/>
    <w:rsid w:val="143125F2"/>
    <w:rsid w:val="1431688F"/>
    <w:rsid w:val="14327CE1"/>
    <w:rsid w:val="14381CF1"/>
    <w:rsid w:val="143A1172"/>
    <w:rsid w:val="143C2A55"/>
    <w:rsid w:val="143D2D4A"/>
    <w:rsid w:val="144337BB"/>
    <w:rsid w:val="14451415"/>
    <w:rsid w:val="14470D20"/>
    <w:rsid w:val="14491A1D"/>
    <w:rsid w:val="144A4353"/>
    <w:rsid w:val="144C605A"/>
    <w:rsid w:val="144D239C"/>
    <w:rsid w:val="14526423"/>
    <w:rsid w:val="14545EAC"/>
    <w:rsid w:val="14603BE9"/>
    <w:rsid w:val="14640A05"/>
    <w:rsid w:val="14664BB4"/>
    <w:rsid w:val="14666B57"/>
    <w:rsid w:val="146D5EF8"/>
    <w:rsid w:val="14700382"/>
    <w:rsid w:val="1472437F"/>
    <w:rsid w:val="14757973"/>
    <w:rsid w:val="14765E22"/>
    <w:rsid w:val="147E33D8"/>
    <w:rsid w:val="147F106D"/>
    <w:rsid w:val="14815276"/>
    <w:rsid w:val="1486669D"/>
    <w:rsid w:val="14873349"/>
    <w:rsid w:val="149052E4"/>
    <w:rsid w:val="14915766"/>
    <w:rsid w:val="14947045"/>
    <w:rsid w:val="149625FC"/>
    <w:rsid w:val="1496632C"/>
    <w:rsid w:val="149749D5"/>
    <w:rsid w:val="149936D1"/>
    <w:rsid w:val="14A02570"/>
    <w:rsid w:val="14A203EA"/>
    <w:rsid w:val="14A66C3A"/>
    <w:rsid w:val="14A756F5"/>
    <w:rsid w:val="14A92B3C"/>
    <w:rsid w:val="14B005E9"/>
    <w:rsid w:val="14B23607"/>
    <w:rsid w:val="14B57C9C"/>
    <w:rsid w:val="14B669B9"/>
    <w:rsid w:val="14B74B8B"/>
    <w:rsid w:val="14B935CC"/>
    <w:rsid w:val="14B94A07"/>
    <w:rsid w:val="14BB196E"/>
    <w:rsid w:val="14C022D9"/>
    <w:rsid w:val="14C36EFA"/>
    <w:rsid w:val="14C439B0"/>
    <w:rsid w:val="14C50716"/>
    <w:rsid w:val="14C9123C"/>
    <w:rsid w:val="14C92976"/>
    <w:rsid w:val="14CC2FE4"/>
    <w:rsid w:val="14D43970"/>
    <w:rsid w:val="14D903E2"/>
    <w:rsid w:val="14DB401A"/>
    <w:rsid w:val="14E2110A"/>
    <w:rsid w:val="14E26176"/>
    <w:rsid w:val="14E7557A"/>
    <w:rsid w:val="14E77ACB"/>
    <w:rsid w:val="14EC646A"/>
    <w:rsid w:val="14F055ED"/>
    <w:rsid w:val="14F74BCE"/>
    <w:rsid w:val="14F8198B"/>
    <w:rsid w:val="15022D42"/>
    <w:rsid w:val="15024BE6"/>
    <w:rsid w:val="15036076"/>
    <w:rsid w:val="15043272"/>
    <w:rsid w:val="15053175"/>
    <w:rsid w:val="15075E3B"/>
    <w:rsid w:val="150A28DA"/>
    <w:rsid w:val="150A5D3B"/>
    <w:rsid w:val="15100D95"/>
    <w:rsid w:val="15113EE2"/>
    <w:rsid w:val="15115612"/>
    <w:rsid w:val="15137F2C"/>
    <w:rsid w:val="15166133"/>
    <w:rsid w:val="151A0A9E"/>
    <w:rsid w:val="151A45BA"/>
    <w:rsid w:val="151E42AB"/>
    <w:rsid w:val="151E59AB"/>
    <w:rsid w:val="152040A3"/>
    <w:rsid w:val="15204125"/>
    <w:rsid w:val="15334147"/>
    <w:rsid w:val="15357750"/>
    <w:rsid w:val="1538172C"/>
    <w:rsid w:val="153B390C"/>
    <w:rsid w:val="153E2949"/>
    <w:rsid w:val="154715DA"/>
    <w:rsid w:val="15492D4E"/>
    <w:rsid w:val="15497BA7"/>
    <w:rsid w:val="154C4930"/>
    <w:rsid w:val="154E378E"/>
    <w:rsid w:val="15512530"/>
    <w:rsid w:val="155362A8"/>
    <w:rsid w:val="15577DBF"/>
    <w:rsid w:val="15594A0D"/>
    <w:rsid w:val="155D31FB"/>
    <w:rsid w:val="15606AD3"/>
    <w:rsid w:val="15614D91"/>
    <w:rsid w:val="15632059"/>
    <w:rsid w:val="156536C9"/>
    <w:rsid w:val="15657D89"/>
    <w:rsid w:val="15671D54"/>
    <w:rsid w:val="156827E6"/>
    <w:rsid w:val="156B5CE2"/>
    <w:rsid w:val="156D7B59"/>
    <w:rsid w:val="156E34B1"/>
    <w:rsid w:val="15702185"/>
    <w:rsid w:val="157137E5"/>
    <w:rsid w:val="157B0E39"/>
    <w:rsid w:val="158348AE"/>
    <w:rsid w:val="15844C27"/>
    <w:rsid w:val="158851C9"/>
    <w:rsid w:val="158D515A"/>
    <w:rsid w:val="158E530D"/>
    <w:rsid w:val="158F2018"/>
    <w:rsid w:val="15915064"/>
    <w:rsid w:val="15974C88"/>
    <w:rsid w:val="159C4C2A"/>
    <w:rsid w:val="159F14ED"/>
    <w:rsid w:val="15A04E9D"/>
    <w:rsid w:val="15A121A4"/>
    <w:rsid w:val="15A17DD1"/>
    <w:rsid w:val="15AB75A9"/>
    <w:rsid w:val="15AB7D16"/>
    <w:rsid w:val="15AF7257"/>
    <w:rsid w:val="15B13739"/>
    <w:rsid w:val="15B2555E"/>
    <w:rsid w:val="15B64EC9"/>
    <w:rsid w:val="15B77A3E"/>
    <w:rsid w:val="15BA6327"/>
    <w:rsid w:val="15BB2FBC"/>
    <w:rsid w:val="15C06CD4"/>
    <w:rsid w:val="15C56C77"/>
    <w:rsid w:val="15C72E61"/>
    <w:rsid w:val="15C74FA4"/>
    <w:rsid w:val="15CB216D"/>
    <w:rsid w:val="15CC565E"/>
    <w:rsid w:val="15CF6B35"/>
    <w:rsid w:val="15D30CF6"/>
    <w:rsid w:val="15D320D8"/>
    <w:rsid w:val="15D54894"/>
    <w:rsid w:val="15DB64AE"/>
    <w:rsid w:val="15E4302A"/>
    <w:rsid w:val="15EC468F"/>
    <w:rsid w:val="15ED39CE"/>
    <w:rsid w:val="15F513E9"/>
    <w:rsid w:val="15F666B9"/>
    <w:rsid w:val="15FB0736"/>
    <w:rsid w:val="15FC1B0B"/>
    <w:rsid w:val="15FD7C8B"/>
    <w:rsid w:val="15FE518A"/>
    <w:rsid w:val="15FF5C91"/>
    <w:rsid w:val="16030306"/>
    <w:rsid w:val="16033F98"/>
    <w:rsid w:val="160429DB"/>
    <w:rsid w:val="1606048A"/>
    <w:rsid w:val="160607E9"/>
    <w:rsid w:val="160B26E7"/>
    <w:rsid w:val="160B4F9E"/>
    <w:rsid w:val="161005A7"/>
    <w:rsid w:val="1610085A"/>
    <w:rsid w:val="16182A1A"/>
    <w:rsid w:val="1618447C"/>
    <w:rsid w:val="161A1FCB"/>
    <w:rsid w:val="162945C3"/>
    <w:rsid w:val="162C6E6D"/>
    <w:rsid w:val="16337E88"/>
    <w:rsid w:val="163721DD"/>
    <w:rsid w:val="16385FB7"/>
    <w:rsid w:val="16390B2A"/>
    <w:rsid w:val="16395BE2"/>
    <w:rsid w:val="163D2AB4"/>
    <w:rsid w:val="164A247A"/>
    <w:rsid w:val="164E0CB7"/>
    <w:rsid w:val="1650712A"/>
    <w:rsid w:val="16525262"/>
    <w:rsid w:val="16547A34"/>
    <w:rsid w:val="16551745"/>
    <w:rsid w:val="1655279F"/>
    <w:rsid w:val="16580577"/>
    <w:rsid w:val="165C5D8A"/>
    <w:rsid w:val="165F48A2"/>
    <w:rsid w:val="16615B16"/>
    <w:rsid w:val="16636672"/>
    <w:rsid w:val="166427AA"/>
    <w:rsid w:val="1665493F"/>
    <w:rsid w:val="166640A8"/>
    <w:rsid w:val="16677B31"/>
    <w:rsid w:val="167233EA"/>
    <w:rsid w:val="16737123"/>
    <w:rsid w:val="16764FDB"/>
    <w:rsid w:val="167863D8"/>
    <w:rsid w:val="167A0280"/>
    <w:rsid w:val="167B65F8"/>
    <w:rsid w:val="167D7BDC"/>
    <w:rsid w:val="167E4493"/>
    <w:rsid w:val="167F235C"/>
    <w:rsid w:val="16803EA8"/>
    <w:rsid w:val="1682058E"/>
    <w:rsid w:val="16864695"/>
    <w:rsid w:val="1687578F"/>
    <w:rsid w:val="168C4868"/>
    <w:rsid w:val="16923F70"/>
    <w:rsid w:val="16934516"/>
    <w:rsid w:val="169A1CB5"/>
    <w:rsid w:val="169A4DFC"/>
    <w:rsid w:val="169B2D57"/>
    <w:rsid w:val="169C4AF9"/>
    <w:rsid w:val="169D2A64"/>
    <w:rsid w:val="16A14911"/>
    <w:rsid w:val="16A152FB"/>
    <w:rsid w:val="16A26AEA"/>
    <w:rsid w:val="16A56898"/>
    <w:rsid w:val="16A57D0A"/>
    <w:rsid w:val="16A62408"/>
    <w:rsid w:val="16A64A99"/>
    <w:rsid w:val="16A80CA5"/>
    <w:rsid w:val="16A81C01"/>
    <w:rsid w:val="16A96F34"/>
    <w:rsid w:val="16AC4320"/>
    <w:rsid w:val="16AF6D91"/>
    <w:rsid w:val="16B014D8"/>
    <w:rsid w:val="16B05CE2"/>
    <w:rsid w:val="16B1776D"/>
    <w:rsid w:val="16B643AD"/>
    <w:rsid w:val="16B86D97"/>
    <w:rsid w:val="16B86EF8"/>
    <w:rsid w:val="16BA560E"/>
    <w:rsid w:val="16BE18D8"/>
    <w:rsid w:val="16BF33FE"/>
    <w:rsid w:val="16C02645"/>
    <w:rsid w:val="16C35CDF"/>
    <w:rsid w:val="16C50785"/>
    <w:rsid w:val="16C71C03"/>
    <w:rsid w:val="16C84BB2"/>
    <w:rsid w:val="16C95C25"/>
    <w:rsid w:val="16CB05E9"/>
    <w:rsid w:val="16D36F75"/>
    <w:rsid w:val="16D9032E"/>
    <w:rsid w:val="16DD7A84"/>
    <w:rsid w:val="16E2746F"/>
    <w:rsid w:val="16E70E04"/>
    <w:rsid w:val="16EA470F"/>
    <w:rsid w:val="16F237F3"/>
    <w:rsid w:val="16F33D30"/>
    <w:rsid w:val="16F5338F"/>
    <w:rsid w:val="16F67FC0"/>
    <w:rsid w:val="16FA281B"/>
    <w:rsid w:val="17042D94"/>
    <w:rsid w:val="170826D5"/>
    <w:rsid w:val="17085DD1"/>
    <w:rsid w:val="170B6D6B"/>
    <w:rsid w:val="170D6AC5"/>
    <w:rsid w:val="17104D0C"/>
    <w:rsid w:val="17106EF1"/>
    <w:rsid w:val="17127F15"/>
    <w:rsid w:val="17142EBD"/>
    <w:rsid w:val="17165786"/>
    <w:rsid w:val="17165A7F"/>
    <w:rsid w:val="17283B10"/>
    <w:rsid w:val="172A403E"/>
    <w:rsid w:val="173167E0"/>
    <w:rsid w:val="17371CB3"/>
    <w:rsid w:val="1738175A"/>
    <w:rsid w:val="173A4CE4"/>
    <w:rsid w:val="173A5A80"/>
    <w:rsid w:val="173A7087"/>
    <w:rsid w:val="173B1467"/>
    <w:rsid w:val="173C20DE"/>
    <w:rsid w:val="173D7EEC"/>
    <w:rsid w:val="173E4D36"/>
    <w:rsid w:val="174041DE"/>
    <w:rsid w:val="17443A24"/>
    <w:rsid w:val="17483CBD"/>
    <w:rsid w:val="174C2D59"/>
    <w:rsid w:val="174E5BD8"/>
    <w:rsid w:val="174E6C2F"/>
    <w:rsid w:val="17522A93"/>
    <w:rsid w:val="17524D6A"/>
    <w:rsid w:val="17577BA6"/>
    <w:rsid w:val="175B4DA5"/>
    <w:rsid w:val="17630906"/>
    <w:rsid w:val="17637621"/>
    <w:rsid w:val="17650515"/>
    <w:rsid w:val="176579DA"/>
    <w:rsid w:val="1767428D"/>
    <w:rsid w:val="176839A2"/>
    <w:rsid w:val="176873E4"/>
    <w:rsid w:val="176904D9"/>
    <w:rsid w:val="176947AE"/>
    <w:rsid w:val="17694D0F"/>
    <w:rsid w:val="176A4CD7"/>
    <w:rsid w:val="176B0F6E"/>
    <w:rsid w:val="176C18ED"/>
    <w:rsid w:val="176E4C47"/>
    <w:rsid w:val="176F3849"/>
    <w:rsid w:val="1770461E"/>
    <w:rsid w:val="1775407D"/>
    <w:rsid w:val="17757526"/>
    <w:rsid w:val="177A1C19"/>
    <w:rsid w:val="177D3526"/>
    <w:rsid w:val="177F233C"/>
    <w:rsid w:val="17841E36"/>
    <w:rsid w:val="17864D2B"/>
    <w:rsid w:val="17874CE1"/>
    <w:rsid w:val="17880219"/>
    <w:rsid w:val="178822F3"/>
    <w:rsid w:val="178B19FB"/>
    <w:rsid w:val="178C2B08"/>
    <w:rsid w:val="17917160"/>
    <w:rsid w:val="17957CDF"/>
    <w:rsid w:val="179606CE"/>
    <w:rsid w:val="17983837"/>
    <w:rsid w:val="17997D6B"/>
    <w:rsid w:val="17997E50"/>
    <w:rsid w:val="179E4F1B"/>
    <w:rsid w:val="17A15AFF"/>
    <w:rsid w:val="17A34D18"/>
    <w:rsid w:val="17A37232"/>
    <w:rsid w:val="17A75625"/>
    <w:rsid w:val="17AA039C"/>
    <w:rsid w:val="17BB0AA1"/>
    <w:rsid w:val="17BB4906"/>
    <w:rsid w:val="17BE3EA8"/>
    <w:rsid w:val="17CA68B4"/>
    <w:rsid w:val="17CC7C57"/>
    <w:rsid w:val="17CE0A9A"/>
    <w:rsid w:val="17D070EC"/>
    <w:rsid w:val="17D17958"/>
    <w:rsid w:val="17D2722C"/>
    <w:rsid w:val="17D35AFC"/>
    <w:rsid w:val="17D83CD9"/>
    <w:rsid w:val="17DA1CE4"/>
    <w:rsid w:val="17DB4333"/>
    <w:rsid w:val="17DD6E2C"/>
    <w:rsid w:val="17E03493"/>
    <w:rsid w:val="17E37148"/>
    <w:rsid w:val="17E841F0"/>
    <w:rsid w:val="17EA168E"/>
    <w:rsid w:val="17EB775E"/>
    <w:rsid w:val="17EE5F66"/>
    <w:rsid w:val="17F02C4A"/>
    <w:rsid w:val="17F116BD"/>
    <w:rsid w:val="17F469DB"/>
    <w:rsid w:val="180230A3"/>
    <w:rsid w:val="180408D0"/>
    <w:rsid w:val="180970F2"/>
    <w:rsid w:val="181417C8"/>
    <w:rsid w:val="1816180F"/>
    <w:rsid w:val="18194240"/>
    <w:rsid w:val="182146DE"/>
    <w:rsid w:val="18217056"/>
    <w:rsid w:val="18264A72"/>
    <w:rsid w:val="182A10E3"/>
    <w:rsid w:val="182B580B"/>
    <w:rsid w:val="182C11E7"/>
    <w:rsid w:val="182F3F7D"/>
    <w:rsid w:val="18302811"/>
    <w:rsid w:val="183069F4"/>
    <w:rsid w:val="1833081F"/>
    <w:rsid w:val="18337009"/>
    <w:rsid w:val="18351C95"/>
    <w:rsid w:val="1837551E"/>
    <w:rsid w:val="18383E58"/>
    <w:rsid w:val="18384DE3"/>
    <w:rsid w:val="183A3029"/>
    <w:rsid w:val="183A3BE4"/>
    <w:rsid w:val="183B5F44"/>
    <w:rsid w:val="183B6AD9"/>
    <w:rsid w:val="18420856"/>
    <w:rsid w:val="18427C36"/>
    <w:rsid w:val="18492290"/>
    <w:rsid w:val="184D4124"/>
    <w:rsid w:val="18511767"/>
    <w:rsid w:val="1857281F"/>
    <w:rsid w:val="185E7533"/>
    <w:rsid w:val="185F5ECE"/>
    <w:rsid w:val="18635C81"/>
    <w:rsid w:val="186478CE"/>
    <w:rsid w:val="186848F6"/>
    <w:rsid w:val="186C16E4"/>
    <w:rsid w:val="18726887"/>
    <w:rsid w:val="18754ADE"/>
    <w:rsid w:val="18772921"/>
    <w:rsid w:val="187847A8"/>
    <w:rsid w:val="187960C0"/>
    <w:rsid w:val="187A4CE8"/>
    <w:rsid w:val="187C7D4E"/>
    <w:rsid w:val="187E4344"/>
    <w:rsid w:val="187F4BA1"/>
    <w:rsid w:val="18817326"/>
    <w:rsid w:val="18886814"/>
    <w:rsid w:val="18895D48"/>
    <w:rsid w:val="188D2E17"/>
    <w:rsid w:val="188D6F1D"/>
    <w:rsid w:val="1895697E"/>
    <w:rsid w:val="189748E1"/>
    <w:rsid w:val="189F4FE0"/>
    <w:rsid w:val="18A237C0"/>
    <w:rsid w:val="18A348C2"/>
    <w:rsid w:val="18A71E67"/>
    <w:rsid w:val="18AB52D7"/>
    <w:rsid w:val="18AC6558"/>
    <w:rsid w:val="18AD3F21"/>
    <w:rsid w:val="18B10065"/>
    <w:rsid w:val="18B46EBE"/>
    <w:rsid w:val="18B65550"/>
    <w:rsid w:val="18BC2CE5"/>
    <w:rsid w:val="18BD1E9B"/>
    <w:rsid w:val="18BE1922"/>
    <w:rsid w:val="18BE46E0"/>
    <w:rsid w:val="18C049E3"/>
    <w:rsid w:val="18C0652C"/>
    <w:rsid w:val="18C354F3"/>
    <w:rsid w:val="18C756B9"/>
    <w:rsid w:val="18C87E6F"/>
    <w:rsid w:val="18CA43C2"/>
    <w:rsid w:val="18CB2086"/>
    <w:rsid w:val="18CF2B3D"/>
    <w:rsid w:val="18CF6139"/>
    <w:rsid w:val="18D3441A"/>
    <w:rsid w:val="18D36858"/>
    <w:rsid w:val="18D47178"/>
    <w:rsid w:val="18D60C1B"/>
    <w:rsid w:val="18D94EC2"/>
    <w:rsid w:val="18DC569E"/>
    <w:rsid w:val="18DD5EE2"/>
    <w:rsid w:val="18E069D9"/>
    <w:rsid w:val="18E16544"/>
    <w:rsid w:val="18E24F64"/>
    <w:rsid w:val="18E354DD"/>
    <w:rsid w:val="18E43ADA"/>
    <w:rsid w:val="18E67433"/>
    <w:rsid w:val="18E9043D"/>
    <w:rsid w:val="18ED14C5"/>
    <w:rsid w:val="18F04B32"/>
    <w:rsid w:val="18F80E05"/>
    <w:rsid w:val="18FC27B3"/>
    <w:rsid w:val="18FD09D0"/>
    <w:rsid w:val="18FD386D"/>
    <w:rsid w:val="18FD6CC5"/>
    <w:rsid w:val="18FE22FC"/>
    <w:rsid w:val="190325D9"/>
    <w:rsid w:val="190A05A2"/>
    <w:rsid w:val="190B5D3D"/>
    <w:rsid w:val="191139C7"/>
    <w:rsid w:val="191537DC"/>
    <w:rsid w:val="19196BCC"/>
    <w:rsid w:val="191A1C29"/>
    <w:rsid w:val="191B3377"/>
    <w:rsid w:val="191E0731"/>
    <w:rsid w:val="1922615D"/>
    <w:rsid w:val="192341E3"/>
    <w:rsid w:val="19240B7D"/>
    <w:rsid w:val="192846BA"/>
    <w:rsid w:val="19316F38"/>
    <w:rsid w:val="19324427"/>
    <w:rsid w:val="19330297"/>
    <w:rsid w:val="193467AF"/>
    <w:rsid w:val="19360AF9"/>
    <w:rsid w:val="193848DC"/>
    <w:rsid w:val="193F06FA"/>
    <w:rsid w:val="19403FD8"/>
    <w:rsid w:val="19421576"/>
    <w:rsid w:val="19431377"/>
    <w:rsid w:val="19432B9F"/>
    <w:rsid w:val="19453B88"/>
    <w:rsid w:val="19482D21"/>
    <w:rsid w:val="19496B46"/>
    <w:rsid w:val="194B579A"/>
    <w:rsid w:val="194D6949"/>
    <w:rsid w:val="19521937"/>
    <w:rsid w:val="195720DF"/>
    <w:rsid w:val="195E4196"/>
    <w:rsid w:val="195F21EF"/>
    <w:rsid w:val="196071E6"/>
    <w:rsid w:val="19663456"/>
    <w:rsid w:val="196748C5"/>
    <w:rsid w:val="197375F1"/>
    <w:rsid w:val="19766B40"/>
    <w:rsid w:val="198253AE"/>
    <w:rsid w:val="19896752"/>
    <w:rsid w:val="198F7ACB"/>
    <w:rsid w:val="19930B4E"/>
    <w:rsid w:val="19953CD0"/>
    <w:rsid w:val="19966729"/>
    <w:rsid w:val="1997072D"/>
    <w:rsid w:val="19980D9C"/>
    <w:rsid w:val="199A072F"/>
    <w:rsid w:val="199E31AD"/>
    <w:rsid w:val="19A11BB7"/>
    <w:rsid w:val="19A31118"/>
    <w:rsid w:val="19A50196"/>
    <w:rsid w:val="19A51C9C"/>
    <w:rsid w:val="19A973A6"/>
    <w:rsid w:val="19AA06B7"/>
    <w:rsid w:val="19AA5DE5"/>
    <w:rsid w:val="19AD44F2"/>
    <w:rsid w:val="19AE3682"/>
    <w:rsid w:val="19AF5B30"/>
    <w:rsid w:val="19B110CA"/>
    <w:rsid w:val="19B2438E"/>
    <w:rsid w:val="19B52A36"/>
    <w:rsid w:val="19B6153B"/>
    <w:rsid w:val="19BC490A"/>
    <w:rsid w:val="19BF76EB"/>
    <w:rsid w:val="19C01A32"/>
    <w:rsid w:val="19C07977"/>
    <w:rsid w:val="19C419DE"/>
    <w:rsid w:val="19C54163"/>
    <w:rsid w:val="19C55AD9"/>
    <w:rsid w:val="19C616E5"/>
    <w:rsid w:val="19C70992"/>
    <w:rsid w:val="19C71A50"/>
    <w:rsid w:val="19CC6629"/>
    <w:rsid w:val="19CC7D4E"/>
    <w:rsid w:val="19D05F2D"/>
    <w:rsid w:val="19D35A2A"/>
    <w:rsid w:val="19D54C19"/>
    <w:rsid w:val="19D92AF4"/>
    <w:rsid w:val="19D938C4"/>
    <w:rsid w:val="19DF2EAE"/>
    <w:rsid w:val="19DF49C1"/>
    <w:rsid w:val="19E00EAB"/>
    <w:rsid w:val="19E16575"/>
    <w:rsid w:val="19E328D1"/>
    <w:rsid w:val="19E50C12"/>
    <w:rsid w:val="19E90366"/>
    <w:rsid w:val="19E94EFB"/>
    <w:rsid w:val="19EE4A1C"/>
    <w:rsid w:val="19F11841"/>
    <w:rsid w:val="19F35221"/>
    <w:rsid w:val="19F71CF9"/>
    <w:rsid w:val="19F80DE2"/>
    <w:rsid w:val="19FC3B9B"/>
    <w:rsid w:val="19FE0CD7"/>
    <w:rsid w:val="19FE37D8"/>
    <w:rsid w:val="1A02215D"/>
    <w:rsid w:val="1A0B67D5"/>
    <w:rsid w:val="1A0C0C67"/>
    <w:rsid w:val="1A0E7AF1"/>
    <w:rsid w:val="1A1041FD"/>
    <w:rsid w:val="1A1E2323"/>
    <w:rsid w:val="1A1E7A7A"/>
    <w:rsid w:val="1A1F1A32"/>
    <w:rsid w:val="1A23029C"/>
    <w:rsid w:val="1A236AC4"/>
    <w:rsid w:val="1A283435"/>
    <w:rsid w:val="1A2851C6"/>
    <w:rsid w:val="1A2963E8"/>
    <w:rsid w:val="1A2E2E40"/>
    <w:rsid w:val="1A341E1D"/>
    <w:rsid w:val="1A37193D"/>
    <w:rsid w:val="1A373DBC"/>
    <w:rsid w:val="1A3A472E"/>
    <w:rsid w:val="1A3B3964"/>
    <w:rsid w:val="1A3D3BEA"/>
    <w:rsid w:val="1A416888"/>
    <w:rsid w:val="1A416B8A"/>
    <w:rsid w:val="1A424EAB"/>
    <w:rsid w:val="1A431DBE"/>
    <w:rsid w:val="1A457764"/>
    <w:rsid w:val="1A460513"/>
    <w:rsid w:val="1A4A44CA"/>
    <w:rsid w:val="1A4C26BD"/>
    <w:rsid w:val="1A58610F"/>
    <w:rsid w:val="1A5D588C"/>
    <w:rsid w:val="1A645151"/>
    <w:rsid w:val="1A6D7735"/>
    <w:rsid w:val="1A6F1EAB"/>
    <w:rsid w:val="1A6F72B0"/>
    <w:rsid w:val="1A6F76CA"/>
    <w:rsid w:val="1A7428C4"/>
    <w:rsid w:val="1A7C004F"/>
    <w:rsid w:val="1A7C3EFF"/>
    <w:rsid w:val="1A7C4BD2"/>
    <w:rsid w:val="1A8C41F2"/>
    <w:rsid w:val="1A8C7B66"/>
    <w:rsid w:val="1A8D1655"/>
    <w:rsid w:val="1A8E5CD8"/>
    <w:rsid w:val="1A912E72"/>
    <w:rsid w:val="1A9256CA"/>
    <w:rsid w:val="1A961C86"/>
    <w:rsid w:val="1A963240"/>
    <w:rsid w:val="1A965C6D"/>
    <w:rsid w:val="1A975450"/>
    <w:rsid w:val="1A9B3C5B"/>
    <w:rsid w:val="1AA05A8F"/>
    <w:rsid w:val="1AA23B67"/>
    <w:rsid w:val="1AA8041C"/>
    <w:rsid w:val="1AAB7A14"/>
    <w:rsid w:val="1AAE62DC"/>
    <w:rsid w:val="1AB004CB"/>
    <w:rsid w:val="1AB0351A"/>
    <w:rsid w:val="1AB47343"/>
    <w:rsid w:val="1AB64FEF"/>
    <w:rsid w:val="1AB76ACB"/>
    <w:rsid w:val="1AB77C9B"/>
    <w:rsid w:val="1AB80F7A"/>
    <w:rsid w:val="1AB92136"/>
    <w:rsid w:val="1ABA6BAE"/>
    <w:rsid w:val="1ABE5845"/>
    <w:rsid w:val="1AC021FA"/>
    <w:rsid w:val="1AC04A8C"/>
    <w:rsid w:val="1AC51F39"/>
    <w:rsid w:val="1AC5412D"/>
    <w:rsid w:val="1AC83360"/>
    <w:rsid w:val="1ACB7963"/>
    <w:rsid w:val="1ACC1D00"/>
    <w:rsid w:val="1AD1644E"/>
    <w:rsid w:val="1AD8634C"/>
    <w:rsid w:val="1ADA39D1"/>
    <w:rsid w:val="1ADD7A4F"/>
    <w:rsid w:val="1AE36946"/>
    <w:rsid w:val="1AE63699"/>
    <w:rsid w:val="1AF264C6"/>
    <w:rsid w:val="1AF32FEF"/>
    <w:rsid w:val="1AF33A3D"/>
    <w:rsid w:val="1AF51BB0"/>
    <w:rsid w:val="1AF6731C"/>
    <w:rsid w:val="1AF74E33"/>
    <w:rsid w:val="1B007E5D"/>
    <w:rsid w:val="1B16330B"/>
    <w:rsid w:val="1B171E77"/>
    <w:rsid w:val="1B197B1D"/>
    <w:rsid w:val="1B1B2779"/>
    <w:rsid w:val="1B1E42E2"/>
    <w:rsid w:val="1B20508D"/>
    <w:rsid w:val="1B226412"/>
    <w:rsid w:val="1B231885"/>
    <w:rsid w:val="1B2D202A"/>
    <w:rsid w:val="1B310289"/>
    <w:rsid w:val="1B323638"/>
    <w:rsid w:val="1B387A54"/>
    <w:rsid w:val="1B3E04A8"/>
    <w:rsid w:val="1B3F0A99"/>
    <w:rsid w:val="1B482B31"/>
    <w:rsid w:val="1B486EF6"/>
    <w:rsid w:val="1B4F619A"/>
    <w:rsid w:val="1B50328A"/>
    <w:rsid w:val="1B525046"/>
    <w:rsid w:val="1B581A4E"/>
    <w:rsid w:val="1B582736"/>
    <w:rsid w:val="1B5830AA"/>
    <w:rsid w:val="1B5B33A9"/>
    <w:rsid w:val="1B5B6B19"/>
    <w:rsid w:val="1B5E62DE"/>
    <w:rsid w:val="1B642067"/>
    <w:rsid w:val="1B6659B4"/>
    <w:rsid w:val="1B6B71C0"/>
    <w:rsid w:val="1B7152C3"/>
    <w:rsid w:val="1B72344D"/>
    <w:rsid w:val="1B7237AD"/>
    <w:rsid w:val="1B734139"/>
    <w:rsid w:val="1B7A59A3"/>
    <w:rsid w:val="1B8651F6"/>
    <w:rsid w:val="1B8656C5"/>
    <w:rsid w:val="1B8B1F72"/>
    <w:rsid w:val="1B8B6070"/>
    <w:rsid w:val="1B8C7932"/>
    <w:rsid w:val="1B8E3891"/>
    <w:rsid w:val="1B903686"/>
    <w:rsid w:val="1B904EA4"/>
    <w:rsid w:val="1B906597"/>
    <w:rsid w:val="1B942299"/>
    <w:rsid w:val="1B9A5965"/>
    <w:rsid w:val="1B9C0DA8"/>
    <w:rsid w:val="1B9D194E"/>
    <w:rsid w:val="1B9E2247"/>
    <w:rsid w:val="1BA35C9A"/>
    <w:rsid w:val="1BA41E8C"/>
    <w:rsid w:val="1BA713F0"/>
    <w:rsid w:val="1BAD21E9"/>
    <w:rsid w:val="1BB00904"/>
    <w:rsid w:val="1BB545E9"/>
    <w:rsid w:val="1BB62D01"/>
    <w:rsid w:val="1BB630ED"/>
    <w:rsid w:val="1BB6513B"/>
    <w:rsid w:val="1BB7421C"/>
    <w:rsid w:val="1BBD0CE3"/>
    <w:rsid w:val="1BBE7B99"/>
    <w:rsid w:val="1BC6706E"/>
    <w:rsid w:val="1BCC3A3E"/>
    <w:rsid w:val="1BD018BD"/>
    <w:rsid w:val="1BD33CE8"/>
    <w:rsid w:val="1BD71E9D"/>
    <w:rsid w:val="1BD929B5"/>
    <w:rsid w:val="1BD9606A"/>
    <w:rsid w:val="1BE1276C"/>
    <w:rsid w:val="1BE13EE2"/>
    <w:rsid w:val="1BE254A6"/>
    <w:rsid w:val="1BE72B91"/>
    <w:rsid w:val="1BE93973"/>
    <w:rsid w:val="1BF06DF2"/>
    <w:rsid w:val="1BF71655"/>
    <w:rsid w:val="1BF912EF"/>
    <w:rsid w:val="1C071B9A"/>
    <w:rsid w:val="1C0A5F93"/>
    <w:rsid w:val="1C0A79D8"/>
    <w:rsid w:val="1C0C073C"/>
    <w:rsid w:val="1C163B8C"/>
    <w:rsid w:val="1C197EFF"/>
    <w:rsid w:val="1C206473"/>
    <w:rsid w:val="1C237428"/>
    <w:rsid w:val="1C2866F9"/>
    <w:rsid w:val="1C2A7C44"/>
    <w:rsid w:val="1C2D03C1"/>
    <w:rsid w:val="1C310290"/>
    <w:rsid w:val="1C3109C5"/>
    <w:rsid w:val="1C354284"/>
    <w:rsid w:val="1C37016A"/>
    <w:rsid w:val="1C39038B"/>
    <w:rsid w:val="1C3B45FD"/>
    <w:rsid w:val="1C3B63C3"/>
    <w:rsid w:val="1C3D7ACA"/>
    <w:rsid w:val="1C3E6EA3"/>
    <w:rsid w:val="1C3F60F6"/>
    <w:rsid w:val="1C47643B"/>
    <w:rsid w:val="1C4D0947"/>
    <w:rsid w:val="1C5342E3"/>
    <w:rsid w:val="1C5351D8"/>
    <w:rsid w:val="1C540C2C"/>
    <w:rsid w:val="1C590BE7"/>
    <w:rsid w:val="1C591CAD"/>
    <w:rsid w:val="1C592801"/>
    <w:rsid w:val="1C6634DC"/>
    <w:rsid w:val="1C663D26"/>
    <w:rsid w:val="1C682C50"/>
    <w:rsid w:val="1C690AEC"/>
    <w:rsid w:val="1C6A32B2"/>
    <w:rsid w:val="1C6B037B"/>
    <w:rsid w:val="1C6B1738"/>
    <w:rsid w:val="1C6F63B0"/>
    <w:rsid w:val="1C7007B8"/>
    <w:rsid w:val="1C720493"/>
    <w:rsid w:val="1C74179F"/>
    <w:rsid w:val="1C74233B"/>
    <w:rsid w:val="1C75411D"/>
    <w:rsid w:val="1C777802"/>
    <w:rsid w:val="1C78744B"/>
    <w:rsid w:val="1C821CB1"/>
    <w:rsid w:val="1C827D44"/>
    <w:rsid w:val="1C843A7F"/>
    <w:rsid w:val="1C8560C9"/>
    <w:rsid w:val="1C872928"/>
    <w:rsid w:val="1C8F3505"/>
    <w:rsid w:val="1C913B5A"/>
    <w:rsid w:val="1C952561"/>
    <w:rsid w:val="1C9A4DBB"/>
    <w:rsid w:val="1C9A5C4D"/>
    <w:rsid w:val="1C9A5E2B"/>
    <w:rsid w:val="1C9D504B"/>
    <w:rsid w:val="1CA56F57"/>
    <w:rsid w:val="1CA62BFB"/>
    <w:rsid w:val="1CAC2E5B"/>
    <w:rsid w:val="1CAD2A4A"/>
    <w:rsid w:val="1CAE09F0"/>
    <w:rsid w:val="1CB072F9"/>
    <w:rsid w:val="1CB55544"/>
    <w:rsid w:val="1CBC26C6"/>
    <w:rsid w:val="1CBE680F"/>
    <w:rsid w:val="1CBF2475"/>
    <w:rsid w:val="1CC82C05"/>
    <w:rsid w:val="1CD15F88"/>
    <w:rsid w:val="1CD17CBA"/>
    <w:rsid w:val="1CD37CCF"/>
    <w:rsid w:val="1CD859AF"/>
    <w:rsid w:val="1CDA5A92"/>
    <w:rsid w:val="1CDB4ADE"/>
    <w:rsid w:val="1CDC1DAD"/>
    <w:rsid w:val="1CDC3A74"/>
    <w:rsid w:val="1CE13AFF"/>
    <w:rsid w:val="1CE8295A"/>
    <w:rsid w:val="1CE84720"/>
    <w:rsid w:val="1CEB3EAE"/>
    <w:rsid w:val="1CEE795C"/>
    <w:rsid w:val="1CEF00C5"/>
    <w:rsid w:val="1CF02E5C"/>
    <w:rsid w:val="1CF27CA6"/>
    <w:rsid w:val="1CF41107"/>
    <w:rsid w:val="1CF55D81"/>
    <w:rsid w:val="1CF77E61"/>
    <w:rsid w:val="1CF86A04"/>
    <w:rsid w:val="1CFA525B"/>
    <w:rsid w:val="1D0602BC"/>
    <w:rsid w:val="1D066AE5"/>
    <w:rsid w:val="1D074546"/>
    <w:rsid w:val="1D146F1A"/>
    <w:rsid w:val="1D16179C"/>
    <w:rsid w:val="1D197F3E"/>
    <w:rsid w:val="1D1E2839"/>
    <w:rsid w:val="1D2637BD"/>
    <w:rsid w:val="1D267836"/>
    <w:rsid w:val="1D2760D3"/>
    <w:rsid w:val="1D2C0D1B"/>
    <w:rsid w:val="1D2C0DA8"/>
    <w:rsid w:val="1D301737"/>
    <w:rsid w:val="1D380D6F"/>
    <w:rsid w:val="1D38255B"/>
    <w:rsid w:val="1D391A45"/>
    <w:rsid w:val="1D3963DF"/>
    <w:rsid w:val="1D3A6C72"/>
    <w:rsid w:val="1D3A6C7B"/>
    <w:rsid w:val="1D3A7448"/>
    <w:rsid w:val="1D40536F"/>
    <w:rsid w:val="1D42290C"/>
    <w:rsid w:val="1D444728"/>
    <w:rsid w:val="1D4470EE"/>
    <w:rsid w:val="1D472D89"/>
    <w:rsid w:val="1D493D5B"/>
    <w:rsid w:val="1D527A21"/>
    <w:rsid w:val="1D542A46"/>
    <w:rsid w:val="1D58111C"/>
    <w:rsid w:val="1D5A0A10"/>
    <w:rsid w:val="1D5A0A45"/>
    <w:rsid w:val="1D5A132F"/>
    <w:rsid w:val="1D5A49B5"/>
    <w:rsid w:val="1D5D40D8"/>
    <w:rsid w:val="1D651DBF"/>
    <w:rsid w:val="1D680969"/>
    <w:rsid w:val="1D6D38A1"/>
    <w:rsid w:val="1D6D5F88"/>
    <w:rsid w:val="1D7534CF"/>
    <w:rsid w:val="1D753919"/>
    <w:rsid w:val="1D7542C4"/>
    <w:rsid w:val="1D762976"/>
    <w:rsid w:val="1D796AC8"/>
    <w:rsid w:val="1D7C0366"/>
    <w:rsid w:val="1D7E7C3A"/>
    <w:rsid w:val="1D87127D"/>
    <w:rsid w:val="1D8F1E47"/>
    <w:rsid w:val="1D920375"/>
    <w:rsid w:val="1D937362"/>
    <w:rsid w:val="1D970CFC"/>
    <w:rsid w:val="1D991E0D"/>
    <w:rsid w:val="1D9B0AAF"/>
    <w:rsid w:val="1DA17DCD"/>
    <w:rsid w:val="1DA700EB"/>
    <w:rsid w:val="1DAD6E37"/>
    <w:rsid w:val="1DB0493D"/>
    <w:rsid w:val="1DB263FD"/>
    <w:rsid w:val="1DB569FC"/>
    <w:rsid w:val="1DB64B1B"/>
    <w:rsid w:val="1DB64C29"/>
    <w:rsid w:val="1DB7253E"/>
    <w:rsid w:val="1DBC69B5"/>
    <w:rsid w:val="1DC2163E"/>
    <w:rsid w:val="1DC769D1"/>
    <w:rsid w:val="1DC86B12"/>
    <w:rsid w:val="1DCE2807"/>
    <w:rsid w:val="1DCE70DC"/>
    <w:rsid w:val="1DD45AAC"/>
    <w:rsid w:val="1DD56C01"/>
    <w:rsid w:val="1DD61D86"/>
    <w:rsid w:val="1DD70685"/>
    <w:rsid w:val="1DDD5B79"/>
    <w:rsid w:val="1DDE7DFD"/>
    <w:rsid w:val="1DE21A78"/>
    <w:rsid w:val="1DEF3294"/>
    <w:rsid w:val="1DF67B63"/>
    <w:rsid w:val="1DF961AE"/>
    <w:rsid w:val="1DFB13FC"/>
    <w:rsid w:val="1DFC619A"/>
    <w:rsid w:val="1E0245F3"/>
    <w:rsid w:val="1E054F2C"/>
    <w:rsid w:val="1E0566B9"/>
    <w:rsid w:val="1E0A5FD5"/>
    <w:rsid w:val="1E0B43C3"/>
    <w:rsid w:val="1E0D4589"/>
    <w:rsid w:val="1E13517C"/>
    <w:rsid w:val="1E176CFD"/>
    <w:rsid w:val="1E192F6A"/>
    <w:rsid w:val="1E2652E9"/>
    <w:rsid w:val="1E2666E9"/>
    <w:rsid w:val="1E2A4B7D"/>
    <w:rsid w:val="1E3734D2"/>
    <w:rsid w:val="1E380C11"/>
    <w:rsid w:val="1E3C1B50"/>
    <w:rsid w:val="1E3D3D3E"/>
    <w:rsid w:val="1E3F7112"/>
    <w:rsid w:val="1E401E05"/>
    <w:rsid w:val="1E403260"/>
    <w:rsid w:val="1E434DDA"/>
    <w:rsid w:val="1E4522BB"/>
    <w:rsid w:val="1E4C383C"/>
    <w:rsid w:val="1E4F6C25"/>
    <w:rsid w:val="1E571BBE"/>
    <w:rsid w:val="1E753494"/>
    <w:rsid w:val="1E772FA9"/>
    <w:rsid w:val="1E7B5586"/>
    <w:rsid w:val="1E806E54"/>
    <w:rsid w:val="1E807DB1"/>
    <w:rsid w:val="1E8266D8"/>
    <w:rsid w:val="1E843C08"/>
    <w:rsid w:val="1E862933"/>
    <w:rsid w:val="1E8B202A"/>
    <w:rsid w:val="1E8B639C"/>
    <w:rsid w:val="1E8C1FA0"/>
    <w:rsid w:val="1E8C29C9"/>
    <w:rsid w:val="1E8F4A49"/>
    <w:rsid w:val="1E927AF2"/>
    <w:rsid w:val="1E9E4A57"/>
    <w:rsid w:val="1EA568E4"/>
    <w:rsid w:val="1EA97C57"/>
    <w:rsid w:val="1EAB0AF7"/>
    <w:rsid w:val="1EB42679"/>
    <w:rsid w:val="1EB54F2A"/>
    <w:rsid w:val="1EB71C97"/>
    <w:rsid w:val="1EB82EAF"/>
    <w:rsid w:val="1EC024D4"/>
    <w:rsid w:val="1EC60067"/>
    <w:rsid w:val="1ECB526C"/>
    <w:rsid w:val="1ECB69FF"/>
    <w:rsid w:val="1ECC360C"/>
    <w:rsid w:val="1ECD0D1E"/>
    <w:rsid w:val="1ECD3F45"/>
    <w:rsid w:val="1ECE29D8"/>
    <w:rsid w:val="1ECF5A8A"/>
    <w:rsid w:val="1ED11504"/>
    <w:rsid w:val="1ED13E03"/>
    <w:rsid w:val="1ED90359"/>
    <w:rsid w:val="1EDF60D3"/>
    <w:rsid w:val="1EE038ED"/>
    <w:rsid w:val="1EE045B8"/>
    <w:rsid w:val="1EE66F93"/>
    <w:rsid w:val="1EE77A61"/>
    <w:rsid w:val="1EE829B5"/>
    <w:rsid w:val="1EE937D9"/>
    <w:rsid w:val="1EF17E11"/>
    <w:rsid w:val="1EF74148"/>
    <w:rsid w:val="1EF8627A"/>
    <w:rsid w:val="1EFB3DC7"/>
    <w:rsid w:val="1EFB6C90"/>
    <w:rsid w:val="1EFC5E8B"/>
    <w:rsid w:val="1EFD61D7"/>
    <w:rsid w:val="1F010B36"/>
    <w:rsid w:val="1F033F7B"/>
    <w:rsid w:val="1F035A0F"/>
    <w:rsid w:val="1F07114F"/>
    <w:rsid w:val="1F071307"/>
    <w:rsid w:val="1F07216C"/>
    <w:rsid w:val="1F0A13C2"/>
    <w:rsid w:val="1F0F1518"/>
    <w:rsid w:val="1F0F1B43"/>
    <w:rsid w:val="1F0F788F"/>
    <w:rsid w:val="1F13195B"/>
    <w:rsid w:val="1F13737C"/>
    <w:rsid w:val="1F144F37"/>
    <w:rsid w:val="1F151107"/>
    <w:rsid w:val="1F196925"/>
    <w:rsid w:val="1F1B1628"/>
    <w:rsid w:val="1F224AC7"/>
    <w:rsid w:val="1F2451D3"/>
    <w:rsid w:val="1F287754"/>
    <w:rsid w:val="1F2E225F"/>
    <w:rsid w:val="1F2E2E0C"/>
    <w:rsid w:val="1F2F279A"/>
    <w:rsid w:val="1F37597D"/>
    <w:rsid w:val="1F3A4C94"/>
    <w:rsid w:val="1F3D6FAE"/>
    <w:rsid w:val="1F436192"/>
    <w:rsid w:val="1F4436C3"/>
    <w:rsid w:val="1F477A2E"/>
    <w:rsid w:val="1F484A43"/>
    <w:rsid w:val="1F4E0B76"/>
    <w:rsid w:val="1F4E1723"/>
    <w:rsid w:val="1F535807"/>
    <w:rsid w:val="1F5A3188"/>
    <w:rsid w:val="1F606D32"/>
    <w:rsid w:val="1F640686"/>
    <w:rsid w:val="1F642509"/>
    <w:rsid w:val="1F6715FA"/>
    <w:rsid w:val="1F683084"/>
    <w:rsid w:val="1F68571E"/>
    <w:rsid w:val="1F6967B6"/>
    <w:rsid w:val="1F6B173E"/>
    <w:rsid w:val="1F6D4D82"/>
    <w:rsid w:val="1F6E1F30"/>
    <w:rsid w:val="1F754A1C"/>
    <w:rsid w:val="1F78657A"/>
    <w:rsid w:val="1F7B2D0B"/>
    <w:rsid w:val="1F7D4A23"/>
    <w:rsid w:val="1F7E18E5"/>
    <w:rsid w:val="1F814DA5"/>
    <w:rsid w:val="1F8205E5"/>
    <w:rsid w:val="1F886377"/>
    <w:rsid w:val="1F8979E7"/>
    <w:rsid w:val="1F8F5516"/>
    <w:rsid w:val="1F912A27"/>
    <w:rsid w:val="1F946131"/>
    <w:rsid w:val="1F987C31"/>
    <w:rsid w:val="1F9C4CF0"/>
    <w:rsid w:val="1F9F0C7E"/>
    <w:rsid w:val="1F9F5A95"/>
    <w:rsid w:val="1FA3607E"/>
    <w:rsid w:val="1FAD09F5"/>
    <w:rsid w:val="1FAF0E46"/>
    <w:rsid w:val="1FB45B95"/>
    <w:rsid w:val="1FB5697B"/>
    <w:rsid w:val="1FBD323C"/>
    <w:rsid w:val="1FC243CB"/>
    <w:rsid w:val="1FC4095B"/>
    <w:rsid w:val="1FC50476"/>
    <w:rsid w:val="1FC70F01"/>
    <w:rsid w:val="1FC7197B"/>
    <w:rsid w:val="1FC7440E"/>
    <w:rsid w:val="1FCB64EF"/>
    <w:rsid w:val="1FCC1C67"/>
    <w:rsid w:val="1FCD5301"/>
    <w:rsid w:val="1FCD585E"/>
    <w:rsid w:val="1FCE6FE7"/>
    <w:rsid w:val="1FD0741B"/>
    <w:rsid w:val="1FD327A5"/>
    <w:rsid w:val="1FD4732C"/>
    <w:rsid w:val="1FD77517"/>
    <w:rsid w:val="1FD902A2"/>
    <w:rsid w:val="1FDD3FC0"/>
    <w:rsid w:val="1FE11E7F"/>
    <w:rsid w:val="1FE54DBA"/>
    <w:rsid w:val="1FE72C1E"/>
    <w:rsid w:val="1FE741BD"/>
    <w:rsid w:val="1FF237E3"/>
    <w:rsid w:val="1FF24FF5"/>
    <w:rsid w:val="1FF57654"/>
    <w:rsid w:val="1FF838E6"/>
    <w:rsid w:val="1FF93EF0"/>
    <w:rsid w:val="1FFC0864"/>
    <w:rsid w:val="1FFC332D"/>
    <w:rsid w:val="1FFC753C"/>
    <w:rsid w:val="1FFD3D8F"/>
    <w:rsid w:val="20000C19"/>
    <w:rsid w:val="2007449F"/>
    <w:rsid w:val="20085EE1"/>
    <w:rsid w:val="200F1345"/>
    <w:rsid w:val="20105239"/>
    <w:rsid w:val="201554C5"/>
    <w:rsid w:val="2016096C"/>
    <w:rsid w:val="201A15CF"/>
    <w:rsid w:val="201E179B"/>
    <w:rsid w:val="201E4504"/>
    <w:rsid w:val="201F0150"/>
    <w:rsid w:val="20245FF6"/>
    <w:rsid w:val="20250164"/>
    <w:rsid w:val="20252F63"/>
    <w:rsid w:val="20280331"/>
    <w:rsid w:val="202905E5"/>
    <w:rsid w:val="202A35DF"/>
    <w:rsid w:val="202C5662"/>
    <w:rsid w:val="202F0E1B"/>
    <w:rsid w:val="202F6928"/>
    <w:rsid w:val="2030671C"/>
    <w:rsid w:val="20370395"/>
    <w:rsid w:val="20384DED"/>
    <w:rsid w:val="203C096B"/>
    <w:rsid w:val="204131A1"/>
    <w:rsid w:val="2043157A"/>
    <w:rsid w:val="20470A80"/>
    <w:rsid w:val="204A15E9"/>
    <w:rsid w:val="204E12D6"/>
    <w:rsid w:val="20530840"/>
    <w:rsid w:val="206D42DB"/>
    <w:rsid w:val="207256EF"/>
    <w:rsid w:val="207E31D3"/>
    <w:rsid w:val="207E7BF6"/>
    <w:rsid w:val="20803A49"/>
    <w:rsid w:val="2087101E"/>
    <w:rsid w:val="208931C8"/>
    <w:rsid w:val="208C08C0"/>
    <w:rsid w:val="208C28F5"/>
    <w:rsid w:val="208D67E0"/>
    <w:rsid w:val="20901CBD"/>
    <w:rsid w:val="20916FA7"/>
    <w:rsid w:val="20942D37"/>
    <w:rsid w:val="209516A9"/>
    <w:rsid w:val="20987265"/>
    <w:rsid w:val="20995212"/>
    <w:rsid w:val="209F3521"/>
    <w:rsid w:val="20A43985"/>
    <w:rsid w:val="20A67FBB"/>
    <w:rsid w:val="20A75FA3"/>
    <w:rsid w:val="20AA13BB"/>
    <w:rsid w:val="20AA2367"/>
    <w:rsid w:val="20AA3526"/>
    <w:rsid w:val="20AC6928"/>
    <w:rsid w:val="20AF2801"/>
    <w:rsid w:val="20AF7F26"/>
    <w:rsid w:val="20B54A21"/>
    <w:rsid w:val="20BA78BC"/>
    <w:rsid w:val="20BB341C"/>
    <w:rsid w:val="20BC7541"/>
    <w:rsid w:val="20BD770F"/>
    <w:rsid w:val="20CD1F25"/>
    <w:rsid w:val="20CF5C30"/>
    <w:rsid w:val="20D75262"/>
    <w:rsid w:val="20DF09B9"/>
    <w:rsid w:val="20E350C5"/>
    <w:rsid w:val="20E41106"/>
    <w:rsid w:val="20E73D13"/>
    <w:rsid w:val="20E77099"/>
    <w:rsid w:val="20EE347E"/>
    <w:rsid w:val="20EE7CB7"/>
    <w:rsid w:val="20F120B9"/>
    <w:rsid w:val="20F478A7"/>
    <w:rsid w:val="20F50729"/>
    <w:rsid w:val="20F763AA"/>
    <w:rsid w:val="20FE673B"/>
    <w:rsid w:val="20FE7B44"/>
    <w:rsid w:val="2102105D"/>
    <w:rsid w:val="21033455"/>
    <w:rsid w:val="21084D40"/>
    <w:rsid w:val="210877D3"/>
    <w:rsid w:val="210A304E"/>
    <w:rsid w:val="210B7BB2"/>
    <w:rsid w:val="210F6695"/>
    <w:rsid w:val="2117372B"/>
    <w:rsid w:val="212C5BFF"/>
    <w:rsid w:val="212D6712"/>
    <w:rsid w:val="212E7E2A"/>
    <w:rsid w:val="2130665C"/>
    <w:rsid w:val="21347D12"/>
    <w:rsid w:val="213626D2"/>
    <w:rsid w:val="213A29B9"/>
    <w:rsid w:val="213B1FCB"/>
    <w:rsid w:val="213B7EF7"/>
    <w:rsid w:val="213C126E"/>
    <w:rsid w:val="213D4874"/>
    <w:rsid w:val="213D5044"/>
    <w:rsid w:val="21412614"/>
    <w:rsid w:val="21426231"/>
    <w:rsid w:val="21443AA0"/>
    <w:rsid w:val="21471580"/>
    <w:rsid w:val="214B2CA7"/>
    <w:rsid w:val="214C500F"/>
    <w:rsid w:val="21513D9B"/>
    <w:rsid w:val="21516BFC"/>
    <w:rsid w:val="21532DFA"/>
    <w:rsid w:val="21553391"/>
    <w:rsid w:val="21562C7C"/>
    <w:rsid w:val="2160639B"/>
    <w:rsid w:val="21626848"/>
    <w:rsid w:val="216873AA"/>
    <w:rsid w:val="216A304D"/>
    <w:rsid w:val="216C59F5"/>
    <w:rsid w:val="216E7FC6"/>
    <w:rsid w:val="21706DA6"/>
    <w:rsid w:val="217130A2"/>
    <w:rsid w:val="217531F7"/>
    <w:rsid w:val="21756163"/>
    <w:rsid w:val="21757C10"/>
    <w:rsid w:val="217F6677"/>
    <w:rsid w:val="21813177"/>
    <w:rsid w:val="21881CF7"/>
    <w:rsid w:val="218856E5"/>
    <w:rsid w:val="218A038F"/>
    <w:rsid w:val="218C1A2F"/>
    <w:rsid w:val="21935C7E"/>
    <w:rsid w:val="21953468"/>
    <w:rsid w:val="21975776"/>
    <w:rsid w:val="21985096"/>
    <w:rsid w:val="219F02A2"/>
    <w:rsid w:val="219F0AC7"/>
    <w:rsid w:val="21A07D9E"/>
    <w:rsid w:val="21A4288D"/>
    <w:rsid w:val="21A61509"/>
    <w:rsid w:val="21A63751"/>
    <w:rsid w:val="21AD0AEE"/>
    <w:rsid w:val="21AF1B77"/>
    <w:rsid w:val="21AF4F0A"/>
    <w:rsid w:val="21B025BF"/>
    <w:rsid w:val="21B15313"/>
    <w:rsid w:val="21B25E70"/>
    <w:rsid w:val="21B30349"/>
    <w:rsid w:val="21B47335"/>
    <w:rsid w:val="21B53AD8"/>
    <w:rsid w:val="21B77A7F"/>
    <w:rsid w:val="21BB032C"/>
    <w:rsid w:val="21BB7D09"/>
    <w:rsid w:val="21C05909"/>
    <w:rsid w:val="21C72B1F"/>
    <w:rsid w:val="21CA11AF"/>
    <w:rsid w:val="21CD3671"/>
    <w:rsid w:val="21CF705E"/>
    <w:rsid w:val="21D30985"/>
    <w:rsid w:val="21D818E3"/>
    <w:rsid w:val="21D84CDA"/>
    <w:rsid w:val="21D85D5A"/>
    <w:rsid w:val="21D8784C"/>
    <w:rsid w:val="21DD1375"/>
    <w:rsid w:val="21E05160"/>
    <w:rsid w:val="21E41912"/>
    <w:rsid w:val="21EA1D42"/>
    <w:rsid w:val="21EB0589"/>
    <w:rsid w:val="21EE282A"/>
    <w:rsid w:val="21F11323"/>
    <w:rsid w:val="21F14F76"/>
    <w:rsid w:val="21F20809"/>
    <w:rsid w:val="21F27DD0"/>
    <w:rsid w:val="21F42C55"/>
    <w:rsid w:val="21F53B9A"/>
    <w:rsid w:val="21F64204"/>
    <w:rsid w:val="21F841A0"/>
    <w:rsid w:val="22026A33"/>
    <w:rsid w:val="22067D5A"/>
    <w:rsid w:val="220A23E4"/>
    <w:rsid w:val="220C43C8"/>
    <w:rsid w:val="220D668F"/>
    <w:rsid w:val="22123EAD"/>
    <w:rsid w:val="22143F52"/>
    <w:rsid w:val="221A093F"/>
    <w:rsid w:val="221C5C74"/>
    <w:rsid w:val="222227E6"/>
    <w:rsid w:val="222E13D8"/>
    <w:rsid w:val="222F0DEE"/>
    <w:rsid w:val="222F1EDF"/>
    <w:rsid w:val="22307602"/>
    <w:rsid w:val="22335AF8"/>
    <w:rsid w:val="22384D53"/>
    <w:rsid w:val="223E3F80"/>
    <w:rsid w:val="223E7594"/>
    <w:rsid w:val="223F5C39"/>
    <w:rsid w:val="224067E0"/>
    <w:rsid w:val="2243080A"/>
    <w:rsid w:val="22460B5D"/>
    <w:rsid w:val="22470D96"/>
    <w:rsid w:val="224C0E1A"/>
    <w:rsid w:val="224D3F77"/>
    <w:rsid w:val="225500ED"/>
    <w:rsid w:val="22551C39"/>
    <w:rsid w:val="22574EFE"/>
    <w:rsid w:val="22600D31"/>
    <w:rsid w:val="226031FC"/>
    <w:rsid w:val="22622B6D"/>
    <w:rsid w:val="22640610"/>
    <w:rsid w:val="22665B8D"/>
    <w:rsid w:val="226A2E83"/>
    <w:rsid w:val="226C1A89"/>
    <w:rsid w:val="226E60BE"/>
    <w:rsid w:val="22756051"/>
    <w:rsid w:val="227610C8"/>
    <w:rsid w:val="227C4D45"/>
    <w:rsid w:val="227E44D1"/>
    <w:rsid w:val="227E5966"/>
    <w:rsid w:val="22853819"/>
    <w:rsid w:val="22882BA3"/>
    <w:rsid w:val="228943D3"/>
    <w:rsid w:val="228A4054"/>
    <w:rsid w:val="228A551B"/>
    <w:rsid w:val="22947F00"/>
    <w:rsid w:val="229545D3"/>
    <w:rsid w:val="229944FE"/>
    <w:rsid w:val="229A294A"/>
    <w:rsid w:val="229E372E"/>
    <w:rsid w:val="22A43BA3"/>
    <w:rsid w:val="22AA3540"/>
    <w:rsid w:val="22AC0A98"/>
    <w:rsid w:val="22AD06DD"/>
    <w:rsid w:val="22AD17BE"/>
    <w:rsid w:val="22AF41C6"/>
    <w:rsid w:val="22B41AFC"/>
    <w:rsid w:val="22B54B62"/>
    <w:rsid w:val="22BB4ED3"/>
    <w:rsid w:val="22BC40AA"/>
    <w:rsid w:val="22C02AA3"/>
    <w:rsid w:val="22C03878"/>
    <w:rsid w:val="22C05AFA"/>
    <w:rsid w:val="22C23CED"/>
    <w:rsid w:val="22C820B1"/>
    <w:rsid w:val="22CB15A7"/>
    <w:rsid w:val="22CC0104"/>
    <w:rsid w:val="22CC558F"/>
    <w:rsid w:val="22CF7317"/>
    <w:rsid w:val="22D02085"/>
    <w:rsid w:val="22D32813"/>
    <w:rsid w:val="22D77F9C"/>
    <w:rsid w:val="22E04EF3"/>
    <w:rsid w:val="22E17FA5"/>
    <w:rsid w:val="22E36988"/>
    <w:rsid w:val="22EA3F9C"/>
    <w:rsid w:val="22EE13BE"/>
    <w:rsid w:val="22F50CA5"/>
    <w:rsid w:val="22F63873"/>
    <w:rsid w:val="22F71BEC"/>
    <w:rsid w:val="22F73156"/>
    <w:rsid w:val="22FB56D7"/>
    <w:rsid w:val="22FB7F7F"/>
    <w:rsid w:val="22FC0095"/>
    <w:rsid w:val="22FD3DC8"/>
    <w:rsid w:val="230167DF"/>
    <w:rsid w:val="2302128E"/>
    <w:rsid w:val="230915B6"/>
    <w:rsid w:val="230A1B49"/>
    <w:rsid w:val="230F516D"/>
    <w:rsid w:val="231026FF"/>
    <w:rsid w:val="23113C49"/>
    <w:rsid w:val="231328F2"/>
    <w:rsid w:val="23140D41"/>
    <w:rsid w:val="231466C8"/>
    <w:rsid w:val="2319133B"/>
    <w:rsid w:val="231A3FE0"/>
    <w:rsid w:val="231B798E"/>
    <w:rsid w:val="231F35D5"/>
    <w:rsid w:val="23226E69"/>
    <w:rsid w:val="23231B46"/>
    <w:rsid w:val="232B31B2"/>
    <w:rsid w:val="23307C29"/>
    <w:rsid w:val="23313AE5"/>
    <w:rsid w:val="2331574F"/>
    <w:rsid w:val="23335595"/>
    <w:rsid w:val="23365FEB"/>
    <w:rsid w:val="233677A9"/>
    <w:rsid w:val="233C56DE"/>
    <w:rsid w:val="233D1CF0"/>
    <w:rsid w:val="233D6C79"/>
    <w:rsid w:val="23434327"/>
    <w:rsid w:val="23481E13"/>
    <w:rsid w:val="2348686B"/>
    <w:rsid w:val="23493147"/>
    <w:rsid w:val="23513A73"/>
    <w:rsid w:val="2351742B"/>
    <w:rsid w:val="235249D7"/>
    <w:rsid w:val="23524D9C"/>
    <w:rsid w:val="2358566E"/>
    <w:rsid w:val="23592C51"/>
    <w:rsid w:val="235A4CA6"/>
    <w:rsid w:val="235F739A"/>
    <w:rsid w:val="23650097"/>
    <w:rsid w:val="236941AD"/>
    <w:rsid w:val="236A0E23"/>
    <w:rsid w:val="23726780"/>
    <w:rsid w:val="237578D1"/>
    <w:rsid w:val="23787DCF"/>
    <w:rsid w:val="237B5D01"/>
    <w:rsid w:val="237B7081"/>
    <w:rsid w:val="237D31FF"/>
    <w:rsid w:val="237E0BB5"/>
    <w:rsid w:val="23805BB8"/>
    <w:rsid w:val="238413E7"/>
    <w:rsid w:val="2385758E"/>
    <w:rsid w:val="23867849"/>
    <w:rsid w:val="23882495"/>
    <w:rsid w:val="23893CDF"/>
    <w:rsid w:val="23911D7A"/>
    <w:rsid w:val="23926DBB"/>
    <w:rsid w:val="23926FCC"/>
    <w:rsid w:val="23961797"/>
    <w:rsid w:val="23964EFD"/>
    <w:rsid w:val="239A01C8"/>
    <w:rsid w:val="23A02E59"/>
    <w:rsid w:val="23A57D45"/>
    <w:rsid w:val="23A81455"/>
    <w:rsid w:val="23A95D9B"/>
    <w:rsid w:val="23AA7E9F"/>
    <w:rsid w:val="23AB3719"/>
    <w:rsid w:val="23AF04D5"/>
    <w:rsid w:val="23AF3677"/>
    <w:rsid w:val="23B4321D"/>
    <w:rsid w:val="23B46E05"/>
    <w:rsid w:val="23B611F2"/>
    <w:rsid w:val="23BE7284"/>
    <w:rsid w:val="23C43165"/>
    <w:rsid w:val="23C6058D"/>
    <w:rsid w:val="23C640E9"/>
    <w:rsid w:val="23C75FCA"/>
    <w:rsid w:val="23CC09DB"/>
    <w:rsid w:val="23D207D8"/>
    <w:rsid w:val="23D76CCB"/>
    <w:rsid w:val="23D9053C"/>
    <w:rsid w:val="23DA32D1"/>
    <w:rsid w:val="23E177AD"/>
    <w:rsid w:val="23E22106"/>
    <w:rsid w:val="23E63806"/>
    <w:rsid w:val="23EF4669"/>
    <w:rsid w:val="23F01166"/>
    <w:rsid w:val="23F04DD7"/>
    <w:rsid w:val="23F419A0"/>
    <w:rsid w:val="23FA68D0"/>
    <w:rsid w:val="23FE03A4"/>
    <w:rsid w:val="24001870"/>
    <w:rsid w:val="24005FB9"/>
    <w:rsid w:val="24023914"/>
    <w:rsid w:val="2409047A"/>
    <w:rsid w:val="240A66CC"/>
    <w:rsid w:val="240E783E"/>
    <w:rsid w:val="240F25C4"/>
    <w:rsid w:val="24105F9E"/>
    <w:rsid w:val="2417380F"/>
    <w:rsid w:val="241D169B"/>
    <w:rsid w:val="241F47B8"/>
    <w:rsid w:val="242321C8"/>
    <w:rsid w:val="24243635"/>
    <w:rsid w:val="24246511"/>
    <w:rsid w:val="242552B4"/>
    <w:rsid w:val="242638B8"/>
    <w:rsid w:val="242A4EA9"/>
    <w:rsid w:val="242C0FC7"/>
    <w:rsid w:val="24306E05"/>
    <w:rsid w:val="24380354"/>
    <w:rsid w:val="24394C02"/>
    <w:rsid w:val="2442488B"/>
    <w:rsid w:val="24472FF9"/>
    <w:rsid w:val="244A02B8"/>
    <w:rsid w:val="244B0C7B"/>
    <w:rsid w:val="244B45EE"/>
    <w:rsid w:val="24502150"/>
    <w:rsid w:val="24593233"/>
    <w:rsid w:val="24596C0B"/>
    <w:rsid w:val="245B490D"/>
    <w:rsid w:val="245F42E0"/>
    <w:rsid w:val="24604085"/>
    <w:rsid w:val="246154D4"/>
    <w:rsid w:val="24684F49"/>
    <w:rsid w:val="246B7480"/>
    <w:rsid w:val="2482199D"/>
    <w:rsid w:val="248570B9"/>
    <w:rsid w:val="24861A1F"/>
    <w:rsid w:val="248A2C5A"/>
    <w:rsid w:val="248A4FB6"/>
    <w:rsid w:val="248B016A"/>
    <w:rsid w:val="248C0606"/>
    <w:rsid w:val="248C61EB"/>
    <w:rsid w:val="248D58BD"/>
    <w:rsid w:val="24914F57"/>
    <w:rsid w:val="24986E1E"/>
    <w:rsid w:val="249D38D8"/>
    <w:rsid w:val="24A15319"/>
    <w:rsid w:val="24A9518C"/>
    <w:rsid w:val="24AA4F83"/>
    <w:rsid w:val="24AC70F2"/>
    <w:rsid w:val="24AE1641"/>
    <w:rsid w:val="24B73D80"/>
    <w:rsid w:val="24B81847"/>
    <w:rsid w:val="24B92ADB"/>
    <w:rsid w:val="24B930CF"/>
    <w:rsid w:val="24C12066"/>
    <w:rsid w:val="24C12F9B"/>
    <w:rsid w:val="24C806B8"/>
    <w:rsid w:val="24C80DA0"/>
    <w:rsid w:val="24CD0A14"/>
    <w:rsid w:val="24D21A56"/>
    <w:rsid w:val="24D410EA"/>
    <w:rsid w:val="24D5033A"/>
    <w:rsid w:val="24D64A30"/>
    <w:rsid w:val="24D927A4"/>
    <w:rsid w:val="24D92A48"/>
    <w:rsid w:val="24DB5972"/>
    <w:rsid w:val="24DC2A29"/>
    <w:rsid w:val="24DD3917"/>
    <w:rsid w:val="24DF0737"/>
    <w:rsid w:val="24E30D53"/>
    <w:rsid w:val="24F70D7D"/>
    <w:rsid w:val="24FD0F63"/>
    <w:rsid w:val="25012B8B"/>
    <w:rsid w:val="25017657"/>
    <w:rsid w:val="25022DBE"/>
    <w:rsid w:val="250A4358"/>
    <w:rsid w:val="250D7443"/>
    <w:rsid w:val="250E5D48"/>
    <w:rsid w:val="25126A63"/>
    <w:rsid w:val="251E31E7"/>
    <w:rsid w:val="25225830"/>
    <w:rsid w:val="252B5C97"/>
    <w:rsid w:val="252E3E69"/>
    <w:rsid w:val="253013DF"/>
    <w:rsid w:val="25341075"/>
    <w:rsid w:val="253462CE"/>
    <w:rsid w:val="25381017"/>
    <w:rsid w:val="253B5060"/>
    <w:rsid w:val="253C2E65"/>
    <w:rsid w:val="253E3035"/>
    <w:rsid w:val="253F3D50"/>
    <w:rsid w:val="25401195"/>
    <w:rsid w:val="25403D40"/>
    <w:rsid w:val="254B2BF0"/>
    <w:rsid w:val="254E23B4"/>
    <w:rsid w:val="255A45DB"/>
    <w:rsid w:val="255A52FE"/>
    <w:rsid w:val="256221BE"/>
    <w:rsid w:val="25635BB1"/>
    <w:rsid w:val="256A2A7B"/>
    <w:rsid w:val="256E2C8A"/>
    <w:rsid w:val="25702F75"/>
    <w:rsid w:val="257517BC"/>
    <w:rsid w:val="25757C97"/>
    <w:rsid w:val="25824F14"/>
    <w:rsid w:val="25833C20"/>
    <w:rsid w:val="25845BF8"/>
    <w:rsid w:val="258F56C8"/>
    <w:rsid w:val="25912EEA"/>
    <w:rsid w:val="2593256D"/>
    <w:rsid w:val="259456FD"/>
    <w:rsid w:val="25951A22"/>
    <w:rsid w:val="25952DF6"/>
    <w:rsid w:val="259650A4"/>
    <w:rsid w:val="25967317"/>
    <w:rsid w:val="2599339E"/>
    <w:rsid w:val="259B5627"/>
    <w:rsid w:val="259C2225"/>
    <w:rsid w:val="259D0FCA"/>
    <w:rsid w:val="259F4BF2"/>
    <w:rsid w:val="25A71097"/>
    <w:rsid w:val="25A71C08"/>
    <w:rsid w:val="25A852B9"/>
    <w:rsid w:val="25AA560F"/>
    <w:rsid w:val="25B032A3"/>
    <w:rsid w:val="25B3635F"/>
    <w:rsid w:val="25B4544F"/>
    <w:rsid w:val="25BA10E9"/>
    <w:rsid w:val="25BD1D92"/>
    <w:rsid w:val="25C1100C"/>
    <w:rsid w:val="25C510CA"/>
    <w:rsid w:val="25C53FE2"/>
    <w:rsid w:val="25C76997"/>
    <w:rsid w:val="25C805EC"/>
    <w:rsid w:val="25C84911"/>
    <w:rsid w:val="25CD5B1E"/>
    <w:rsid w:val="25D0153F"/>
    <w:rsid w:val="25D43657"/>
    <w:rsid w:val="25D97DE7"/>
    <w:rsid w:val="25E20AD4"/>
    <w:rsid w:val="25E27070"/>
    <w:rsid w:val="25EA6162"/>
    <w:rsid w:val="25ED59CF"/>
    <w:rsid w:val="25F77F06"/>
    <w:rsid w:val="25F82554"/>
    <w:rsid w:val="25FB3094"/>
    <w:rsid w:val="25FE13C4"/>
    <w:rsid w:val="25FF7F87"/>
    <w:rsid w:val="2601146D"/>
    <w:rsid w:val="26020331"/>
    <w:rsid w:val="26021002"/>
    <w:rsid w:val="26030FE7"/>
    <w:rsid w:val="26043611"/>
    <w:rsid w:val="260A7C2E"/>
    <w:rsid w:val="260B7437"/>
    <w:rsid w:val="260C07B1"/>
    <w:rsid w:val="260F1836"/>
    <w:rsid w:val="261949FF"/>
    <w:rsid w:val="26197596"/>
    <w:rsid w:val="261A168F"/>
    <w:rsid w:val="261C2556"/>
    <w:rsid w:val="261E7CEE"/>
    <w:rsid w:val="261F21D6"/>
    <w:rsid w:val="262052C4"/>
    <w:rsid w:val="26285FD6"/>
    <w:rsid w:val="262938C1"/>
    <w:rsid w:val="262A59E8"/>
    <w:rsid w:val="262D292D"/>
    <w:rsid w:val="262D470F"/>
    <w:rsid w:val="262F7828"/>
    <w:rsid w:val="26346547"/>
    <w:rsid w:val="26385C00"/>
    <w:rsid w:val="263E0D15"/>
    <w:rsid w:val="263E6B6F"/>
    <w:rsid w:val="264659B5"/>
    <w:rsid w:val="264A1001"/>
    <w:rsid w:val="264A5A23"/>
    <w:rsid w:val="264D4804"/>
    <w:rsid w:val="2651032D"/>
    <w:rsid w:val="2651290E"/>
    <w:rsid w:val="265355E2"/>
    <w:rsid w:val="26547932"/>
    <w:rsid w:val="26556AD9"/>
    <w:rsid w:val="265B4D7A"/>
    <w:rsid w:val="265E7CC0"/>
    <w:rsid w:val="26602083"/>
    <w:rsid w:val="266121F1"/>
    <w:rsid w:val="26630BE2"/>
    <w:rsid w:val="266500FC"/>
    <w:rsid w:val="26654865"/>
    <w:rsid w:val="266C3096"/>
    <w:rsid w:val="266D2006"/>
    <w:rsid w:val="266F0A68"/>
    <w:rsid w:val="267047E0"/>
    <w:rsid w:val="2670658E"/>
    <w:rsid w:val="267645D8"/>
    <w:rsid w:val="267C3B13"/>
    <w:rsid w:val="267D46D7"/>
    <w:rsid w:val="26825989"/>
    <w:rsid w:val="26835260"/>
    <w:rsid w:val="268973A4"/>
    <w:rsid w:val="26932056"/>
    <w:rsid w:val="26933375"/>
    <w:rsid w:val="269B3742"/>
    <w:rsid w:val="269C3827"/>
    <w:rsid w:val="269F193A"/>
    <w:rsid w:val="269F1E8F"/>
    <w:rsid w:val="26A30712"/>
    <w:rsid w:val="26A56238"/>
    <w:rsid w:val="26A64719"/>
    <w:rsid w:val="26A76454"/>
    <w:rsid w:val="26A87FFA"/>
    <w:rsid w:val="26AB33A1"/>
    <w:rsid w:val="26AC1775"/>
    <w:rsid w:val="26AD2F9E"/>
    <w:rsid w:val="26AF7EA9"/>
    <w:rsid w:val="26B139F1"/>
    <w:rsid w:val="26B212CB"/>
    <w:rsid w:val="26BF2DF5"/>
    <w:rsid w:val="26BF4551"/>
    <w:rsid w:val="26C50AC6"/>
    <w:rsid w:val="26C64C5C"/>
    <w:rsid w:val="26C76336"/>
    <w:rsid w:val="26CA2142"/>
    <w:rsid w:val="26CA2B97"/>
    <w:rsid w:val="26CD1B09"/>
    <w:rsid w:val="26CD5FAD"/>
    <w:rsid w:val="26D9538B"/>
    <w:rsid w:val="26DD0280"/>
    <w:rsid w:val="26DD5997"/>
    <w:rsid w:val="26DD697E"/>
    <w:rsid w:val="26DE3E4E"/>
    <w:rsid w:val="26E15313"/>
    <w:rsid w:val="26E35307"/>
    <w:rsid w:val="26E419D8"/>
    <w:rsid w:val="26E872E6"/>
    <w:rsid w:val="26EA762F"/>
    <w:rsid w:val="26F42FDE"/>
    <w:rsid w:val="26F44869"/>
    <w:rsid w:val="26F62B76"/>
    <w:rsid w:val="26F9101D"/>
    <w:rsid w:val="27046E8B"/>
    <w:rsid w:val="27082740"/>
    <w:rsid w:val="270C297D"/>
    <w:rsid w:val="27144D85"/>
    <w:rsid w:val="27160074"/>
    <w:rsid w:val="27171298"/>
    <w:rsid w:val="272030CA"/>
    <w:rsid w:val="2725381D"/>
    <w:rsid w:val="272A31F4"/>
    <w:rsid w:val="272A65EC"/>
    <w:rsid w:val="272D013C"/>
    <w:rsid w:val="272E776F"/>
    <w:rsid w:val="272F1FA5"/>
    <w:rsid w:val="27335B77"/>
    <w:rsid w:val="27353762"/>
    <w:rsid w:val="27364F62"/>
    <w:rsid w:val="273E038F"/>
    <w:rsid w:val="27412258"/>
    <w:rsid w:val="27475541"/>
    <w:rsid w:val="274B55F9"/>
    <w:rsid w:val="274D42F5"/>
    <w:rsid w:val="274D61E9"/>
    <w:rsid w:val="275A1718"/>
    <w:rsid w:val="275B723E"/>
    <w:rsid w:val="275E014F"/>
    <w:rsid w:val="276264B4"/>
    <w:rsid w:val="27640AC8"/>
    <w:rsid w:val="276424A1"/>
    <w:rsid w:val="27642A17"/>
    <w:rsid w:val="27676812"/>
    <w:rsid w:val="276B56D3"/>
    <w:rsid w:val="2774576A"/>
    <w:rsid w:val="278001ED"/>
    <w:rsid w:val="278114DC"/>
    <w:rsid w:val="2781535F"/>
    <w:rsid w:val="27826EE1"/>
    <w:rsid w:val="27843B90"/>
    <w:rsid w:val="278601DF"/>
    <w:rsid w:val="278650D6"/>
    <w:rsid w:val="278C389C"/>
    <w:rsid w:val="278D72A0"/>
    <w:rsid w:val="279056D1"/>
    <w:rsid w:val="27960276"/>
    <w:rsid w:val="27982E9F"/>
    <w:rsid w:val="279831EA"/>
    <w:rsid w:val="27A110F5"/>
    <w:rsid w:val="27A67674"/>
    <w:rsid w:val="27A766B3"/>
    <w:rsid w:val="27B1684C"/>
    <w:rsid w:val="27B31190"/>
    <w:rsid w:val="27B51226"/>
    <w:rsid w:val="27B77121"/>
    <w:rsid w:val="27BC08F6"/>
    <w:rsid w:val="27BC499A"/>
    <w:rsid w:val="27BE5B29"/>
    <w:rsid w:val="27BE6A38"/>
    <w:rsid w:val="27C070AE"/>
    <w:rsid w:val="27C1086D"/>
    <w:rsid w:val="27C1394F"/>
    <w:rsid w:val="27C2049F"/>
    <w:rsid w:val="27C616D0"/>
    <w:rsid w:val="27CE7C21"/>
    <w:rsid w:val="27D0729B"/>
    <w:rsid w:val="27D25752"/>
    <w:rsid w:val="27D36ED9"/>
    <w:rsid w:val="27D42992"/>
    <w:rsid w:val="27D47ECA"/>
    <w:rsid w:val="27D7031D"/>
    <w:rsid w:val="27D802E4"/>
    <w:rsid w:val="27D97AD5"/>
    <w:rsid w:val="27DB2090"/>
    <w:rsid w:val="27DF2479"/>
    <w:rsid w:val="27E341EE"/>
    <w:rsid w:val="27E51088"/>
    <w:rsid w:val="27E9484A"/>
    <w:rsid w:val="27EB14A7"/>
    <w:rsid w:val="27ED4A39"/>
    <w:rsid w:val="27F12345"/>
    <w:rsid w:val="27F348EC"/>
    <w:rsid w:val="27F364F3"/>
    <w:rsid w:val="27F751B9"/>
    <w:rsid w:val="27F833B5"/>
    <w:rsid w:val="280007CC"/>
    <w:rsid w:val="280142C8"/>
    <w:rsid w:val="28031E75"/>
    <w:rsid w:val="28041AC5"/>
    <w:rsid w:val="280550FE"/>
    <w:rsid w:val="280C3FDD"/>
    <w:rsid w:val="280C4572"/>
    <w:rsid w:val="2810227F"/>
    <w:rsid w:val="28102DBE"/>
    <w:rsid w:val="28145105"/>
    <w:rsid w:val="281A3F55"/>
    <w:rsid w:val="28240062"/>
    <w:rsid w:val="282856CE"/>
    <w:rsid w:val="282E1835"/>
    <w:rsid w:val="28305E8D"/>
    <w:rsid w:val="28341F69"/>
    <w:rsid w:val="283B09D8"/>
    <w:rsid w:val="283F7815"/>
    <w:rsid w:val="28414191"/>
    <w:rsid w:val="28457583"/>
    <w:rsid w:val="2849353B"/>
    <w:rsid w:val="284D4C33"/>
    <w:rsid w:val="284E151D"/>
    <w:rsid w:val="28540800"/>
    <w:rsid w:val="285A4097"/>
    <w:rsid w:val="285B6117"/>
    <w:rsid w:val="285C0080"/>
    <w:rsid w:val="28612784"/>
    <w:rsid w:val="28616C92"/>
    <w:rsid w:val="28644E71"/>
    <w:rsid w:val="28650375"/>
    <w:rsid w:val="28650991"/>
    <w:rsid w:val="28676316"/>
    <w:rsid w:val="28697739"/>
    <w:rsid w:val="286D3077"/>
    <w:rsid w:val="286F1915"/>
    <w:rsid w:val="286F7C21"/>
    <w:rsid w:val="28707C0C"/>
    <w:rsid w:val="28711037"/>
    <w:rsid w:val="28744278"/>
    <w:rsid w:val="287560DE"/>
    <w:rsid w:val="28770BB1"/>
    <w:rsid w:val="28782336"/>
    <w:rsid w:val="287A02BC"/>
    <w:rsid w:val="287D6888"/>
    <w:rsid w:val="288265C9"/>
    <w:rsid w:val="288825F7"/>
    <w:rsid w:val="28884063"/>
    <w:rsid w:val="28885CFD"/>
    <w:rsid w:val="288900D8"/>
    <w:rsid w:val="288A5EC2"/>
    <w:rsid w:val="288B32B5"/>
    <w:rsid w:val="288B4B24"/>
    <w:rsid w:val="288B70AF"/>
    <w:rsid w:val="28902F18"/>
    <w:rsid w:val="28940541"/>
    <w:rsid w:val="2899695C"/>
    <w:rsid w:val="289B6FF3"/>
    <w:rsid w:val="28A15125"/>
    <w:rsid w:val="28A474D8"/>
    <w:rsid w:val="28AE0725"/>
    <w:rsid w:val="28B10C06"/>
    <w:rsid w:val="28B17104"/>
    <w:rsid w:val="28B51241"/>
    <w:rsid w:val="28B71FE1"/>
    <w:rsid w:val="28B84D7A"/>
    <w:rsid w:val="28B857A2"/>
    <w:rsid w:val="28B94932"/>
    <w:rsid w:val="28BA6F82"/>
    <w:rsid w:val="28BC505D"/>
    <w:rsid w:val="28C02A61"/>
    <w:rsid w:val="28C24599"/>
    <w:rsid w:val="28CB1FB5"/>
    <w:rsid w:val="28CD5E5E"/>
    <w:rsid w:val="28CD5F1A"/>
    <w:rsid w:val="28D05932"/>
    <w:rsid w:val="28D237CB"/>
    <w:rsid w:val="28D3105E"/>
    <w:rsid w:val="28D45FAB"/>
    <w:rsid w:val="28D90320"/>
    <w:rsid w:val="28DB6828"/>
    <w:rsid w:val="28DD4533"/>
    <w:rsid w:val="28DD4DFC"/>
    <w:rsid w:val="28E015B0"/>
    <w:rsid w:val="28E070DD"/>
    <w:rsid w:val="28E2609B"/>
    <w:rsid w:val="28E35393"/>
    <w:rsid w:val="28EA2628"/>
    <w:rsid w:val="28EA459B"/>
    <w:rsid w:val="28EE5BBD"/>
    <w:rsid w:val="28F363A8"/>
    <w:rsid w:val="28F37ECF"/>
    <w:rsid w:val="28F6721F"/>
    <w:rsid w:val="28F8027A"/>
    <w:rsid w:val="28F9286B"/>
    <w:rsid w:val="29001952"/>
    <w:rsid w:val="29015843"/>
    <w:rsid w:val="29017C49"/>
    <w:rsid w:val="2905752E"/>
    <w:rsid w:val="290B680D"/>
    <w:rsid w:val="290C61B0"/>
    <w:rsid w:val="290C6FC1"/>
    <w:rsid w:val="29155D16"/>
    <w:rsid w:val="291B6895"/>
    <w:rsid w:val="291C4A94"/>
    <w:rsid w:val="291F26C4"/>
    <w:rsid w:val="29216933"/>
    <w:rsid w:val="292236EA"/>
    <w:rsid w:val="29231FDE"/>
    <w:rsid w:val="29273C15"/>
    <w:rsid w:val="29296E0F"/>
    <w:rsid w:val="29297D97"/>
    <w:rsid w:val="292A72F8"/>
    <w:rsid w:val="292C1972"/>
    <w:rsid w:val="292F13C7"/>
    <w:rsid w:val="29307F19"/>
    <w:rsid w:val="29372F37"/>
    <w:rsid w:val="29397381"/>
    <w:rsid w:val="293F1B09"/>
    <w:rsid w:val="2940144A"/>
    <w:rsid w:val="2941108A"/>
    <w:rsid w:val="294F48FB"/>
    <w:rsid w:val="29521E3F"/>
    <w:rsid w:val="295E098E"/>
    <w:rsid w:val="295F2C9D"/>
    <w:rsid w:val="29653DF7"/>
    <w:rsid w:val="29663BCD"/>
    <w:rsid w:val="296A19BB"/>
    <w:rsid w:val="296B7B07"/>
    <w:rsid w:val="296E7F9E"/>
    <w:rsid w:val="296F6418"/>
    <w:rsid w:val="29712E03"/>
    <w:rsid w:val="29724CF8"/>
    <w:rsid w:val="2972613A"/>
    <w:rsid w:val="29770967"/>
    <w:rsid w:val="297A1EB6"/>
    <w:rsid w:val="297A7059"/>
    <w:rsid w:val="298156A4"/>
    <w:rsid w:val="298404FD"/>
    <w:rsid w:val="29882DCA"/>
    <w:rsid w:val="298851D5"/>
    <w:rsid w:val="298A3C00"/>
    <w:rsid w:val="298E79B8"/>
    <w:rsid w:val="299019D0"/>
    <w:rsid w:val="299429AB"/>
    <w:rsid w:val="29943716"/>
    <w:rsid w:val="29945580"/>
    <w:rsid w:val="299A1AD5"/>
    <w:rsid w:val="299A39E3"/>
    <w:rsid w:val="299B4A8A"/>
    <w:rsid w:val="299B7AAC"/>
    <w:rsid w:val="29A25F88"/>
    <w:rsid w:val="29A362EE"/>
    <w:rsid w:val="29A57B5B"/>
    <w:rsid w:val="29A708FD"/>
    <w:rsid w:val="29AC1FD3"/>
    <w:rsid w:val="29AF73CD"/>
    <w:rsid w:val="29B101F6"/>
    <w:rsid w:val="29B12426"/>
    <w:rsid w:val="29B148D4"/>
    <w:rsid w:val="29B266F9"/>
    <w:rsid w:val="29B35110"/>
    <w:rsid w:val="29BB3430"/>
    <w:rsid w:val="29C15A7E"/>
    <w:rsid w:val="29C715CA"/>
    <w:rsid w:val="29C76E0D"/>
    <w:rsid w:val="29CD7315"/>
    <w:rsid w:val="29D12F66"/>
    <w:rsid w:val="29D20E9B"/>
    <w:rsid w:val="29D44FF4"/>
    <w:rsid w:val="29D47EE9"/>
    <w:rsid w:val="29D504DD"/>
    <w:rsid w:val="29D82DC8"/>
    <w:rsid w:val="29D9710C"/>
    <w:rsid w:val="29DF1F51"/>
    <w:rsid w:val="29E450B2"/>
    <w:rsid w:val="29E5014B"/>
    <w:rsid w:val="29EA0BE5"/>
    <w:rsid w:val="29F5650D"/>
    <w:rsid w:val="29FA44A2"/>
    <w:rsid w:val="29FB7692"/>
    <w:rsid w:val="29FC4489"/>
    <w:rsid w:val="29FC6A0D"/>
    <w:rsid w:val="29FD45DD"/>
    <w:rsid w:val="2A0128D9"/>
    <w:rsid w:val="2A0140CD"/>
    <w:rsid w:val="2A02011B"/>
    <w:rsid w:val="2A0436AE"/>
    <w:rsid w:val="2A0F05A7"/>
    <w:rsid w:val="2A106222"/>
    <w:rsid w:val="2A111E36"/>
    <w:rsid w:val="2A177E26"/>
    <w:rsid w:val="2A195204"/>
    <w:rsid w:val="2A1A518F"/>
    <w:rsid w:val="2A1B0721"/>
    <w:rsid w:val="2A202B2C"/>
    <w:rsid w:val="2A275E6C"/>
    <w:rsid w:val="2A295A18"/>
    <w:rsid w:val="2A2E469C"/>
    <w:rsid w:val="2A3054DA"/>
    <w:rsid w:val="2A322059"/>
    <w:rsid w:val="2A3224D8"/>
    <w:rsid w:val="2A3873C3"/>
    <w:rsid w:val="2A3F0C79"/>
    <w:rsid w:val="2A400D6D"/>
    <w:rsid w:val="2A451E70"/>
    <w:rsid w:val="2A473D03"/>
    <w:rsid w:val="2A4A08F2"/>
    <w:rsid w:val="2A505109"/>
    <w:rsid w:val="2A511C43"/>
    <w:rsid w:val="2A576181"/>
    <w:rsid w:val="2A5F5148"/>
    <w:rsid w:val="2A65504A"/>
    <w:rsid w:val="2A6C619D"/>
    <w:rsid w:val="2A6E0090"/>
    <w:rsid w:val="2A762F30"/>
    <w:rsid w:val="2A7C19A5"/>
    <w:rsid w:val="2A7D582B"/>
    <w:rsid w:val="2A7F1C4E"/>
    <w:rsid w:val="2A82146F"/>
    <w:rsid w:val="2A830F6F"/>
    <w:rsid w:val="2A83735F"/>
    <w:rsid w:val="2A8B230A"/>
    <w:rsid w:val="2A8C1D8A"/>
    <w:rsid w:val="2A9153D9"/>
    <w:rsid w:val="2A9A2780"/>
    <w:rsid w:val="2A9B694D"/>
    <w:rsid w:val="2A9D6BAB"/>
    <w:rsid w:val="2AA131BA"/>
    <w:rsid w:val="2AA23790"/>
    <w:rsid w:val="2AA269BA"/>
    <w:rsid w:val="2AA97239"/>
    <w:rsid w:val="2AAB12EA"/>
    <w:rsid w:val="2AAB6BD1"/>
    <w:rsid w:val="2AAD60D4"/>
    <w:rsid w:val="2AB3328E"/>
    <w:rsid w:val="2AB66229"/>
    <w:rsid w:val="2AB77204"/>
    <w:rsid w:val="2AB86071"/>
    <w:rsid w:val="2ABA755C"/>
    <w:rsid w:val="2AC70FC8"/>
    <w:rsid w:val="2AC76563"/>
    <w:rsid w:val="2AC80F64"/>
    <w:rsid w:val="2ACB77CC"/>
    <w:rsid w:val="2AD474FB"/>
    <w:rsid w:val="2AD508E9"/>
    <w:rsid w:val="2AD942FF"/>
    <w:rsid w:val="2AD96FE2"/>
    <w:rsid w:val="2ADB7126"/>
    <w:rsid w:val="2ADC5E59"/>
    <w:rsid w:val="2AE15CAC"/>
    <w:rsid w:val="2AE337D3"/>
    <w:rsid w:val="2AE37FF7"/>
    <w:rsid w:val="2AE83D0D"/>
    <w:rsid w:val="2AEB2687"/>
    <w:rsid w:val="2AED4030"/>
    <w:rsid w:val="2AEE730E"/>
    <w:rsid w:val="2AF027B1"/>
    <w:rsid w:val="2AFB13DB"/>
    <w:rsid w:val="2AFD7A5C"/>
    <w:rsid w:val="2B000024"/>
    <w:rsid w:val="2B006920"/>
    <w:rsid w:val="2B043FBA"/>
    <w:rsid w:val="2B062E04"/>
    <w:rsid w:val="2B07047F"/>
    <w:rsid w:val="2B0D46C7"/>
    <w:rsid w:val="2B0D4B1D"/>
    <w:rsid w:val="2B125E66"/>
    <w:rsid w:val="2B1541D0"/>
    <w:rsid w:val="2B163BA8"/>
    <w:rsid w:val="2B1B3AE9"/>
    <w:rsid w:val="2B1D4712"/>
    <w:rsid w:val="2B1D6724"/>
    <w:rsid w:val="2B214FC0"/>
    <w:rsid w:val="2B2B5DD3"/>
    <w:rsid w:val="2B2B649B"/>
    <w:rsid w:val="2B2C347D"/>
    <w:rsid w:val="2B2D0EF2"/>
    <w:rsid w:val="2B326508"/>
    <w:rsid w:val="2B3272BD"/>
    <w:rsid w:val="2B343D36"/>
    <w:rsid w:val="2B3F7CDA"/>
    <w:rsid w:val="2B4737A1"/>
    <w:rsid w:val="2B511B8A"/>
    <w:rsid w:val="2B555FF2"/>
    <w:rsid w:val="2B557285"/>
    <w:rsid w:val="2B5841C1"/>
    <w:rsid w:val="2B5A0A52"/>
    <w:rsid w:val="2B5E2703"/>
    <w:rsid w:val="2B62575E"/>
    <w:rsid w:val="2B694A44"/>
    <w:rsid w:val="2B6C5576"/>
    <w:rsid w:val="2B760F98"/>
    <w:rsid w:val="2B7B4BBF"/>
    <w:rsid w:val="2B7D5DE4"/>
    <w:rsid w:val="2B7F66EB"/>
    <w:rsid w:val="2B800104"/>
    <w:rsid w:val="2B851049"/>
    <w:rsid w:val="2B871E98"/>
    <w:rsid w:val="2B8931AF"/>
    <w:rsid w:val="2B89758E"/>
    <w:rsid w:val="2B8C0DAB"/>
    <w:rsid w:val="2B952913"/>
    <w:rsid w:val="2B9A4642"/>
    <w:rsid w:val="2B9C1F91"/>
    <w:rsid w:val="2B9C4521"/>
    <w:rsid w:val="2BA12E3C"/>
    <w:rsid w:val="2BA41D12"/>
    <w:rsid w:val="2BAA433E"/>
    <w:rsid w:val="2BB04048"/>
    <w:rsid w:val="2BB25124"/>
    <w:rsid w:val="2BB7178E"/>
    <w:rsid w:val="2BB75ADD"/>
    <w:rsid w:val="2BB80A5A"/>
    <w:rsid w:val="2BBC2A55"/>
    <w:rsid w:val="2BBE2247"/>
    <w:rsid w:val="2BBF0FC3"/>
    <w:rsid w:val="2BC40D6B"/>
    <w:rsid w:val="2BC51958"/>
    <w:rsid w:val="2BC74EA2"/>
    <w:rsid w:val="2BC913EC"/>
    <w:rsid w:val="2BCA39F7"/>
    <w:rsid w:val="2BCB5D20"/>
    <w:rsid w:val="2BCE6231"/>
    <w:rsid w:val="2BCF28D9"/>
    <w:rsid w:val="2BDA3F33"/>
    <w:rsid w:val="2BDF787B"/>
    <w:rsid w:val="2BE34A01"/>
    <w:rsid w:val="2BE70AD0"/>
    <w:rsid w:val="2BEA6DE0"/>
    <w:rsid w:val="2BEC6061"/>
    <w:rsid w:val="2BED35D4"/>
    <w:rsid w:val="2BED6E6C"/>
    <w:rsid w:val="2BF10171"/>
    <w:rsid w:val="2BF218E8"/>
    <w:rsid w:val="2BF778B8"/>
    <w:rsid w:val="2BF82A75"/>
    <w:rsid w:val="2BF96BBF"/>
    <w:rsid w:val="2BFC5666"/>
    <w:rsid w:val="2C0628D0"/>
    <w:rsid w:val="2C097269"/>
    <w:rsid w:val="2C0A6699"/>
    <w:rsid w:val="2C0E0D23"/>
    <w:rsid w:val="2C1031FA"/>
    <w:rsid w:val="2C130915"/>
    <w:rsid w:val="2C1C3A69"/>
    <w:rsid w:val="2C1E6D93"/>
    <w:rsid w:val="2C216350"/>
    <w:rsid w:val="2C223BD2"/>
    <w:rsid w:val="2C265D81"/>
    <w:rsid w:val="2C275D2D"/>
    <w:rsid w:val="2C305E16"/>
    <w:rsid w:val="2C326F28"/>
    <w:rsid w:val="2C343BA8"/>
    <w:rsid w:val="2C3A63A4"/>
    <w:rsid w:val="2C3C3D82"/>
    <w:rsid w:val="2C3E37B3"/>
    <w:rsid w:val="2C3F50E9"/>
    <w:rsid w:val="2C40414B"/>
    <w:rsid w:val="2C4218AC"/>
    <w:rsid w:val="2C492597"/>
    <w:rsid w:val="2C4B0854"/>
    <w:rsid w:val="2C4C14AD"/>
    <w:rsid w:val="2C526E5A"/>
    <w:rsid w:val="2C540816"/>
    <w:rsid w:val="2C54370F"/>
    <w:rsid w:val="2C5B4847"/>
    <w:rsid w:val="2C5C2A38"/>
    <w:rsid w:val="2C5D073F"/>
    <w:rsid w:val="2C5E15A6"/>
    <w:rsid w:val="2C6031A8"/>
    <w:rsid w:val="2C64490B"/>
    <w:rsid w:val="2C666157"/>
    <w:rsid w:val="2C680433"/>
    <w:rsid w:val="2C686A8A"/>
    <w:rsid w:val="2C6A4178"/>
    <w:rsid w:val="2C6B0A9A"/>
    <w:rsid w:val="2C6F18D6"/>
    <w:rsid w:val="2C7146B3"/>
    <w:rsid w:val="2C716ABF"/>
    <w:rsid w:val="2C792640"/>
    <w:rsid w:val="2C7A1D04"/>
    <w:rsid w:val="2C7B0BF1"/>
    <w:rsid w:val="2C805AC0"/>
    <w:rsid w:val="2C862667"/>
    <w:rsid w:val="2C870649"/>
    <w:rsid w:val="2C8A1DAD"/>
    <w:rsid w:val="2C8C7E2C"/>
    <w:rsid w:val="2C8E1743"/>
    <w:rsid w:val="2C8F68CD"/>
    <w:rsid w:val="2C902E1A"/>
    <w:rsid w:val="2C990F38"/>
    <w:rsid w:val="2C9B4896"/>
    <w:rsid w:val="2C9B7944"/>
    <w:rsid w:val="2C9C7D38"/>
    <w:rsid w:val="2C9F751E"/>
    <w:rsid w:val="2CA1234E"/>
    <w:rsid w:val="2CA70A1F"/>
    <w:rsid w:val="2CA83CAD"/>
    <w:rsid w:val="2CAC1228"/>
    <w:rsid w:val="2CAF6A83"/>
    <w:rsid w:val="2CB216AE"/>
    <w:rsid w:val="2CB417AB"/>
    <w:rsid w:val="2CB67EF5"/>
    <w:rsid w:val="2CB76CC5"/>
    <w:rsid w:val="2CB96351"/>
    <w:rsid w:val="2CBB4744"/>
    <w:rsid w:val="2CBC6325"/>
    <w:rsid w:val="2CBE461E"/>
    <w:rsid w:val="2CBE6ECE"/>
    <w:rsid w:val="2CC172B6"/>
    <w:rsid w:val="2CC31B0E"/>
    <w:rsid w:val="2CC73740"/>
    <w:rsid w:val="2CC82C80"/>
    <w:rsid w:val="2CC83D26"/>
    <w:rsid w:val="2CCA4A6D"/>
    <w:rsid w:val="2CD33FD7"/>
    <w:rsid w:val="2CD917DB"/>
    <w:rsid w:val="2CE2387A"/>
    <w:rsid w:val="2CE33F5E"/>
    <w:rsid w:val="2CE41112"/>
    <w:rsid w:val="2CE5425F"/>
    <w:rsid w:val="2CE66DA3"/>
    <w:rsid w:val="2CE92D25"/>
    <w:rsid w:val="2CEC5723"/>
    <w:rsid w:val="2CED4627"/>
    <w:rsid w:val="2CEF6F72"/>
    <w:rsid w:val="2CF622BB"/>
    <w:rsid w:val="2CF87E38"/>
    <w:rsid w:val="2CFB4197"/>
    <w:rsid w:val="2CFC7223"/>
    <w:rsid w:val="2D006265"/>
    <w:rsid w:val="2D021A65"/>
    <w:rsid w:val="2D037B33"/>
    <w:rsid w:val="2D0B46F0"/>
    <w:rsid w:val="2D103F55"/>
    <w:rsid w:val="2D147AAE"/>
    <w:rsid w:val="2D157E8F"/>
    <w:rsid w:val="2D1609DB"/>
    <w:rsid w:val="2D1854CF"/>
    <w:rsid w:val="2D1C238E"/>
    <w:rsid w:val="2D1E0AF2"/>
    <w:rsid w:val="2D2155D2"/>
    <w:rsid w:val="2D243BA8"/>
    <w:rsid w:val="2D244C10"/>
    <w:rsid w:val="2D255637"/>
    <w:rsid w:val="2D272749"/>
    <w:rsid w:val="2D285E15"/>
    <w:rsid w:val="2D2C1F30"/>
    <w:rsid w:val="2D2C70BB"/>
    <w:rsid w:val="2D2C76B3"/>
    <w:rsid w:val="2D3225EA"/>
    <w:rsid w:val="2D340315"/>
    <w:rsid w:val="2D357427"/>
    <w:rsid w:val="2D3A7A3E"/>
    <w:rsid w:val="2D3C6488"/>
    <w:rsid w:val="2D431C8D"/>
    <w:rsid w:val="2D4420E8"/>
    <w:rsid w:val="2D4B565F"/>
    <w:rsid w:val="2D4D12A7"/>
    <w:rsid w:val="2D4E2258"/>
    <w:rsid w:val="2D4E3F5D"/>
    <w:rsid w:val="2D512D0F"/>
    <w:rsid w:val="2D545A4C"/>
    <w:rsid w:val="2D576683"/>
    <w:rsid w:val="2D592166"/>
    <w:rsid w:val="2D594667"/>
    <w:rsid w:val="2D6744EF"/>
    <w:rsid w:val="2D6908CC"/>
    <w:rsid w:val="2D6A3D37"/>
    <w:rsid w:val="2D6F024A"/>
    <w:rsid w:val="2D7313AF"/>
    <w:rsid w:val="2D772505"/>
    <w:rsid w:val="2D772920"/>
    <w:rsid w:val="2D7F16C4"/>
    <w:rsid w:val="2D7F28D5"/>
    <w:rsid w:val="2D85554B"/>
    <w:rsid w:val="2D8F394E"/>
    <w:rsid w:val="2D936CF7"/>
    <w:rsid w:val="2D9741AF"/>
    <w:rsid w:val="2D990AC0"/>
    <w:rsid w:val="2D9C5EBB"/>
    <w:rsid w:val="2DA3057F"/>
    <w:rsid w:val="2DA425C4"/>
    <w:rsid w:val="2DA46A33"/>
    <w:rsid w:val="2DA76830"/>
    <w:rsid w:val="2DA832D7"/>
    <w:rsid w:val="2DAE631A"/>
    <w:rsid w:val="2DB5115A"/>
    <w:rsid w:val="2DBD3FB1"/>
    <w:rsid w:val="2DC62260"/>
    <w:rsid w:val="2DC97E3D"/>
    <w:rsid w:val="2DCB2FB0"/>
    <w:rsid w:val="2DCE0A59"/>
    <w:rsid w:val="2DDA599E"/>
    <w:rsid w:val="2DDC6425"/>
    <w:rsid w:val="2DDE3043"/>
    <w:rsid w:val="2DDE3096"/>
    <w:rsid w:val="2DE025FA"/>
    <w:rsid w:val="2DE71112"/>
    <w:rsid w:val="2DEA131C"/>
    <w:rsid w:val="2DEC42F4"/>
    <w:rsid w:val="2DED4103"/>
    <w:rsid w:val="2DED465A"/>
    <w:rsid w:val="2DEE4CA5"/>
    <w:rsid w:val="2DEF06E0"/>
    <w:rsid w:val="2DEF7E77"/>
    <w:rsid w:val="2DF2003B"/>
    <w:rsid w:val="2DF85E0F"/>
    <w:rsid w:val="2DF956FF"/>
    <w:rsid w:val="2DFE1C9D"/>
    <w:rsid w:val="2E043B1E"/>
    <w:rsid w:val="2E060ADD"/>
    <w:rsid w:val="2E082434"/>
    <w:rsid w:val="2E0A16F4"/>
    <w:rsid w:val="2E0C151C"/>
    <w:rsid w:val="2E0D20C4"/>
    <w:rsid w:val="2E0D334B"/>
    <w:rsid w:val="2E0E2DE1"/>
    <w:rsid w:val="2E0F5544"/>
    <w:rsid w:val="2E1104D0"/>
    <w:rsid w:val="2E1243FF"/>
    <w:rsid w:val="2E1262C5"/>
    <w:rsid w:val="2E126DC5"/>
    <w:rsid w:val="2E1E3D43"/>
    <w:rsid w:val="2E1F056B"/>
    <w:rsid w:val="2E265591"/>
    <w:rsid w:val="2E2670E5"/>
    <w:rsid w:val="2E270313"/>
    <w:rsid w:val="2E295F87"/>
    <w:rsid w:val="2E2A30C8"/>
    <w:rsid w:val="2E2A6B67"/>
    <w:rsid w:val="2E2C471E"/>
    <w:rsid w:val="2E3031D3"/>
    <w:rsid w:val="2E327636"/>
    <w:rsid w:val="2E382E84"/>
    <w:rsid w:val="2E3A2E78"/>
    <w:rsid w:val="2E3E0F63"/>
    <w:rsid w:val="2E3F6F72"/>
    <w:rsid w:val="2E4006A7"/>
    <w:rsid w:val="2E4122E6"/>
    <w:rsid w:val="2E426A22"/>
    <w:rsid w:val="2E4415F5"/>
    <w:rsid w:val="2E445979"/>
    <w:rsid w:val="2E4F1DB7"/>
    <w:rsid w:val="2E4F2F2D"/>
    <w:rsid w:val="2E501470"/>
    <w:rsid w:val="2E53388C"/>
    <w:rsid w:val="2E557EA7"/>
    <w:rsid w:val="2E5C05DC"/>
    <w:rsid w:val="2E5D164E"/>
    <w:rsid w:val="2E5F2682"/>
    <w:rsid w:val="2E652924"/>
    <w:rsid w:val="2E653D72"/>
    <w:rsid w:val="2E6B6237"/>
    <w:rsid w:val="2E7B7E9F"/>
    <w:rsid w:val="2E823302"/>
    <w:rsid w:val="2E8452CD"/>
    <w:rsid w:val="2E85117B"/>
    <w:rsid w:val="2E901763"/>
    <w:rsid w:val="2E9209D6"/>
    <w:rsid w:val="2E944433"/>
    <w:rsid w:val="2E9706BA"/>
    <w:rsid w:val="2E976DAE"/>
    <w:rsid w:val="2E9771DD"/>
    <w:rsid w:val="2E9E240E"/>
    <w:rsid w:val="2EA25668"/>
    <w:rsid w:val="2EA9156E"/>
    <w:rsid w:val="2EAB1AF0"/>
    <w:rsid w:val="2EAD2E6B"/>
    <w:rsid w:val="2EB52507"/>
    <w:rsid w:val="2EBB7DF1"/>
    <w:rsid w:val="2EBC5B9F"/>
    <w:rsid w:val="2EC00368"/>
    <w:rsid w:val="2EC110AB"/>
    <w:rsid w:val="2EC32D61"/>
    <w:rsid w:val="2EC35DF5"/>
    <w:rsid w:val="2EC74599"/>
    <w:rsid w:val="2ECB3388"/>
    <w:rsid w:val="2ECB5242"/>
    <w:rsid w:val="2ECC1D10"/>
    <w:rsid w:val="2ECC321B"/>
    <w:rsid w:val="2ECE2254"/>
    <w:rsid w:val="2ECE27E1"/>
    <w:rsid w:val="2ED41379"/>
    <w:rsid w:val="2ED83315"/>
    <w:rsid w:val="2EDA313F"/>
    <w:rsid w:val="2EDC434E"/>
    <w:rsid w:val="2EE14ACD"/>
    <w:rsid w:val="2EE42169"/>
    <w:rsid w:val="2EE6067F"/>
    <w:rsid w:val="2EE61AE3"/>
    <w:rsid w:val="2EF907B3"/>
    <w:rsid w:val="2EFA280E"/>
    <w:rsid w:val="2EFC2E50"/>
    <w:rsid w:val="2EFD7AD9"/>
    <w:rsid w:val="2F000A61"/>
    <w:rsid w:val="2F011C06"/>
    <w:rsid w:val="2F084BB6"/>
    <w:rsid w:val="2F094CB2"/>
    <w:rsid w:val="2F0A7BF8"/>
    <w:rsid w:val="2F165600"/>
    <w:rsid w:val="2F1847F8"/>
    <w:rsid w:val="2F1A1356"/>
    <w:rsid w:val="2F1C7B2E"/>
    <w:rsid w:val="2F23569B"/>
    <w:rsid w:val="2F256D44"/>
    <w:rsid w:val="2F2B74F6"/>
    <w:rsid w:val="2F2C1714"/>
    <w:rsid w:val="2F2D0348"/>
    <w:rsid w:val="2F352847"/>
    <w:rsid w:val="2F35367E"/>
    <w:rsid w:val="2F393FE6"/>
    <w:rsid w:val="2F3B25DC"/>
    <w:rsid w:val="2F3B2C24"/>
    <w:rsid w:val="2F4147AB"/>
    <w:rsid w:val="2F4405B8"/>
    <w:rsid w:val="2F4524C3"/>
    <w:rsid w:val="2F456401"/>
    <w:rsid w:val="2F475AF7"/>
    <w:rsid w:val="2F4D22AE"/>
    <w:rsid w:val="2F4E24AA"/>
    <w:rsid w:val="2F4F71FB"/>
    <w:rsid w:val="2F511EEC"/>
    <w:rsid w:val="2F514097"/>
    <w:rsid w:val="2F564B57"/>
    <w:rsid w:val="2F574A64"/>
    <w:rsid w:val="2F5D23D7"/>
    <w:rsid w:val="2F5D4D77"/>
    <w:rsid w:val="2F5F0BC0"/>
    <w:rsid w:val="2F6702A0"/>
    <w:rsid w:val="2F686108"/>
    <w:rsid w:val="2F6946FD"/>
    <w:rsid w:val="2F6A5903"/>
    <w:rsid w:val="2F6B52FC"/>
    <w:rsid w:val="2F6D3C19"/>
    <w:rsid w:val="2F6D5D61"/>
    <w:rsid w:val="2F6E2FA4"/>
    <w:rsid w:val="2F7031DF"/>
    <w:rsid w:val="2F713483"/>
    <w:rsid w:val="2F775AEE"/>
    <w:rsid w:val="2F785EF2"/>
    <w:rsid w:val="2F7D2448"/>
    <w:rsid w:val="2F834737"/>
    <w:rsid w:val="2F872FAA"/>
    <w:rsid w:val="2F8A0A1C"/>
    <w:rsid w:val="2F8C5826"/>
    <w:rsid w:val="2F904785"/>
    <w:rsid w:val="2F932C60"/>
    <w:rsid w:val="2FA278C9"/>
    <w:rsid w:val="2FA81888"/>
    <w:rsid w:val="2FAD779F"/>
    <w:rsid w:val="2FB41BE1"/>
    <w:rsid w:val="2FB5216D"/>
    <w:rsid w:val="2FB541A2"/>
    <w:rsid w:val="2FB663E9"/>
    <w:rsid w:val="2FB97845"/>
    <w:rsid w:val="2FBD07F9"/>
    <w:rsid w:val="2FBD18F4"/>
    <w:rsid w:val="2FC4049F"/>
    <w:rsid w:val="2FC457B0"/>
    <w:rsid w:val="2FC54A2C"/>
    <w:rsid w:val="2FC94726"/>
    <w:rsid w:val="2FC951E5"/>
    <w:rsid w:val="2FCB38D6"/>
    <w:rsid w:val="2FCC3082"/>
    <w:rsid w:val="2FD051AA"/>
    <w:rsid w:val="2FD12616"/>
    <w:rsid w:val="2FD37720"/>
    <w:rsid w:val="2FD63DA9"/>
    <w:rsid w:val="2FDE013D"/>
    <w:rsid w:val="2FDE0A0C"/>
    <w:rsid w:val="2FDE6040"/>
    <w:rsid w:val="2FE1379C"/>
    <w:rsid w:val="2FE5770D"/>
    <w:rsid w:val="2FEA5460"/>
    <w:rsid w:val="2FF10813"/>
    <w:rsid w:val="2FF2559B"/>
    <w:rsid w:val="2FF526BD"/>
    <w:rsid w:val="2FF56E0E"/>
    <w:rsid w:val="2FFB511A"/>
    <w:rsid w:val="2FFD5FE2"/>
    <w:rsid w:val="2FFF0938"/>
    <w:rsid w:val="30001A72"/>
    <w:rsid w:val="30024605"/>
    <w:rsid w:val="30031B9B"/>
    <w:rsid w:val="30051E6F"/>
    <w:rsid w:val="300819DF"/>
    <w:rsid w:val="300A78C4"/>
    <w:rsid w:val="300B3791"/>
    <w:rsid w:val="300B4C95"/>
    <w:rsid w:val="30151A08"/>
    <w:rsid w:val="30211269"/>
    <w:rsid w:val="302338A8"/>
    <w:rsid w:val="30286C8C"/>
    <w:rsid w:val="303266D0"/>
    <w:rsid w:val="303339A4"/>
    <w:rsid w:val="3033406C"/>
    <w:rsid w:val="30374FCA"/>
    <w:rsid w:val="30375F86"/>
    <w:rsid w:val="303A4CE4"/>
    <w:rsid w:val="303B2311"/>
    <w:rsid w:val="303D6A74"/>
    <w:rsid w:val="3043301C"/>
    <w:rsid w:val="30452B9B"/>
    <w:rsid w:val="304616BF"/>
    <w:rsid w:val="30477E56"/>
    <w:rsid w:val="304C1F6E"/>
    <w:rsid w:val="304D2D0D"/>
    <w:rsid w:val="304E011B"/>
    <w:rsid w:val="304E02DD"/>
    <w:rsid w:val="304E3A97"/>
    <w:rsid w:val="304F44CE"/>
    <w:rsid w:val="30595778"/>
    <w:rsid w:val="305A5337"/>
    <w:rsid w:val="305B7D34"/>
    <w:rsid w:val="305C369C"/>
    <w:rsid w:val="305D1241"/>
    <w:rsid w:val="305D69EB"/>
    <w:rsid w:val="305F5437"/>
    <w:rsid w:val="305F7490"/>
    <w:rsid w:val="30601839"/>
    <w:rsid w:val="30603312"/>
    <w:rsid w:val="306166A8"/>
    <w:rsid w:val="306310E8"/>
    <w:rsid w:val="30644161"/>
    <w:rsid w:val="30653662"/>
    <w:rsid w:val="306552F4"/>
    <w:rsid w:val="30683518"/>
    <w:rsid w:val="30760C45"/>
    <w:rsid w:val="307702D6"/>
    <w:rsid w:val="30847806"/>
    <w:rsid w:val="30857A76"/>
    <w:rsid w:val="308621E5"/>
    <w:rsid w:val="308A55DB"/>
    <w:rsid w:val="308B7D17"/>
    <w:rsid w:val="308E010B"/>
    <w:rsid w:val="308E41AD"/>
    <w:rsid w:val="30914C4E"/>
    <w:rsid w:val="30915A7F"/>
    <w:rsid w:val="30923790"/>
    <w:rsid w:val="30977944"/>
    <w:rsid w:val="30981BB5"/>
    <w:rsid w:val="309A0029"/>
    <w:rsid w:val="309A2B85"/>
    <w:rsid w:val="309B15B0"/>
    <w:rsid w:val="309C6EC8"/>
    <w:rsid w:val="309D3803"/>
    <w:rsid w:val="309F3490"/>
    <w:rsid w:val="30A164D4"/>
    <w:rsid w:val="30A17A84"/>
    <w:rsid w:val="30A47560"/>
    <w:rsid w:val="30A556DE"/>
    <w:rsid w:val="30A872BD"/>
    <w:rsid w:val="30A973F9"/>
    <w:rsid w:val="30AA5D7B"/>
    <w:rsid w:val="30BA3C01"/>
    <w:rsid w:val="30BA3F36"/>
    <w:rsid w:val="30BB7448"/>
    <w:rsid w:val="30BE07BF"/>
    <w:rsid w:val="30BF0CEE"/>
    <w:rsid w:val="30C06D85"/>
    <w:rsid w:val="30C442CB"/>
    <w:rsid w:val="30C631E7"/>
    <w:rsid w:val="30C87B29"/>
    <w:rsid w:val="30C90753"/>
    <w:rsid w:val="30C92453"/>
    <w:rsid w:val="30C97AC7"/>
    <w:rsid w:val="30D77936"/>
    <w:rsid w:val="30D82B02"/>
    <w:rsid w:val="30DA11D4"/>
    <w:rsid w:val="30DA1859"/>
    <w:rsid w:val="30E82526"/>
    <w:rsid w:val="30EB038B"/>
    <w:rsid w:val="30F064B7"/>
    <w:rsid w:val="30F13B22"/>
    <w:rsid w:val="30F869C0"/>
    <w:rsid w:val="30FB4E87"/>
    <w:rsid w:val="310078F0"/>
    <w:rsid w:val="3101736E"/>
    <w:rsid w:val="31030561"/>
    <w:rsid w:val="310C32EA"/>
    <w:rsid w:val="310D3153"/>
    <w:rsid w:val="311061F6"/>
    <w:rsid w:val="31155563"/>
    <w:rsid w:val="311653E9"/>
    <w:rsid w:val="31213FC0"/>
    <w:rsid w:val="3123261E"/>
    <w:rsid w:val="312558E0"/>
    <w:rsid w:val="312C4298"/>
    <w:rsid w:val="313464FE"/>
    <w:rsid w:val="313509AC"/>
    <w:rsid w:val="31351FFA"/>
    <w:rsid w:val="31393C5C"/>
    <w:rsid w:val="31395673"/>
    <w:rsid w:val="313A1786"/>
    <w:rsid w:val="313A3032"/>
    <w:rsid w:val="314118A3"/>
    <w:rsid w:val="3143321D"/>
    <w:rsid w:val="3148438F"/>
    <w:rsid w:val="314A3846"/>
    <w:rsid w:val="314F6BAB"/>
    <w:rsid w:val="315004C0"/>
    <w:rsid w:val="31504B1C"/>
    <w:rsid w:val="315A6BF4"/>
    <w:rsid w:val="315C3C8F"/>
    <w:rsid w:val="315E0FF2"/>
    <w:rsid w:val="31601999"/>
    <w:rsid w:val="316058BE"/>
    <w:rsid w:val="31641185"/>
    <w:rsid w:val="316667BA"/>
    <w:rsid w:val="31684A32"/>
    <w:rsid w:val="31692AA3"/>
    <w:rsid w:val="316A4C3D"/>
    <w:rsid w:val="316A6002"/>
    <w:rsid w:val="316E0034"/>
    <w:rsid w:val="317A58B0"/>
    <w:rsid w:val="31804F37"/>
    <w:rsid w:val="31876E25"/>
    <w:rsid w:val="31880C30"/>
    <w:rsid w:val="3188427D"/>
    <w:rsid w:val="31886C95"/>
    <w:rsid w:val="318A5D81"/>
    <w:rsid w:val="318B4258"/>
    <w:rsid w:val="318C7A6F"/>
    <w:rsid w:val="319321E9"/>
    <w:rsid w:val="31963E2A"/>
    <w:rsid w:val="319B1268"/>
    <w:rsid w:val="319C30FB"/>
    <w:rsid w:val="31A35A6A"/>
    <w:rsid w:val="31A52EBC"/>
    <w:rsid w:val="31A565F0"/>
    <w:rsid w:val="31A72B6D"/>
    <w:rsid w:val="31A90A2F"/>
    <w:rsid w:val="31A96C84"/>
    <w:rsid w:val="31AA504A"/>
    <w:rsid w:val="31AB50E2"/>
    <w:rsid w:val="31AC04D7"/>
    <w:rsid w:val="31AD4B3A"/>
    <w:rsid w:val="31AE162A"/>
    <w:rsid w:val="31AF59EF"/>
    <w:rsid w:val="31B3328B"/>
    <w:rsid w:val="31B46080"/>
    <w:rsid w:val="31B630B5"/>
    <w:rsid w:val="31BD7894"/>
    <w:rsid w:val="31C00FFD"/>
    <w:rsid w:val="31C504EF"/>
    <w:rsid w:val="31C57C95"/>
    <w:rsid w:val="31C80607"/>
    <w:rsid w:val="31CD38D2"/>
    <w:rsid w:val="31CE54B1"/>
    <w:rsid w:val="31D01945"/>
    <w:rsid w:val="31D167DA"/>
    <w:rsid w:val="31D2501C"/>
    <w:rsid w:val="31D65E3F"/>
    <w:rsid w:val="31D828D6"/>
    <w:rsid w:val="31D953CC"/>
    <w:rsid w:val="31DA44E9"/>
    <w:rsid w:val="31E22C62"/>
    <w:rsid w:val="31E74F06"/>
    <w:rsid w:val="31E9063E"/>
    <w:rsid w:val="31EB28FC"/>
    <w:rsid w:val="31EF7A88"/>
    <w:rsid w:val="31F56B38"/>
    <w:rsid w:val="31FA3990"/>
    <w:rsid w:val="32026C34"/>
    <w:rsid w:val="32046BD0"/>
    <w:rsid w:val="320A43CA"/>
    <w:rsid w:val="320C360F"/>
    <w:rsid w:val="320C5331"/>
    <w:rsid w:val="320D5E0B"/>
    <w:rsid w:val="32107CFA"/>
    <w:rsid w:val="3216448E"/>
    <w:rsid w:val="321A33BF"/>
    <w:rsid w:val="32245AFF"/>
    <w:rsid w:val="32265152"/>
    <w:rsid w:val="322A2966"/>
    <w:rsid w:val="322D1827"/>
    <w:rsid w:val="322F0AF8"/>
    <w:rsid w:val="32351180"/>
    <w:rsid w:val="3235454B"/>
    <w:rsid w:val="32365B68"/>
    <w:rsid w:val="323C09E4"/>
    <w:rsid w:val="324343BC"/>
    <w:rsid w:val="32434CEC"/>
    <w:rsid w:val="32443CB8"/>
    <w:rsid w:val="3249370C"/>
    <w:rsid w:val="32494FA5"/>
    <w:rsid w:val="324C6DAE"/>
    <w:rsid w:val="324D2F9B"/>
    <w:rsid w:val="32503005"/>
    <w:rsid w:val="325113A0"/>
    <w:rsid w:val="325504A7"/>
    <w:rsid w:val="32554771"/>
    <w:rsid w:val="32580996"/>
    <w:rsid w:val="32597C54"/>
    <w:rsid w:val="325F407F"/>
    <w:rsid w:val="325F5E35"/>
    <w:rsid w:val="32606EB2"/>
    <w:rsid w:val="32637D18"/>
    <w:rsid w:val="32655454"/>
    <w:rsid w:val="326615DF"/>
    <w:rsid w:val="32690D48"/>
    <w:rsid w:val="32696033"/>
    <w:rsid w:val="326E7E26"/>
    <w:rsid w:val="327055CC"/>
    <w:rsid w:val="32706FB1"/>
    <w:rsid w:val="3278758B"/>
    <w:rsid w:val="327A5581"/>
    <w:rsid w:val="327C42D4"/>
    <w:rsid w:val="328821AF"/>
    <w:rsid w:val="32892EB1"/>
    <w:rsid w:val="329158B5"/>
    <w:rsid w:val="3291620A"/>
    <w:rsid w:val="32961E90"/>
    <w:rsid w:val="3296737C"/>
    <w:rsid w:val="329830F5"/>
    <w:rsid w:val="329B4F22"/>
    <w:rsid w:val="329D35E0"/>
    <w:rsid w:val="329D4DED"/>
    <w:rsid w:val="329F66B9"/>
    <w:rsid w:val="32A068BA"/>
    <w:rsid w:val="32A20ED5"/>
    <w:rsid w:val="32A4534A"/>
    <w:rsid w:val="32A65F45"/>
    <w:rsid w:val="32A76F76"/>
    <w:rsid w:val="32A82611"/>
    <w:rsid w:val="32AA06E9"/>
    <w:rsid w:val="32AD4F83"/>
    <w:rsid w:val="32AE0660"/>
    <w:rsid w:val="32B3215B"/>
    <w:rsid w:val="32B3272D"/>
    <w:rsid w:val="32B37F2E"/>
    <w:rsid w:val="32B9424C"/>
    <w:rsid w:val="32BD2B5B"/>
    <w:rsid w:val="32BD60BC"/>
    <w:rsid w:val="32BE1A7B"/>
    <w:rsid w:val="32BE3ED3"/>
    <w:rsid w:val="32C159B2"/>
    <w:rsid w:val="32C815F8"/>
    <w:rsid w:val="32CE37BC"/>
    <w:rsid w:val="32CF3EE9"/>
    <w:rsid w:val="32D05F4A"/>
    <w:rsid w:val="32D17D09"/>
    <w:rsid w:val="32D22F57"/>
    <w:rsid w:val="32D560F7"/>
    <w:rsid w:val="32DD31FD"/>
    <w:rsid w:val="32DD5A71"/>
    <w:rsid w:val="32E14A9C"/>
    <w:rsid w:val="32EB3761"/>
    <w:rsid w:val="32EC51EE"/>
    <w:rsid w:val="32F0561E"/>
    <w:rsid w:val="32F96BC4"/>
    <w:rsid w:val="32FB6C45"/>
    <w:rsid w:val="33044D6B"/>
    <w:rsid w:val="330754C3"/>
    <w:rsid w:val="330A2862"/>
    <w:rsid w:val="331100C0"/>
    <w:rsid w:val="33150B97"/>
    <w:rsid w:val="331F1D0C"/>
    <w:rsid w:val="331F3816"/>
    <w:rsid w:val="331F79B7"/>
    <w:rsid w:val="33265777"/>
    <w:rsid w:val="332B7DCB"/>
    <w:rsid w:val="33332E1D"/>
    <w:rsid w:val="33340FD3"/>
    <w:rsid w:val="33370FAD"/>
    <w:rsid w:val="33384AE6"/>
    <w:rsid w:val="334105A8"/>
    <w:rsid w:val="334222BC"/>
    <w:rsid w:val="334A0F14"/>
    <w:rsid w:val="334C0A26"/>
    <w:rsid w:val="334D2131"/>
    <w:rsid w:val="335055A7"/>
    <w:rsid w:val="33524E7E"/>
    <w:rsid w:val="335B0205"/>
    <w:rsid w:val="335C2374"/>
    <w:rsid w:val="335E5BB4"/>
    <w:rsid w:val="33654D7B"/>
    <w:rsid w:val="33661565"/>
    <w:rsid w:val="336658BF"/>
    <w:rsid w:val="336848D9"/>
    <w:rsid w:val="33692FCA"/>
    <w:rsid w:val="3369791F"/>
    <w:rsid w:val="336D4E1A"/>
    <w:rsid w:val="336E4947"/>
    <w:rsid w:val="336E5322"/>
    <w:rsid w:val="33724FCB"/>
    <w:rsid w:val="337B4EF0"/>
    <w:rsid w:val="337D37A8"/>
    <w:rsid w:val="33876E35"/>
    <w:rsid w:val="33890C8F"/>
    <w:rsid w:val="33895BD1"/>
    <w:rsid w:val="338D1BA1"/>
    <w:rsid w:val="338D69D1"/>
    <w:rsid w:val="338D7443"/>
    <w:rsid w:val="338E618E"/>
    <w:rsid w:val="338F236C"/>
    <w:rsid w:val="33927C18"/>
    <w:rsid w:val="33936F8B"/>
    <w:rsid w:val="339451D9"/>
    <w:rsid w:val="339742C0"/>
    <w:rsid w:val="33997124"/>
    <w:rsid w:val="339A1E08"/>
    <w:rsid w:val="339D190C"/>
    <w:rsid w:val="339F208E"/>
    <w:rsid w:val="33A5429C"/>
    <w:rsid w:val="33A55B88"/>
    <w:rsid w:val="33A86C84"/>
    <w:rsid w:val="33AE4B43"/>
    <w:rsid w:val="33B21AB2"/>
    <w:rsid w:val="33B24A9D"/>
    <w:rsid w:val="33B3736C"/>
    <w:rsid w:val="33B66501"/>
    <w:rsid w:val="33BE1094"/>
    <w:rsid w:val="33BF0666"/>
    <w:rsid w:val="33C02224"/>
    <w:rsid w:val="33C126F1"/>
    <w:rsid w:val="33C50708"/>
    <w:rsid w:val="33C54E51"/>
    <w:rsid w:val="33CD7ECC"/>
    <w:rsid w:val="33D31208"/>
    <w:rsid w:val="33DA0D34"/>
    <w:rsid w:val="33DB54F7"/>
    <w:rsid w:val="33DB5755"/>
    <w:rsid w:val="33DF26F1"/>
    <w:rsid w:val="33E141A4"/>
    <w:rsid w:val="33E155AC"/>
    <w:rsid w:val="33E25841"/>
    <w:rsid w:val="33E47104"/>
    <w:rsid w:val="33EB36F8"/>
    <w:rsid w:val="33EC0ECD"/>
    <w:rsid w:val="33EC194A"/>
    <w:rsid w:val="33EF333E"/>
    <w:rsid w:val="33F167D7"/>
    <w:rsid w:val="33F55EE7"/>
    <w:rsid w:val="33FC1C02"/>
    <w:rsid w:val="33FC265C"/>
    <w:rsid w:val="33FD1717"/>
    <w:rsid w:val="34034EE6"/>
    <w:rsid w:val="34077590"/>
    <w:rsid w:val="340852B4"/>
    <w:rsid w:val="340B5AC6"/>
    <w:rsid w:val="34116C6C"/>
    <w:rsid w:val="34167F2C"/>
    <w:rsid w:val="34187C37"/>
    <w:rsid w:val="341D24AD"/>
    <w:rsid w:val="342204C4"/>
    <w:rsid w:val="342E567A"/>
    <w:rsid w:val="34300055"/>
    <w:rsid w:val="343B01DB"/>
    <w:rsid w:val="343B1A52"/>
    <w:rsid w:val="343B313F"/>
    <w:rsid w:val="343B41E6"/>
    <w:rsid w:val="343F7E28"/>
    <w:rsid w:val="34402D36"/>
    <w:rsid w:val="344362F6"/>
    <w:rsid w:val="34444AD2"/>
    <w:rsid w:val="344471B8"/>
    <w:rsid w:val="344474B9"/>
    <w:rsid w:val="344A74B3"/>
    <w:rsid w:val="344B72D8"/>
    <w:rsid w:val="344F1BD4"/>
    <w:rsid w:val="344F2DA9"/>
    <w:rsid w:val="344F3433"/>
    <w:rsid w:val="34517318"/>
    <w:rsid w:val="34545F1B"/>
    <w:rsid w:val="3456256C"/>
    <w:rsid w:val="34570405"/>
    <w:rsid w:val="34596E49"/>
    <w:rsid w:val="345F0EE0"/>
    <w:rsid w:val="345F58C6"/>
    <w:rsid w:val="34647FE6"/>
    <w:rsid w:val="346A250C"/>
    <w:rsid w:val="346E2747"/>
    <w:rsid w:val="346E6803"/>
    <w:rsid w:val="346F257B"/>
    <w:rsid w:val="34733E19"/>
    <w:rsid w:val="34772830"/>
    <w:rsid w:val="347B74D6"/>
    <w:rsid w:val="347C306C"/>
    <w:rsid w:val="347C6171"/>
    <w:rsid w:val="34831B82"/>
    <w:rsid w:val="348358DF"/>
    <w:rsid w:val="3486372B"/>
    <w:rsid w:val="34871B34"/>
    <w:rsid w:val="34884210"/>
    <w:rsid w:val="348942E6"/>
    <w:rsid w:val="3491234C"/>
    <w:rsid w:val="34934412"/>
    <w:rsid w:val="34971205"/>
    <w:rsid w:val="349A75F8"/>
    <w:rsid w:val="349C1779"/>
    <w:rsid w:val="349E0C0D"/>
    <w:rsid w:val="349E173E"/>
    <w:rsid w:val="34A1153D"/>
    <w:rsid w:val="34A246FE"/>
    <w:rsid w:val="34A42974"/>
    <w:rsid w:val="34A61A08"/>
    <w:rsid w:val="34AF7EA7"/>
    <w:rsid w:val="34B7238F"/>
    <w:rsid w:val="34BB42D8"/>
    <w:rsid w:val="34BD3E03"/>
    <w:rsid w:val="34BE1166"/>
    <w:rsid w:val="34BE3CBB"/>
    <w:rsid w:val="34BE5DA3"/>
    <w:rsid w:val="34BF287A"/>
    <w:rsid w:val="34C77CC1"/>
    <w:rsid w:val="34C94751"/>
    <w:rsid w:val="34D460B5"/>
    <w:rsid w:val="34D53994"/>
    <w:rsid w:val="34D56380"/>
    <w:rsid w:val="34E02B31"/>
    <w:rsid w:val="34EC60DC"/>
    <w:rsid w:val="34ED3FC1"/>
    <w:rsid w:val="34F0295C"/>
    <w:rsid w:val="34F56374"/>
    <w:rsid w:val="34F628B3"/>
    <w:rsid w:val="34F71903"/>
    <w:rsid w:val="34F73D4E"/>
    <w:rsid w:val="34F97EBA"/>
    <w:rsid w:val="34FA0825"/>
    <w:rsid w:val="34FA7B6A"/>
    <w:rsid w:val="34FC21C7"/>
    <w:rsid w:val="350174B0"/>
    <w:rsid w:val="35025A5C"/>
    <w:rsid w:val="3505370B"/>
    <w:rsid w:val="35077809"/>
    <w:rsid w:val="3509393A"/>
    <w:rsid w:val="350B551E"/>
    <w:rsid w:val="350D09FD"/>
    <w:rsid w:val="350D2F21"/>
    <w:rsid w:val="350D6249"/>
    <w:rsid w:val="35117C65"/>
    <w:rsid w:val="351716C8"/>
    <w:rsid w:val="351A1F40"/>
    <w:rsid w:val="351D30C1"/>
    <w:rsid w:val="351F3BBB"/>
    <w:rsid w:val="35246EC1"/>
    <w:rsid w:val="35272E42"/>
    <w:rsid w:val="35295CEA"/>
    <w:rsid w:val="352C5446"/>
    <w:rsid w:val="35356A22"/>
    <w:rsid w:val="353A3E1E"/>
    <w:rsid w:val="353A7A92"/>
    <w:rsid w:val="353F2A70"/>
    <w:rsid w:val="354B35B9"/>
    <w:rsid w:val="354E2190"/>
    <w:rsid w:val="3558300F"/>
    <w:rsid w:val="3559102A"/>
    <w:rsid w:val="355A36B3"/>
    <w:rsid w:val="355E0909"/>
    <w:rsid w:val="35666883"/>
    <w:rsid w:val="3569521C"/>
    <w:rsid w:val="356C267C"/>
    <w:rsid w:val="356E7B57"/>
    <w:rsid w:val="357765F0"/>
    <w:rsid w:val="357E3292"/>
    <w:rsid w:val="35835C12"/>
    <w:rsid w:val="35845191"/>
    <w:rsid w:val="35853371"/>
    <w:rsid w:val="35874B4E"/>
    <w:rsid w:val="358B170D"/>
    <w:rsid w:val="358C0DEB"/>
    <w:rsid w:val="358C170C"/>
    <w:rsid w:val="35916201"/>
    <w:rsid w:val="35945B85"/>
    <w:rsid w:val="3597703F"/>
    <w:rsid w:val="359E04AA"/>
    <w:rsid w:val="35A0587A"/>
    <w:rsid w:val="35A17A59"/>
    <w:rsid w:val="35A32954"/>
    <w:rsid w:val="35A62CDB"/>
    <w:rsid w:val="35A77096"/>
    <w:rsid w:val="35A96E95"/>
    <w:rsid w:val="35A973B7"/>
    <w:rsid w:val="35AB5F70"/>
    <w:rsid w:val="35AC6DBD"/>
    <w:rsid w:val="35BB11DC"/>
    <w:rsid w:val="35C124BF"/>
    <w:rsid w:val="35C30488"/>
    <w:rsid w:val="35D475DA"/>
    <w:rsid w:val="35DD521C"/>
    <w:rsid w:val="35DE4005"/>
    <w:rsid w:val="35E27020"/>
    <w:rsid w:val="35E37F32"/>
    <w:rsid w:val="35E64FA1"/>
    <w:rsid w:val="35E80B3E"/>
    <w:rsid w:val="35E8435F"/>
    <w:rsid w:val="35EB26B9"/>
    <w:rsid w:val="35EC00FB"/>
    <w:rsid w:val="35EF74CF"/>
    <w:rsid w:val="35F24731"/>
    <w:rsid w:val="35F45E54"/>
    <w:rsid w:val="35F536B2"/>
    <w:rsid w:val="35FB3280"/>
    <w:rsid w:val="35FE49BA"/>
    <w:rsid w:val="35FE663F"/>
    <w:rsid w:val="36001E68"/>
    <w:rsid w:val="36076B08"/>
    <w:rsid w:val="360A3C71"/>
    <w:rsid w:val="360C0D61"/>
    <w:rsid w:val="360F51AE"/>
    <w:rsid w:val="361144AD"/>
    <w:rsid w:val="361B1992"/>
    <w:rsid w:val="361D2CC3"/>
    <w:rsid w:val="361F7DB8"/>
    <w:rsid w:val="36212D73"/>
    <w:rsid w:val="36237179"/>
    <w:rsid w:val="36282657"/>
    <w:rsid w:val="362B4280"/>
    <w:rsid w:val="362F1FC2"/>
    <w:rsid w:val="362F6804"/>
    <w:rsid w:val="36330800"/>
    <w:rsid w:val="36384E17"/>
    <w:rsid w:val="36392CC7"/>
    <w:rsid w:val="36394220"/>
    <w:rsid w:val="363A1134"/>
    <w:rsid w:val="363C69D5"/>
    <w:rsid w:val="3640501F"/>
    <w:rsid w:val="36407562"/>
    <w:rsid w:val="36426D69"/>
    <w:rsid w:val="3645491F"/>
    <w:rsid w:val="36460865"/>
    <w:rsid w:val="364737D7"/>
    <w:rsid w:val="364874B8"/>
    <w:rsid w:val="364A31D9"/>
    <w:rsid w:val="364A7E82"/>
    <w:rsid w:val="364E2ADC"/>
    <w:rsid w:val="364E4EBC"/>
    <w:rsid w:val="364E586E"/>
    <w:rsid w:val="364F2CB3"/>
    <w:rsid w:val="364F426A"/>
    <w:rsid w:val="36512FE4"/>
    <w:rsid w:val="36525CB0"/>
    <w:rsid w:val="36582621"/>
    <w:rsid w:val="365D5F63"/>
    <w:rsid w:val="3664517F"/>
    <w:rsid w:val="36687282"/>
    <w:rsid w:val="366971C7"/>
    <w:rsid w:val="366A6B7E"/>
    <w:rsid w:val="366E6068"/>
    <w:rsid w:val="366F66F8"/>
    <w:rsid w:val="36731C54"/>
    <w:rsid w:val="367555C3"/>
    <w:rsid w:val="3676199F"/>
    <w:rsid w:val="367B5C66"/>
    <w:rsid w:val="36884699"/>
    <w:rsid w:val="36920A14"/>
    <w:rsid w:val="36922553"/>
    <w:rsid w:val="36956834"/>
    <w:rsid w:val="36957809"/>
    <w:rsid w:val="36980181"/>
    <w:rsid w:val="36980F7E"/>
    <w:rsid w:val="369A2B46"/>
    <w:rsid w:val="369B1A60"/>
    <w:rsid w:val="369B4B3E"/>
    <w:rsid w:val="369C416F"/>
    <w:rsid w:val="369F005B"/>
    <w:rsid w:val="36A027E8"/>
    <w:rsid w:val="36A16964"/>
    <w:rsid w:val="36A30093"/>
    <w:rsid w:val="36A37790"/>
    <w:rsid w:val="36A54E22"/>
    <w:rsid w:val="36AA5AB9"/>
    <w:rsid w:val="36AA6F0F"/>
    <w:rsid w:val="36B441F4"/>
    <w:rsid w:val="36B44762"/>
    <w:rsid w:val="36B479FA"/>
    <w:rsid w:val="36B64491"/>
    <w:rsid w:val="36BA0017"/>
    <w:rsid w:val="36BB19B3"/>
    <w:rsid w:val="36BD624B"/>
    <w:rsid w:val="36C55CAD"/>
    <w:rsid w:val="36C66A4E"/>
    <w:rsid w:val="36C8103E"/>
    <w:rsid w:val="36CA5AB8"/>
    <w:rsid w:val="36CD310C"/>
    <w:rsid w:val="36CF7915"/>
    <w:rsid w:val="36D7221C"/>
    <w:rsid w:val="36DA3715"/>
    <w:rsid w:val="36DB501A"/>
    <w:rsid w:val="36DB7BCD"/>
    <w:rsid w:val="36DC0881"/>
    <w:rsid w:val="36E032BC"/>
    <w:rsid w:val="36E120D6"/>
    <w:rsid w:val="36E20DE2"/>
    <w:rsid w:val="36E649E5"/>
    <w:rsid w:val="36E763F9"/>
    <w:rsid w:val="36EC290D"/>
    <w:rsid w:val="36EC4D17"/>
    <w:rsid w:val="36EE0A1A"/>
    <w:rsid w:val="36F0469B"/>
    <w:rsid w:val="36F22869"/>
    <w:rsid w:val="36F230BC"/>
    <w:rsid w:val="36F31265"/>
    <w:rsid w:val="36F367E1"/>
    <w:rsid w:val="36F823B4"/>
    <w:rsid w:val="36F86DA1"/>
    <w:rsid w:val="36F97871"/>
    <w:rsid w:val="36FA0B4C"/>
    <w:rsid w:val="36FA1D81"/>
    <w:rsid w:val="36FB6A1B"/>
    <w:rsid w:val="36FB711E"/>
    <w:rsid w:val="36FC2713"/>
    <w:rsid w:val="36FE7766"/>
    <w:rsid w:val="37055771"/>
    <w:rsid w:val="3706481C"/>
    <w:rsid w:val="37081B9D"/>
    <w:rsid w:val="370D777A"/>
    <w:rsid w:val="370E6531"/>
    <w:rsid w:val="37110726"/>
    <w:rsid w:val="37126F1C"/>
    <w:rsid w:val="37142E18"/>
    <w:rsid w:val="371865FE"/>
    <w:rsid w:val="371917F8"/>
    <w:rsid w:val="371B6328"/>
    <w:rsid w:val="371B7587"/>
    <w:rsid w:val="371D62BE"/>
    <w:rsid w:val="371F190D"/>
    <w:rsid w:val="37217B78"/>
    <w:rsid w:val="372238D5"/>
    <w:rsid w:val="3726331B"/>
    <w:rsid w:val="37266137"/>
    <w:rsid w:val="372907BF"/>
    <w:rsid w:val="3729254E"/>
    <w:rsid w:val="372A7AFD"/>
    <w:rsid w:val="372B77A2"/>
    <w:rsid w:val="372D3B2A"/>
    <w:rsid w:val="3731686D"/>
    <w:rsid w:val="37334E7C"/>
    <w:rsid w:val="37377C8A"/>
    <w:rsid w:val="373D2CDC"/>
    <w:rsid w:val="373E6536"/>
    <w:rsid w:val="37403D43"/>
    <w:rsid w:val="37404B77"/>
    <w:rsid w:val="37456F80"/>
    <w:rsid w:val="37461574"/>
    <w:rsid w:val="37490E61"/>
    <w:rsid w:val="3749730B"/>
    <w:rsid w:val="374B2FB2"/>
    <w:rsid w:val="374E7540"/>
    <w:rsid w:val="37515F68"/>
    <w:rsid w:val="375241BA"/>
    <w:rsid w:val="375257FF"/>
    <w:rsid w:val="375448CA"/>
    <w:rsid w:val="37645C9B"/>
    <w:rsid w:val="37654561"/>
    <w:rsid w:val="37657083"/>
    <w:rsid w:val="37667C65"/>
    <w:rsid w:val="376B5305"/>
    <w:rsid w:val="377062A2"/>
    <w:rsid w:val="37743A10"/>
    <w:rsid w:val="377F28CB"/>
    <w:rsid w:val="378018EB"/>
    <w:rsid w:val="378105AD"/>
    <w:rsid w:val="37817C29"/>
    <w:rsid w:val="378200E4"/>
    <w:rsid w:val="37832B82"/>
    <w:rsid w:val="378F4EE5"/>
    <w:rsid w:val="378F76FF"/>
    <w:rsid w:val="37906C3A"/>
    <w:rsid w:val="37913BA3"/>
    <w:rsid w:val="37933367"/>
    <w:rsid w:val="379540A7"/>
    <w:rsid w:val="3795482D"/>
    <w:rsid w:val="37955E55"/>
    <w:rsid w:val="37971B68"/>
    <w:rsid w:val="37976CC0"/>
    <w:rsid w:val="379D070E"/>
    <w:rsid w:val="379E11E0"/>
    <w:rsid w:val="379E1AEA"/>
    <w:rsid w:val="379E63CE"/>
    <w:rsid w:val="37A13C39"/>
    <w:rsid w:val="37A14947"/>
    <w:rsid w:val="37A666DD"/>
    <w:rsid w:val="37AA1445"/>
    <w:rsid w:val="37AC7031"/>
    <w:rsid w:val="37AF0811"/>
    <w:rsid w:val="37B02513"/>
    <w:rsid w:val="37B46565"/>
    <w:rsid w:val="37CA6137"/>
    <w:rsid w:val="37D26D84"/>
    <w:rsid w:val="37D36EF9"/>
    <w:rsid w:val="37D554D2"/>
    <w:rsid w:val="37D62236"/>
    <w:rsid w:val="37DE369E"/>
    <w:rsid w:val="37E30CA7"/>
    <w:rsid w:val="37E45748"/>
    <w:rsid w:val="37E64902"/>
    <w:rsid w:val="37E669B3"/>
    <w:rsid w:val="37E7627E"/>
    <w:rsid w:val="37E82428"/>
    <w:rsid w:val="37E912CE"/>
    <w:rsid w:val="37F00179"/>
    <w:rsid w:val="37F05525"/>
    <w:rsid w:val="37F42E63"/>
    <w:rsid w:val="37F92BAF"/>
    <w:rsid w:val="38003924"/>
    <w:rsid w:val="380811F8"/>
    <w:rsid w:val="380F08D0"/>
    <w:rsid w:val="38104602"/>
    <w:rsid w:val="381347B4"/>
    <w:rsid w:val="38171B31"/>
    <w:rsid w:val="381940F1"/>
    <w:rsid w:val="381A6C19"/>
    <w:rsid w:val="381B1019"/>
    <w:rsid w:val="381E14DB"/>
    <w:rsid w:val="382257C6"/>
    <w:rsid w:val="38263203"/>
    <w:rsid w:val="382B3A06"/>
    <w:rsid w:val="382D1791"/>
    <w:rsid w:val="382F6B9C"/>
    <w:rsid w:val="38304EAD"/>
    <w:rsid w:val="3830529B"/>
    <w:rsid w:val="38325F32"/>
    <w:rsid w:val="383604C1"/>
    <w:rsid w:val="38384950"/>
    <w:rsid w:val="383B3591"/>
    <w:rsid w:val="383D3728"/>
    <w:rsid w:val="383D6282"/>
    <w:rsid w:val="38484124"/>
    <w:rsid w:val="384F24A7"/>
    <w:rsid w:val="38572002"/>
    <w:rsid w:val="38577409"/>
    <w:rsid w:val="38577C75"/>
    <w:rsid w:val="385C7B1B"/>
    <w:rsid w:val="385D7F83"/>
    <w:rsid w:val="38663BD5"/>
    <w:rsid w:val="386D724A"/>
    <w:rsid w:val="386E30A1"/>
    <w:rsid w:val="387070F6"/>
    <w:rsid w:val="387273B3"/>
    <w:rsid w:val="38740155"/>
    <w:rsid w:val="38822D17"/>
    <w:rsid w:val="38897C96"/>
    <w:rsid w:val="388E6212"/>
    <w:rsid w:val="38976866"/>
    <w:rsid w:val="38995E18"/>
    <w:rsid w:val="389D27B1"/>
    <w:rsid w:val="389D2998"/>
    <w:rsid w:val="389E2406"/>
    <w:rsid w:val="38A8270B"/>
    <w:rsid w:val="38AF1198"/>
    <w:rsid w:val="38AF1D60"/>
    <w:rsid w:val="38B04C70"/>
    <w:rsid w:val="38B50463"/>
    <w:rsid w:val="38B5617F"/>
    <w:rsid w:val="38B844F1"/>
    <w:rsid w:val="38B95B73"/>
    <w:rsid w:val="38BB2A8F"/>
    <w:rsid w:val="38C3367B"/>
    <w:rsid w:val="38C509BB"/>
    <w:rsid w:val="38C6092C"/>
    <w:rsid w:val="38D01BC5"/>
    <w:rsid w:val="38D439A5"/>
    <w:rsid w:val="38D57191"/>
    <w:rsid w:val="38D64BF0"/>
    <w:rsid w:val="38DA5B75"/>
    <w:rsid w:val="38E06D0B"/>
    <w:rsid w:val="38E208A8"/>
    <w:rsid w:val="38E3535D"/>
    <w:rsid w:val="38E547C3"/>
    <w:rsid w:val="38E83305"/>
    <w:rsid w:val="38E97D70"/>
    <w:rsid w:val="38EA62CA"/>
    <w:rsid w:val="38F01CBF"/>
    <w:rsid w:val="38F512A1"/>
    <w:rsid w:val="38F66AAE"/>
    <w:rsid w:val="38F91E49"/>
    <w:rsid w:val="38F93AA7"/>
    <w:rsid w:val="38FD63A7"/>
    <w:rsid w:val="39023395"/>
    <w:rsid w:val="39033872"/>
    <w:rsid w:val="39045C0C"/>
    <w:rsid w:val="39055987"/>
    <w:rsid w:val="391177B9"/>
    <w:rsid w:val="39131727"/>
    <w:rsid w:val="39137317"/>
    <w:rsid w:val="3914724D"/>
    <w:rsid w:val="39161217"/>
    <w:rsid w:val="391768AD"/>
    <w:rsid w:val="391928FA"/>
    <w:rsid w:val="391A25F7"/>
    <w:rsid w:val="391D1543"/>
    <w:rsid w:val="39214919"/>
    <w:rsid w:val="39225927"/>
    <w:rsid w:val="3929451C"/>
    <w:rsid w:val="392D3BA6"/>
    <w:rsid w:val="392F5C33"/>
    <w:rsid w:val="39343980"/>
    <w:rsid w:val="39426B96"/>
    <w:rsid w:val="39470D06"/>
    <w:rsid w:val="39476F6B"/>
    <w:rsid w:val="394C1614"/>
    <w:rsid w:val="394C69E7"/>
    <w:rsid w:val="394E231E"/>
    <w:rsid w:val="3952093F"/>
    <w:rsid w:val="39526266"/>
    <w:rsid w:val="39537110"/>
    <w:rsid w:val="39556E94"/>
    <w:rsid w:val="395747F4"/>
    <w:rsid w:val="395E136F"/>
    <w:rsid w:val="396258B8"/>
    <w:rsid w:val="39641027"/>
    <w:rsid w:val="39657AA9"/>
    <w:rsid w:val="3966340E"/>
    <w:rsid w:val="39671A73"/>
    <w:rsid w:val="396802D0"/>
    <w:rsid w:val="39723BA6"/>
    <w:rsid w:val="39770BA7"/>
    <w:rsid w:val="397D2F3A"/>
    <w:rsid w:val="39805A61"/>
    <w:rsid w:val="3986014B"/>
    <w:rsid w:val="398D3CA3"/>
    <w:rsid w:val="398E45F6"/>
    <w:rsid w:val="398F1C21"/>
    <w:rsid w:val="399078E9"/>
    <w:rsid w:val="399A4287"/>
    <w:rsid w:val="399E3E1E"/>
    <w:rsid w:val="39A04B43"/>
    <w:rsid w:val="39A61CC3"/>
    <w:rsid w:val="39A72761"/>
    <w:rsid w:val="39AA07F6"/>
    <w:rsid w:val="39AB53CF"/>
    <w:rsid w:val="39AF7F81"/>
    <w:rsid w:val="39B06F76"/>
    <w:rsid w:val="39B2019D"/>
    <w:rsid w:val="39B64E11"/>
    <w:rsid w:val="39B96BED"/>
    <w:rsid w:val="39BA1BA2"/>
    <w:rsid w:val="39BC591B"/>
    <w:rsid w:val="39BD5BE5"/>
    <w:rsid w:val="39C3743C"/>
    <w:rsid w:val="39C4240D"/>
    <w:rsid w:val="39C42748"/>
    <w:rsid w:val="39CB3DB0"/>
    <w:rsid w:val="39CD30DA"/>
    <w:rsid w:val="39D12B48"/>
    <w:rsid w:val="39D230F3"/>
    <w:rsid w:val="39D23390"/>
    <w:rsid w:val="39D24088"/>
    <w:rsid w:val="39D31106"/>
    <w:rsid w:val="39D377EF"/>
    <w:rsid w:val="39DB7186"/>
    <w:rsid w:val="39DE6B49"/>
    <w:rsid w:val="39DF16C5"/>
    <w:rsid w:val="39E6791F"/>
    <w:rsid w:val="39E77162"/>
    <w:rsid w:val="39EA66D6"/>
    <w:rsid w:val="39EE1141"/>
    <w:rsid w:val="39EF0F9F"/>
    <w:rsid w:val="39F02A80"/>
    <w:rsid w:val="39F15601"/>
    <w:rsid w:val="39F353A6"/>
    <w:rsid w:val="39F4076D"/>
    <w:rsid w:val="39FB4D10"/>
    <w:rsid w:val="39FE1364"/>
    <w:rsid w:val="3A002EF0"/>
    <w:rsid w:val="3A0042EF"/>
    <w:rsid w:val="3A0111D8"/>
    <w:rsid w:val="3A0722F4"/>
    <w:rsid w:val="3A081D7F"/>
    <w:rsid w:val="3A0D1F61"/>
    <w:rsid w:val="3A0E7F00"/>
    <w:rsid w:val="3A0F6486"/>
    <w:rsid w:val="3A1129CF"/>
    <w:rsid w:val="3A1972D4"/>
    <w:rsid w:val="3A1E09BF"/>
    <w:rsid w:val="3A1E7DE4"/>
    <w:rsid w:val="3A236610"/>
    <w:rsid w:val="3A241712"/>
    <w:rsid w:val="3A252232"/>
    <w:rsid w:val="3A2532CA"/>
    <w:rsid w:val="3A2B2066"/>
    <w:rsid w:val="3A2F0407"/>
    <w:rsid w:val="3A335259"/>
    <w:rsid w:val="3A366920"/>
    <w:rsid w:val="3A37370B"/>
    <w:rsid w:val="3A396F6B"/>
    <w:rsid w:val="3A3F3316"/>
    <w:rsid w:val="3A491698"/>
    <w:rsid w:val="3A4A3E29"/>
    <w:rsid w:val="3A4A73CA"/>
    <w:rsid w:val="3A574183"/>
    <w:rsid w:val="3A584A15"/>
    <w:rsid w:val="3A5A5133"/>
    <w:rsid w:val="3A5B5577"/>
    <w:rsid w:val="3A607B74"/>
    <w:rsid w:val="3A657163"/>
    <w:rsid w:val="3A7050FC"/>
    <w:rsid w:val="3A731D63"/>
    <w:rsid w:val="3A751F6D"/>
    <w:rsid w:val="3A75632A"/>
    <w:rsid w:val="3A7F5F93"/>
    <w:rsid w:val="3A830B2E"/>
    <w:rsid w:val="3A8C3145"/>
    <w:rsid w:val="3A8C6FC6"/>
    <w:rsid w:val="3A8F28EF"/>
    <w:rsid w:val="3A91186F"/>
    <w:rsid w:val="3A953751"/>
    <w:rsid w:val="3A9C74FA"/>
    <w:rsid w:val="3A9E0358"/>
    <w:rsid w:val="3A9E048B"/>
    <w:rsid w:val="3AA53191"/>
    <w:rsid w:val="3AA9751D"/>
    <w:rsid w:val="3AAA48E1"/>
    <w:rsid w:val="3AAB4C20"/>
    <w:rsid w:val="3AAC2CD8"/>
    <w:rsid w:val="3AB552C8"/>
    <w:rsid w:val="3ABB63F2"/>
    <w:rsid w:val="3ABE5D2E"/>
    <w:rsid w:val="3ABF18AF"/>
    <w:rsid w:val="3ABF1F19"/>
    <w:rsid w:val="3ABF795C"/>
    <w:rsid w:val="3AC20DBD"/>
    <w:rsid w:val="3AC214B3"/>
    <w:rsid w:val="3AC343F1"/>
    <w:rsid w:val="3AC52BB3"/>
    <w:rsid w:val="3AC94A94"/>
    <w:rsid w:val="3AC96534"/>
    <w:rsid w:val="3AC97E01"/>
    <w:rsid w:val="3ACC060E"/>
    <w:rsid w:val="3ACC635A"/>
    <w:rsid w:val="3AD21656"/>
    <w:rsid w:val="3AD757F7"/>
    <w:rsid w:val="3ADB1E0A"/>
    <w:rsid w:val="3ADF0DA7"/>
    <w:rsid w:val="3AE81D94"/>
    <w:rsid w:val="3AE83EA5"/>
    <w:rsid w:val="3AE97B03"/>
    <w:rsid w:val="3AEA3868"/>
    <w:rsid w:val="3AEA72FC"/>
    <w:rsid w:val="3AF008BB"/>
    <w:rsid w:val="3AF36ACC"/>
    <w:rsid w:val="3AFD7E93"/>
    <w:rsid w:val="3AFE37AB"/>
    <w:rsid w:val="3AFE7EC5"/>
    <w:rsid w:val="3AFF6407"/>
    <w:rsid w:val="3B025500"/>
    <w:rsid w:val="3B037FA8"/>
    <w:rsid w:val="3B054AEC"/>
    <w:rsid w:val="3B0F4EA3"/>
    <w:rsid w:val="3B101D0F"/>
    <w:rsid w:val="3B156592"/>
    <w:rsid w:val="3B176D03"/>
    <w:rsid w:val="3B1A4C15"/>
    <w:rsid w:val="3B1C7D4F"/>
    <w:rsid w:val="3B210817"/>
    <w:rsid w:val="3B2348D8"/>
    <w:rsid w:val="3B236FBE"/>
    <w:rsid w:val="3B282D1F"/>
    <w:rsid w:val="3B2A0FAA"/>
    <w:rsid w:val="3B2A4572"/>
    <w:rsid w:val="3B2C7C2A"/>
    <w:rsid w:val="3B2D120A"/>
    <w:rsid w:val="3B2D29D5"/>
    <w:rsid w:val="3B332FDD"/>
    <w:rsid w:val="3B382A00"/>
    <w:rsid w:val="3B385A10"/>
    <w:rsid w:val="3B3D6FB3"/>
    <w:rsid w:val="3B435F1B"/>
    <w:rsid w:val="3B441006"/>
    <w:rsid w:val="3B4F0A10"/>
    <w:rsid w:val="3B5124C8"/>
    <w:rsid w:val="3B542962"/>
    <w:rsid w:val="3B5A5639"/>
    <w:rsid w:val="3B5F200A"/>
    <w:rsid w:val="3B611CEF"/>
    <w:rsid w:val="3B6346E2"/>
    <w:rsid w:val="3B66770B"/>
    <w:rsid w:val="3B693FE3"/>
    <w:rsid w:val="3B6A36F9"/>
    <w:rsid w:val="3B6D1E13"/>
    <w:rsid w:val="3B6E03B8"/>
    <w:rsid w:val="3B723878"/>
    <w:rsid w:val="3B724C3B"/>
    <w:rsid w:val="3B7A1FB2"/>
    <w:rsid w:val="3B7A7332"/>
    <w:rsid w:val="3B800BCA"/>
    <w:rsid w:val="3B814660"/>
    <w:rsid w:val="3B8415BD"/>
    <w:rsid w:val="3B863571"/>
    <w:rsid w:val="3B8B70DB"/>
    <w:rsid w:val="3B8B7871"/>
    <w:rsid w:val="3B8D7CF9"/>
    <w:rsid w:val="3B900410"/>
    <w:rsid w:val="3B911029"/>
    <w:rsid w:val="3B920FE9"/>
    <w:rsid w:val="3B936986"/>
    <w:rsid w:val="3B950A33"/>
    <w:rsid w:val="3B9A13C6"/>
    <w:rsid w:val="3B9A1CA2"/>
    <w:rsid w:val="3B9A3EE5"/>
    <w:rsid w:val="3B9B4ED1"/>
    <w:rsid w:val="3B9D16A1"/>
    <w:rsid w:val="3B9D530F"/>
    <w:rsid w:val="3B9E7492"/>
    <w:rsid w:val="3BA367E6"/>
    <w:rsid w:val="3BA41567"/>
    <w:rsid w:val="3BAC1C67"/>
    <w:rsid w:val="3BAF0889"/>
    <w:rsid w:val="3BB13C73"/>
    <w:rsid w:val="3BB20947"/>
    <w:rsid w:val="3BB46691"/>
    <w:rsid w:val="3BBA232E"/>
    <w:rsid w:val="3BBB3D32"/>
    <w:rsid w:val="3BBC20BB"/>
    <w:rsid w:val="3BBD7862"/>
    <w:rsid w:val="3BBF03CE"/>
    <w:rsid w:val="3BC136BC"/>
    <w:rsid w:val="3BC200B4"/>
    <w:rsid w:val="3BC3083F"/>
    <w:rsid w:val="3BC40965"/>
    <w:rsid w:val="3BC50631"/>
    <w:rsid w:val="3BCA3F69"/>
    <w:rsid w:val="3BCB0409"/>
    <w:rsid w:val="3BD53DC1"/>
    <w:rsid w:val="3BD64773"/>
    <w:rsid w:val="3BDF1817"/>
    <w:rsid w:val="3BE15AA4"/>
    <w:rsid w:val="3BE451BC"/>
    <w:rsid w:val="3BE53AE4"/>
    <w:rsid w:val="3BE63A70"/>
    <w:rsid w:val="3BE70C49"/>
    <w:rsid w:val="3BE92C13"/>
    <w:rsid w:val="3BEC52A1"/>
    <w:rsid w:val="3BF06270"/>
    <w:rsid w:val="3BF275D1"/>
    <w:rsid w:val="3BF47F65"/>
    <w:rsid w:val="3BF65DC7"/>
    <w:rsid w:val="3BF667F2"/>
    <w:rsid w:val="3BF76A66"/>
    <w:rsid w:val="3BF86FFB"/>
    <w:rsid w:val="3BFC2946"/>
    <w:rsid w:val="3C06421F"/>
    <w:rsid w:val="3C090BBF"/>
    <w:rsid w:val="3C0A6531"/>
    <w:rsid w:val="3C0D04B8"/>
    <w:rsid w:val="3C0D25F0"/>
    <w:rsid w:val="3C0E3DDB"/>
    <w:rsid w:val="3C0F6F94"/>
    <w:rsid w:val="3C101F4E"/>
    <w:rsid w:val="3C105A79"/>
    <w:rsid w:val="3C106247"/>
    <w:rsid w:val="3C14082A"/>
    <w:rsid w:val="3C1E4165"/>
    <w:rsid w:val="3C221C81"/>
    <w:rsid w:val="3C230538"/>
    <w:rsid w:val="3C2369A8"/>
    <w:rsid w:val="3C251627"/>
    <w:rsid w:val="3C26334F"/>
    <w:rsid w:val="3C2757AE"/>
    <w:rsid w:val="3C3A76D8"/>
    <w:rsid w:val="3C3C43C8"/>
    <w:rsid w:val="3C3F0FE9"/>
    <w:rsid w:val="3C4D2B6E"/>
    <w:rsid w:val="3C597CE1"/>
    <w:rsid w:val="3C5C6C20"/>
    <w:rsid w:val="3C5F7B86"/>
    <w:rsid w:val="3C61665E"/>
    <w:rsid w:val="3C643DF1"/>
    <w:rsid w:val="3C6645C6"/>
    <w:rsid w:val="3C672EE5"/>
    <w:rsid w:val="3C6731CF"/>
    <w:rsid w:val="3C697387"/>
    <w:rsid w:val="3C6D55F2"/>
    <w:rsid w:val="3C765760"/>
    <w:rsid w:val="3C7933B0"/>
    <w:rsid w:val="3C793F97"/>
    <w:rsid w:val="3C7F7D63"/>
    <w:rsid w:val="3C8278A0"/>
    <w:rsid w:val="3C8367AD"/>
    <w:rsid w:val="3C8500BC"/>
    <w:rsid w:val="3C8B09A3"/>
    <w:rsid w:val="3C8B6440"/>
    <w:rsid w:val="3C926537"/>
    <w:rsid w:val="3C967B2F"/>
    <w:rsid w:val="3C9726B0"/>
    <w:rsid w:val="3C9B3E3C"/>
    <w:rsid w:val="3C9C1A33"/>
    <w:rsid w:val="3C9F5ADB"/>
    <w:rsid w:val="3CA110D5"/>
    <w:rsid w:val="3CA32E48"/>
    <w:rsid w:val="3CA35BA3"/>
    <w:rsid w:val="3CA4126D"/>
    <w:rsid w:val="3CAC2893"/>
    <w:rsid w:val="3CAF705F"/>
    <w:rsid w:val="3CAF7D8B"/>
    <w:rsid w:val="3CB345A0"/>
    <w:rsid w:val="3CB353B6"/>
    <w:rsid w:val="3CB43221"/>
    <w:rsid w:val="3CB61875"/>
    <w:rsid w:val="3CB75712"/>
    <w:rsid w:val="3CC85251"/>
    <w:rsid w:val="3CCB2DE2"/>
    <w:rsid w:val="3CCC367E"/>
    <w:rsid w:val="3CD44DCD"/>
    <w:rsid w:val="3CD62AC0"/>
    <w:rsid w:val="3CD70402"/>
    <w:rsid w:val="3CD70AB1"/>
    <w:rsid w:val="3CE40B0E"/>
    <w:rsid w:val="3CE5109A"/>
    <w:rsid w:val="3CEC5961"/>
    <w:rsid w:val="3CED0056"/>
    <w:rsid w:val="3CED04E1"/>
    <w:rsid w:val="3CED62C6"/>
    <w:rsid w:val="3CEF3D05"/>
    <w:rsid w:val="3CF02E20"/>
    <w:rsid w:val="3CF2634E"/>
    <w:rsid w:val="3CF42A86"/>
    <w:rsid w:val="3CF655E7"/>
    <w:rsid w:val="3CFB6C90"/>
    <w:rsid w:val="3CFE1DCA"/>
    <w:rsid w:val="3D023F8C"/>
    <w:rsid w:val="3D056FAA"/>
    <w:rsid w:val="3D071C88"/>
    <w:rsid w:val="3D0B1124"/>
    <w:rsid w:val="3D0C2C65"/>
    <w:rsid w:val="3D0D1CAB"/>
    <w:rsid w:val="3D11226F"/>
    <w:rsid w:val="3D11514D"/>
    <w:rsid w:val="3D145AE6"/>
    <w:rsid w:val="3D161309"/>
    <w:rsid w:val="3D171247"/>
    <w:rsid w:val="3D1A0F50"/>
    <w:rsid w:val="3D1D2542"/>
    <w:rsid w:val="3D2164F6"/>
    <w:rsid w:val="3D235CB1"/>
    <w:rsid w:val="3D25539B"/>
    <w:rsid w:val="3D2814B4"/>
    <w:rsid w:val="3D2E4D81"/>
    <w:rsid w:val="3D393C13"/>
    <w:rsid w:val="3D394D68"/>
    <w:rsid w:val="3D3E5AEC"/>
    <w:rsid w:val="3D3E7FC0"/>
    <w:rsid w:val="3D430B03"/>
    <w:rsid w:val="3D435B59"/>
    <w:rsid w:val="3D470B21"/>
    <w:rsid w:val="3D474883"/>
    <w:rsid w:val="3D48384F"/>
    <w:rsid w:val="3D4B0EF9"/>
    <w:rsid w:val="3D4B47A9"/>
    <w:rsid w:val="3D4B5233"/>
    <w:rsid w:val="3D4C4BB6"/>
    <w:rsid w:val="3D5316F7"/>
    <w:rsid w:val="3D551E19"/>
    <w:rsid w:val="3D581707"/>
    <w:rsid w:val="3D595B76"/>
    <w:rsid w:val="3D5D71B4"/>
    <w:rsid w:val="3D5F50CD"/>
    <w:rsid w:val="3D656935"/>
    <w:rsid w:val="3D663E86"/>
    <w:rsid w:val="3D6A6063"/>
    <w:rsid w:val="3D6D4A8B"/>
    <w:rsid w:val="3D6F7148"/>
    <w:rsid w:val="3D74475E"/>
    <w:rsid w:val="3D7824A0"/>
    <w:rsid w:val="3D782519"/>
    <w:rsid w:val="3D7959A4"/>
    <w:rsid w:val="3D82081E"/>
    <w:rsid w:val="3D837762"/>
    <w:rsid w:val="3D891543"/>
    <w:rsid w:val="3D8B2BE7"/>
    <w:rsid w:val="3D8B764A"/>
    <w:rsid w:val="3D931594"/>
    <w:rsid w:val="3D946FE4"/>
    <w:rsid w:val="3D9A1374"/>
    <w:rsid w:val="3D9F2D3C"/>
    <w:rsid w:val="3DA0161A"/>
    <w:rsid w:val="3DA5726A"/>
    <w:rsid w:val="3DA62C98"/>
    <w:rsid w:val="3DA7389E"/>
    <w:rsid w:val="3DAD66E8"/>
    <w:rsid w:val="3DAE7C70"/>
    <w:rsid w:val="3DB54CD2"/>
    <w:rsid w:val="3DBC4EBD"/>
    <w:rsid w:val="3DBE3991"/>
    <w:rsid w:val="3DC75ABD"/>
    <w:rsid w:val="3DC81CBB"/>
    <w:rsid w:val="3DCB6A74"/>
    <w:rsid w:val="3DD12431"/>
    <w:rsid w:val="3DD1625B"/>
    <w:rsid w:val="3DD611DC"/>
    <w:rsid w:val="3DDB2452"/>
    <w:rsid w:val="3DDC5957"/>
    <w:rsid w:val="3DDE277A"/>
    <w:rsid w:val="3DE713D4"/>
    <w:rsid w:val="3DE83EA4"/>
    <w:rsid w:val="3DEC2546"/>
    <w:rsid w:val="3DEF2CA5"/>
    <w:rsid w:val="3DF13762"/>
    <w:rsid w:val="3DF33394"/>
    <w:rsid w:val="3DF44616"/>
    <w:rsid w:val="3DFB111C"/>
    <w:rsid w:val="3DFB3FF3"/>
    <w:rsid w:val="3E000949"/>
    <w:rsid w:val="3E007A31"/>
    <w:rsid w:val="3E030197"/>
    <w:rsid w:val="3E0756BF"/>
    <w:rsid w:val="3E083824"/>
    <w:rsid w:val="3E097013"/>
    <w:rsid w:val="3E0B1EFC"/>
    <w:rsid w:val="3E0C2BE9"/>
    <w:rsid w:val="3E0E5EB6"/>
    <w:rsid w:val="3E15354A"/>
    <w:rsid w:val="3E1A5306"/>
    <w:rsid w:val="3E1C3755"/>
    <w:rsid w:val="3E1F6FED"/>
    <w:rsid w:val="3E246184"/>
    <w:rsid w:val="3E275A1B"/>
    <w:rsid w:val="3E295C3F"/>
    <w:rsid w:val="3E2E0DB1"/>
    <w:rsid w:val="3E2E455D"/>
    <w:rsid w:val="3E3375AE"/>
    <w:rsid w:val="3E364740"/>
    <w:rsid w:val="3E3734F9"/>
    <w:rsid w:val="3E38004A"/>
    <w:rsid w:val="3E38578C"/>
    <w:rsid w:val="3E391C30"/>
    <w:rsid w:val="3E3D5849"/>
    <w:rsid w:val="3E410134"/>
    <w:rsid w:val="3E411DCD"/>
    <w:rsid w:val="3E432AAE"/>
    <w:rsid w:val="3E4A4E76"/>
    <w:rsid w:val="3E4B0183"/>
    <w:rsid w:val="3E4B54BF"/>
    <w:rsid w:val="3E4D4F41"/>
    <w:rsid w:val="3E5416F2"/>
    <w:rsid w:val="3E551467"/>
    <w:rsid w:val="3E587BDC"/>
    <w:rsid w:val="3E5A59DB"/>
    <w:rsid w:val="3E5D4B68"/>
    <w:rsid w:val="3E604FCD"/>
    <w:rsid w:val="3E640984"/>
    <w:rsid w:val="3E642FEB"/>
    <w:rsid w:val="3E65758D"/>
    <w:rsid w:val="3E682515"/>
    <w:rsid w:val="3E691DE9"/>
    <w:rsid w:val="3E6A34A4"/>
    <w:rsid w:val="3E7013C9"/>
    <w:rsid w:val="3E7120C3"/>
    <w:rsid w:val="3E772AED"/>
    <w:rsid w:val="3E7B790B"/>
    <w:rsid w:val="3E7C68EA"/>
    <w:rsid w:val="3E7E081F"/>
    <w:rsid w:val="3E8376C8"/>
    <w:rsid w:val="3E8424D4"/>
    <w:rsid w:val="3E882ADA"/>
    <w:rsid w:val="3E8A3E0A"/>
    <w:rsid w:val="3E8B1A11"/>
    <w:rsid w:val="3E8C629B"/>
    <w:rsid w:val="3E916862"/>
    <w:rsid w:val="3E9219D7"/>
    <w:rsid w:val="3E925A55"/>
    <w:rsid w:val="3E9264FE"/>
    <w:rsid w:val="3E957334"/>
    <w:rsid w:val="3E9B760A"/>
    <w:rsid w:val="3EA335A8"/>
    <w:rsid w:val="3EA74E3A"/>
    <w:rsid w:val="3EA80B63"/>
    <w:rsid w:val="3EAB6B34"/>
    <w:rsid w:val="3EAD2C72"/>
    <w:rsid w:val="3EAF137D"/>
    <w:rsid w:val="3EB041AC"/>
    <w:rsid w:val="3EB41AC0"/>
    <w:rsid w:val="3EB54D87"/>
    <w:rsid w:val="3EB63DBB"/>
    <w:rsid w:val="3EB6742E"/>
    <w:rsid w:val="3EBB4269"/>
    <w:rsid w:val="3EBE1D6D"/>
    <w:rsid w:val="3EC42E02"/>
    <w:rsid w:val="3EC64F05"/>
    <w:rsid w:val="3EC90169"/>
    <w:rsid w:val="3ECD2C78"/>
    <w:rsid w:val="3ED04732"/>
    <w:rsid w:val="3EDF09C3"/>
    <w:rsid w:val="3EE34C95"/>
    <w:rsid w:val="3EE704E3"/>
    <w:rsid w:val="3EE96579"/>
    <w:rsid w:val="3EEC07A8"/>
    <w:rsid w:val="3EF00892"/>
    <w:rsid w:val="3EF446E4"/>
    <w:rsid w:val="3EF464EA"/>
    <w:rsid w:val="3EF61896"/>
    <w:rsid w:val="3EF618CF"/>
    <w:rsid w:val="3EF75FE7"/>
    <w:rsid w:val="3EFB709B"/>
    <w:rsid w:val="3F0074AA"/>
    <w:rsid w:val="3F017866"/>
    <w:rsid w:val="3F022252"/>
    <w:rsid w:val="3F0343B3"/>
    <w:rsid w:val="3F093AD2"/>
    <w:rsid w:val="3F0B0ECA"/>
    <w:rsid w:val="3F0C41C6"/>
    <w:rsid w:val="3F0D257F"/>
    <w:rsid w:val="3F0E364B"/>
    <w:rsid w:val="3F164C59"/>
    <w:rsid w:val="3F1860AE"/>
    <w:rsid w:val="3F187717"/>
    <w:rsid w:val="3F1B7587"/>
    <w:rsid w:val="3F1D2EAE"/>
    <w:rsid w:val="3F1D4F57"/>
    <w:rsid w:val="3F1F5BC1"/>
    <w:rsid w:val="3F21606C"/>
    <w:rsid w:val="3F22044C"/>
    <w:rsid w:val="3F2439C5"/>
    <w:rsid w:val="3F247646"/>
    <w:rsid w:val="3F2A1578"/>
    <w:rsid w:val="3F2A5A1C"/>
    <w:rsid w:val="3F3146B5"/>
    <w:rsid w:val="3F3408E2"/>
    <w:rsid w:val="3F373C95"/>
    <w:rsid w:val="3F3A3301"/>
    <w:rsid w:val="3F3E0F4A"/>
    <w:rsid w:val="3F457CAE"/>
    <w:rsid w:val="3F4A1C02"/>
    <w:rsid w:val="3F4A412B"/>
    <w:rsid w:val="3F4A7E6C"/>
    <w:rsid w:val="3F4C64D5"/>
    <w:rsid w:val="3F4C7741"/>
    <w:rsid w:val="3F500C62"/>
    <w:rsid w:val="3F5033F6"/>
    <w:rsid w:val="3F5120C4"/>
    <w:rsid w:val="3F543D80"/>
    <w:rsid w:val="3F576CD6"/>
    <w:rsid w:val="3F591BE7"/>
    <w:rsid w:val="3F5D06ED"/>
    <w:rsid w:val="3F635F85"/>
    <w:rsid w:val="3F6410A3"/>
    <w:rsid w:val="3F6423EC"/>
    <w:rsid w:val="3F666B92"/>
    <w:rsid w:val="3F6C40CA"/>
    <w:rsid w:val="3F6D4F2E"/>
    <w:rsid w:val="3F7218C4"/>
    <w:rsid w:val="3F7408FD"/>
    <w:rsid w:val="3F754701"/>
    <w:rsid w:val="3F755AD9"/>
    <w:rsid w:val="3F786788"/>
    <w:rsid w:val="3F797CD5"/>
    <w:rsid w:val="3F7B7B62"/>
    <w:rsid w:val="3F822FC6"/>
    <w:rsid w:val="3F830C89"/>
    <w:rsid w:val="3F8336E1"/>
    <w:rsid w:val="3F870779"/>
    <w:rsid w:val="3F872AF4"/>
    <w:rsid w:val="3F8941EE"/>
    <w:rsid w:val="3F8A540E"/>
    <w:rsid w:val="3F8C2E0D"/>
    <w:rsid w:val="3F8F0B74"/>
    <w:rsid w:val="3F9115F7"/>
    <w:rsid w:val="3F91485C"/>
    <w:rsid w:val="3F946785"/>
    <w:rsid w:val="3F972509"/>
    <w:rsid w:val="3F9904AC"/>
    <w:rsid w:val="3F990DCA"/>
    <w:rsid w:val="3F9966FE"/>
    <w:rsid w:val="3F9D4891"/>
    <w:rsid w:val="3F9E1F7C"/>
    <w:rsid w:val="3F9F09C5"/>
    <w:rsid w:val="3FA3338B"/>
    <w:rsid w:val="3FA66918"/>
    <w:rsid w:val="3FAA67EB"/>
    <w:rsid w:val="3FAD0802"/>
    <w:rsid w:val="3FAE583D"/>
    <w:rsid w:val="3FAE7AF0"/>
    <w:rsid w:val="3FB11C9A"/>
    <w:rsid w:val="3FB34A29"/>
    <w:rsid w:val="3FB76B83"/>
    <w:rsid w:val="3FBB4CED"/>
    <w:rsid w:val="3FC576AB"/>
    <w:rsid w:val="3FC87A54"/>
    <w:rsid w:val="3FCA13D1"/>
    <w:rsid w:val="3FCB7B15"/>
    <w:rsid w:val="3FD10D3A"/>
    <w:rsid w:val="3FD117BC"/>
    <w:rsid w:val="3FD24EB8"/>
    <w:rsid w:val="3FDC0CAB"/>
    <w:rsid w:val="3FE536F1"/>
    <w:rsid w:val="3FE66695"/>
    <w:rsid w:val="3FEA0D7F"/>
    <w:rsid w:val="3FEE6C38"/>
    <w:rsid w:val="3FEF2FAC"/>
    <w:rsid w:val="3FF46AAD"/>
    <w:rsid w:val="3FF47756"/>
    <w:rsid w:val="3FFA40F0"/>
    <w:rsid w:val="40016AF7"/>
    <w:rsid w:val="40063D93"/>
    <w:rsid w:val="400A2653"/>
    <w:rsid w:val="400B75C2"/>
    <w:rsid w:val="400D46F4"/>
    <w:rsid w:val="40121A61"/>
    <w:rsid w:val="40155878"/>
    <w:rsid w:val="40176297"/>
    <w:rsid w:val="40184FA6"/>
    <w:rsid w:val="4018500B"/>
    <w:rsid w:val="40185F94"/>
    <w:rsid w:val="40195FC5"/>
    <w:rsid w:val="401A2B10"/>
    <w:rsid w:val="40210114"/>
    <w:rsid w:val="40215548"/>
    <w:rsid w:val="402951F0"/>
    <w:rsid w:val="40297A82"/>
    <w:rsid w:val="402A1D2C"/>
    <w:rsid w:val="402E753F"/>
    <w:rsid w:val="40321C4D"/>
    <w:rsid w:val="40340A58"/>
    <w:rsid w:val="403411AA"/>
    <w:rsid w:val="40346DCE"/>
    <w:rsid w:val="4039469B"/>
    <w:rsid w:val="403A3D55"/>
    <w:rsid w:val="403D52DB"/>
    <w:rsid w:val="403F036D"/>
    <w:rsid w:val="40416794"/>
    <w:rsid w:val="404213DB"/>
    <w:rsid w:val="404317BD"/>
    <w:rsid w:val="404E1FF9"/>
    <w:rsid w:val="404F0BB3"/>
    <w:rsid w:val="40532B86"/>
    <w:rsid w:val="40545037"/>
    <w:rsid w:val="40591E1C"/>
    <w:rsid w:val="405D57E1"/>
    <w:rsid w:val="405E0773"/>
    <w:rsid w:val="405E162A"/>
    <w:rsid w:val="40616F48"/>
    <w:rsid w:val="40632C53"/>
    <w:rsid w:val="406E1FB7"/>
    <w:rsid w:val="406E291D"/>
    <w:rsid w:val="406F6EA5"/>
    <w:rsid w:val="40704310"/>
    <w:rsid w:val="40736F4F"/>
    <w:rsid w:val="40756469"/>
    <w:rsid w:val="407765EC"/>
    <w:rsid w:val="40792C8E"/>
    <w:rsid w:val="407A44D6"/>
    <w:rsid w:val="407D0B69"/>
    <w:rsid w:val="4081166C"/>
    <w:rsid w:val="408353E4"/>
    <w:rsid w:val="40853841"/>
    <w:rsid w:val="4089564D"/>
    <w:rsid w:val="408D6263"/>
    <w:rsid w:val="408E10CB"/>
    <w:rsid w:val="40922550"/>
    <w:rsid w:val="40945049"/>
    <w:rsid w:val="409453F1"/>
    <w:rsid w:val="409616F7"/>
    <w:rsid w:val="40972D9E"/>
    <w:rsid w:val="409A2F96"/>
    <w:rsid w:val="409B65ED"/>
    <w:rsid w:val="409E1373"/>
    <w:rsid w:val="40A15E24"/>
    <w:rsid w:val="40A43BA6"/>
    <w:rsid w:val="40A61EA2"/>
    <w:rsid w:val="40A67F32"/>
    <w:rsid w:val="40AE757C"/>
    <w:rsid w:val="40B26FD3"/>
    <w:rsid w:val="40BA5CD0"/>
    <w:rsid w:val="40BF2194"/>
    <w:rsid w:val="40C35B4F"/>
    <w:rsid w:val="40C91A50"/>
    <w:rsid w:val="40CB029A"/>
    <w:rsid w:val="40CF1A2C"/>
    <w:rsid w:val="40D16195"/>
    <w:rsid w:val="40D37678"/>
    <w:rsid w:val="40D9750B"/>
    <w:rsid w:val="40DC0D21"/>
    <w:rsid w:val="40DC250D"/>
    <w:rsid w:val="40E13BB9"/>
    <w:rsid w:val="40E75901"/>
    <w:rsid w:val="40F43821"/>
    <w:rsid w:val="40FC5992"/>
    <w:rsid w:val="40FD5A6A"/>
    <w:rsid w:val="410B080A"/>
    <w:rsid w:val="410B4B70"/>
    <w:rsid w:val="410E58EF"/>
    <w:rsid w:val="41161776"/>
    <w:rsid w:val="41173D7E"/>
    <w:rsid w:val="41187505"/>
    <w:rsid w:val="411A3A61"/>
    <w:rsid w:val="411F2B21"/>
    <w:rsid w:val="411F68E1"/>
    <w:rsid w:val="412331E2"/>
    <w:rsid w:val="41233C3C"/>
    <w:rsid w:val="412A6906"/>
    <w:rsid w:val="412C2B69"/>
    <w:rsid w:val="412D5350"/>
    <w:rsid w:val="41362456"/>
    <w:rsid w:val="413D7AB2"/>
    <w:rsid w:val="414032D5"/>
    <w:rsid w:val="4140469F"/>
    <w:rsid w:val="414D0E1F"/>
    <w:rsid w:val="414E57A1"/>
    <w:rsid w:val="414E7FEA"/>
    <w:rsid w:val="414F72A2"/>
    <w:rsid w:val="41512B7B"/>
    <w:rsid w:val="41553B15"/>
    <w:rsid w:val="41557E88"/>
    <w:rsid w:val="4158134A"/>
    <w:rsid w:val="41586ECA"/>
    <w:rsid w:val="415B4D44"/>
    <w:rsid w:val="415D74CE"/>
    <w:rsid w:val="41614C8F"/>
    <w:rsid w:val="416C4775"/>
    <w:rsid w:val="416D3BAC"/>
    <w:rsid w:val="416F5CAE"/>
    <w:rsid w:val="41704757"/>
    <w:rsid w:val="41750A92"/>
    <w:rsid w:val="4177517B"/>
    <w:rsid w:val="417A2628"/>
    <w:rsid w:val="41804EF9"/>
    <w:rsid w:val="41813E0A"/>
    <w:rsid w:val="418F1B67"/>
    <w:rsid w:val="41935095"/>
    <w:rsid w:val="41942D31"/>
    <w:rsid w:val="41953961"/>
    <w:rsid w:val="41A37CAE"/>
    <w:rsid w:val="41A47734"/>
    <w:rsid w:val="41A54740"/>
    <w:rsid w:val="41A57C48"/>
    <w:rsid w:val="41AD132B"/>
    <w:rsid w:val="41AD1B38"/>
    <w:rsid w:val="41AF4525"/>
    <w:rsid w:val="41B32E48"/>
    <w:rsid w:val="41B33A07"/>
    <w:rsid w:val="41BA7281"/>
    <w:rsid w:val="41BC6935"/>
    <w:rsid w:val="41C5261C"/>
    <w:rsid w:val="41C8308E"/>
    <w:rsid w:val="41C83EDD"/>
    <w:rsid w:val="41C965D4"/>
    <w:rsid w:val="41C96928"/>
    <w:rsid w:val="41CF2422"/>
    <w:rsid w:val="41CF3063"/>
    <w:rsid w:val="41D13F2D"/>
    <w:rsid w:val="41D5168B"/>
    <w:rsid w:val="41D53D0D"/>
    <w:rsid w:val="41D61DDE"/>
    <w:rsid w:val="41DC0D69"/>
    <w:rsid w:val="41E21777"/>
    <w:rsid w:val="41E23FDF"/>
    <w:rsid w:val="41E36D68"/>
    <w:rsid w:val="41E41954"/>
    <w:rsid w:val="41E567ED"/>
    <w:rsid w:val="41EA7363"/>
    <w:rsid w:val="41EB2BB3"/>
    <w:rsid w:val="41EF4656"/>
    <w:rsid w:val="41F10D69"/>
    <w:rsid w:val="41F320F5"/>
    <w:rsid w:val="41FD2F74"/>
    <w:rsid w:val="42166091"/>
    <w:rsid w:val="4219352E"/>
    <w:rsid w:val="421E7DEB"/>
    <w:rsid w:val="42263C91"/>
    <w:rsid w:val="422714D2"/>
    <w:rsid w:val="422B4954"/>
    <w:rsid w:val="422E5823"/>
    <w:rsid w:val="42305288"/>
    <w:rsid w:val="42307E4F"/>
    <w:rsid w:val="42314053"/>
    <w:rsid w:val="4231678E"/>
    <w:rsid w:val="42333761"/>
    <w:rsid w:val="423C2022"/>
    <w:rsid w:val="424120CD"/>
    <w:rsid w:val="42452A58"/>
    <w:rsid w:val="424868B1"/>
    <w:rsid w:val="424A35ED"/>
    <w:rsid w:val="424B2D79"/>
    <w:rsid w:val="424E557E"/>
    <w:rsid w:val="42505FF9"/>
    <w:rsid w:val="4253636A"/>
    <w:rsid w:val="4254033B"/>
    <w:rsid w:val="42556644"/>
    <w:rsid w:val="42601A25"/>
    <w:rsid w:val="42612458"/>
    <w:rsid w:val="42624E9E"/>
    <w:rsid w:val="426506DB"/>
    <w:rsid w:val="426947B1"/>
    <w:rsid w:val="426C56E9"/>
    <w:rsid w:val="426F464E"/>
    <w:rsid w:val="42702888"/>
    <w:rsid w:val="427144C1"/>
    <w:rsid w:val="42795576"/>
    <w:rsid w:val="427B455D"/>
    <w:rsid w:val="427D756E"/>
    <w:rsid w:val="42842E7A"/>
    <w:rsid w:val="42847BEB"/>
    <w:rsid w:val="42903DE8"/>
    <w:rsid w:val="4290738A"/>
    <w:rsid w:val="429531AD"/>
    <w:rsid w:val="429949F1"/>
    <w:rsid w:val="42A07E46"/>
    <w:rsid w:val="42A15FF5"/>
    <w:rsid w:val="42A27049"/>
    <w:rsid w:val="42A762BC"/>
    <w:rsid w:val="42A86D00"/>
    <w:rsid w:val="42AD00B8"/>
    <w:rsid w:val="42B1236F"/>
    <w:rsid w:val="42B54B86"/>
    <w:rsid w:val="42B71268"/>
    <w:rsid w:val="42BC698B"/>
    <w:rsid w:val="42BE22F0"/>
    <w:rsid w:val="42C1383A"/>
    <w:rsid w:val="42C53717"/>
    <w:rsid w:val="42C71EB5"/>
    <w:rsid w:val="42CA7129"/>
    <w:rsid w:val="42CD3A07"/>
    <w:rsid w:val="42D135BA"/>
    <w:rsid w:val="42D1560B"/>
    <w:rsid w:val="42D315AC"/>
    <w:rsid w:val="42D3285B"/>
    <w:rsid w:val="42E26F1E"/>
    <w:rsid w:val="42E608FB"/>
    <w:rsid w:val="42E67A58"/>
    <w:rsid w:val="42E8557C"/>
    <w:rsid w:val="42E97475"/>
    <w:rsid w:val="42F25D02"/>
    <w:rsid w:val="42F32264"/>
    <w:rsid w:val="42FA6A00"/>
    <w:rsid w:val="42FE7EB9"/>
    <w:rsid w:val="430139CB"/>
    <w:rsid w:val="43030A5E"/>
    <w:rsid w:val="430805CF"/>
    <w:rsid w:val="430C3B10"/>
    <w:rsid w:val="430E2686"/>
    <w:rsid w:val="430F6E4C"/>
    <w:rsid w:val="43103651"/>
    <w:rsid w:val="431471A2"/>
    <w:rsid w:val="431529CC"/>
    <w:rsid w:val="4317054A"/>
    <w:rsid w:val="4317658D"/>
    <w:rsid w:val="431A7B56"/>
    <w:rsid w:val="431C742A"/>
    <w:rsid w:val="431D3FCB"/>
    <w:rsid w:val="43210F93"/>
    <w:rsid w:val="43264C02"/>
    <w:rsid w:val="432A1125"/>
    <w:rsid w:val="432B2CB1"/>
    <w:rsid w:val="432D584C"/>
    <w:rsid w:val="433400FB"/>
    <w:rsid w:val="4337046E"/>
    <w:rsid w:val="4337590B"/>
    <w:rsid w:val="433A63C6"/>
    <w:rsid w:val="433B00F0"/>
    <w:rsid w:val="433B2266"/>
    <w:rsid w:val="43406C27"/>
    <w:rsid w:val="43414C53"/>
    <w:rsid w:val="43416141"/>
    <w:rsid w:val="43442A5D"/>
    <w:rsid w:val="434565E5"/>
    <w:rsid w:val="43464479"/>
    <w:rsid w:val="434D155D"/>
    <w:rsid w:val="434E6FAD"/>
    <w:rsid w:val="4350531F"/>
    <w:rsid w:val="43554319"/>
    <w:rsid w:val="435B22D9"/>
    <w:rsid w:val="435C652E"/>
    <w:rsid w:val="435E047F"/>
    <w:rsid w:val="435F07D0"/>
    <w:rsid w:val="4365777C"/>
    <w:rsid w:val="4367225F"/>
    <w:rsid w:val="436D50C5"/>
    <w:rsid w:val="43721740"/>
    <w:rsid w:val="43794211"/>
    <w:rsid w:val="437F6B26"/>
    <w:rsid w:val="43803E5D"/>
    <w:rsid w:val="43820BD7"/>
    <w:rsid w:val="438539C9"/>
    <w:rsid w:val="43917911"/>
    <w:rsid w:val="439671DC"/>
    <w:rsid w:val="439B2A45"/>
    <w:rsid w:val="439F2567"/>
    <w:rsid w:val="43A50D7F"/>
    <w:rsid w:val="43A542E6"/>
    <w:rsid w:val="43A55529"/>
    <w:rsid w:val="43A7697D"/>
    <w:rsid w:val="43A86F10"/>
    <w:rsid w:val="43AC73A0"/>
    <w:rsid w:val="43B468CF"/>
    <w:rsid w:val="43B6440D"/>
    <w:rsid w:val="43BC5DB1"/>
    <w:rsid w:val="43BD64AC"/>
    <w:rsid w:val="43C061C7"/>
    <w:rsid w:val="43C67223"/>
    <w:rsid w:val="43C933BB"/>
    <w:rsid w:val="43CE2F1F"/>
    <w:rsid w:val="43CF26EE"/>
    <w:rsid w:val="43D22D4B"/>
    <w:rsid w:val="43D27604"/>
    <w:rsid w:val="43D457B2"/>
    <w:rsid w:val="43D536A6"/>
    <w:rsid w:val="43DC54C0"/>
    <w:rsid w:val="43DE1080"/>
    <w:rsid w:val="43E017A3"/>
    <w:rsid w:val="43E25198"/>
    <w:rsid w:val="43E3478C"/>
    <w:rsid w:val="43E40D58"/>
    <w:rsid w:val="43E51F12"/>
    <w:rsid w:val="43E634D3"/>
    <w:rsid w:val="43EC05A9"/>
    <w:rsid w:val="43EC1B77"/>
    <w:rsid w:val="43ED07B9"/>
    <w:rsid w:val="43ED6B42"/>
    <w:rsid w:val="43FA1980"/>
    <w:rsid w:val="43FB15BF"/>
    <w:rsid w:val="43FC62FB"/>
    <w:rsid w:val="43FE4785"/>
    <w:rsid w:val="440261AB"/>
    <w:rsid w:val="44067334"/>
    <w:rsid w:val="440675D2"/>
    <w:rsid w:val="44080DD7"/>
    <w:rsid w:val="44085323"/>
    <w:rsid w:val="440A2784"/>
    <w:rsid w:val="440A3FEE"/>
    <w:rsid w:val="440A74C1"/>
    <w:rsid w:val="440D10EF"/>
    <w:rsid w:val="440E1CBC"/>
    <w:rsid w:val="440F2713"/>
    <w:rsid w:val="44126D05"/>
    <w:rsid w:val="44177434"/>
    <w:rsid w:val="44184AD2"/>
    <w:rsid w:val="441A708C"/>
    <w:rsid w:val="442260AB"/>
    <w:rsid w:val="44271CC5"/>
    <w:rsid w:val="4429042D"/>
    <w:rsid w:val="442C0E76"/>
    <w:rsid w:val="442E2BE7"/>
    <w:rsid w:val="44305BFE"/>
    <w:rsid w:val="443854BB"/>
    <w:rsid w:val="443B4249"/>
    <w:rsid w:val="444627BC"/>
    <w:rsid w:val="4446612A"/>
    <w:rsid w:val="44480C3C"/>
    <w:rsid w:val="444C59F5"/>
    <w:rsid w:val="445134D9"/>
    <w:rsid w:val="44535F5D"/>
    <w:rsid w:val="44545512"/>
    <w:rsid w:val="44557B2A"/>
    <w:rsid w:val="4456696C"/>
    <w:rsid w:val="445D419E"/>
    <w:rsid w:val="445E2D5D"/>
    <w:rsid w:val="44632A83"/>
    <w:rsid w:val="446566C3"/>
    <w:rsid w:val="44667832"/>
    <w:rsid w:val="446A6526"/>
    <w:rsid w:val="446A679B"/>
    <w:rsid w:val="447363EE"/>
    <w:rsid w:val="44755E74"/>
    <w:rsid w:val="447E080E"/>
    <w:rsid w:val="4481536A"/>
    <w:rsid w:val="44817E8C"/>
    <w:rsid w:val="448278CE"/>
    <w:rsid w:val="44832A03"/>
    <w:rsid w:val="448D6121"/>
    <w:rsid w:val="44917EB5"/>
    <w:rsid w:val="4493522E"/>
    <w:rsid w:val="449365F0"/>
    <w:rsid w:val="44962D8B"/>
    <w:rsid w:val="449A799B"/>
    <w:rsid w:val="44A3023D"/>
    <w:rsid w:val="44A818BD"/>
    <w:rsid w:val="44A9738C"/>
    <w:rsid w:val="44AE020A"/>
    <w:rsid w:val="44AF0EBD"/>
    <w:rsid w:val="44AF1220"/>
    <w:rsid w:val="44B637C7"/>
    <w:rsid w:val="44BB05FB"/>
    <w:rsid w:val="44C17B0A"/>
    <w:rsid w:val="44C23556"/>
    <w:rsid w:val="44C26AD9"/>
    <w:rsid w:val="44C27E04"/>
    <w:rsid w:val="44C60D21"/>
    <w:rsid w:val="44C75265"/>
    <w:rsid w:val="44CC43D1"/>
    <w:rsid w:val="44CD30D2"/>
    <w:rsid w:val="44CD6C8C"/>
    <w:rsid w:val="44D23442"/>
    <w:rsid w:val="44D3423A"/>
    <w:rsid w:val="44DC310F"/>
    <w:rsid w:val="44DF2AD6"/>
    <w:rsid w:val="44E374FA"/>
    <w:rsid w:val="44E4059F"/>
    <w:rsid w:val="44F03CC6"/>
    <w:rsid w:val="44F40D44"/>
    <w:rsid w:val="44F55FB5"/>
    <w:rsid w:val="44F630C5"/>
    <w:rsid w:val="44F7166B"/>
    <w:rsid w:val="44F77846"/>
    <w:rsid w:val="44FE1099"/>
    <w:rsid w:val="4501355F"/>
    <w:rsid w:val="450560CF"/>
    <w:rsid w:val="4506529F"/>
    <w:rsid w:val="450C33A1"/>
    <w:rsid w:val="4511235E"/>
    <w:rsid w:val="45123A25"/>
    <w:rsid w:val="4512400D"/>
    <w:rsid w:val="4514119C"/>
    <w:rsid w:val="45155374"/>
    <w:rsid w:val="45187040"/>
    <w:rsid w:val="451D2FB2"/>
    <w:rsid w:val="452178E3"/>
    <w:rsid w:val="45241D1D"/>
    <w:rsid w:val="45293834"/>
    <w:rsid w:val="452B516A"/>
    <w:rsid w:val="452E7431"/>
    <w:rsid w:val="45323E79"/>
    <w:rsid w:val="45357CE4"/>
    <w:rsid w:val="45372C41"/>
    <w:rsid w:val="453764F8"/>
    <w:rsid w:val="45392515"/>
    <w:rsid w:val="453A39F4"/>
    <w:rsid w:val="454315E6"/>
    <w:rsid w:val="45443A15"/>
    <w:rsid w:val="454B1628"/>
    <w:rsid w:val="454B4E95"/>
    <w:rsid w:val="454C62D1"/>
    <w:rsid w:val="454D7D71"/>
    <w:rsid w:val="45540E48"/>
    <w:rsid w:val="45553A0D"/>
    <w:rsid w:val="455C760E"/>
    <w:rsid w:val="455F3534"/>
    <w:rsid w:val="45633A36"/>
    <w:rsid w:val="45660E30"/>
    <w:rsid w:val="4569120C"/>
    <w:rsid w:val="45691615"/>
    <w:rsid w:val="456A5531"/>
    <w:rsid w:val="456B6447"/>
    <w:rsid w:val="456E1540"/>
    <w:rsid w:val="456E1D4B"/>
    <w:rsid w:val="45711332"/>
    <w:rsid w:val="45750533"/>
    <w:rsid w:val="457C24B5"/>
    <w:rsid w:val="457E1BEB"/>
    <w:rsid w:val="45861533"/>
    <w:rsid w:val="45861D1D"/>
    <w:rsid w:val="4588524B"/>
    <w:rsid w:val="45905EAD"/>
    <w:rsid w:val="4591440A"/>
    <w:rsid w:val="459319E1"/>
    <w:rsid w:val="459843E5"/>
    <w:rsid w:val="45A13A01"/>
    <w:rsid w:val="45A5266A"/>
    <w:rsid w:val="45A71336"/>
    <w:rsid w:val="45A74FFA"/>
    <w:rsid w:val="45AD03C9"/>
    <w:rsid w:val="45B10FBA"/>
    <w:rsid w:val="45B34B7A"/>
    <w:rsid w:val="45B608EA"/>
    <w:rsid w:val="45BB7D5C"/>
    <w:rsid w:val="45BC32DF"/>
    <w:rsid w:val="45C12C81"/>
    <w:rsid w:val="45C356EC"/>
    <w:rsid w:val="45C53BBD"/>
    <w:rsid w:val="45CC62CC"/>
    <w:rsid w:val="45D10B01"/>
    <w:rsid w:val="45D46342"/>
    <w:rsid w:val="45D57602"/>
    <w:rsid w:val="45D64208"/>
    <w:rsid w:val="45DB6B86"/>
    <w:rsid w:val="45DD518F"/>
    <w:rsid w:val="45DE7757"/>
    <w:rsid w:val="45DF26B5"/>
    <w:rsid w:val="45DF393E"/>
    <w:rsid w:val="45E14733"/>
    <w:rsid w:val="45E5269D"/>
    <w:rsid w:val="45EC17C5"/>
    <w:rsid w:val="45F12849"/>
    <w:rsid w:val="45F14B9E"/>
    <w:rsid w:val="45F361F0"/>
    <w:rsid w:val="45F60406"/>
    <w:rsid w:val="45F76EAB"/>
    <w:rsid w:val="45F8280F"/>
    <w:rsid w:val="45F8417E"/>
    <w:rsid w:val="45FC3068"/>
    <w:rsid w:val="46015CE6"/>
    <w:rsid w:val="46063E62"/>
    <w:rsid w:val="460812C2"/>
    <w:rsid w:val="460A0561"/>
    <w:rsid w:val="460B74D1"/>
    <w:rsid w:val="460E39A2"/>
    <w:rsid w:val="461366E5"/>
    <w:rsid w:val="46146717"/>
    <w:rsid w:val="46146ADE"/>
    <w:rsid w:val="461671FC"/>
    <w:rsid w:val="46195EA3"/>
    <w:rsid w:val="46216FB1"/>
    <w:rsid w:val="46225168"/>
    <w:rsid w:val="462A27C5"/>
    <w:rsid w:val="462A5DF1"/>
    <w:rsid w:val="462A6302"/>
    <w:rsid w:val="462F7F12"/>
    <w:rsid w:val="46342E1A"/>
    <w:rsid w:val="46373770"/>
    <w:rsid w:val="46387F9D"/>
    <w:rsid w:val="463B0081"/>
    <w:rsid w:val="463E6CFA"/>
    <w:rsid w:val="4642623D"/>
    <w:rsid w:val="46434728"/>
    <w:rsid w:val="46446A64"/>
    <w:rsid w:val="464550CB"/>
    <w:rsid w:val="464866FD"/>
    <w:rsid w:val="46491A07"/>
    <w:rsid w:val="464959D2"/>
    <w:rsid w:val="46505D0B"/>
    <w:rsid w:val="46534369"/>
    <w:rsid w:val="4654512D"/>
    <w:rsid w:val="465F64FB"/>
    <w:rsid w:val="46613AB1"/>
    <w:rsid w:val="4661541D"/>
    <w:rsid w:val="466330E0"/>
    <w:rsid w:val="46647221"/>
    <w:rsid w:val="466537B6"/>
    <w:rsid w:val="4668684B"/>
    <w:rsid w:val="466A53EC"/>
    <w:rsid w:val="466C66C8"/>
    <w:rsid w:val="467104F8"/>
    <w:rsid w:val="46746059"/>
    <w:rsid w:val="467A0FDA"/>
    <w:rsid w:val="467F0FD8"/>
    <w:rsid w:val="468272AB"/>
    <w:rsid w:val="468B5E60"/>
    <w:rsid w:val="468C02C3"/>
    <w:rsid w:val="468E202C"/>
    <w:rsid w:val="46906691"/>
    <w:rsid w:val="46981D4D"/>
    <w:rsid w:val="469A0A74"/>
    <w:rsid w:val="469A4ED5"/>
    <w:rsid w:val="469D0882"/>
    <w:rsid w:val="469F0DAB"/>
    <w:rsid w:val="46A135A5"/>
    <w:rsid w:val="46A314CE"/>
    <w:rsid w:val="46A368F6"/>
    <w:rsid w:val="46A502E7"/>
    <w:rsid w:val="46A658C8"/>
    <w:rsid w:val="46A777AD"/>
    <w:rsid w:val="46AC0EB8"/>
    <w:rsid w:val="46AC3083"/>
    <w:rsid w:val="46AD234D"/>
    <w:rsid w:val="46AF413F"/>
    <w:rsid w:val="46B13CD4"/>
    <w:rsid w:val="46B245AD"/>
    <w:rsid w:val="46B34AC7"/>
    <w:rsid w:val="46B4638A"/>
    <w:rsid w:val="46B53E1D"/>
    <w:rsid w:val="46BA1157"/>
    <w:rsid w:val="46BF650A"/>
    <w:rsid w:val="46C161A4"/>
    <w:rsid w:val="46C502F0"/>
    <w:rsid w:val="46C54904"/>
    <w:rsid w:val="46C91ABA"/>
    <w:rsid w:val="46CA7431"/>
    <w:rsid w:val="46D76532"/>
    <w:rsid w:val="46D869DE"/>
    <w:rsid w:val="46D86ED1"/>
    <w:rsid w:val="46DB0177"/>
    <w:rsid w:val="46DB4E9C"/>
    <w:rsid w:val="46DD1695"/>
    <w:rsid w:val="46E14EB7"/>
    <w:rsid w:val="46E666CD"/>
    <w:rsid w:val="46E81076"/>
    <w:rsid w:val="46EA0153"/>
    <w:rsid w:val="46EA3984"/>
    <w:rsid w:val="46EB0B8A"/>
    <w:rsid w:val="46EE1D0F"/>
    <w:rsid w:val="46F11EC4"/>
    <w:rsid w:val="46F74436"/>
    <w:rsid w:val="46F81F5C"/>
    <w:rsid w:val="46FA6F83"/>
    <w:rsid w:val="47004D08"/>
    <w:rsid w:val="47007878"/>
    <w:rsid w:val="47031F0C"/>
    <w:rsid w:val="47045DAD"/>
    <w:rsid w:val="47077C5B"/>
    <w:rsid w:val="47085054"/>
    <w:rsid w:val="470B642F"/>
    <w:rsid w:val="470C2CD9"/>
    <w:rsid w:val="470E499C"/>
    <w:rsid w:val="47116EE7"/>
    <w:rsid w:val="471E572C"/>
    <w:rsid w:val="472054A3"/>
    <w:rsid w:val="4722239C"/>
    <w:rsid w:val="47233C17"/>
    <w:rsid w:val="472535C4"/>
    <w:rsid w:val="472A1E05"/>
    <w:rsid w:val="472B78A0"/>
    <w:rsid w:val="472D279C"/>
    <w:rsid w:val="472F4F2F"/>
    <w:rsid w:val="473A59EC"/>
    <w:rsid w:val="473F59BA"/>
    <w:rsid w:val="47424424"/>
    <w:rsid w:val="474451A1"/>
    <w:rsid w:val="47490699"/>
    <w:rsid w:val="474A164D"/>
    <w:rsid w:val="474C34F3"/>
    <w:rsid w:val="474D3EAB"/>
    <w:rsid w:val="475E2092"/>
    <w:rsid w:val="47606D5C"/>
    <w:rsid w:val="4761074E"/>
    <w:rsid w:val="47613D9E"/>
    <w:rsid w:val="47615981"/>
    <w:rsid w:val="476A47EB"/>
    <w:rsid w:val="476B4E24"/>
    <w:rsid w:val="476B6B9E"/>
    <w:rsid w:val="476F62A4"/>
    <w:rsid w:val="477203EA"/>
    <w:rsid w:val="477C23F4"/>
    <w:rsid w:val="477C2B8D"/>
    <w:rsid w:val="477E50BA"/>
    <w:rsid w:val="477F442B"/>
    <w:rsid w:val="47832605"/>
    <w:rsid w:val="478448E5"/>
    <w:rsid w:val="478703F2"/>
    <w:rsid w:val="47891E7B"/>
    <w:rsid w:val="478C3F8F"/>
    <w:rsid w:val="479C2EC7"/>
    <w:rsid w:val="47A006D6"/>
    <w:rsid w:val="47A0332E"/>
    <w:rsid w:val="47A430FB"/>
    <w:rsid w:val="47A553FF"/>
    <w:rsid w:val="47A9231D"/>
    <w:rsid w:val="47B21517"/>
    <w:rsid w:val="47B57E4D"/>
    <w:rsid w:val="47C30812"/>
    <w:rsid w:val="47C744B1"/>
    <w:rsid w:val="47C97DF4"/>
    <w:rsid w:val="47CA535F"/>
    <w:rsid w:val="47CC1BEA"/>
    <w:rsid w:val="47CD33E9"/>
    <w:rsid w:val="47D04B55"/>
    <w:rsid w:val="47D227AD"/>
    <w:rsid w:val="47D3612D"/>
    <w:rsid w:val="47D44777"/>
    <w:rsid w:val="47DE6E96"/>
    <w:rsid w:val="47DF731A"/>
    <w:rsid w:val="47E159DD"/>
    <w:rsid w:val="47E21B2B"/>
    <w:rsid w:val="47E47738"/>
    <w:rsid w:val="47E52B5C"/>
    <w:rsid w:val="47E54C2B"/>
    <w:rsid w:val="47F143B6"/>
    <w:rsid w:val="47F166A9"/>
    <w:rsid w:val="47F21F25"/>
    <w:rsid w:val="47F51EB7"/>
    <w:rsid w:val="47F76A2D"/>
    <w:rsid w:val="47F95F5F"/>
    <w:rsid w:val="47FB1D46"/>
    <w:rsid w:val="47FD7330"/>
    <w:rsid w:val="48004A2A"/>
    <w:rsid w:val="48010A11"/>
    <w:rsid w:val="48011B42"/>
    <w:rsid w:val="48014A70"/>
    <w:rsid w:val="48046F51"/>
    <w:rsid w:val="480A3BFF"/>
    <w:rsid w:val="480C3504"/>
    <w:rsid w:val="480E21B8"/>
    <w:rsid w:val="480F1ABD"/>
    <w:rsid w:val="48130631"/>
    <w:rsid w:val="48144C6C"/>
    <w:rsid w:val="481728B6"/>
    <w:rsid w:val="481A70F5"/>
    <w:rsid w:val="481B26DE"/>
    <w:rsid w:val="481C1C7A"/>
    <w:rsid w:val="481E2922"/>
    <w:rsid w:val="481F42F3"/>
    <w:rsid w:val="48256386"/>
    <w:rsid w:val="482564A3"/>
    <w:rsid w:val="48285B97"/>
    <w:rsid w:val="483130EA"/>
    <w:rsid w:val="48371AE1"/>
    <w:rsid w:val="48396C36"/>
    <w:rsid w:val="483B0FC1"/>
    <w:rsid w:val="483F5B54"/>
    <w:rsid w:val="484102F0"/>
    <w:rsid w:val="484B7B9A"/>
    <w:rsid w:val="484C255F"/>
    <w:rsid w:val="484E2293"/>
    <w:rsid w:val="485F2352"/>
    <w:rsid w:val="48605CE7"/>
    <w:rsid w:val="48646060"/>
    <w:rsid w:val="48670E31"/>
    <w:rsid w:val="486B6889"/>
    <w:rsid w:val="48714635"/>
    <w:rsid w:val="48723F2C"/>
    <w:rsid w:val="48727098"/>
    <w:rsid w:val="487870AF"/>
    <w:rsid w:val="487B0C1B"/>
    <w:rsid w:val="488031F9"/>
    <w:rsid w:val="48812AD7"/>
    <w:rsid w:val="48813331"/>
    <w:rsid w:val="48815F2A"/>
    <w:rsid w:val="48825D8A"/>
    <w:rsid w:val="48845084"/>
    <w:rsid w:val="48872140"/>
    <w:rsid w:val="488E4E07"/>
    <w:rsid w:val="488F19C1"/>
    <w:rsid w:val="48901C3B"/>
    <w:rsid w:val="48904B42"/>
    <w:rsid w:val="48912668"/>
    <w:rsid w:val="48974F20"/>
    <w:rsid w:val="489F7E7B"/>
    <w:rsid w:val="48A04659"/>
    <w:rsid w:val="48A055E5"/>
    <w:rsid w:val="48A16C9E"/>
    <w:rsid w:val="48A51D4C"/>
    <w:rsid w:val="48A6452B"/>
    <w:rsid w:val="48A7165F"/>
    <w:rsid w:val="48AD2548"/>
    <w:rsid w:val="48B33EB3"/>
    <w:rsid w:val="48B4364E"/>
    <w:rsid w:val="48BF5171"/>
    <w:rsid w:val="48C36324"/>
    <w:rsid w:val="48C61E8E"/>
    <w:rsid w:val="48C63536"/>
    <w:rsid w:val="48CB3DCC"/>
    <w:rsid w:val="48CD61C7"/>
    <w:rsid w:val="48CE7FCE"/>
    <w:rsid w:val="48CF7AEB"/>
    <w:rsid w:val="48D019BC"/>
    <w:rsid w:val="48D703D9"/>
    <w:rsid w:val="48D82045"/>
    <w:rsid w:val="48DB1B9A"/>
    <w:rsid w:val="48DB4EA8"/>
    <w:rsid w:val="48DC676F"/>
    <w:rsid w:val="48DD5896"/>
    <w:rsid w:val="48DE18E3"/>
    <w:rsid w:val="48E120F5"/>
    <w:rsid w:val="48E36179"/>
    <w:rsid w:val="48E40B44"/>
    <w:rsid w:val="48EA3D69"/>
    <w:rsid w:val="48F01C16"/>
    <w:rsid w:val="48F30366"/>
    <w:rsid w:val="48FA1FBB"/>
    <w:rsid w:val="48FE0743"/>
    <w:rsid w:val="49012913"/>
    <w:rsid w:val="49023738"/>
    <w:rsid w:val="490818D9"/>
    <w:rsid w:val="4915491B"/>
    <w:rsid w:val="4918529C"/>
    <w:rsid w:val="491C1B1E"/>
    <w:rsid w:val="491C377A"/>
    <w:rsid w:val="491E1DBE"/>
    <w:rsid w:val="49241818"/>
    <w:rsid w:val="49245829"/>
    <w:rsid w:val="492928A1"/>
    <w:rsid w:val="492D60D7"/>
    <w:rsid w:val="493279A7"/>
    <w:rsid w:val="49396F88"/>
    <w:rsid w:val="493E2DC6"/>
    <w:rsid w:val="493E604F"/>
    <w:rsid w:val="493F20C4"/>
    <w:rsid w:val="49417BEA"/>
    <w:rsid w:val="49442974"/>
    <w:rsid w:val="494A551F"/>
    <w:rsid w:val="4950607F"/>
    <w:rsid w:val="49520788"/>
    <w:rsid w:val="49547314"/>
    <w:rsid w:val="49570F22"/>
    <w:rsid w:val="495A3180"/>
    <w:rsid w:val="495C0C14"/>
    <w:rsid w:val="495D2BBD"/>
    <w:rsid w:val="495D4D07"/>
    <w:rsid w:val="49661E3F"/>
    <w:rsid w:val="49690EEF"/>
    <w:rsid w:val="49697CFF"/>
    <w:rsid w:val="496B149A"/>
    <w:rsid w:val="49726A9E"/>
    <w:rsid w:val="49747FC0"/>
    <w:rsid w:val="497C4C12"/>
    <w:rsid w:val="497F6C8A"/>
    <w:rsid w:val="49853C40"/>
    <w:rsid w:val="498C5CB0"/>
    <w:rsid w:val="498F4213"/>
    <w:rsid w:val="49914AE0"/>
    <w:rsid w:val="4993373F"/>
    <w:rsid w:val="499A2EFC"/>
    <w:rsid w:val="499B480D"/>
    <w:rsid w:val="49A26BBC"/>
    <w:rsid w:val="49A5247F"/>
    <w:rsid w:val="49AA39E1"/>
    <w:rsid w:val="49AA7891"/>
    <w:rsid w:val="49AE2AA6"/>
    <w:rsid w:val="49AE6607"/>
    <w:rsid w:val="49B706D6"/>
    <w:rsid w:val="49C33727"/>
    <w:rsid w:val="49C45BC8"/>
    <w:rsid w:val="49C74C03"/>
    <w:rsid w:val="49CA0019"/>
    <w:rsid w:val="49CB7D66"/>
    <w:rsid w:val="49CE3FAB"/>
    <w:rsid w:val="49D000D9"/>
    <w:rsid w:val="49D163B6"/>
    <w:rsid w:val="49D44856"/>
    <w:rsid w:val="49D72F1E"/>
    <w:rsid w:val="49DB0D9A"/>
    <w:rsid w:val="49DD4D27"/>
    <w:rsid w:val="49DF4E7A"/>
    <w:rsid w:val="49E11E26"/>
    <w:rsid w:val="49E66CBE"/>
    <w:rsid w:val="49EC689E"/>
    <w:rsid w:val="49EF3AEA"/>
    <w:rsid w:val="49F132A8"/>
    <w:rsid w:val="49F625CA"/>
    <w:rsid w:val="49FC14C3"/>
    <w:rsid w:val="49FE1B25"/>
    <w:rsid w:val="49FE7016"/>
    <w:rsid w:val="4A003276"/>
    <w:rsid w:val="4A00584D"/>
    <w:rsid w:val="4A0260AA"/>
    <w:rsid w:val="4A044DB2"/>
    <w:rsid w:val="4A053032"/>
    <w:rsid w:val="4A061B8F"/>
    <w:rsid w:val="4A0A26D2"/>
    <w:rsid w:val="4A0E51D1"/>
    <w:rsid w:val="4A0F5FA6"/>
    <w:rsid w:val="4A12360D"/>
    <w:rsid w:val="4A123665"/>
    <w:rsid w:val="4A130887"/>
    <w:rsid w:val="4A162CDD"/>
    <w:rsid w:val="4A166FD8"/>
    <w:rsid w:val="4A1A5FCA"/>
    <w:rsid w:val="4A1F3581"/>
    <w:rsid w:val="4A20161B"/>
    <w:rsid w:val="4A2159B4"/>
    <w:rsid w:val="4A2200BB"/>
    <w:rsid w:val="4A222A61"/>
    <w:rsid w:val="4A2319E6"/>
    <w:rsid w:val="4A2501A6"/>
    <w:rsid w:val="4A251205"/>
    <w:rsid w:val="4A26038E"/>
    <w:rsid w:val="4A266524"/>
    <w:rsid w:val="4A273284"/>
    <w:rsid w:val="4A274D11"/>
    <w:rsid w:val="4A2753E2"/>
    <w:rsid w:val="4A282B58"/>
    <w:rsid w:val="4A2B1B28"/>
    <w:rsid w:val="4A2B487F"/>
    <w:rsid w:val="4A2C4DAC"/>
    <w:rsid w:val="4A324A7B"/>
    <w:rsid w:val="4A3414FD"/>
    <w:rsid w:val="4A3634C7"/>
    <w:rsid w:val="4A414CAC"/>
    <w:rsid w:val="4A415C12"/>
    <w:rsid w:val="4A420F8B"/>
    <w:rsid w:val="4A4A2ACF"/>
    <w:rsid w:val="4A4F42FA"/>
    <w:rsid w:val="4A4F6337"/>
    <w:rsid w:val="4A500358"/>
    <w:rsid w:val="4A527BD5"/>
    <w:rsid w:val="4A54394D"/>
    <w:rsid w:val="4A5865C5"/>
    <w:rsid w:val="4A5C58CD"/>
    <w:rsid w:val="4A6234A0"/>
    <w:rsid w:val="4A65390E"/>
    <w:rsid w:val="4A656B32"/>
    <w:rsid w:val="4A6D67BB"/>
    <w:rsid w:val="4A6F6644"/>
    <w:rsid w:val="4A70581D"/>
    <w:rsid w:val="4A7144FF"/>
    <w:rsid w:val="4A722025"/>
    <w:rsid w:val="4A730F86"/>
    <w:rsid w:val="4A743FEF"/>
    <w:rsid w:val="4A767D68"/>
    <w:rsid w:val="4A7852C9"/>
    <w:rsid w:val="4A834233"/>
    <w:rsid w:val="4A85086E"/>
    <w:rsid w:val="4A86195D"/>
    <w:rsid w:val="4A8C0F28"/>
    <w:rsid w:val="4A8D12B2"/>
    <w:rsid w:val="4A8F55CF"/>
    <w:rsid w:val="4A914BA1"/>
    <w:rsid w:val="4A98212A"/>
    <w:rsid w:val="4A9F1735"/>
    <w:rsid w:val="4AA178A4"/>
    <w:rsid w:val="4AAA5BF1"/>
    <w:rsid w:val="4AAB0A9D"/>
    <w:rsid w:val="4AAC2896"/>
    <w:rsid w:val="4AAC790C"/>
    <w:rsid w:val="4AAD3836"/>
    <w:rsid w:val="4AAD756D"/>
    <w:rsid w:val="4AAE12AF"/>
    <w:rsid w:val="4AAE2778"/>
    <w:rsid w:val="4AAF563A"/>
    <w:rsid w:val="4AB114D1"/>
    <w:rsid w:val="4AB25E80"/>
    <w:rsid w:val="4AB538A0"/>
    <w:rsid w:val="4ABD5F26"/>
    <w:rsid w:val="4AC231E8"/>
    <w:rsid w:val="4AC317DB"/>
    <w:rsid w:val="4ACA79D2"/>
    <w:rsid w:val="4ACB3DE8"/>
    <w:rsid w:val="4ACD19C1"/>
    <w:rsid w:val="4ACE3B85"/>
    <w:rsid w:val="4AD05DB7"/>
    <w:rsid w:val="4AD74D6D"/>
    <w:rsid w:val="4ADA66F8"/>
    <w:rsid w:val="4ADD78EE"/>
    <w:rsid w:val="4ADD7DE7"/>
    <w:rsid w:val="4AE222D8"/>
    <w:rsid w:val="4AE651BC"/>
    <w:rsid w:val="4AE961C3"/>
    <w:rsid w:val="4AEC20BF"/>
    <w:rsid w:val="4AED3642"/>
    <w:rsid w:val="4AEE730A"/>
    <w:rsid w:val="4AF23864"/>
    <w:rsid w:val="4AF56CCD"/>
    <w:rsid w:val="4AF869CF"/>
    <w:rsid w:val="4AF92706"/>
    <w:rsid w:val="4AF964AC"/>
    <w:rsid w:val="4AFB25F4"/>
    <w:rsid w:val="4AFC130F"/>
    <w:rsid w:val="4AFE502C"/>
    <w:rsid w:val="4B005883"/>
    <w:rsid w:val="4B011FA9"/>
    <w:rsid w:val="4B045B9E"/>
    <w:rsid w:val="4B0E38D6"/>
    <w:rsid w:val="4B1A06F3"/>
    <w:rsid w:val="4B1C0DFD"/>
    <w:rsid w:val="4B1D01E3"/>
    <w:rsid w:val="4B212FDA"/>
    <w:rsid w:val="4B241704"/>
    <w:rsid w:val="4B26353C"/>
    <w:rsid w:val="4B266A25"/>
    <w:rsid w:val="4B275A6C"/>
    <w:rsid w:val="4B2947A7"/>
    <w:rsid w:val="4B297109"/>
    <w:rsid w:val="4B3043BA"/>
    <w:rsid w:val="4B352839"/>
    <w:rsid w:val="4B395FBB"/>
    <w:rsid w:val="4B3F0159"/>
    <w:rsid w:val="4B3F361C"/>
    <w:rsid w:val="4B3F45FD"/>
    <w:rsid w:val="4B41116E"/>
    <w:rsid w:val="4B412855"/>
    <w:rsid w:val="4B454C73"/>
    <w:rsid w:val="4B4B4628"/>
    <w:rsid w:val="4B4C0537"/>
    <w:rsid w:val="4B504C5F"/>
    <w:rsid w:val="4B5103CA"/>
    <w:rsid w:val="4B513B8E"/>
    <w:rsid w:val="4B566BBF"/>
    <w:rsid w:val="4B5742AC"/>
    <w:rsid w:val="4B5841A3"/>
    <w:rsid w:val="4B614574"/>
    <w:rsid w:val="4B630A70"/>
    <w:rsid w:val="4B654C84"/>
    <w:rsid w:val="4B675DB7"/>
    <w:rsid w:val="4B69167A"/>
    <w:rsid w:val="4B6F1DDF"/>
    <w:rsid w:val="4B6F2E4C"/>
    <w:rsid w:val="4B761FCE"/>
    <w:rsid w:val="4B77365F"/>
    <w:rsid w:val="4B7A0DF8"/>
    <w:rsid w:val="4B7A48E4"/>
    <w:rsid w:val="4B7E130E"/>
    <w:rsid w:val="4B831A9E"/>
    <w:rsid w:val="4B8E0689"/>
    <w:rsid w:val="4B8E1C2C"/>
    <w:rsid w:val="4B922E10"/>
    <w:rsid w:val="4B957999"/>
    <w:rsid w:val="4B962B65"/>
    <w:rsid w:val="4B991AB6"/>
    <w:rsid w:val="4BA03FAF"/>
    <w:rsid w:val="4BA111F2"/>
    <w:rsid w:val="4BA63B25"/>
    <w:rsid w:val="4BA952F4"/>
    <w:rsid w:val="4BAA661E"/>
    <w:rsid w:val="4BAD63E7"/>
    <w:rsid w:val="4BB102D1"/>
    <w:rsid w:val="4BB16AC2"/>
    <w:rsid w:val="4BB203A4"/>
    <w:rsid w:val="4BB605B3"/>
    <w:rsid w:val="4BB71A4B"/>
    <w:rsid w:val="4BB72059"/>
    <w:rsid w:val="4BBD40AD"/>
    <w:rsid w:val="4BBD6207"/>
    <w:rsid w:val="4BC321AB"/>
    <w:rsid w:val="4BCC6048"/>
    <w:rsid w:val="4BCF39AA"/>
    <w:rsid w:val="4BD30B5C"/>
    <w:rsid w:val="4BD41187"/>
    <w:rsid w:val="4BD55703"/>
    <w:rsid w:val="4BD65A41"/>
    <w:rsid w:val="4BD738C6"/>
    <w:rsid w:val="4BDF60F2"/>
    <w:rsid w:val="4BEA149C"/>
    <w:rsid w:val="4BEB208F"/>
    <w:rsid w:val="4BEF5D0F"/>
    <w:rsid w:val="4BF02EBC"/>
    <w:rsid w:val="4BF30F03"/>
    <w:rsid w:val="4BF746D6"/>
    <w:rsid w:val="4BF85249"/>
    <w:rsid w:val="4BF94D2D"/>
    <w:rsid w:val="4BFC6D5F"/>
    <w:rsid w:val="4BFF3216"/>
    <w:rsid w:val="4C0C5CDF"/>
    <w:rsid w:val="4C0D2006"/>
    <w:rsid w:val="4C0D5342"/>
    <w:rsid w:val="4C1701CB"/>
    <w:rsid w:val="4C171809"/>
    <w:rsid w:val="4C1B1B47"/>
    <w:rsid w:val="4C213FDF"/>
    <w:rsid w:val="4C2709D5"/>
    <w:rsid w:val="4C290C02"/>
    <w:rsid w:val="4C2D2B22"/>
    <w:rsid w:val="4C2F01CE"/>
    <w:rsid w:val="4C2F2461"/>
    <w:rsid w:val="4C301514"/>
    <w:rsid w:val="4C315B54"/>
    <w:rsid w:val="4C36163B"/>
    <w:rsid w:val="4C3677AE"/>
    <w:rsid w:val="4C3C1F68"/>
    <w:rsid w:val="4C443DFB"/>
    <w:rsid w:val="4C5A6997"/>
    <w:rsid w:val="4C5D3739"/>
    <w:rsid w:val="4C6205A3"/>
    <w:rsid w:val="4C632626"/>
    <w:rsid w:val="4C655C92"/>
    <w:rsid w:val="4C6759FA"/>
    <w:rsid w:val="4C683B50"/>
    <w:rsid w:val="4C696C89"/>
    <w:rsid w:val="4C6F5D25"/>
    <w:rsid w:val="4C6F6879"/>
    <w:rsid w:val="4C7232CF"/>
    <w:rsid w:val="4C770B37"/>
    <w:rsid w:val="4C830E0A"/>
    <w:rsid w:val="4C8659C9"/>
    <w:rsid w:val="4C891F91"/>
    <w:rsid w:val="4C8A4960"/>
    <w:rsid w:val="4C8B1EE4"/>
    <w:rsid w:val="4C8D5752"/>
    <w:rsid w:val="4C8F1F8C"/>
    <w:rsid w:val="4C905B6E"/>
    <w:rsid w:val="4C92229B"/>
    <w:rsid w:val="4C943BD1"/>
    <w:rsid w:val="4C95638E"/>
    <w:rsid w:val="4C962DB9"/>
    <w:rsid w:val="4C964E25"/>
    <w:rsid w:val="4C9A6BF5"/>
    <w:rsid w:val="4C9D5FEE"/>
    <w:rsid w:val="4CA073F9"/>
    <w:rsid w:val="4CA55E39"/>
    <w:rsid w:val="4CAD28AC"/>
    <w:rsid w:val="4CAD4967"/>
    <w:rsid w:val="4CB01C58"/>
    <w:rsid w:val="4CB37892"/>
    <w:rsid w:val="4CB41C61"/>
    <w:rsid w:val="4CB719DE"/>
    <w:rsid w:val="4CBB7555"/>
    <w:rsid w:val="4CBE2880"/>
    <w:rsid w:val="4CC505B3"/>
    <w:rsid w:val="4CC6233B"/>
    <w:rsid w:val="4CCA7433"/>
    <w:rsid w:val="4CCB3A67"/>
    <w:rsid w:val="4CCC13A3"/>
    <w:rsid w:val="4CCE78C8"/>
    <w:rsid w:val="4CD34FFD"/>
    <w:rsid w:val="4CD36F62"/>
    <w:rsid w:val="4CD67425"/>
    <w:rsid w:val="4CDC5ED5"/>
    <w:rsid w:val="4CDD45A7"/>
    <w:rsid w:val="4CDE6891"/>
    <w:rsid w:val="4CDF1BF4"/>
    <w:rsid w:val="4CE54D31"/>
    <w:rsid w:val="4CE76FC4"/>
    <w:rsid w:val="4CE80C1D"/>
    <w:rsid w:val="4CE852A4"/>
    <w:rsid w:val="4CEE03B5"/>
    <w:rsid w:val="4CF755CD"/>
    <w:rsid w:val="4CFD17E2"/>
    <w:rsid w:val="4D007DBC"/>
    <w:rsid w:val="4D012E90"/>
    <w:rsid w:val="4D025F03"/>
    <w:rsid w:val="4D07114B"/>
    <w:rsid w:val="4D0924A6"/>
    <w:rsid w:val="4D094F8A"/>
    <w:rsid w:val="4D096C71"/>
    <w:rsid w:val="4D0A6437"/>
    <w:rsid w:val="4D0C54BE"/>
    <w:rsid w:val="4D0E12B6"/>
    <w:rsid w:val="4D0F3C51"/>
    <w:rsid w:val="4D100AA0"/>
    <w:rsid w:val="4D121D0D"/>
    <w:rsid w:val="4D127A5A"/>
    <w:rsid w:val="4D140C8C"/>
    <w:rsid w:val="4D15772C"/>
    <w:rsid w:val="4D186B2E"/>
    <w:rsid w:val="4D196522"/>
    <w:rsid w:val="4D1E5F54"/>
    <w:rsid w:val="4D1E7B82"/>
    <w:rsid w:val="4D1F27D9"/>
    <w:rsid w:val="4D21091F"/>
    <w:rsid w:val="4D2409BE"/>
    <w:rsid w:val="4D2603B8"/>
    <w:rsid w:val="4D27361F"/>
    <w:rsid w:val="4D277748"/>
    <w:rsid w:val="4D3B0DF4"/>
    <w:rsid w:val="4D3B114A"/>
    <w:rsid w:val="4D3F13AF"/>
    <w:rsid w:val="4D40640B"/>
    <w:rsid w:val="4D4C4DB0"/>
    <w:rsid w:val="4D5005B7"/>
    <w:rsid w:val="4D51329A"/>
    <w:rsid w:val="4D516C73"/>
    <w:rsid w:val="4D556060"/>
    <w:rsid w:val="4D575C3D"/>
    <w:rsid w:val="4D5D4CB1"/>
    <w:rsid w:val="4D5F7EFC"/>
    <w:rsid w:val="4D6B3488"/>
    <w:rsid w:val="4D7367E0"/>
    <w:rsid w:val="4D7768A5"/>
    <w:rsid w:val="4D7C2690"/>
    <w:rsid w:val="4D7F302E"/>
    <w:rsid w:val="4D814A59"/>
    <w:rsid w:val="4D831401"/>
    <w:rsid w:val="4D862160"/>
    <w:rsid w:val="4D8D78A2"/>
    <w:rsid w:val="4D8D7DD2"/>
    <w:rsid w:val="4D92310A"/>
    <w:rsid w:val="4D940B89"/>
    <w:rsid w:val="4D9D5BCF"/>
    <w:rsid w:val="4D9E3D16"/>
    <w:rsid w:val="4D9F35FB"/>
    <w:rsid w:val="4DA80AAF"/>
    <w:rsid w:val="4DAB25B5"/>
    <w:rsid w:val="4DAB28AD"/>
    <w:rsid w:val="4DAB2A4D"/>
    <w:rsid w:val="4DAC584E"/>
    <w:rsid w:val="4DAC5A54"/>
    <w:rsid w:val="4DAE1981"/>
    <w:rsid w:val="4DAE4B49"/>
    <w:rsid w:val="4DAF3634"/>
    <w:rsid w:val="4DB34E2F"/>
    <w:rsid w:val="4DB51048"/>
    <w:rsid w:val="4DBE6C81"/>
    <w:rsid w:val="4DBF722D"/>
    <w:rsid w:val="4DC3076C"/>
    <w:rsid w:val="4DC82688"/>
    <w:rsid w:val="4DCB3E23"/>
    <w:rsid w:val="4DCD4142"/>
    <w:rsid w:val="4DCE39EE"/>
    <w:rsid w:val="4DD15A65"/>
    <w:rsid w:val="4DD529E8"/>
    <w:rsid w:val="4DD86643"/>
    <w:rsid w:val="4DDB5857"/>
    <w:rsid w:val="4DDE152D"/>
    <w:rsid w:val="4DE12317"/>
    <w:rsid w:val="4DE90DCA"/>
    <w:rsid w:val="4DEA00A3"/>
    <w:rsid w:val="4DF6093A"/>
    <w:rsid w:val="4DF63D9E"/>
    <w:rsid w:val="4DF7053F"/>
    <w:rsid w:val="4DF772D0"/>
    <w:rsid w:val="4DF904A2"/>
    <w:rsid w:val="4DF91E8C"/>
    <w:rsid w:val="4DFB3C91"/>
    <w:rsid w:val="4DFC1884"/>
    <w:rsid w:val="4DFF348E"/>
    <w:rsid w:val="4E036238"/>
    <w:rsid w:val="4E094A4F"/>
    <w:rsid w:val="4E096B99"/>
    <w:rsid w:val="4E0C33D1"/>
    <w:rsid w:val="4E0F72F0"/>
    <w:rsid w:val="4E106E7C"/>
    <w:rsid w:val="4E107FD6"/>
    <w:rsid w:val="4E1625F1"/>
    <w:rsid w:val="4E172D31"/>
    <w:rsid w:val="4E177B2D"/>
    <w:rsid w:val="4E1863E0"/>
    <w:rsid w:val="4E1934E7"/>
    <w:rsid w:val="4E1A43CE"/>
    <w:rsid w:val="4E1D7C7A"/>
    <w:rsid w:val="4E1E116D"/>
    <w:rsid w:val="4E1F3D9D"/>
    <w:rsid w:val="4E241889"/>
    <w:rsid w:val="4E290C42"/>
    <w:rsid w:val="4E297013"/>
    <w:rsid w:val="4E2D4BE1"/>
    <w:rsid w:val="4E2D53D4"/>
    <w:rsid w:val="4E315E41"/>
    <w:rsid w:val="4E377314"/>
    <w:rsid w:val="4E390657"/>
    <w:rsid w:val="4E3D5447"/>
    <w:rsid w:val="4E402370"/>
    <w:rsid w:val="4E402B66"/>
    <w:rsid w:val="4E41570D"/>
    <w:rsid w:val="4E434405"/>
    <w:rsid w:val="4E4D03A8"/>
    <w:rsid w:val="4E524476"/>
    <w:rsid w:val="4E67382B"/>
    <w:rsid w:val="4E6A462B"/>
    <w:rsid w:val="4E6F0F5C"/>
    <w:rsid w:val="4E7069BF"/>
    <w:rsid w:val="4E737EA6"/>
    <w:rsid w:val="4E74118A"/>
    <w:rsid w:val="4E770AD5"/>
    <w:rsid w:val="4E781D4B"/>
    <w:rsid w:val="4E825003"/>
    <w:rsid w:val="4E8712BD"/>
    <w:rsid w:val="4E8A115E"/>
    <w:rsid w:val="4E8A1162"/>
    <w:rsid w:val="4E8B16B8"/>
    <w:rsid w:val="4E8B4877"/>
    <w:rsid w:val="4E8C649E"/>
    <w:rsid w:val="4E8E5B6B"/>
    <w:rsid w:val="4E9A70F8"/>
    <w:rsid w:val="4E9B7D9D"/>
    <w:rsid w:val="4EA53D98"/>
    <w:rsid w:val="4EA62CB7"/>
    <w:rsid w:val="4EA77DD2"/>
    <w:rsid w:val="4EA8070C"/>
    <w:rsid w:val="4EAA5526"/>
    <w:rsid w:val="4EAD146C"/>
    <w:rsid w:val="4EAD44DF"/>
    <w:rsid w:val="4EAE6FA4"/>
    <w:rsid w:val="4EB07911"/>
    <w:rsid w:val="4EB4524E"/>
    <w:rsid w:val="4EB71580"/>
    <w:rsid w:val="4EBE3A8B"/>
    <w:rsid w:val="4EBE6C65"/>
    <w:rsid w:val="4EBF3040"/>
    <w:rsid w:val="4EC37EBA"/>
    <w:rsid w:val="4EC91265"/>
    <w:rsid w:val="4ECB21CD"/>
    <w:rsid w:val="4ECC1C84"/>
    <w:rsid w:val="4ECF206B"/>
    <w:rsid w:val="4ED02E3F"/>
    <w:rsid w:val="4ED25385"/>
    <w:rsid w:val="4ED4738D"/>
    <w:rsid w:val="4ED63F2E"/>
    <w:rsid w:val="4EDE2B0D"/>
    <w:rsid w:val="4EDE37F8"/>
    <w:rsid w:val="4EE37E05"/>
    <w:rsid w:val="4EE93F6E"/>
    <w:rsid w:val="4EEE25C2"/>
    <w:rsid w:val="4EF769DA"/>
    <w:rsid w:val="4EF827CB"/>
    <w:rsid w:val="4EF93E3D"/>
    <w:rsid w:val="4EFD4921"/>
    <w:rsid w:val="4F032FBE"/>
    <w:rsid w:val="4F045741"/>
    <w:rsid w:val="4F0B24A7"/>
    <w:rsid w:val="4F0C4350"/>
    <w:rsid w:val="4F141A27"/>
    <w:rsid w:val="4F2034BB"/>
    <w:rsid w:val="4F277882"/>
    <w:rsid w:val="4F2C2807"/>
    <w:rsid w:val="4F3153AB"/>
    <w:rsid w:val="4F326B37"/>
    <w:rsid w:val="4F3462BE"/>
    <w:rsid w:val="4F350C8E"/>
    <w:rsid w:val="4F353C05"/>
    <w:rsid w:val="4F3604DC"/>
    <w:rsid w:val="4F391364"/>
    <w:rsid w:val="4F3B2E6C"/>
    <w:rsid w:val="4F3F3E33"/>
    <w:rsid w:val="4F4018CC"/>
    <w:rsid w:val="4F41765B"/>
    <w:rsid w:val="4F4179B0"/>
    <w:rsid w:val="4F42368B"/>
    <w:rsid w:val="4F474245"/>
    <w:rsid w:val="4F495F8A"/>
    <w:rsid w:val="4F4C759F"/>
    <w:rsid w:val="4F4F0B0D"/>
    <w:rsid w:val="4F5016D0"/>
    <w:rsid w:val="4F5751DD"/>
    <w:rsid w:val="4F580A49"/>
    <w:rsid w:val="4F5A3B0B"/>
    <w:rsid w:val="4F634C25"/>
    <w:rsid w:val="4F634D2B"/>
    <w:rsid w:val="4F643DD7"/>
    <w:rsid w:val="4F64546F"/>
    <w:rsid w:val="4F6477E2"/>
    <w:rsid w:val="4F67408E"/>
    <w:rsid w:val="4F6E517F"/>
    <w:rsid w:val="4F716D4F"/>
    <w:rsid w:val="4F721421"/>
    <w:rsid w:val="4F755951"/>
    <w:rsid w:val="4F765487"/>
    <w:rsid w:val="4F826677"/>
    <w:rsid w:val="4F8A0E98"/>
    <w:rsid w:val="4F8B7570"/>
    <w:rsid w:val="4F906EF5"/>
    <w:rsid w:val="4F910F64"/>
    <w:rsid w:val="4F971291"/>
    <w:rsid w:val="4F98148A"/>
    <w:rsid w:val="4F982F2A"/>
    <w:rsid w:val="4F9E09D0"/>
    <w:rsid w:val="4F9E4BA3"/>
    <w:rsid w:val="4FA107FD"/>
    <w:rsid w:val="4FAA0070"/>
    <w:rsid w:val="4FAE3623"/>
    <w:rsid w:val="4FB2301B"/>
    <w:rsid w:val="4FB259B6"/>
    <w:rsid w:val="4FB30374"/>
    <w:rsid w:val="4FB4125C"/>
    <w:rsid w:val="4FB47210"/>
    <w:rsid w:val="4FB67674"/>
    <w:rsid w:val="4FB705BE"/>
    <w:rsid w:val="4FB8497E"/>
    <w:rsid w:val="4FB95563"/>
    <w:rsid w:val="4FBC5634"/>
    <w:rsid w:val="4FBF195C"/>
    <w:rsid w:val="4FBF2F25"/>
    <w:rsid w:val="4FC14990"/>
    <w:rsid w:val="4FC17B1D"/>
    <w:rsid w:val="4FC20290"/>
    <w:rsid w:val="4FC414E8"/>
    <w:rsid w:val="4FCB6460"/>
    <w:rsid w:val="4FCD6E3C"/>
    <w:rsid w:val="4FCF24CA"/>
    <w:rsid w:val="4FCF5CB8"/>
    <w:rsid w:val="4FD10AF6"/>
    <w:rsid w:val="4FD33727"/>
    <w:rsid w:val="4FDF3758"/>
    <w:rsid w:val="4FDF4D7D"/>
    <w:rsid w:val="4FE3408A"/>
    <w:rsid w:val="4FE63B34"/>
    <w:rsid w:val="4FE70DC0"/>
    <w:rsid w:val="4FE71664"/>
    <w:rsid w:val="4FE90CD6"/>
    <w:rsid w:val="4FEF044D"/>
    <w:rsid w:val="4FF57980"/>
    <w:rsid w:val="4FF74B1E"/>
    <w:rsid w:val="4FFA5757"/>
    <w:rsid w:val="4FFA7CCA"/>
    <w:rsid w:val="4FFC1F76"/>
    <w:rsid w:val="50006381"/>
    <w:rsid w:val="5002755A"/>
    <w:rsid w:val="500873E1"/>
    <w:rsid w:val="500876B4"/>
    <w:rsid w:val="500961EE"/>
    <w:rsid w:val="500C3E08"/>
    <w:rsid w:val="500D394F"/>
    <w:rsid w:val="500E5F9E"/>
    <w:rsid w:val="5012334C"/>
    <w:rsid w:val="501763B1"/>
    <w:rsid w:val="50186367"/>
    <w:rsid w:val="50186FE7"/>
    <w:rsid w:val="50195729"/>
    <w:rsid w:val="501A646E"/>
    <w:rsid w:val="501B3532"/>
    <w:rsid w:val="501C6CBB"/>
    <w:rsid w:val="501D1621"/>
    <w:rsid w:val="501F1A47"/>
    <w:rsid w:val="50231AD5"/>
    <w:rsid w:val="502B18D0"/>
    <w:rsid w:val="50342257"/>
    <w:rsid w:val="50360FBF"/>
    <w:rsid w:val="50382626"/>
    <w:rsid w:val="503B32FA"/>
    <w:rsid w:val="503D639E"/>
    <w:rsid w:val="503F0745"/>
    <w:rsid w:val="503F0BFC"/>
    <w:rsid w:val="5043638B"/>
    <w:rsid w:val="50446212"/>
    <w:rsid w:val="50464B92"/>
    <w:rsid w:val="50490C0D"/>
    <w:rsid w:val="50512FA4"/>
    <w:rsid w:val="50553032"/>
    <w:rsid w:val="50560BF3"/>
    <w:rsid w:val="50571C13"/>
    <w:rsid w:val="505C3F85"/>
    <w:rsid w:val="50602EB0"/>
    <w:rsid w:val="50623B6E"/>
    <w:rsid w:val="5065582A"/>
    <w:rsid w:val="506857EC"/>
    <w:rsid w:val="5068760C"/>
    <w:rsid w:val="506876C8"/>
    <w:rsid w:val="50690D44"/>
    <w:rsid w:val="506B345B"/>
    <w:rsid w:val="5070005A"/>
    <w:rsid w:val="50710F57"/>
    <w:rsid w:val="50715259"/>
    <w:rsid w:val="50716206"/>
    <w:rsid w:val="507E2770"/>
    <w:rsid w:val="507F1DA0"/>
    <w:rsid w:val="50810775"/>
    <w:rsid w:val="5082522C"/>
    <w:rsid w:val="50835F85"/>
    <w:rsid w:val="508719A2"/>
    <w:rsid w:val="508916D6"/>
    <w:rsid w:val="5095371D"/>
    <w:rsid w:val="5097088B"/>
    <w:rsid w:val="509715AE"/>
    <w:rsid w:val="509F0C10"/>
    <w:rsid w:val="50A0169A"/>
    <w:rsid w:val="50A2367F"/>
    <w:rsid w:val="50A33B22"/>
    <w:rsid w:val="50A63AE6"/>
    <w:rsid w:val="50A65D29"/>
    <w:rsid w:val="50A8576D"/>
    <w:rsid w:val="50A9504F"/>
    <w:rsid w:val="50AD4318"/>
    <w:rsid w:val="50AD6FF7"/>
    <w:rsid w:val="50AF7B7E"/>
    <w:rsid w:val="50B000F7"/>
    <w:rsid w:val="50B04973"/>
    <w:rsid w:val="50B142BF"/>
    <w:rsid w:val="50B2048C"/>
    <w:rsid w:val="50B4474A"/>
    <w:rsid w:val="50B46DA8"/>
    <w:rsid w:val="50B50BD4"/>
    <w:rsid w:val="50B76A2F"/>
    <w:rsid w:val="50B8736D"/>
    <w:rsid w:val="50B906B0"/>
    <w:rsid w:val="50B926E8"/>
    <w:rsid w:val="50BE01AC"/>
    <w:rsid w:val="50BF242F"/>
    <w:rsid w:val="50C51F04"/>
    <w:rsid w:val="50C64E79"/>
    <w:rsid w:val="50C83C7B"/>
    <w:rsid w:val="50C83CC9"/>
    <w:rsid w:val="50CA77DF"/>
    <w:rsid w:val="50CE1A30"/>
    <w:rsid w:val="50CE41E5"/>
    <w:rsid w:val="50CF6134"/>
    <w:rsid w:val="50D2096F"/>
    <w:rsid w:val="50D67DEC"/>
    <w:rsid w:val="50D80092"/>
    <w:rsid w:val="50D92DFE"/>
    <w:rsid w:val="50D95DE2"/>
    <w:rsid w:val="50DB0277"/>
    <w:rsid w:val="50DF2513"/>
    <w:rsid w:val="50E0418D"/>
    <w:rsid w:val="50E3440D"/>
    <w:rsid w:val="50E9636A"/>
    <w:rsid w:val="50ED0658"/>
    <w:rsid w:val="50EF1696"/>
    <w:rsid w:val="50EF7B34"/>
    <w:rsid w:val="50F4791B"/>
    <w:rsid w:val="50F6750C"/>
    <w:rsid w:val="50F77B7F"/>
    <w:rsid w:val="50FC089B"/>
    <w:rsid w:val="51016713"/>
    <w:rsid w:val="51030C38"/>
    <w:rsid w:val="51034438"/>
    <w:rsid w:val="51061F0F"/>
    <w:rsid w:val="51093B4B"/>
    <w:rsid w:val="510D16C4"/>
    <w:rsid w:val="510D61EA"/>
    <w:rsid w:val="510F11CE"/>
    <w:rsid w:val="510F1728"/>
    <w:rsid w:val="51130E8A"/>
    <w:rsid w:val="51137848"/>
    <w:rsid w:val="51156C40"/>
    <w:rsid w:val="51163817"/>
    <w:rsid w:val="51185520"/>
    <w:rsid w:val="511904FB"/>
    <w:rsid w:val="51192E37"/>
    <w:rsid w:val="511A6C59"/>
    <w:rsid w:val="511E0D58"/>
    <w:rsid w:val="512027DB"/>
    <w:rsid w:val="5122416C"/>
    <w:rsid w:val="5124260D"/>
    <w:rsid w:val="512A3195"/>
    <w:rsid w:val="512D0E0C"/>
    <w:rsid w:val="512E382B"/>
    <w:rsid w:val="512F1E73"/>
    <w:rsid w:val="51305870"/>
    <w:rsid w:val="51305A13"/>
    <w:rsid w:val="513064CD"/>
    <w:rsid w:val="51321695"/>
    <w:rsid w:val="51324C38"/>
    <w:rsid w:val="5133561D"/>
    <w:rsid w:val="513D5E4B"/>
    <w:rsid w:val="513D7D8C"/>
    <w:rsid w:val="51404025"/>
    <w:rsid w:val="51420281"/>
    <w:rsid w:val="51431169"/>
    <w:rsid w:val="514439B2"/>
    <w:rsid w:val="514B370C"/>
    <w:rsid w:val="514C679A"/>
    <w:rsid w:val="514E3D68"/>
    <w:rsid w:val="514F097C"/>
    <w:rsid w:val="515228E2"/>
    <w:rsid w:val="51522BEB"/>
    <w:rsid w:val="51533714"/>
    <w:rsid w:val="51535E92"/>
    <w:rsid w:val="51537102"/>
    <w:rsid w:val="515526C6"/>
    <w:rsid w:val="51583D9F"/>
    <w:rsid w:val="51584E7B"/>
    <w:rsid w:val="515B667C"/>
    <w:rsid w:val="51603591"/>
    <w:rsid w:val="51617E30"/>
    <w:rsid w:val="51625CA1"/>
    <w:rsid w:val="516B509D"/>
    <w:rsid w:val="516F72BF"/>
    <w:rsid w:val="51751A9E"/>
    <w:rsid w:val="51791996"/>
    <w:rsid w:val="517A314D"/>
    <w:rsid w:val="517F051B"/>
    <w:rsid w:val="517F1949"/>
    <w:rsid w:val="51831906"/>
    <w:rsid w:val="5189111D"/>
    <w:rsid w:val="518C1C1F"/>
    <w:rsid w:val="518F01D5"/>
    <w:rsid w:val="51927DC3"/>
    <w:rsid w:val="5193652E"/>
    <w:rsid w:val="51944A7A"/>
    <w:rsid w:val="519D6870"/>
    <w:rsid w:val="51A30D66"/>
    <w:rsid w:val="51A72EFC"/>
    <w:rsid w:val="51AA2121"/>
    <w:rsid w:val="51AB35DA"/>
    <w:rsid w:val="51AE4DAB"/>
    <w:rsid w:val="51B20EC2"/>
    <w:rsid w:val="51B77B3D"/>
    <w:rsid w:val="51BD002A"/>
    <w:rsid w:val="51CB1434"/>
    <w:rsid w:val="51CC19BA"/>
    <w:rsid w:val="51D32A54"/>
    <w:rsid w:val="51D63C37"/>
    <w:rsid w:val="51D90B5E"/>
    <w:rsid w:val="51DF6292"/>
    <w:rsid w:val="51E0754D"/>
    <w:rsid w:val="51E11F6A"/>
    <w:rsid w:val="51E516FB"/>
    <w:rsid w:val="51E56A77"/>
    <w:rsid w:val="51E6376D"/>
    <w:rsid w:val="51E72730"/>
    <w:rsid w:val="51E73465"/>
    <w:rsid w:val="51E836DD"/>
    <w:rsid w:val="51EC49F7"/>
    <w:rsid w:val="51EE2144"/>
    <w:rsid w:val="51F1542B"/>
    <w:rsid w:val="51FA1B15"/>
    <w:rsid w:val="520A71A8"/>
    <w:rsid w:val="520D5E41"/>
    <w:rsid w:val="520F564C"/>
    <w:rsid w:val="52132340"/>
    <w:rsid w:val="521420E7"/>
    <w:rsid w:val="52211A75"/>
    <w:rsid w:val="52211ADF"/>
    <w:rsid w:val="52232583"/>
    <w:rsid w:val="52293694"/>
    <w:rsid w:val="522A5A6E"/>
    <w:rsid w:val="522C15F0"/>
    <w:rsid w:val="523302EC"/>
    <w:rsid w:val="5236034F"/>
    <w:rsid w:val="523D053A"/>
    <w:rsid w:val="523F443A"/>
    <w:rsid w:val="52433F82"/>
    <w:rsid w:val="52470557"/>
    <w:rsid w:val="52485326"/>
    <w:rsid w:val="52495AA5"/>
    <w:rsid w:val="52535663"/>
    <w:rsid w:val="525645BE"/>
    <w:rsid w:val="52564D7C"/>
    <w:rsid w:val="525D1F5C"/>
    <w:rsid w:val="525F1C36"/>
    <w:rsid w:val="52601832"/>
    <w:rsid w:val="52603172"/>
    <w:rsid w:val="526037D7"/>
    <w:rsid w:val="52605997"/>
    <w:rsid w:val="52642B9B"/>
    <w:rsid w:val="526C53D9"/>
    <w:rsid w:val="52732ADD"/>
    <w:rsid w:val="52790915"/>
    <w:rsid w:val="52847F7E"/>
    <w:rsid w:val="528608DE"/>
    <w:rsid w:val="528F7DA7"/>
    <w:rsid w:val="529143F3"/>
    <w:rsid w:val="529C2335"/>
    <w:rsid w:val="529D1628"/>
    <w:rsid w:val="52A72E20"/>
    <w:rsid w:val="52AD5CDA"/>
    <w:rsid w:val="52AF0AD2"/>
    <w:rsid w:val="52BA3695"/>
    <w:rsid w:val="52BF0E09"/>
    <w:rsid w:val="52C032A0"/>
    <w:rsid w:val="52C113BB"/>
    <w:rsid w:val="52CD082D"/>
    <w:rsid w:val="52CE166E"/>
    <w:rsid w:val="52D31D25"/>
    <w:rsid w:val="52D44852"/>
    <w:rsid w:val="52D7699F"/>
    <w:rsid w:val="52DA76DF"/>
    <w:rsid w:val="52DC0C5C"/>
    <w:rsid w:val="52E24588"/>
    <w:rsid w:val="52E87D4E"/>
    <w:rsid w:val="52E9057D"/>
    <w:rsid w:val="52F757BE"/>
    <w:rsid w:val="52F93135"/>
    <w:rsid w:val="531110DD"/>
    <w:rsid w:val="5311687F"/>
    <w:rsid w:val="53133C93"/>
    <w:rsid w:val="531B14AC"/>
    <w:rsid w:val="531C4BE8"/>
    <w:rsid w:val="5321574E"/>
    <w:rsid w:val="53277E51"/>
    <w:rsid w:val="53281E1B"/>
    <w:rsid w:val="5328581D"/>
    <w:rsid w:val="53295801"/>
    <w:rsid w:val="532A7FC2"/>
    <w:rsid w:val="532C7E5A"/>
    <w:rsid w:val="532D11C2"/>
    <w:rsid w:val="532D3CA6"/>
    <w:rsid w:val="532E5F1B"/>
    <w:rsid w:val="532E62C3"/>
    <w:rsid w:val="533208E2"/>
    <w:rsid w:val="53343551"/>
    <w:rsid w:val="53347B58"/>
    <w:rsid w:val="53355755"/>
    <w:rsid w:val="5336412B"/>
    <w:rsid w:val="5338205E"/>
    <w:rsid w:val="533D2D06"/>
    <w:rsid w:val="533E519B"/>
    <w:rsid w:val="534502C9"/>
    <w:rsid w:val="534564B5"/>
    <w:rsid w:val="53480B32"/>
    <w:rsid w:val="53575D7E"/>
    <w:rsid w:val="535B53A4"/>
    <w:rsid w:val="535D3AC3"/>
    <w:rsid w:val="536166BB"/>
    <w:rsid w:val="5362484C"/>
    <w:rsid w:val="536404F3"/>
    <w:rsid w:val="5368593A"/>
    <w:rsid w:val="536E3DAD"/>
    <w:rsid w:val="53713A6D"/>
    <w:rsid w:val="5376610F"/>
    <w:rsid w:val="537816A2"/>
    <w:rsid w:val="5378553D"/>
    <w:rsid w:val="53785854"/>
    <w:rsid w:val="53786C32"/>
    <w:rsid w:val="53794101"/>
    <w:rsid w:val="537A3FD3"/>
    <w:rsid w:val="537C6EE3"/>
    <w:rsid w:val="53856094"/>
    <w:rsid w:val="53870428"/>
    <w:rsid w:val="53877827"/>
    <w:rsid w:val="538B2880"/>
    <w:rsid w:val="538E2441"/>
    <w:rsid w:val="539205CB"/>
    <w:rsid w:val="53921C44"/>
    <w:rsid w:val="53922B2E"/>
    <w:rsid w:val="539635CE"/>
    <w:rsid w:val="53985430"/>
    <w:rsid w:val="539C48ED"/>
    <w:rsid w:val="539E2649"/>
    <w:rsid w:val="53A057B7"/>
    <w:rsid w:val="53A173B9"/>
    <w:rsid w:val="53A31A2D"/>
    <w:rsid w:val="53A530AC"/>
    <w:rsid w:val="53AB58E4"/>
    <w:rsid w:val="53B013C2"/>
    <w:rsid w:val="53B02834"/>
    <w:rsid w:val="53BE3DC8"/>
    <w:rsid w:val="53C30389"/>
    <w:rsid w:val="53C637BD"/>
    <w:rsid w:val="53CA49C3"/>
    <w:rsid w:val="53CB1FE5"/>
    <w:rsid w:val="53D1063B"/>
    <w:rsid w:val="53D13200"/>
    <w:rsid w:val="53D417A1"/>
    <w:rsid w:val="53D42F39"/>
    <w:rsid w:val="53E21FCA"/>
    <w:rsid w:val="53E3660E"/>
    <w:rsid w:val="53E52630"/>
    <w:rsid w:val="53E55791"/>
    <w:rsid w:val="53F70EE1"/>
    <w:rsid w:val="53F7423C"/>
    <w:rsid w:val="53F87A3F"/>
    <w:rsid w:val="53FA37B7"/>
    <w:rsid w:val="53FA4EAF"/>
    <w:rsid w:val="53FD2495"/>
    <w:rsid w:val="53FE516B"/>
    <w:rsid w:val="54034BAB"/>
    <w:rsid w:val="54040A87"/>
    <w:rsid w:val="54065D98"/>
    <w:rsid w:val="540B3369"/>
    <w:rsid w:val="54165FAC"/>
    <w:rsid w:val="541863AF"/>
    <w:rsid w:val="54195F4B"/>
    <w:rsid w:val="541F114A"/>
    <w:rsid w:val="541F4FCC"/>
    <w:rsid w:val="5422686A"/>
    <w:rsid w:val="54231DF2"/>
    <w:rsid w:val="54267B96"/>
    <w:rsid w:val="542808DD"/>
    <w:rsid w:val="542912CA"/>
    <w:rsid w:val="54296BCB"/>
    <w:rsid w:val="542C4185"/>
    <w:rsid w:val="54304D3E"/>
    <w:rsid w:val="54307DEA"/>
    <w:rsid w:val="543157F7"/>
    <w:rsid w:val="54330A77"/>
    <w:rsid w:val="54352338"/>
    <w:rsid w:val="543821CD"/>
    <w:rsid w:val="54406382"/>
    <w:rsid w:val="54452E3C"/>
    <w:rsid w:val="544611D4"/>
    <w:rsid w:val="544A5DFD"/>
    <w:rsid w:val="54516AD3"/>
    <w:rsid w:val="54525FE1"/>
    <w:rsid w:val="5454330C"/>
    <w:rsid w:val="54576AA9"/>
    <w:rsid w:val="54587E21"/>
    <w:rsid w:val="545A4256"/>
    <w:rsid w:val="545B2972"/>
    <w:rsid w:val="545F065E"/>
    <w:rsid w:val="546442ED"/>
    <w:rsid w:val="546A40EB"/>
    <w:rsid w:val="546F5879"/>
    <w:rsid w:val="547A5001"/>
    <w:rsid w:val="54802E5B"/>
    <w:rsid w:val="548C64EB"/>
    <w:rsid w:val="548D462B"/>
    <w:rsid w:val="548F297A"/>
    <w:rsid w:val="5491574F"/>
    <w:rsid w:val="54925D34"/>
    <w:rsid w:val="5497488D"/>
    <w:rsid w:val="549936B3"/>
    <w:rsid w:val="549F2562"/>
    <w:rsid w:val="549F48A5"/>
    <w:rsid w:val="549F5CBE"/>
    <w:rsid w:val="549F610D"/>
    <w:rsid w:val="54A27198"/>
    <w:rsid w:val="54A51975"/>
    <w:rsid w:val="54A61908"/>
    <w:rsid w:val="54AC04B1"/>
    <w:rsid w:val="54AD2F5F"/>
    <w:rsid w:val="54B14A42"/>
    <w:rsid w:val="54B224B4"/>
    <w:rsid w:val="54B74C40"/>
    <w:rsid w:val="54BA0E6A"/>
    <w:rsid w:val="54BB31BF"/>
    <w:rsid w:val="54BD56B1"/>
    <w:rsid w:val="54C33BA9"/>
    <w:rsid w:val="54C63A22"/>
    <w:rsid w:val="54CC6E06"/>
    <w:rsid w:val="54CE59E9"/>
    <w:rsid w:val="54D264E2"/>
    <w:rsid w:val="54D86E00"/>
    <w:rsid w:val="54DA1B7C"/>
    <w:rsid w:val="54DB4FF2"/>
    <w:rsid w:val="54DC05C4"/>
    <w:rsid w:val="54E67B2D"/>
    <w:rsid w:val="54E973CF"/>
    <w:rsid w:val="54F00204"/>
    <w:rsid w:val="54F10A4B"/>
    <w:rsid w:val="54F40207"/>
    <w:rsid w:val="54FA2B6A"/>
    <w:rsid w:val="54FB3C6D"/>
    <w:rsid w:val="54FC7D9B"/>
    <w:rsid w:val="54FD2AD8"/>
    <w:rsid w:val="550025AB"/>
    <w:rsid w:val="5502505C"/>
    <w:rsid w:val="55050666"/>
    <w:rsid w:val="5506770F"/>
    <w:rsid w:val="5507043F"/>
    <w:rsid w:val="55072028"/>
    <w:rsid w:val="55085A60"/>
    <w:rsid w:val="550B3235"/>
    <w:rsid w:val="5516685E"/>
    <w:rsid w:val="55187DA9"/>
    <w:rsid w:val="551C397D"/>
    <w:rsid w:val="551F6E18"/>
    <w:rsid w:val="552520F6"/>
    <w:rsid w:val="55285C13"/>
    <w:rsid w:val="55313209"/>
    <w:rsid w:val="553377F5"/>
    <w:rsid w:val="55357A68"/>
    <w:rsid w:val="553761F6"/>
    <w:rsid w:val="55391CEC"/>
    <w:rsid w:val="553A0AC3"/>
    <w:rsid w:val="553A4B7D"/>
    <w:rsid w:val="553B4C16"/>
    <w:rsid w:val="553F47DF"/>
    <w:rsid w:val="55410F72"/>
    <w:rsid w:val="55414915"/>
    <w:rsid w:val="554215C5"/>
    <w:rsid w:val="554B794E"/>
    <w:rsid w:val="554C1DF1"/>
    <w:rsid w:val="554F73E4"/>
    <w:rsid w:val="555517B8"/>
    <w:rsid w:val="555B27AD"/>
    <w:rsid w:val="555D3E15"/>
    <w:rsid w:val="555E753A"/>
    <w:rsid w:val="55603177"/>
    <w:rsid w:val="556746D2"/>
    <w:rsid w:val="55674744"/>
    <w:rsid w:val="556B4F95"/>
    <w:rsid w:val="5572412A"/>
    <w:rsid w:val="557A73D8"/>
    <w:rsid w:val="5582650A"/>
    <w:rsid w:val="55884604"/>
    <w:rsid w:val="55910465"/>
    <w:rsid w:val="55930D64"/>
    <w:rsid w:val="55931124"/>
    <w:rsid w:val="55935C72"/>
    <w:rsid w:val="559C12BE"/>
    <w:rsid w:val="559D0BA2"/>
    <w:rsid w:val="559E7DCD"/>
    <w:rsid w:val="55A76C0D"/>
    <w:rsid w:val="55A95268"/>
    <w:rsid w:val="55A97DE2"/>
    <w:rsid w:val="55AC1A30"/>
    <w:rsid w:val="55AF0656"/>
    <w:rsid w:val="55B145EF"/>
    <w:rsid w:val="55B1623C"/>
    <w:rsid w:val="55B33644"/>
    <w:rsid w:val="55B57A34"/>
    <w:rsid w:val="55B8491C"/>
    <w:rsid w:val="55B9422E"/>
    <w:rsid w:val="55BD4612"/>
    <w:rsid w:val="55C011F0"/>
    <w:rsid w:val="55C15A4B"/>
    <w:rsid w:val="55C4407D"/>
    <w:rsid w:val="55C81767"/>
    <w:rsid w:val="55C8707F"/>
    <w:rsid w:val="55CB4AFE"/>
    <w:rsid w:val="55CD6FFA"/>
    <w:rsid w:val="55CE7C21"/>
    <w:rsid w:val="55D12492"/>
    <w:rsid w:val="55D26864"/>
    <w:rsid w:val="55DC3067"/>
    <w:rsid w:val="55DD2999"/>
    <w:rsid w:val="55DE38FF"/>
    <w:rsid w:val="55DF3211"/>
    <w:rsid w:val="55DF4A13"/>
    <w:rsid w:val="55E06782"/>
    <w:rsid w:val="55E55B90"/>
    <w:rsid w:val="55E55DA1"/>
    <w:rsid w:val="55E96BAD"/>
    <w:rsid w:val="55ED1CE2"/>
    <w:rsid w:val="55F06875"/>
    <w:rsid w:val="55F22950"/>
    <w:rsid w:val="55F253DD"/>
    <w:rsid w:val="55F42C43"/>
    <w:rsid w:val="55F87976"/>
    <w:rsid w:val="55FE76CC"/>
    <w:rsid w:val="561023CE"/>
    <w:rsid w:val="5610699D"/>
    <w:rsid w:val="56112BE8"/>
    <w:rsid w:val="56124913"/>
    <w:rsid w:val="561346BC"/>
    <w:rsid w:val="56143C85"/>
    <w:rsid w:val="56165A7B"/>
    <w:rsid w:val="561919FF"/>
    <w:rsid w:val="561A07DD"/>
    <w:rsid w:val="561C50E8"/>
    <w:rsid w:val="561D378D"/>
    <w:rsid w:val="56211F70"/>
    <w:rsid w:val="56213B88"/>
    <w:rsid w:val="56250708"/>
    <w:rsid w:val="562E3BB1"/>
    <w:rsid w:val="562E7748"/>
    <w:rsid w:val="56312161"/>
    <w:rsid w:val="563A64A5"/>
    <w:rsid w:val="563C69B7"/>
    <w:rsid w:val="563E607E"/>
    <w:rsid w:val="564179A5"/>
    <w:rsid w:val="56440E15"/>
    <w:rsid w:val="564859C9"/>
    <w:rsid w:val="564A07EF"/>
    <w:rsid w:val="564E18A9"/>
    <w:rsid w:val="5651586E"/>
    <w:rsid w:val="56576C9F"/>
    <w:rsid w:val="565B5D4E"/>
    <w:rsid w:val="565C2507"/>
    <w:rsid w:val="565D56B5"/>
    <w:rsid w:val="565E489A"/>
    <w:rsid w:val="565F44A9"/>
    <w:rsid w:val="56627F8A"/>
    <w:rsid w:val="5664093E"/>
    <w:rsid w:val="5666714E"/>
    <w:rsid w:val="56681E7E"/>
    <w:rsid w:val="566B74EA"/>
    <w:rsid w:val="566E223B"/>
    <w:rsid w:val="56717635"/>
    <w:rsid w:val="56723EED"/>
    <w:rsid w:val="567333AD"/>
    <w:rsid w:val="56733FE3"/>
    <w:rsid w:val="56752BE0"/>
    <w:rsid w:val="567C6866"/>
    <w:rsid w:val="568458F0"/>
    <w:rsid w:val="568A433B"/>
    <w:rsid w:val="568A54D1"/>
    <w:rsid w:val="568B007C"/>
    <w:rsid w:val="56913E9C"/>
    <w:rsid w:val="569435A4"/>
    <w:rsid w:val="56964FC2"/>
    <w:rsid w:val="56980B77"/>
    <w:rsid w:val="569A2A3C"/>
    <w:rsid w:val="569D0323"/>
    <w:rsid w:val="569D45BC"/>
    <w:rsid w:val="56A01E5E"/>
    <w:rsid w:val="56A142B6"/>
    <w:rsid w:val="56A3391B"/>
    <w:rsid w:val="56A37038"/>
    <w:rsid w:val="56A76B4F"/>
    <w:rsid w:val="56AC2EDE"/>
    <w:rsid w:val="56B17A00"/>
    <w:rsid w:val="56B3498A"/>
    <w:rsid w:val="56B55774"/>
    <w:rsid w:val="56B67499"/>
    <w:rsid w:val="56B939C4"/>
    <w:rsid w:val="56BB1FA1"/>
    <w:rsid w:val="56BD0D21"/>
    <w:rsid w:val="56BE0ACC"/>
    <w:rsid w:val="56C17288"/>
    <w:rsid w:val="56C86849"/>
    <w:rsid w:val="56CA76E1"/>
    <w:rsid w:val="56CC7FEF"/>
    <w:rsid w:val="56CE1C7C"/>
    <w:rsid w:val="56CF54A1"/>
    <w:rsid w:val="56D05FAB"/>
    <w:rsid w:val="56D11919"/>
    <w:rsid w:val="56D11E28"/>
    <w:rsid w:val="56D121EE"/>
    <w:rsid w:val="56D14D7A"/>
    <w:rsid w:val="56D23AFA"/>
    <w:rsid w:val="56D76009"/>
    <w:rsid w:val="56DD711E"/>
    <w:rsid w:val="56E00ADF"/>
    <w:rsid w:val="56E04039"/>
    <w:rsid w:val="56E07A4D"/>
    <w:rsid w:val="56E71A13"/>
    <w:rsid w:val="56EC0D70"/>
    <w:rsid w:val="56EC4B6C"/>
    <w:rsid w:val="56EE0C86"/>
    <w:rsid w:val="56EE3A49"/>
    <w:rsid w:val="56F32A52"/>
    <w:rsid w:val="56F63302"/>
    <w:rsid w:val="56F644BC"/>
    <w:rsid w:val="56F96069"/>
    <w:rsid w:val="56FE13DB"/>
    <w:rsid w:val="57016C0B"/>
    <w:rsid w:val="570404A9"/>
    <w:rsid w:val="57041CEB"/>
    <w:rsid w:val="57067D18"/>
    <w:rsid w:val="57090D1E"/>
    <w:rsid w:val="57122125"/>
    <w:rsid w:val="57182D18"/>
    <w:rsid w:val="57203535"/>
    <w:rsid w:val="57211A62"/>
    <w:rsid w:val="572503C9"/>
    <w:rsid w:val="57294BA6"/>
    <w:rsid w:val="572C062A"/>
    <w:rsid w:val="572D3E88"/>
    <w:rsid w:val="572F6404"/>
    <w:rsid w:val="57323C3B"/>
    <w:rsid w:val="573303A3"/>
    <w:rsid w:val="573305B4"/>
    <w:rsid w:val="57340D8E"/>
    <w:rsid w:val="57353549"/>
    <w:rsid w:val="57381AB2"/>
    <w:rsid w:val="573C4328"/>
    <w:rsid w:val="57403CDA"/>
    <w:rsid w:val="574105C5"/>
    <w:rsid w:val="574815E5"/>
    <w:rsid w:val="574D171F"/>
    <w:rsid w:val="575859F0"/>
    <w:rsid w:val="575B6F14"/>
    <w:rsid w:val="576130F0"/>
    <w:rsid w:val="57640B36"/>
    <w:rsid w:val="5764247D"/>
    <w:rsid w:val="57680A38"/>
    <w:rsid w:val="576911DC"/>
    <w:rsid w:val="576C6E27"/>
    <w:rsid w:val="57762FDC"/>
    <w:rsid w:val="57792075"/>
    <w:rsid w:val="57797B2C"/>
    <w:rsid w:val="577C5FCD"/>
    <w:rsid w:val="577D0987"/>
    <w:rsid w:val="577E0DCF"/>
    <w:rsid w:val="577F0DF5"/>
    <w:rsid w:val="57823AD3"/>
    <w:rsid w:val="57862DC3"/>
    <w:rsid w:val="57881485"/>
    <w:rsid w:val="57890647"/>
    <w:rsid w:val="578B145C"/>
    <w:rsid w:val="578E4942"/>
    <w:rsid w:val="57930939"/>
    <w:rsid w:val="579335E3"/>
    <w:rsid w:val="579427F9"/>
    <w:rsid w:val="579625BC"/>
    <w:rsid w:val="579B0E0D"/>
    <w:rsid w:val="57A16180"/>
    <w:rsid w:val="57A32D59"/>
    <w:rsid w:val="57A928C8"/>
    <w:rsid w:val="57AA5DBD"/>
    <w:rsid w:val="57AF6E1E"/>
    <w:rsid w:val="57B21B7D"/>
    <w:rsid w:val="57B679F5"/>
    <w:rsid w:val="57BA03AC"/>
    <w:rsid w:val="57BC58F7"/>
    <w:rsid w:val="57BD26A7"/>
    <w:rsid w:val="57BF5CCB"/>
    <w:rsid w:val="57C5002A"/>
    <w:rsid w:val="57C83CE2"/>
    <w:rsid w:val="57C94F29"/>
    <w:rsid w:val="57D0416C"/>
    <w:rsid w:val="57D048CE"/>
    <w:rsid w:val="57D31821"/>
    <w:rsid w:val="57D342A4"/>
    <w:rsid w:val="57D73D82"/>
    <w:rsid w:val="57D87E83"/>
    <w:rsid w:val="57DA5D13"/>
    <w:rsid w:val="57E24D11"/>
    <w:rsid w:val="57E47601"/>
    <w:rsid w:val="57EA5905"/>
    <w:rsid w:val="57EA7CB9"/>
    <w:rsid w:val="57F579E1"/>
    <w:rsid w:val="57F668A8"/>
    <w:rsid w:val="57F7660F"/>
    <w:rsid w:val="57FD485F"/>
    <w:rsid w:val="580115E2"/>
    <w:rsid w:val="58012915"/>
    <w:rsid w:val="5808029F"/>
    <w:rsid w:val="580A631B"/>
    <w:rsid w:val="580B22F9"/>
    <w:rsid w:val="580C1D0B"/>
    <w:rsid w:val="580D01A7"/>
    <w:rsid w:val="580D48B3"/>
    <w:rsid w:val="580D6365"/>
    <w:rsid w:val="580E15DF"/>
    <w:rsid w:val="5813309A"/>
    <w:rsid w:val="58135BAC"/>
    <w:rsid w:val="5816019A"/>
    <w:rsid w:val="58191489"/>
    <w:rsid w:val="58203D6A"/>
    <w:rsid w:val="5822508B"/>
    <w:rsid w:val="5822762E"/>
    <w:rsid w:val="58277AE4"/>
    <w:rsid w:val="582A47DF"/>
    <w:rsid w:val="582B2D8A"/>
    <w:rsid w:val="582C7D11"/>
    <w:rsid w:val="583161FB"/>
    <w:rsid w:val="583520B5"/>
    <w:rsid w:val="58373C57"/>
    <w:rsid w:val="5837611A"/>
    <w:rsid w:val="583778F8"/>
    <w:rsid w:val="583A6B99"/>
    <w:rsid w:val="583A7680"/>
    <w:rsid w:val="583D5E72"/>
    <w:rsid w:val="58441B50"/>
    <w:rsid w:val="584620AC"/>
    <w:rsid w:val="584E5C27"/>
    <w:rsid w:val="584F4E90"/>
    <w:rsid w:val="585131B0"/>
    <w:rsid w:val="58526CB5"/>
    <w:rsid w:val="585641A5"/>
    <w:rsid w:val="585C3664"/>
    <w:rsid w:val="585C72CE"/>
    <w:rsid w:val="585E26DE"/>
    <w:rsid w:val="58602D32"/>
    <w:rsid w:val="58631AB1"/>
    <w:rsid w:val="586364FB"/>
    <w:rsid w:val="586475B5"/>
    <w:rsid w:val="586649EB"/>
    <w:rsid w:val="5866766D"/>
    <w:rsid w:val="586751FA"/>
    <w:rsid w:val="586949C0"/>
    <w:rsid w:val="586A0685"/>
    <w:rsid w:val="587061FE"/>
    <w:rsid w:val="58713B0B"/>
    <w:rsid w:val="58726FF7"/>
    <w:rsid w:val="58741F39"/>
    <w:rsid w:val="587829BD"/>
    <w:rsid w:val="588809CE"/>
    <w:rsid w:val="58894D62"/>
    <w:rsid w:val="588B4C64"/>
    <w:rsid w:val="588B5502"/>
    <w:rsid w:val="58921064"/>
    <w:rsid w:val="58945C29"/>
    <w:rsid w:val="589765AD"/>
    <w:rsid w:val="58982544"/>
    <w:rsid w:val="589C1D8C"/>
    <w:rsid w:val="589C565E"/>
    <w:rsid w:val="58A10274"/>
    <w:rsid w:val="58A7280B"/>
    <w:rsid w:val="58A81697"/>
    <w:rsid w:val="58AA0575"/>
    <w:rsid w:val="58AC4F54"/>
    <w:rsid w:val="58AD477B"/>
    <w:rsid w:val="58AE3459"/>
    <w:rsid w:val="58AE3583"/>
    <w:rsid w:val="58B63C4D"/>
    <w:rsid w:val="58B72E94"/>
    <w:rsid w:val="58C12AF6"/>
    <w:rsid w:val="58C36942"/>
    <w:rsid w:val="58C6762C"/>
    <w:rsid w:val="58C70DF0"/>
    <w:rsid w:val="58C779E0"/>
    <w:rsid w:val="58C960ED"/>
    <w:rsid w:val="58D15A4F"/>
    <w:rsid w:val="58D170C2"/>
    <w:rsid w:val="58D4167D"/>
    <w:rsid w:val="58D5034F"/>
    <w:rsid w:val="58D520FD"/>
    <w:rsid w:val="58D66C7E"/>
    <w:rsid w:val="58D768A8"/>
    <w:rsid w:val="58D81BED"/>
    <w:rsid w:val="58D969C5"/>
    <w:rsid w:val="58E0724B"/>
    <w:rsid w:val="58E36CEB"/>
    <w:rsid w:val="58E467E4"/>
    <w:rsid w:val="58E90DB8"/>
    <w:rsid w:val="58F0760C"/>
    <w:rsid w:val="58F14859"/>
    <w:rsid w:val="58F17B06"/>
    <w:rsid w:val="58F3060E"/>
    <w:rsid w:val="58F604C5"/>
    <w:rsid w:val="58FF5BA4"/>
    <w:rsid w:val="59064931"/>
    <w:rsid w:val="59084F65"/>
    <w:rsid w:val="590A2133"/>
    <w:rsid w:val="591253CD"/>
    <w:rsid w:val="591302D2"/>
    <w:rsid w:val="591323E3"/>
    <w:rsid w:val="59147721"/>
    <w:rsid w:val="59156722"/>
    <w:rsid w:val="5916060F"/>
    <w:rsid w:val="59190E48"/>
    <w:rsid w:val="591B5193"/>
    <w:rsid w:val="591B749C"/>
    <w:rsid w:val="591D2697"/>
    <w:rsid w:val="591E66DB"/>
    <w:rsid w:val="592037BA"/>
    <w:rsid w:val="592046AC"/>
    <w:rsid w:val="59236373"/>
    <w:rsid w:val="5929330E"/>
    <w:rsid w:val="59297F2C"/>
    <w:rsid w:val="592A2763"/>
    <w:rsid w:val="592A726B"/>
    <w:rsid w:val="592D148F"/>
    <w:rsid w:val="5937125B"/>
    <w:rsid w:val="593B420C"/>
    <w:rsid w:val="593F3EAA"/>
    <w:rsid w:val="59413C36"/>
    <w:rsid w:val="594258DE"/>
    <w:rsid w:val="594563C6"/>
    <w:rsid w:val="594F462A"/>
    <w:rsid w:val="59512FC3"/>
    <w:rsid w:val="59515C32"/>
    <w:rsid w:val="5952765B"/>
    <w:rsid w:val="59555367"/>
    <w:rsid w:val="595721F0"/>
    <w:rsid w:val="595B4260"/>
    <w:rsid w:val="595E0634"/>
    <w:rsid w:val="59613164"/>
    <w:rsid w:val="59705CB5"/>
    <w:rsid w:val="5971735F"/>
    <w:rsid w:val="59723185"/>
    <w:rsid w:val="59782EC6"/>
    <w:rsid w:val="597B2CA5"/>
    <w:rsid w:val="597D114D"/>
    <w:rsid w:val="597E5FCB"/>
    <w:rsid w:val="59812723"/>
    <w:rsid w:val="59813206"/>
    <w:rsid w:val="5986035D"/>
    <w:rsid w:val="59877490"/>
    <w:rsid w:val="59881B70"/>
    <w:rsid w:val="598B78BE"/>
    <w:rsid w:val="598C52AF"/>
    <w:rsid w:val="5992290C"/>
    <w:rsid w:val="59957EBF"/>
    <w:rsid w:val="599716C3"/>
    <w:rsid w:val="599A344B"/>
    <w:rsid w:val="599A3AD2"/>
    <w:rsid w:val="599D5E7E"/>
    <w:rsid w:val="599E753C"/>
    <w:rsid w:val="59A23175"/>
    <w:rsid w:val="59A35E3A"/>
    <w:rsid w:val="59A377C7"/>
    <w:rsid w:val="59A92C91"/>
    <w:rsid w:val="59AD09BF"/>
    <w:rsid w:val="59AD21D9"/>
    <w:rsid w:val="59AF63D8"/>
    <w:rsid w:val="59B14273"/>
    <w:rsid w:val="59B166C6"/>
    <w:rsid w:val="59B3725A"/>
    <w:rsid w:val="59B457C4"/>
    <w:rsid w:val="59B54F6D"/>
    <w:rsid w:val="59B61F2F"/>
    <w:rsid w:val="59B71030"/>
    <w:rsid w:val="59B74B14"/>
    <w:rsid w:val="59B77D34"/>
    <w:rsid w:val="59B81DB5"/>
    <w:rsid w:val="59BA3A6B"/>
    <w:rsid w:val="59BB7FA2"/>
    <w:rsid w:val="59BF716C"/>
    <w:rsid w:val="59C208D3"/>
    <w:rsid w:val="59C444FB"/>
    <w:rsid w:val="59C5136B"/>
    <w:rsid w:val="59C54CDD"/>
    <w:rsid w:val="59C637A5"/>
    <w:rsid w:val="59C83A10"/>
    <w:rsid w:val="59CB2F6C"/>
    <w:rsid w:val="59CB694F"/>
    <w:rsid w:val="59CD5E39"/>
    <w:rsid w:val="59D06B05"/>
    <w:rsid w:val="59D14FBA"/>
    <w:rsid w:val="59D27748"/>
    <w:rsid w:val="59D341C8"/>
    <w:rsid w:val="59D37CCE"/>
    <w:rsid w:val="59D5568F"/>
    <w:rsid w:val="59D718EA"/>
    <w:rsid w:val="59DA7AE5"/>
    <w:rsid w:val="59DB47F0"/>
    <w:rsid w:val="59DB73E4"/>
    <w:rsid w:val="59DF092C"/>
    <w:rsid w:val="59DF7C8C"/>
    <w:rsid w:val="59E2457D"/>
    <w:rsid w:val="59E571D5"/>
    <w:rsid w:val="59E753A9"/>
    <w:rsid w:val="59E90DFD"/>
    <w:rsid w:val="59EE6DA6"/>
    <w:rsid w:val="59F42295"/>
    <w:rsid w:val="59FC4495"/>
    <w:rsid w:val="59FF0952"/>
    <w:rsid w:val="5A031BD2"/>
    <w:rsid w:val="5A0331AA"/>
    <w:rsid w:val="5A04633C"/>
    <w:rsid w:val="5A08640E"/>
    <w:rsid w:val="5A0A424A"/>
    <w:rsid w:val="5A0D2B2F"/>
    <w:rsid w:val="5A13112F"/>
    <w:rsid w:val="5A166E85"/>
    <w:rsid w:val="5A1922F7"/>
    <w:rsid w:val="5A1B1CB3"/>
    <w:rsid w:val="5A1B299E"/>
    <w:rsid w:val="5A1E4FB5"/>
    <w:rsid w:val="5A2A2F70"/>
    <w:rsid w:val="5A2C3704"/>
    <w:rsid w:val="5A3458BF"/>
    <w:rsid w:val="5A397535"/>
    <w:rsid w:val="5A3B4F5C"/>
    <w:rsid w:val="5A3C7E2E"/>
    <w:rsid w:val="5A3E1E61"/>
    <w:rsid w:val="5A3E3B5B"/>
    <w:rsid w:val="5A3E4430"/>
    <w:rsid w:val="5A3F0724"/>
    <w:rsid w:val="5A401A9F"/>
    <w:rsid w:val="5A403225"/>
    <w:rsid w:val="5A412BD0"/>
    <w:rsid w:val="5A43661D"/>
    <w:rsid w:val="5A441BFC"/>
    <w:rsid w:val="5A4420FB"/>
    <w:rsid w:val="5A462640"/>
    <w:rsid w:val="5A4B7279"/>
    <w:rsid w:val="5A4C13D5"/>
    <w:rsid w:val="5A5534F6"/>
    <w:rsid w:val="5A5811FD"/>
    <w:rsid w:val="5A5E125B"/>
    <w:rsid w:val="5A613DA6"/>
    <w:rsid w:val="5A655751"/>
    <w:rsid w:val="5A6A080B"/>
    <w:rsid w:val="5A76365C"/>
    <w:rsid w:val="5A766E1A"/>
    <w:rsid w:val="5A7D5039"/>
    <w:rsid w:val="5A7E1802"/>
    <w:rsid w:val="5A8024CD"/>
    <w:rsid w:val="5A813AC5"/>
    <w:rsid w:val="5A851B0B"/>
    <w:rsid w:val="5A851E75"/>
    <w:rsid w:val="5A8D7C4B"/>
    <w:rsid w:val="5A913B4F"/>
    <w:rsid w:val="5A914B52"/>
    <w:rsid w:val="5A9404DC"/>
    <w:rsid w:val="5A96484F"/>
    <w:rsid w:val="5A9A35FE"/>
    <w:rsid w:val="5A9A6890"/>
    <w:rsid w:val="5AA14037"/>
    <w:rsid w:val="5AA55328"/>
    <w:rsid w:val="5AA6067B"/>
    <w:rsid w:val="5AA7478A"/>
    <w:rsid w:val="5AA90E18"/>
    <w:rsid w:val="5AA91F20"/>
    <w:rsid w:val="5AAE4837"/>
    <w:rsid w:val="5AB04BD0"/>
    <w:rsid w:val="5AB22ED3"/>
    <w:rsid w:val="5AB31F88"/>
    <w:rsid w:val="5AB516D8"/>
    <w:rsid w:val="5AB80CD0"/>
    <w:rsid w:val="5ABA57A1"/>
    <w:rsid w:val="5ABB5323"/>
    <w:rsid w:val="5ABC50A5"/>
    <w:rsid w:val="5AC231ED"/>
    <w:rsid w:val="5AC40E1C"/>
    <w:rsid w:val="5ACB4F83"/>
    <w:rsid w:val="5ACE35B9"/>
    <w:rsid w:val="5AD421E4"/>
    <w:rsid w:val="5AD44E73"/>
    <w:rsid w:val="5AD729DD"/>
    <w:rsid w:val="5AD930D4"/>
    <w:rsid w:val="5AD938A2"/>
    <w:rsid w:val="5ADC59C5"/>
    <w:rsid w:val="5AE31C87"/>
    <w:rsid w:val="5AE52700"/>
    <w:rsid w:val="5AE55817"/>
    <w:rsid w:val="5AE73225"/>
    <w:rsid w:val="5AEE26EB"/>
    <w:rsid w:val="5AF47654"/>
    <w:rsid w:val="5AF61276"/>
    <w:rsid w:val="5AF70793"/>
    <w:rsid w:val="5AF745AD"/>
    <w:rsid w:val="5AF81777"/>
    <w:rsid w:val="5AFA303F"/>
    <w:rsid w:val="5AFB5AA8"/>
    <w:rsid w:val="5AFC1A7A"/>
    <w:rsid w:val="5AFC71CF"/>
    <w:rsid w:val="5B047FC7"/>
    <w:rsid w:val="5B05351A"/>
    <w:rsid w:val="5B055CC6"/>
    <w:rsid w:val="5B091546"/>
    <w:rsid w:val="5B0F1400"/>
    <w:rsid w:val="5B123D3F"/>
    <w:rsid w:val="5B1B5A80"/>
    <w:rsid w:val="5B21118E"/>
    <w:rsid w:val="5B21787C"/>
    <w:rsid w:val="5B2B57E0"/>
    <w:rsid w:val="5B2C4BE6"/>
    <w:rsid w:val="5B2C6433"/>
    <w:rsid w:val="5B2E10EF"/>
    <w:rsid w:val="5B2F0C25"/>
    <w:rsid w:val="5B3053E1"/>
    <w:rsid w:val="5B337C70"/>
    <w:rsid w:val="5B3475AF"/>
    <w:rsid w:val="5B350F04"/>
    <w:rsid w:val="5B3C5F37"/>
    <w:rsid w:val="5B3E7AA1"/>
    <w:rsid w:val="5B434429"/>
    <w:rsid w:val="5B4346BF"/>
    <w:rsid w:val="5B487171"/>
    <w:rsid w:val="5B4A6452"/>
    <w:rsid w:val="5B4A7A57"/>
    <w:rsid w:val="5B4E2BA2"/>
    <w:rsid w:val="5B4E7A25"/>
    <w:rsid w:val="5B4F06F4"/>
    <w:rsid w:val="5B511490"/>
    <w:rsid w:val="5B5610C2"/>
    <w:rsid w:val="5B5639C9"/>
    <w:rsid w:val="5B5B1802"/>
    <w:rsid w:val="5B5E4CF1"/>
    <w:rsid w:val="5B63795A"/>
    <w:rsid w:val="5B647768"/>
    <w:rsid w:val="5B662CCF"/>
    <w:rsid w:val="5B667984"/>
    <w:rsid w:val="5B6854AA"/>
    <w:rsid w:val="5B693CC4"/>
    <w:rsid w:val="5B6B0AF7"/>
    <w:rsid w:val="5B7420A1"/>
    <w:rsid w:val="5B796A5E"/>
    <w:rsid w:val="5B7D67BD"/>
    <w:rsid w:val="5B8761C0"/>
    <w:rsid w:val="5B8A4261"/>
    <w:rsid w:val="5B8A7C56"/>
    <w:rsid w:val="5B9146F0"/>
    <w:rsid w:val="5B950BE7"/>
    <w:rsid w:val="5B9867C1"/>
    <w:rsid w:val="5B9E0734"/>
    <w:rsid w:val="5B9E68E1"/>
    <w:rsid w:val="5BA00A02"/>
    <w:rsid w:val="5BA219EB"/>
    <w:rsid w:val="5BA64C57"/>
    <w:rsid w:val="5BAB0233"/>
    <w:rsid w:val="5BAD2208"/>
    <w:rsid w:val="5BAE6E8C"/>
    <w:rsid w:val="5BAF7E5E"/>
    <w:rsid w:val="5BB12F18"/>
    <w:rsid w:val="5BB34157"/>
    <w:rsid w:val="5BB35ACD"/>
    <w:rsid w:val="5BB552E9"/>
    <w:rsid w:val="5BB93E26"/>
    <w:rsid w:val="5BBC18BB"/>
    <w:rsid w:val="5BBE4407"/>
    <w:rsid w:val="5BBE4CE4"/>
    <w:rsid w:val="5BC21371"/>
    <w:rsid w:val="5BC315FE"/>
    <w:rsid w:val="5BC31DAB"/>
    <w:rsid w:val="5BC33D79"/>
    <w:rsid w:val="5BCC20D2"/>
    <w:rsid w:val="5BCD5F7A"/>
    <w:rsid w:val="5BD60666"/>
    <w:rsid w:val="5BDA0366"/>
    <w:rsid w:val="5BDA30EC"/>
    <w:rsid w:val="5BDA59C1"/>
    <w:rsid w:val="5BDC40C3"/>
    <w:rsid w:val="5BDF44A3"/>
    <w:rsid w:val="5BE16821"/>
    <w:rsid w:val="5BE5690E"/>
    <w:rsid w:val="5BEE7546"/>
    <w:rsid w:val="5BF2629F"/>
    <w:rsid w:val="5BF31218"/>
    <w:rsid w:val="5BF659D4"/>
    <w:rsid w:val="5BF7557B"/>
    <w:rsid w:val="5BF8078C"/>
    <w:rsid w:val="5C01201E"/>
    <w:rsid w:val="5C020CEF"/>
    <w:rsid w:val="5C0535C8"/>
    <w:rsid w:val="5C0A0624"/>
    <w:rsid w:val="5C0B7D36"/>
    <w:rsid w:val="5C1949F7"/>
    <w:rsid w:val="5C240BDA"/>
    <w:rsid w:val="5C250B42"/>
    <w:rsid w:val="5C272C70"/>
    <w:rsid w:val="5C2B1524"/>
    <w:rsid w:val="5C2C0F7E"/>
    <w:rsid w:val="5C30779A"/>
    <w:rsid w:val="5C37285F"/>
    <w:rsid w:val="5C37440C"/>
    <w:rsid w:val="5C3E0478"/>
    <w:rsid w:val="5C3E4DF0"/>
    <w:rsid w:val="5C403D31"/>
    <w:rsid w:val="5C4448FE"/>
    <w:rsid w:val="5C4557EC"/>
    <w:rsid w:val="5C4A0F9D"/>
    <w:rsid w:val="5C4B3F63"/>
    <w:rsid w:val="5C5129B6"/>
    <w:rsid w:val="5C5459E8"/>
    <w:rsid w:val="5C550BA8"/>
    <w:rsid w:val="5C576A75"/>
    <w:rsid w:val="5C5844B7"/>
    <w:rsid w:val="5C584FD4"/>
    <w:rsid w:val="5C60414A"/>
    <w:rsid w:val="5C676BD4"/>
    <w:rsid w:val="5C7207DA"/>
    <w:rsid w:val="5C726372"/>
    <w:rsid w:val="5C7560D1"/>
    <w:rsid w:val="5C763252"/>
    <w:rsid w:val="5C7A5495"/>
    <w:rsid w:val="5C821409"/>
    <w:rsid w:val="5C846B18"/>
    <w:rsid w:val="5C873727"/>
    <w:rsid w:val="5C880D15"/>
    <w:rsid w:val="5C8A0507"/>
    <w:rsid w:val="5C8F4B13"/>
    <w:rsid w:val="5C8F7C87"/>
    <w:rsid w:val="5C971C22"/>
    <w:rsid w:val="5C983FF8"/>
    <w:rsid w:val="5C996793"/>
    <w:rsid w:val="5C9E2B80"/>
    <w:rsid w:val="5C9F0466"/>
    <w:rsid w:val="5C9F28E1"/>
    <w:rsid w:val="5CA14E6D"/>
    <w:rsid w:val="5CA45F0F"/>
    <w:rsid w:val="5CA644DC"/>
    <w:rsid w:val="5CAA6D4B"/>
    <w:rsid w:val="5CAB61B4"/>
    <w:rsid w:val="5CAC350C"/>
    <w:rsid w:val="5CB02D62"/>
    <w:rsid w:val="5CB13730"/>
    <w:rsid w:val="5CB322E4"/>
    <w:rsid w:val="5CB538BB"/>
    <w:rsid w:val="5CB8534E"/>
    <w:rsid w:val="5CBA6F58"/>
    <w:rsid w:val="5CBC26CB"/>
    <w:rsid w:val="5CBE5F43"/>
    <w:rsid w:val="5CBF5AFC"/>
    <w:rsid w:val="5CC02A32"/>
    <w:rsid w:val="5CCF036A"/>
    <w:rsid w:val="5CD07406"/>
    <w:rsid w:val="5CD13A4C"/>
    <w:rsid w:val="5CD14B03"/>
    <w:rsid w:val="5CD347B5"/>
    <w:rsid w:val="5CD87E39"/>
    <w:rsid w:val="5CDA389F"/>
    <w:rsid w:val="5CE0405D"/>
    <w:rsid w:val="5CE4397F"/>
    <w:rsid w:val="5CE470ED"/>
    <w:rsid w:val="5CE671B3"/>
    <w:rsid w:val="5CE818FB"/>
    <w:rsid w:val="5CEA739B"/>
    <w:rsid w:val="5CEB7839"/>
    <w:rsid w:val="5CF351C6"/>
    <w:rsid w:val="5CF403F3"/>
    <w:rsid w:val="5D013D25"/>
    <w:rsid w:val="5D02779F"/>
    <w:rsid w:val="5D052906"/>
    <w:rsid w:val="5D062D97"/>
    <w:rsid w:val="5D065CA7"/>
    <w:rsid w:val="5D093B76"/>
    <w:rsid w:val="5D121A25"/>
    <w:rsid w:val="5D136E7C"/>
    <w:rsid w:val="5D1426CD"/>
    <w:rsid w:val="5D1551BE"/>
    <w:rsid w:val="5D161B0C"/>
    <w:rsid w:val="5D1A28A1"/>
    <w:rsid w:val="5D1C1BEF"/>
    <w:rsid w:val="5D1F64F0"/>
    <w:rsid w:val="5D206F33"/>
    <w:rsid w:val="5D227E48"/>
    <w:rsid w:val="5D2378DB"/>
    <w:rsid w:val="5D261179"/>
    <w:rsid w:val="5D2A6F68"/>
    <w:rsid w:val="5D2F76B1"/>
    <w:rsid w:val="5D34394D"/>
    <w:rsid w:val="5D394504"/>
    <w:rsid w:val="5D3C34E0"/>
    <w:rsid w:val="5D3D3F25"/>
    <w:rsid w:val="5D3F4942"/>
    <w:rsid w:val="5D461A55"/>
    <w:rsid w:val="5D4C4610"/>
    <w:rsid w:val="5D4C4F20"/>
    <w:rsid w:val="5D4E3BD2"/>
    <w:rsid w:val="5D535B1A"/>
    <w:rsid w:val="5D555303"/>
    <w:rsid w:val="5D5C103F"/>
    <w:rsid w:val="5D5C2D97"/>
    <w:rsid w:val="5D5E42A4"/>
    <w:rsid w:val="5D605DDF"/>
    <w:rsid w:val="5D6543B7"/>
    <w:rsid w:val="5D7028A3"/>
    <w:rsid w:val="5D71080F"/>
    <w:rsid w:val="5D7B5D7D"/>
    <w:rsid w:val="5D7E0764"/>
    <w:rsid w:val="5D7E79A2"/>
    <w:rsid w:val="5D8246AD"/>
    <w:rsid w:val="5D8653EB"/>
    <w:rsid w:val="5D8B0050"/>
    <w:rsid w:val="5D8B1867"/>
    <w:rsid w:val="5D8F31C2"/>
    <w:rsid w:val="5D913A34"/>
    <w:rsid w:val="5D951096"/>
    <w:rsid w:val="5D964551"/>
    <w:rsid w:val="5D992B1E"/>
    <w:rsid w:val="5D9D526C"/>
    <w:rsid w:val="5DA313DC"/>
    <w:rsid w:val="5DA710EF"/>
    <w:rsid w:val="5DA76C65"/>
    <w:rsid w:val="5DAB1452"/>
    <w:rsid w:val="5DAF3854"/>
    <w:rsid w:val="5DB11CA9"/>
    <w:rsid w:val="5DB1502F"/>
    <w:rsid w:val="5DBB5ED5"/>
    <w:rsid w:val="5DBC2C91"/>
    <w:rsid w:val="5DBD5672"/>
    <w:rsid w:val="5DBE7A6C"/>
    <w:rsid w:val="5DBF735F"/>
    <w:rsid w:val="5DC27905"/>
    <w:rsid w:val="5DC307FA"/>
    <w:rsid w:val="5DC45E70"/>
    <w:rsid w:val="5DC5158B"/>
    <w:rsid w:val="5DCA56B3"/>
    <w:rsid w:val="5DCA5A53"/>
    <w:rsid w:val="5DCB730F"/>
    <w:rsid w:val="5DCC163C"/>
    <w:rsid w:val="5DCD5A99"/>
    <w:rsid w:val="5DDB7EA6"/>
    <w:rsid w:val="5DDC300E"/>
    <w:rsid w:val="5DDD3086"/>
    <w:rsid w:val="5DE03822"/>
    <w:rsid w:val="5DE425E4"/>
    <w:rsid w:val="5DED613B"/>
    <w:rsid w:val="5DF23EDA"/>
    <w:rsid w:val="5DF34C89"/>
    <w:rsid w:val="5DF41FD0"/>
    <w:rsid w:val="5DF516DA"/>
    <w:rsid w:val="5DF66C85"/>
    <w:rsid w:val="5DF7278C"/>
    <w:rsid w:val="5DFA1178"/>
    <w:rsid w:val="5DFD1480"/>
    <w:rsid w:val="5DFE00CE"/>
    <w:rsid w:val="5DFE3EA4"/>
    <w:rsid w:val="5DFE5C52"/>
    <w:rsid w:val="5E023C82"/>
    <w:rsid w:val="5E045B91"/>
    <w:rsid w:val="5E0632DB"/>
    <w:rsid w:val="5E0E5921"/>
    <w:rsid w:val="5E10375A"/>
    <w:rsid w:val="5E113BD7"/>
    <w:rsid w:val="5E125C53"/>
    <w:rsid w:val="5E182143"/>
    <w:rsid w:val="5E186886"/>
    <w:rsid w:val="5E1C3FDF"/>
    <w:rsid w:val="5E1C4F9F"/>
    <w:rsid w:val="5E1E20FD"/>
    <w:rsid w:val="5E282468"/>
    <w:rsid w:val="5E2844A8"/>
    <w:rsid w:val="5E2C09AE"/>
    <w:rsid w:val="5E2C27BF"/>
    <w:rsid w:val="5E2D1651"/>
    <w:rsid w:val="5E30663F"/>
    <w:rsid w:val="5E306C7A"/>
    <w:rsid w:val="5E316028"/>
    <w:rsid w:val="5E3306C7"/>
    <w:rsid w:val="5E356904"/>
    <w:rsid w:val="5E360B3C"/>
    <w:rsid w:val="5E3638CF"/>
    <w:rsid w:val="5E40153B"/>
    <w:rsid w:val="5E4624AE"/>
    <w:rsid w:val="5E471F98"/>
    <w:rsid w:val="5E49585C"/>
    <w:rsid w:val="5E5024B2"/>
    <w:rsid w:val="5E5024EE"/>
    <w:rsid w:val="5E511028"/>
    <w:rsid w:val="5E526840"/>
    <w:rsid w:val="5E532C4B"/>
    <w:rsid w:val="5E534589"/>
    <w:rsid w:val="5E560C7B"/>
    <w:rsid w:val="5E575D36"/>
    <w:rsid w:val="5E5B2B38"/>
    <w:rsid w:val="5E5C3384"/>
    <w:rsid w:val="5E657034"/>
    <w:rsid w:val="5E6D192E"/>
    <w:rsid w:val="5E790F83"/>
    <w:rsid w:val="5E7D2D70"/>
    <w:rsid w:val="5E810BF5"/>
    <w:rsid w:val="5E88400A"/>
    <w:rsid w:val="5E8B6E75"/>
    <w:rsid w:val="5E957043"/>
    <w:rsid w:val="5E987E55"/>
    <w:rsid w:val="5E9A714D"/>
    <w:rsid w:val="5E9B6682"/>
    <w:rsid w:val="5E9E2432"/>
    <w:rsid w:val="5EA7400D"/>
    <w:rsid w:val="5EA84E89"/>
    <w:rsid w:val="5EA9323E"/>
    <w:rsid w:val="5EAD7FD3"/>
    <w:rsid w:val="5EAE0DB0"/>
    <w:rsid w:val="5EAF4BCE"/>
    <w:rsid w:val="5EB04A38"/>
    <w:rsid w:val="5EB17A50"/>
    <w:rsid w:val="5EB27522"/>
    <w:rsid w:val="5EB54EC1"/>
    <w:rsid w:val="5EB723D7"/>
    <w:rsid w:val="5EB927F3"/>
    <w:rsid w:val="5EB92A74"/>
    <w:rsid w:val="5EC02D44"/>
    <w:rsid w:val="5EC51BB8"/>
    <w:rsid w:val="5EC5539C"/>
    <w:rsid w:val="5EC61FA2"/>
    <w:rsid w:val="5EC935A9"/>
    <w:rsid w:val="5ECE7F48"/>
    <w:rsid w:val="5ECF614E"/>
    <w:rsid w:val="5ED0023C"/>
    <w:rsid w:val="5EDA02B3"/>
    <w:rsid w:val="5EDA31CD"/>
    <w:rsid w:val="5EDC7751"/>
    <w:rsid w:val="5EDD43F7"/>
    <w:rsid w:val="5EDE376D"/>
    <w:rsid w:val="5EE76AEF"/>
    <w:rsid w:val="5EEC2E45"/>
    <w:rsid w:val="5EF10671"/>
    <w:rsid w:val="5EF5187F"/>
    <w:rsid w:val="5EFC6B6A"/>
    <w:rsid w:val="5F00590C"/>
    <w:rsid w:val="5F030E05"/>
    <w:rsid w:val="5F0932AE"/>
    <w:rsid w:val="5F0A49F2"/>
    <w:rsid w:val="5F0B7594"/>
    <w:rsid w:val="5F1061D0"/>
    <w:rsid w:val="5F191A40"/>
    <w:rsid w:val="5F1D248D"/>
    <w:rsid w:val="5F1F6955"/>
    <w:rsid w:val="5F2059DE"/>
    <w:rsid w:val="5F216F77"/>
    <w:rsid w:val="5F235110"/>
    <w:rsid w:val="5F255D1B"/>
    <w:rsid w:val="5F282CF2"/>
    <w:rsid w:val="5F2913DA"/>
    <w:rsid w:val="5F2A657A"/>
    <w:rsid w:val="5F2C67EF"/>
    <w:rsid w:val="5F3145AA"/>
    <w:rsid w:val="5F395EEE"/>
    <w:rsid w:val="5F3B7545"/>
    <w:rsid w:val="5F3F51A3"/>
    <w:rsid w:val="5F3F6522"/>
    <w:rsid w:val="5F403758"/>
    <w:rsid w:val="5F42364A"/>
    <w:rsid w:val="5F4753F3"/>
    <w:rsid w:val="5F487A96"/>
    <w:rsid w:val="5F493DED"/>
    <w:rsid w:val="5F533D20"/>
    <w:rsid w:val="5F5577C5"/>
    <w:rsid w:val="5F5614FE"/>
    <w:rsid w:val="5F5E109E"/>
    <w:rsid w:val="5F5E6C1F"/>
    <w:rsid w:val="5F602C65"/>
    <w:rsid w:val="5F6078ED"/>
    <w:rsid w:val="5F6456F3"/>
    <w:rsid w:val="5F6865DE"/>
    <w:rsid w:val="5F6A7929"/>
    <w:rsid w:val="5F6B5421"/>
    <w:rsid w:val="5F6D4912"/>
    <w:rsid w:val="5F7054F7"/>
    <w:rsid w:val="5F7910C4"/>
    <w:rsid w:val="5F7C5E09"/>
    <w:rsid w:val="5F7F1015"/>
    <w:rsid w:val="5F8E2BD5"/>
    <w:rsid w:val="5F8F0424"/>
    <w:rsid w:val="5F8F6DA3"/>
    <w:rsid w:val="5F8F7AA0"/>
    <w:rsid w:val="5F900193"/>
    <w:rsid w:val="5F9016BC"/>
    <w:rsid w:val="5F95582D"/>
    <w:rsid w:val="5F9A116B"/>
    <w:rsid w:val="5FA729E5"/>
    <w:rsid w:val="5FA95E5E"/>
    <w:rsid w:val="5FAD2E83"/>
    <w:rsid w:val="5FAD4BCB"/>
    <w:rsid w:val="5FB22B18"/>
    <w:rsid w:val="5FB248D1"/>
    <w:rsid w:val="5FB6400D"/>
    <w:rsid w:val="5FB90F9B"/>
    <w:rsid w:val="5FB92A61"/>
    <w:rsid w:val="5FB97FC0"/>
    <w:rsid w:val="5FBC20CC"/>
    <w:rsid w:val="5FBD3009"/>
    <w:rsid w:val="5FC310D0"/>
    <w:rsid w:val="5FC76780"/>
    <w:rsid w:val="5FC8476A"/>
    <w:rsid w:val="5FCB7881"/>
    <w:rsid w:val="5FCF06CB"/>
    <w:rsid w:val="5FD6292C"/>
    <w:rsid w:val="5FDA2578"/>
    <w:rsid w:val="5FDA3248"/>
    <w:rsid w:val="5FE35FDB"/>
    <w:rsid w:val="5FE8569D"/>
    <w:rsid w:val="5FEE0701"/>
    <w:rsid w:val="5FF03E26"/>
    <w:rsid w:val="5FF12857"/>
    <w:rsid w:val="5FF32AE0"/>
    <w:rsid w:val="5FF41A5D"/>
    <w:rsid w:val="5FF437B1"/>
    <w:rsid w:val="5FF549A8"/>
    <w:rsid w:val="5FF56030"/>
    <w:rsid w:val="5FF86762"/>
    <w:rsid w:val="60002155"/>
    <w:rsid w:val="600219EF"/>
    <w:rsid w:val="60053B2D"/>
    <w:rsid w:val="60061E24"/>
    <w:rsid w:val="600A2292"/>
    <w:rsid w:val="600B4656"/>
    <w:rsid w:val="600C0A49"/>
    <w:rsid w:val="600C47FA"/>
    <w:rsid w:val="60115C72"/>
    <w:rsid w:val="60142118"/>
    <w:rsid w:val="60144DA4"/>
    <w:rsid w:val="60176D8F"/>
    <w:rsid w:val="601779F0"/>
    <w:rsid w:val="60180B0F"/>
    <w:rsid w:val="60196D73"/>
    <w:rsid w:val="601F3B37"/>
    <w:rsid w:val="60275934"/>
    <w:rsid w:val="60297B8D"/>
    <w:rsid w:val="602A4176"/>
    <w:rsid w:val="602B7D8F"/>
    <w:rsid w:val="602D1552"/>
    <w:rsid w:val="602D3D24"/>
    <w:rsid w:val="602E2384"/>
    <w:rsid w:val="602E4280"/>
    <w:rsid w:val="60301991"/>
    <w:rsid w:val="60327E35"/>
    <w:rsid w:val="603611AD"/>
    <w:rsid w:val="603B4F3C"/>
    <w:rsid w:val="603C0CB4"/>
    <w:rsid w:val="603C62EC"/>
    <w:rsid w:val="603D3723"/>
    <w:rsid w:val="60410B09"/>
    <w:rsid w:val="604241E2"/>
    <w:rsid w:val="604251AF"/>
    <w:rsid w:val="60442D0F"/>
    <w:rsid w:val="604D13D1"/>
    <w:rsid w:val="60516D2A"/>
    <w:rsid w:val="60531277"/>
    <w:rsid w:val="605424A1"/>
    <w:rsid w:val="605E6E7C"/>
    <w:rsid w:val="605F033B"/>
    <w:rsid w:val="606B6189"/>
    <w:rsid w:val="606E08C0"/>
    <w:rsid w:val="606E6E50"/>
    <w:rsid w:val="606E71C4"/>
    <w:rsid w:val="606F1104"/>
    <w:rsid w:val="607107A0"/>
    <w:rsid w:val="60752C0F"/>
    <w:rsid w:val="607632C0"/>
    <w:rsid w:val="60780A80"/>
    <w:rsid w:val="60797EF2"/>
    <w:rsid w:val="607B1E16"/>
    <w:rsid w:val="607C1F05"/>
    <w:rsid w:val="607D6E2B"/>
    <w:rsid w:val="607E7AD9"/>
    <w:rsid w:val="60844BC5"/>
    <w:rsid w:val="608517E1"/>
    <w:rsid w:val="608553E5"/>
    <w:rsid w:val="6088608A"/>
    <w:rsid w:val="60887299"/>
    <w:rsid w:val="608923CD"/>
    <w:rsid w:val="608C5732"/>
    <w:rsid w:val="608E59B3"/>
    <w:rsid w:val="608F1D6F"/>
    <w:rsid w:val="60935589"/>
    <w:rsid w:val="60971ECA"/>
    <w:rsid w:val="60990801"/>
    <w:rsid w:val="60997EB4"/>
    <w:rsid w:val="60A07ADE"/>
    <w:rsid w:val="60A9658E"/>
    <w:rsid w:val="60AB0311"/>
    <w:rsid w:val="60AC48AF"/>
    <w:rsid w:val="60AD4AAF"/>
    <w:rsid w:val="60AE6827"/>
    <w:rsid w:val="60AF607C"/>
    <w:rsid w:val="60B526E9"/>
    <w:rsid w:val="60B82C8D"/>
    <w:rsid w:val="60B82F82"/>
    <w:rsid w:val="60BD3BA3"/>
    <w:rsid w:val="60BD606A"/>
    <w:rsid w:val="60BE0732"/>
    <w:rsid w:val="60C47B77"/>
    <w:rsid w:val="60C566CA"/>
    <w:rsid w:val="60CD0AC7"/>
    <w:rsid w:val="60CD26FF"/>
    <w:rsid w:val="60D13ACA"/>
    <w:rsid w:val="60D2620A"/>
    <w:rsid w:val="60D357C0"/>
    <w:rsid w:val="60D36758"/>
    <w:rsid w:val="60D62CB1"/>
    <w:rsid w:val="60D7439D"/>
    <w:rsid w:val="60DA01A9"/>
    <w:rsid w:val="60DA2542"/>
    <w:rsid w:val="60DA5864"/>
    <w:rsid w:val="60E40A03"/>
    <w:rsid w:val="60E750C3"/>
    <w:rsid w:val="60E82633"/>
    <w:rsid w:val="60EA55C3"/>
    <w:rsid w:val="60EC2732"/>
    <w:rsid w:val="60EE20A1"/>
    <w:rsid w:val="60EF0DFF"/>
    <w:rsid w:val="60F23D3D"/>
    <w:rsid w:val="60F32344"/>
    <w:rsid w:val="60F33A4C"/>
    <w:rsid w:val="60F45DA2"/>
    <w:rsid w:val="60F72312"/>
    <w:rsid w:val="60FA4764"/>
    <w:rsid w:val="60FB4CE2"/>
    <w:rsid w:val="6100316B"/>
    <w:rsid w:val="61014AF4"/>
    <w:rsid w:val="61016AC9"/>
    <w:rsid w:val="610C4B2A"/>
    <w:rsid w:val="610C669B"/>
    <w:rsid w:val="610D0FDD"/>
    <w:rsid w:val="610D6984"/>
    <w:rsid w:val="611049DF"/>
    <w:rsid w:val="61114EB3"/>
    <w:rsid w:val="611322F7"/>
    <w:rsid w:val="61196D7F"/>
    <w:rsid w:val="611F376E"/>
    <w:rsid w:val="61230063"/>
    <w:rsid w:val="6126318F"/>
    <w:rsid w:val="612718DC"/>
    <w:rsid w:val="612754C0"/>
    <w:rsid w:val="612769EB"/>
    <w:rsid w:val="61277EAE"/>
    <w:rsid w:val="61282EA3"/>
    <w:rsid w:val="612A037F"/>
    <w:rsid w:val="612D2791"/>
    <w:rsid w:val="612E66D3"/>
    <w:rsid w:val="612F0942"/>
    <w:rsid w:val="613025C6"/>
    <w:rsid w:val="61315C66"/>
    <w:rsid w:val="613619BE"/>
    <w:rsid w:val="6139172F"/>
    <w:rsid w:val="614022E4"/>
    <w:rsid w:val="614473F7"/>
    <w:rsid w:val="6146788B"/>
    <w:rsid w:val="614B6AFD"/>
    <w:rsid w:val="614F1D33"/>
    <w:rsid w:val="615006B8"/>
    <w:rsid w:val="61554860"/>
    <w:rsid w:val="615C1DBB"/>
    <w:rsid w:val="615D7134"/>
    <w:rsid w:val="615E10A9"/>
    <w:rsid w:val="615F6065"/>
    <w:rsid w:val="61600AF7"/>
    <w:rsid w:val="616735D0"/>
    <w:rsid w:val="616A41F1"/>
    <w:rsid w:val="616E179E"/>
    <w:rsid w:val="61713E2E"/>
    <w:rsid w:val="617262E8"/>
    <w:rsid w:val="61761746"/>
    <w:rsid w:val="61767771"/>
    <w:rsid w:val="61777055"/>
    <w:rsid w:val="617940F1"/>
    <w:rsid w:val="617C3A5E"/>
    <w:rsid w:val="61830394"/>
    <w:rsid w:val="618D7A19"/>
    <w:rsid w:val="619052DC"/>
    <w:rsid w:val="61922BB3"/>
    <w:rsid w:val="61954696"/>
    <w:rsid w:val="619B5D85"/>
    <w:rsid w:val="619C6DA1"/>
    <w:rsid w:val="619C79DB"/>
    <w:rsid w:val="619F2240"/>
    <w:rsid w:val="61A2301D"/>
    <w:rsid w:val="61A50FFC"/>
    <w:rsid w:val="61A80C07"/>
    <w:rsid w:val="61A841B8"/>
    <w:rsid w:val="61AB1C9D"/>
    <w:rsid w:val="61AC3653"/>
    <w:rsid w:val="61AC3716"/>
    <w:rsid w:val="61AD24F8"/>
    <w:rsid w:val="61AE6BB8"/>
    <w:rsid w:val="61AE7B1A"/>
    <w:rsid w:val="61B15CAF"/>
    <w:rsid w:val="61B37369"/>
    <w:rsid w:val="61B41DA8"/>
    <w:rsid w:val="61B60DAF"/>
    <w:rsid w:val="61BB7B6A"/>
    <w:rsid w:val="61C1699E"/>
    <w:rsid w:val="61C26CDC"/>
    <w:rsid w:val="61C441C5"/>
    <w:rsid w:val="61C63BBD"/>
    <w:rsid w:val="61C66B17"/>
    <w:rsid w:val="61C952C5"/>
    <w:rsid w:val="61CC3A0A"/>
    <w:rsid w:val="61CD3D91"/>
    <w:rsid w:val="61CE188D"/>
    <w:rsid w:val="61CF1C39"/>
    <w:rsid w:val="61D043AD"/>
    <w:rsid w:val="61D07E47"/>
    <w:rsid w:val="61D218D0"/>
    <w:rsid w:val="61D423B1"/>
    <w:rsid w:val="61D51255"/>
    <w:rsid w:val="61D55C97"/>
    <w:rsid w:val="61D67D36"/>
    <w:rsid w:val="61DA4D37"/>
    <w:rsid w:val="61DE6587"/>
    <w:rsid w:val="61EA4E6B"/>
    <w:rsid w:val="61EE4F69"/>
    <w:rsid w:val="61EE7DE5"/>
    <w:rsid w:val="61EF4230"/>
    <w:rsid w:val="61F4430B"/>
    <w:rsid w:val="61F77200"/>
    <w:rsid w:val="61F801C7"/>
    <w:rsid w:val="61F965AF"/>
    <w:rsid w:val="61FB27CA"/>
    <w:rsid w:val="62062913"/>
    <w:rsid w:val="62074020"/>
    <w:rsid w:val="62076343"/>
    <w:rsid w:val="620A4032"/>
    <w:rsid w:val="62115858"/>
    <w:rsid w:val="621454BF"/>
    <w:rsid w:val="621614B9"/>
    <w:rsid w:val="621B2106"/>
    <w:rsid w:val="621D4A88"/>
    <w:rsid w:val="621E1271"/>
    <w:rsid w:val="62201C5D"/>
    <w:rsid w:val="622120BC"/>
    <w:rsid w:val="62224AC5"/>
    <w:rsid w:val="6224237B"/>
    <w:rsid w:val="62261C1B"/>
    <w:rsid w:val="622872EE"/>
    <w:rsid w:val="622C72D1"/>
    <w:rsid w:val="623039B9"/>
    <w:rsid w:val="62321C94"/>
    <w:rsid w:val="62396A99"/>
    <w:rsid w:val="623A7B7E"/>
    <w:rsid w:val="62440B5E"/>
    <w:rsid w:val="62447713"/>
    <w:rsid w:val="62455C2E"/>
    <w:rsid w:val="624669F1"/>
    <w:rsid w:val="62487FF8"/>
    <w:rsid w:val="624A064D"/>
    <w:rsid w:val="624B1D99"/>
    <w:rsid w:val="624C0EA6"/>
    <w:rsid w:val="62511FB8"/>
    <w:rsid w:val="62525744"/>
    <w:rsid w:val="625702B8"/>
    <w:rsid w:val="625901DD"/>
    <w:rsid w:val="6259313D"/>
    <w:rsid w:val="625A4DEB"/>
    <w:rsid w:val="625E15A5"/>
    <w:rsid w:val="62610706"/>
    <w:rsid w:val="62647DDB"/>
    <w:rsid w:val="6267670B"/>
    <w:rsid w:val="62723EE6"/>
    <w:rsid w:val="62732E49"/>
    <w:rsid w:val="6274200B"/>
    <w:rsid w:val="62764951"/>
    <w:rsid w:val="627D2E82"/>
    <w:rsid w:val="628250A4"/>
    <w:rsid w:val="6283354C"/>
    <w:rsid w:val="62844473"/>
    <w:rsid w:val="62851A24"/>
    <w:rsid w:val="62854B94"/>
    <w:rsid w:val="62882CA1"/>
    <w:rsid w:val="62892579"/>
    <w:rsid w:val="628A4748"/>
    <w:rsid w:val="628C7620"/>
    <w:rsid w:val="62904B4E"/>
    <w:rsid w:val="6292005B"/>
    <w:rsid w:val="62921341"/>
    <w:rsid w:val="62954035"/>
    <w:rsid w:val="62965B29"/>
    <w:rsid w:val="629B60E2"/>
    <w:rsid w:val="629D1EDE"/>
    <w:rsid w:val="629D6EDE"/>
    <w:rsid w:val="62A24CAC"/>
    <w:rsid w:val="62A262DB"/>
    <w:rsid w:val="62A60248"/>
    <w:rsid w:val="62A754ED"/>
    <w:rsid w:val="62A94E1F"/>
    <w:rsid w:val="62AA690C"/>
    <w:rsid w:val="62AB1DE8"/>
    <w:rsid w:val="62AB7F91"/>
    <w:rsid w:val="62AC3ECF"/>
    <w:rsid w:val="62AC5BF1"/>
    <w:rsid w:val="62B2157A"/>
    <w:rsid w:val="62B334AF"/>
    <w:rsid w:val="62B61F2D"/>
    <w:rsid w:val="62BA2626"/>
    <w:rsid w:val="62BD2335"/>
    <w:rsid w:val="62BD3412"/>
    <w:rsid w:val="62BD3E31"/>
    <w:rsid w:val="62BF6725"/>
    <w:rsid w:val="62C047E6"/>
    <w:rsid w:val="62C74982"/>
    <w:rsid w:val="62CB2C2B"/>
    <w:rsid w:val="62CC4ED4"/>
    <w:rsid w:val="62CC62B3"/>
    <w:rsid w:val="62CF29FF"/>
    <w:rsid w:val="62D14BE1"/>
    <w:rsid w:val="62D42270"/>
    <w:rsid w:val="62D642EA"/>
    <w:rsid w:val="62DA5BA5"/>
    <w:rsid w:val="62DC73ED"/>
    <w:rsid w:val="62DC7826"/>
    <w:rsid w:val="62DF4639"/>
    <w:rsid w:val="62E94995"/>
    <w:rsid w:val="62EA6167"/>
    <w:rsid w:val="62EA7AD3"/>
    <w:rsid w:val="62EE723D"/>
    <w:rsid w:val="62F37D50"/>
    <w:rsid w:val="62F51D1A"/>
    <w:rsid w:val="63002396"/>
    <w:rsid w:val="63022665"/>
    <w:rsid w:val="63062346"/>
    <w:rsid w:val="630A6E47"/>
    <w:rsid w:val="630B51F9"/>
    <w:rsid w:val="63124742"/>
    <w:rsid w:val="63141A74"/>
    <w:rsid w:val="631445A1"/>
    <w:rsid w:val="6319433B"/>
    <w:rsid w:val="631A0265"/>
    <w:rsid w:val="631B1054"/>
    <w:rsid w:val="631F4363"/>
    <w:rsid w:val="631F4963"/>
    <w:rsid w:val="63233A39"/>
    <w:rsid w:val="6328417A"/>
    <w:rsid w:val="632C7C71"/>
    <w:rsid w:val="632E3B8E"/>
    <w:rsid w:val="6331339E"/>
    <w:rsid w:val="63322F7E"/>
    <w:rsid w:val="633A0394"/>
    <w:rsid w:val="633B4A2D"/>
    <w:rsid w:val="633B7ABE"/>
    <w:rsid w:val="633E265F"/>
    <w:rsid w:val="633E5739"/>
    <w:rsid w:val="63420B46"/>
    <w:rsid w:val="6343174D"/>
    <w:rsid w:val="63462575"/>
    <w:rsid w:val="634715C5"/>
    <w:rsid w:val="63472597"/>
    <w:rsid w:val="63480522"/>
    <w:rsid w:val="63483AC2"/>
    <w:rsid w:val="634F7077"/>
    <w:rsid w:val="635068B3"/>
    <w:rsid w:val="63536A40"/>
    <w:rsid w:val="63563C98"/>
    <w:rsid w:val="63563F75"/>
    <w:rsid w:val="6357670C"/>
    <w:rsid w:val="635811CA"/>
    <w:rsid w:val="63587222"/>
    <w:rsid w:val="635D5763"/>
    <w:rsid w:val="63606C23"/>
    <w:rsid w:val="63620E63"/>
    <w:rsid w:val="63640C4D"/>
    <w:rsid w:val="63667925"/>
    <w:rsid w:val="636A4432"/>
    <w:rsid w:val="636F0CEB"/>
    <w:rsid w:val="636F7556"/>
    <w:rsid w:val="637176DC"/>
    <w:rsid w:val="6374151E"/>
    <w:rsid w:val="63745ECB"/>
    <w:rsid w:val="6375708A"/>
    <w:rsid w:val="637864A7"/>
    <w:rsid w:val="637A3C41"/>
    <w:rsid w:val="637A5CD5"/>
    <w:rsid w:val="637B507F"/>
    <w:rsid w:val="637C0736"/>
    <w:rsid w:val="638126C3"/>
    <w:rsid w:val="63815336"/>
    <w:rsid w:val="63851F5C"/>
    <w:rsid w:val="63877487"/>
    <w:rsid w:val="638A5EC4"/>
    <w:rsid w:val="638C5B40"/>
    <w:rsid w:val="638E14D5"/>
    <w:rsid w:val="638F3DAA"/>
    <w:rsid w:val="6393413B"/>
    <w:rsid w:val="63943B4D"/>
    <w:rsid w:val="63947D46"/>
    <w:rsid w:val="63953E6D"/>
    <w:rsid w:val="63956815"/>
    <w:rsid w:val="639A32C8"/>
    <w:rsid w:val="639A5365"/>
    <w:rsid w:val="639E1171"/>
    <w:rsid w:val="63A072B4"/>
    <w:rsid w:val="63A161F4"/>
    <w:rsid w:val="63A349D4"/>
    <w:rsid w:val="63A93A50"/>
    <w:rsid w:val="63A96660"/>
    <w:rsid w:val="63A97451"/>
    <w:rsid w:val="63B115B1"/>
    <w:rsid w:val="63B52F83"/>
    <w:rsid w:val="63B56592"/>
    <w:rsid w:val="63B96C36"/>
    <w:rsid w:val="63BA086D"/>
    <w:rsid w:val="63BB0F22"/>
    <w:rsid w:val="63C62B99"/>
    <w:rsid w:val="63CC4E72"/>
    <w:rsid w:val="63CF2110"/>
    <w:rsid w:val="63D513E0"/>
    <w:rsid w:val="63DC4C88"/>
    <w:rsid w:val="63DD04CB"/>
    <w:rsid w:val="63DF13ED"/>
    <w:rsid w:val="63DF4DC1"/>
    <w:rsid w:val="63E51700"/>
    <w:rsid w:val="63E76FA0"/>
    <w:rsid w:val="63E87188"/>
    <w:rsid w:val="63EC0576"/>
    <w:rsid w:val="63F43E07"/>
    <w:rsid w:val="63F500D5"/>
    <w:rsid w:val="63F86042"/>
    <w:rsid w:val="63FF2921"/>
    <w:rsid w:val="640222AA"/>
    <w:rsid w:val="64032CD0"/>
    <w:rsid w:val="640520BA"/>
    <w:rsid w:val="640F405A"/>
    <w:rsid w:val="641066DF"/>
    <w:rsid w:val="64122457"/>
    <w:rsid w:val="64155750"/>
    <w:rsid w:val="641674CC"/>
    <w:rsid w:val="6417181C"/>
    <w:rsid w:val="64171DF5"/>
    <w:rsid w:val="641A2BEC"/>
    <w:rsid w:val="641C1E99"/>
    <w:rsid w:val="642178D1"/>
    <w:rsid w:val="64264244"/>
    <w:rsid w:val="642C695B"/>
    <w:rsid w:val="642D54E3"/>
    <w:rsid w:val="642E51BD"/>
    <w:rsid w:val="64307DF9"/>
    <w:rsid w:val="64317B3C"/>
    <w:rsid w:val="643D4B2B"/>
    <w:rsid w:val="643E0734"/>
    <w:rsid w:val="643E2173"/>
    <w:rsid w:val="64426AE4"/>
    <w:rsid w:val="6443592E"/>
    <w:rsid w:val="6444277E"/>
    <w:rsid w:val="6444708D"/>
    <w:rsid w:val="644A6E24"/>
    <w:rsid w:val="644E452F"/>
    <w:rsid w:val="644F311A"/>
    <w:rsid w:val="64530F1A"/>
    <w:rsid w:val="645A231F"/>
    <w:rsid w:val="645C1120"/>
    <w:rsid w:val="6460739B"/>
    <w:rsid w:val="64607F77"/>
    <w:rsid w:val="646101ED"/>
    <w:rsid w:val="64620995"/>
    <w:rsid w:val="646604CC"/>
    <w:rsid w:val="6469358A"/>
    <w:rsid w:val="646954B4"/>
    <w:rsid w:val="646A44E6"/>
    <w:rsid w:val="646A6811"/>
    <w:rsid w:val="646B31F9"/>
    <w:rsid w:val="646B32AB"/>
    <w:rsid w:val="647508F9"/>
    <w:rsid w:val="64760A1F"/>
    <w:rsid w:val="647F6DCE"/>
    <w:rsid w:val="64801AB7"/>
    <w:rsid w:val="64814579"/>
    <w:rsid w:val="64835103"/>
    <w:rsid w:val="64843A57"/>
    <w:rsid w:val="64850E7B"/>
    <w:rsid w:val="648A3ED0"/>
    <w:rsid w:val="648C7BA2"/>
    <w:rsid w:val="648E34B9"/>
    <w:rsid w:val="648F4C1E"/>
    <w:rsid w:val="64956074"/>
    <w:rsid w:val="6497316F"/>
    <w:rsid w:val="64980092"/>
    <w:rsid w:val="6498669D"/>
    <w:rsid w:val="649A0C9D"/>
    <w:rsid w:val="649D4A91"/>
    <w:rsid w:val="649E6476"/>
    <w:rsid w:val="64A07A63"/>
    <w:rsid w:val="64A40562"/>
    <w:rsid w:val="64A5151D"/>
    <w:rsid w:val="64A95515"/>
    <w:rsid w:val="64B0008D"/>
    <w:rsid w:val="64B44282"/>
    <w:rsid w:val="64B67F1B"/>
    <w:rsid w:val="64B7203C"/>
    <w:rsid w:val="64BC69A1"/>
    <w:rsid w:val="64BC6DAF"/>
    <w:rsid w:val="64BD51E3"/>
    <w:rsid w:val="64C67AAF"/>
    <w:rsid w:val="64C71494"/>
    <w:rsid w:val="64CB4088"/>
    <w:rsid w:val="64CB6F22"/>
    <w:rsid w:val="64CB76A1"/>
    <w:rsid w:val="64CE2822"/>
    <w:rsid w:val="64D12154"/>
    <w:rsid w:val="64D13787"/>
    <w:rsid w:val="64D229AF"/>
    <w:rsid w:val="64D23B3E"/>
    <w:rsid w:val="64D455D5"/>
    <w:rsid w:val="64D5608E"/>
    <w:rsid w:val="64D836A1"/>
    <w:rsid w:val="64D92425"/>
    <w:rsid w:val="64DC51FB"/>
    <w:rsid w:val="64DD4618"/>
    <w:rsid w:val="64DE67A7"/>
    <w:rsid w:val="64E30A47"/>
    <w:rsid w:val="64E61C1A"/>
    <w:rsid w:val="64EA5551"/>
    <w:rsid w:val="64EF6FC1"/>
    <w:rsid w:val="64F03084"/>
    <w:rsid w:val="64F12F90"/>
    <w:rsid w:val="64F14763"/>
    <w:rsid w:val="64F41B5D"/>
    <w:rsid w:val="64F4542E"/>
    <w:rsid w:val="64F95B07"/>
    <w:rsid w:val="64F97963"/>
    <w:rsid w:val="6500765F"/>
    <w:rsid w:val="650224CC"/>
    <w:rsid w:val="65046BF1"/>
    <w:rsid w:val="65077E1F"/>
    <w:rsid w:val="65115315"/>
    <w:rsid w:val="651311C9"/>
    <w:rsid w:val="65160292"/>
    <w:rsid w:val="65167D25"/>
    <w:rsid w:val="651C1C77"/>
    <w:rsid w:val="651D1642"/>
    <w:rsid w:val="651D7124"/>
    <w:rsid w:val="65221A98"/>
    <w:rsid w:val="65255106"/>
    <w:rsid w:val="652C0233"/>
    <w:rsid w:val="652C3E8F"/>
    <w:rsid w:val="652D11C7"/>
    <w:rsid w:val="65354240"/>
    <w:rsid w:val="653943A4"/>
    <w:rsid w:val="653B788E"/>
    <w:rsid w:val="654505EC"/>
    <w:rsid w:val="65473474"/>
    <w:rsid w:val="65513477"/>
    <w:rsid w:val="655178B8"/>
    <w:rsid w:val="6552359D"/>
    <w:rsid w:val="65534AD5"/>
    <w:rsid w:val="65540583"/>
    <w:rsid w:val="65541260"/>
    <w:rsid w:val="655645C6"/>
    <w:rsid w:val="65573347"/>
    <w:rsid w:val="65581B99"/>
    <w:rsid w:val="655C6354"/>
    <w:rsid w:val="6560226F"/>
    <w:rsid w:val="65610DCC"/>
    <w:rsid w:val="656132E7"/>
    <w:rsid w:val="65625D3D"/>
    <w:rsid w:val="65650D41"/>
    <w:rsid w:val="6565683A"/>
    <w:rsid w:val="65656B51"/>
    <w:rsid w:val="656A0050"/>
    <w:rsid w:val="656B6800"/>
    <w:rsid w:val="656E7B61"/>
    <w:rsid w:val="656F2B84"/>
    <w:rsid w:val="65793B35"/>
    <w:rsid w:val="65837450"/>
    <w:rsid w:val="65842EE1"/>
    <w:rsid w:val="6586534B"/>
    <w:rsid w:val="65871F81"/>
    <w:rsid w:val="6587387D"/>
    <w:rsid w:val="65876E00"/>
    <w:rsid w:val="658930EB"/>
    <w:rsid w:val="6593581A"/>
    <w:rsid w:val="65942881"/>
    <w:rsid w:val="659C2BA8"/>
    <w:rsid w:val="65A569B5"/>
    <w:rsid w:val="65A83FC4"/>
    <w:rsid w:val="65A868A9"/>
    <w:rsid w:val="65AA09DD"/>
    <w:rsid w:val="65B6208C"/>
    <w:rsid w:val="65BC3980"/>
    <w:rsid w:val="65C00DEC"/>
    <w:rsid w:val="65CD5FA3"/>
    <w:rsid w:val="65D05B9F"/>
    <w:rsid w:val="65D23F7B"/>
    <w:rsid w:val="65D35C16"/>
    <w:rsid w:val="65D561F6"/>
    <w:rsid w:val="65D5726C"/>
    <w:rsid w:val="65D77752"/>
    <w:rsid w:val="65DB6062"/>
    <w:rsid w:val="65DC0401"/>
    <w:rsid w:val="65E23452"/>
    <w:rsid w:val="65E51C38"/>
    <w:rsid w:val="65E9192E"/>
    <w:rsid w:val="65E92D7C"/>
    <w:rsid w:val="65E9592F"/>
    <w:rsid w:val="65EA0AFA"/>
    <w:rsid w:val="65F33A15"/>
    <w:rsid w:val="65F649CE"/>
    <w:rsid w:val="65F67BDB"/>
    <w:rsid w:val="65FA31A3"/>
    <w:rsid w:val="660109D5"/>
    <w:rsid w:val="6608017F"/>
    <w:rsid w:val="660828A1"/>
    <w:rsid w:val="66082E98"/>
    <w:rsid w:val="660B6B71"/>
    <w:rsid w:val="66152128"/>
    <w:rsid w:val="6616123E"/>
    <w:rsid w:val="661A2C9D"/>
    <w:rsid w:val="661C0ED5"/>
    <w:rsid w:val="661C72A8"/>
    <w:rsid w:val="661E50E3"/>
    <w:rsid w:val="66204F09"/>
    <w:rsid w:val="66233563"/>
    <w:rsid w:val="66255D31"/>
    <w:rsid w:val="662B15AE"/>
    <w:rsid w:val="663251EB"/>
    <w:rsid w:val="663634D9"/>
    <w:rsid w:val="6638131B"/>
    <w:rsid w:val="66394FA3"/>
    <w:rsid w:val="66411E91"/>
    <w:rsid w:val="6643707E"/>
    <w:rsid w:val="66494FE9"/>
    <w:rsid w:val="664B1C51"/>
    <w:rsid w:val="664C5BFB"/>
    <w:rsid w:val="664D2BE9"/>
    <w:rsid w:val="664D7777"/>
    <w:rsid w:val="664F59BA"/>
    <w:rsid w:val="66507013"/>
    <w:rsid w:val="665C3077"/>
    <w:rsid w:val="665F5B3A"/>
    <w:rsid w:val="66671910"/>
    <w:rsid w:val="66672F1E"/>
    <w:rsid w:val="667165E0"/>
    <w:rsid w:val="6672107E"/>
    <w:rsid w:val="66727C27"/>
    <w:rsid w:val="66797B43"/>
    <w:rsid w:val="667D2357"/>
    <w:rsid w:val="66820253"/>
    <w:rsid w:val="6683155E"/>
    <w:rsid w:val="66831954"/>
    <w:rsid w:val="66835477"/>
    <w:rsid w:val="6686272C"/>
    <w:rsid w:val="66864B66"/>
    <w:rsid w:val="6687133E"/>
    <w:rsid w:val="668815E3"/>
    <w:rsid w:val="668B7F72"/>
    <w:rsid w:val="668C56FA"/>
    <w:rsid w:val="66916799"/>
    <w:rsid w:val="66947B86"/>
    <w:rsid w:val="66971521"/>
    <w:rsid w:val="66973EF7"/>
    <w:rsid w:val="669D3398"/>
    <w:rsid w:val="66A43E0D"/>
    <w:rsid w:val="66A579E0"/>
    <w:rsid w:val="66A77857"/>
    <w:rsid w:val="66A80E5D"/>
    <w:rsid w:val="66A852F5"/>
    <w:rsid w:val="66AB2FCA"/>
    <w:rsid w:val="66AC3B9E"/>
    <w:rsid w:val="66AD558D"/>
    <w:rsid w:val="66B941D4"/>
    <w:rsid w:val="66C70426"/>
    <w:rsid w:val="66C8215A"/>
    <w:rsid w:val="66C9090C"/>
    <w:rsid w:val="66CE13AC"/>
    <w:rsid w:val="66D014DF"/>
    <w:rsid w:val="66D1269F"/>
    <w:rsid w:val="66D659BE"/>
    <w:rsid w:val="66DA3845"/>
    <w:rsid w:val="66DB7FC1"/>
    <w:rsid w:val="66DD4F9F"/>
    <w:rsid w:val="66E05F18"/>
    <w:rsid w:val="66E33FC6"/>
    <w:rsid w:val="66E776D7"/>
    <w:rsid w:val="66EB1C96"/>
    <w:rsid w:val="66ED1B6C"/>
    <w:rsid w:val="66EE50DB"/>
    <w:rsid w:val="66EE62E3"/>
    <w:rsid w:val="66F2031E"/>
    <w:rsid w:val="66F662F1"/>
    <w:rsid w:val="66FE37EC"/>
    <w:rsid w:val="67076CC9"/>
    <w:rsid w:val="670A68CB"/>
    <w:rsid w:val="670A759E"/>
    <w:rsid w:val="670F735D"/>
    <w:rsid w:val="67103B0B"/>
    <w:rsid w:val="67106F4F"/>
    <w:rsid w:val="67155100"/>
    <w:rsid w:val="67164268"/>
    <w:rsid w:val="671D4DE3"/>
    <w:rsid w:val="671F75C1"/>
    <w:rsid w:val="67200793"/>
    <w:rsid w:val="67204E8B"/>
    <w:rsid w:val="67220C03"/>
    <w:rsid w:val="672455BA"/>
    <w:rsid w:val="67256946"/>
    <w:rsid w:val="67257EAF"/>
    <w:rsid w:val="67291626"/>
    <w:rsid w:val="672A4E65"/>
    <w:rsid w:val="672C66B1"/>
    <w:rsid w:val="672D14F5"/>
    <w:rsid w:val="67311D32"/>
    <w:rsid w:val="673152EA"/>
    <w:rsid w:val="673268A1"/>
    <w:rsid w:val="6734181A"/>
    <w:rsid w:val="673877FC"/>
    <w:rsid w:val="673878DC"/>
    <w:rsid w:val="673A62A0"/>
    <w:rsid w:val="673B05EA"/>
    <w:rsid w:val="673B147A"/>
    <w:rsid w:val="674307EA"/>
    <w:rsid w:val="674349D3"/>
    <w:rsid w:val="674C6F53"/>
    <w:rsid w:val="674E2AFF"/>
    <w:rsid w:val="67513AB1"/>
    <w:rsid w:val="6758598E"/>
    <w:rsid w:val="67632C32"/>
    <w:rsid w:val="67674868"/>
    <w:rsid w:val="676B3C4F"/>
    <w:rsid w:val="676B6F07"/>
    <w:rsid w:val="676D3200"/>
    <w:rsid w:val="67725366"/>
    <w:rsid w:val="6773061A"/>
    <w:rsid w:val="67746AC0"/>
    <w:rsid w:val="677C78E2"/>
    <w:rsid w:val="677E30AF"/>
    <w:rsid w:val="677E51A7"/>
    <w:rsid w:val="678035EF"/>
    <w:rsid w:val="678527C5"/>
    <w:rsid w:val="67852B6B"/>
    <w:rsid w:val="678A4856"/>
    <w:rsid w:val="678B49FB"/>
    <w:rsid w:val="679312AC"/>
    <w:rsid w:val="67942795"/>
    <w:rsid w:val="67982FB2"/>
    <w:rsid w:val="679B6381"/>
    <w:rsid w:val="679C4632"/>
    <w:rsid w:val="679F04A6"/>
    <w:rsid w:val="67A15C11"/>
    <w:rsid w:val="67A1786C"/>
    <w:rsid w:val="67A241E1"/>
    <w:rsid w:val="67A25363"/>
    <w:rsid w:val="67AC6F39"/>
    <w:rsid w:val="67AF7F01"/>
    <w:rsid w:val="67B11CD3"/>
    <w:rsid w:val="67BA4FF6"/>
    <w:rsid w:val="67BD7022"/>
    <w:rsid w:val="67BE6300"/>
    <w:rsid w:val="67BF293C"/>
    <w:rsid w:val="67C23B22"/>
    <w:rsid w:val="67D75225"/>
    <w:rsid w:val="67D95932"/>
    <w:rsid w:val="67DC360B"/>
    <w:rsid w:val="67E02286"/>
    <w:rsid w:val="67E1286C"/>
    <w:rsid w:val="67E70F36"/>
    <w:rsid w:val="67E75C34"/>
    <w:rsid w:val="67E77BB2"/>
    <w:rsid w:val="67EC0516"/>
    <w:rsid w:val="67EC2F60"/>
    <w:rsid w:val="67ED5027"/>
    <w:rsid w:val="67EE3D1C"/>
    <w:rsid w:val="67EF53DF"/>
    <w:rsid w:val="67F65BEC"/>
    <w:rsid w:val="67F923CF"/>
    <w:rsid w:val="67FD306B"/>
    <w:rsid w:val="68001990"/>
    <w:rsid w:val="6804655B"/>
    <w:rsid w:val="680A4B16"/>
    <w:rsid w:val="680A5722"/>
    <w:rsid w:val="680B4158"/>
    <w:rsid w:val="680F03CD"/>
    <w:rsid w:val="6811678C"/>
    <w:rsid w:val="68142C42"/>
    <w:rsid w:val="68152154"/>
    <w:rsid w:val="681A450E"/>
    <w:rsid w:val="68210EBB"/>
    <w:rsid w:val="6823080E"/>
    <w:rsid w:val="68232949"/>
    <w:rsid w:val="682534AE"/>
    <w:rsid w:val="682E161C"/>
    <w:rsid w:val="682E506A"/>
    <w:rsid w:val="68347056"/>
    <w:rsid w:val="684B163F"/>
    <w:rsid w:val="684C45B0"/>
    <w:rsid w:val="68573352"/>
    <w:rsid w:val="685977DF"/>
    <w:rsid w:val="685C6242"/>
    <w:rsid w:val="686D52F2"/>
    <w:rsid w:val="68734138"/>
    <w:rsid w:val="68734B0F"/>
    <w:rsid w:val="6876684C"/>
    <w:rsid w:val="687B6E36"/>
    <w:rsid w:val="687C2595"/>
    <w:rsid w:val="6881195A"/>
    <w:rsid w:val="6881400F"/>
    <w:rsid w:val="68847343"/>
    <w:rsid w:val="68857D10"/>
    <w:rsid w:val="688A3140"/>
    <w:rsid w:val="688B068B"/>
    <w:rsid w:val="688C7812"/>
    <w:rsid w:val="689023BB"/>
    <w:rsid w:val="68991F6D"/>
    <w:rsid w:val="68996455"/>
    <w:rsid w:val="689B6D0B"/>
    <w:rsid w:val="689E418D"/>
    <w:rsid w:val="689F0032"/>
    <w:rsid w:val="689F5CE0"/>
    <w:rsid w:val="68A27637"/>
    <w:rsid w:val="68A573FA"/>
    <w:rsid w:val="68A85741"/>
    <w:rsid w:val="68B74381"/>
    <w:rsid w:val="68BC0427"/>
    <w:rsid w:val="68BC0BE4"/>
    <w:rsid w:val="68C01A0F"/>
    <w:rsid w:val="68C15FC9"/>
    <w:rsid w:val="68CB2073"/>
    <w:rsid w:val="68CE5199"/>
    <w:rsid w:val="68D261BF"/>
    <w:rsid w:val="68D61923"/>
    <w:rsid w:val="68D672BD"/>
    <w:rsid w:val="68DD155E"/>
    <w:rsid w:val="68DE379A"/>
    <w:rsid w:val="68DF265C"/>
    <w:rsid w:val="68DF3028"/>
    <w:rsid w:val="68E343C2"/>
    <w:rsid w:val="68E5721B"/>
    <w:rsid w:val="68E96820"/>
    <w:rsid w:val="68EC3266"/>
    <w:rsid w:val="68F161B2"/>
    <w:rsid w:val="68F64A6E"/>
    <w:rsid w:val="68FD1BDE"/>
    <w:rsid w:val="68FD1F00"/>
    <w:rsid w:val="69000F12"/>
    <w:rsid w:val="69045E16"/>
    <w:rsid w:val="69062A90"/>
    <w:rsid w:val="69104967"/>
    <w:rsid w:val="69232BAA"/>
    <w:rsid w:val="692A3D0D"/>
    <w:rsid w:val="692C5D69"/>
    <w:rsid w:val="693370F8"/>
    <w:rsid w:val="69345DDE"/>
    <w:rsid w:val="693A35B9"/>
    <w:rsid w:val="693D7F76"/>
    <w:rsid w:val="693E3CEF"/>
    <w:rsid w:val="694154C0"/>
    <w:rsid w:val="69421D7F"/>
    <w:rsid w:val="6948432F"/>
    <w:rsid w:val="694903EE"/>
    <w:rsid w:val="694C04F0"/>
    <w:rsid w:val="694C4BD0"/>
    <w:rsid w:val="694E6E81"/>
    <w:rsid w:val="694E79D2"/>
    <w:rsid w:val="6953269A"/>
    <w:rsid w:val="69583103"/>
    <w:rsid w:val="69584DB0"/>
    <w:rsid w:val="695A323E"/>
    <w:rsid w:val="69607775"/>
    <w:rsid w:val="69624431"/>
    <w:rsid w:val="69657ED5"/>
    <w:rsid w:val="696A5C9E"/>
    <w:rsid w:val="696E6576"/>
    <w:rsid w:val="696F6F27"/>
    <w:rsid w:val="69733973"/>
    <w:rsid w:val="69745267"/>
    <w:rsid w:val="69761CAE"/>
    <w:rsid w:val="69797DB4"/>
    <w:rsid w:val="697B0A9F"/>
    <w:rsid w:val="69871B58"/>
    <w:rsid w:val="698864F9"/>
    <w:rsid w:val="698D6EF1"/>
    <w:rsid w:val="699018E1"/>
    <w:rsid w:val="69941965"/>
    <w:rsid w:val="69961435"/>
    <w:rsid w:val="69961A89"/>
    <w:rsid w:val="699C24CF"/>
    <w:rsid w:val="69A44E0B"/>
    <w:rsid w:val="69AA3132"/>
    <w:rsid w:val="69AC12AA"/>
    <w:rsid w:val="69AC1B3E"/>
    <w:rsid w:val="69B30E3F"/>
    <w:rsid w:val="69B64B07"/>
    <w:rsid w:val="69B7445B"/>
    <w:rsid w:val="69B904C5"/>
    <w:rsid w:val="69B970BD"/>
    <w:rsid w:val="69BD3CE7"/>
    <w:rsid w:val="69C02D06"/>
    <w:rsid w:val="69C04704"/>
    <w:rsid w:val="69C14B2E"/>
    <w:rsid w:val="69C2650F"/>
    <w:rsid w:val="69C3345F"/>
    <w:rsid w:val="69C533BD"/>
    <w:rsid w:val="69CB7E8C"/>
    <w:rsid w:val="69CE3D9E"/>
    <w:rsid w:val="69D139B3"/>
    <w:rsid w:val="69D50972"/>
    <w:rsid w:val="69D73C2A"/>
    <w:rsid w:val="69D87D83"/>
    <w:rsid w:val="69DC0956"/>
    <w:rsid w:val="69DC3B69"/>
    <w:rsid w:val="69DC6F84"/>
    <w:rsid w:val="69DD4480"/>
    <w:rsid w:val="69DE0C79"/>
    <w:rsid w:val="69E27BB1"/>
    <w:rsid w:val="69E76134"/>
    <w:rsid w:val="69EA66CD"/>
    <w:rsid w:val="69EE74C3"/>
    <w:rsid w:val="69F34D05"/>
    <w:rsid w:val="69F447EE"/>
    <w:rsid w:val="69F65642"/>
    <w:rsid w:val="69F7187D"/>
    <w:rsid w:val="69F866D4"/>
    <w:rsid w:val="69FA65F1"/>
    <w:rsid w:val="6A006D71"/>
    <w:rsid w:val="6A0178FD"/>
    <w:rsid w:val="6A017E0E"/>
    <w:rsid w:val="6A022F6E"/>
    <w:rsid w:val="6A040A94"/>
    <w:rsid w:val="6A086242"/>
    <w:rsid w:val="6A086EC4"/>
    <w:rsid w:val="6A0F5C00"/>
    <w:rsid w:val="6A1129A0"/>
    <w:rsid w:val="6A15084D"/>
    <w:rsid w:val="6A155022"/>
    <w:rsid w:val="6A1962CF"/>
    <w:rsid w:val="6A1A4213"/>
    <w:rsid w:val="6A1A770D"/>
    <w:rsid w:val="6A1B25BC"/>
    <w:rsid w:val="6A1E630D"/>
    <w:rsid w:val="6A222CC8"/>
    <w:rsid w:val="6A253925"/>
    <w:rsid w:val="6A2659B5"/>
    <w:rsid w:val="6A27108C"/>
    <w:rsid w:val="6A276531"/>
    <w:rsid w:val="6A285607"/>
    <w:rsid w:val="6A295BBC"/>
    <w:rsid w:val="6A2C48B4"/>
    <w:rsid w:val="6A2D0777"/>
    <w:rsid w:val="6A382BFE"/>
    <w:rsid w:val="6A3851FA"/>
    <w:rsid w:val="6A39401E"/>
    <w:rsid w:val="6A3C46E5"/>
    <w:rsid w:val="6A3E1905"/>
    <w:rsid w:val="6A412F42"/>
    <w:rsid w:val="6A4219A5"/>
    <w:rsid w:val="6A434A3D"/>
    <w:rsid w:val="6A533078"/>
    <w:rsid w:val="6A55020C"/>
    <w:rsid w:val="6A5E420B"/>
    <w:rsid w:val="6A5F4AAD"/>
    <w:rsid w:val="6A6015B7"/>
    <w:rsid w:val="6A610B11"/>
    <w:rsid w:val="6A62701C"/>
    <w:rsid w:val="6A637C0C"/>
    <w:rsid w:val="6A65665E"/>
    <w:rsid w:val="6A681072"/>
    <w:rsid w:val="6A6A0FEE"/>
    <w:rsid w:val="6A6B0B13"/>
    <w:rsid w:val="6A6D365E"/>
    <w:rsid w:val="6A6D61B5"/>
    <w:rsid w:val="6A745C1A"/>
    <w:rsid w:val="6A775A0F"/>
    <w:rsid w:val="6A796254"/>
    <w:rsid w:val="6A813503"/>
    <w:rsid w:val="6A825CAF"/>
    <w:rsid w:val="6A8667FF"/>
    <w:rsid w:val="6A881468"/>
    <w:rsid w:val="6A893283"/>
    <w:rsid w:val="6A8C0ADE"/>
    <w:rsid w:val="6A8D3467"/>
    <w:rsid w:val="6A8D6CDC"/>
    <w:rsid w:val="6A941BEF"/>
    <w:rsid w:val="6A95195E"/>
    <w:rsid w:val="6A956A97"/>
    <w:rsid w:val="6A9670EF"/>
    <w:rsid w:val="6A9B4774"/>
    <w:rsid w:val="6AA0699D"/>
    <w:rsid w:val="6AAC3883"/>
    <w:rsid w:val="6AAC6227"/>
    <w:rsid w:val="6AAD2CE4"/>
    <w:rsid w:val="6AAF388C"/>
    <w:rsid w:val="6AB220D9"/>
    <w:rsid w:val="6AB75941"/>
    <w:rsid w:val="6AB8310C"/>
    <w:rsid w:val="6ABF2453"/>
    <w:rsid w:val="6AC10847"/>
    <w:rsid w:val="6AC4302A"/>
    <w:rsid w:val="6AC73F94"/>
    <w:rsid w:val="6ACC36DE"/>
    <w:rsid w:val="6AD34D19"/>
    <w:rsid w:val="6AD357AE"/>
    <w:rsid w:val="6AD36A27"/>
    <w:rsid w:val="6AD74046"/>
    <w:rsid w:val="6ADA7C7E"/>
    <w:rsid w:val="6ADD2808"/>
    <w:rsid w:val="6ADE1773"/>
    <w:rsid w:val="6AE51355"/>
    <w:rsid w:val="6AE86D3E"/>
    <w:rsid w:val="6AF31EE6"/>
    <w:rsid w:val="6AF760C4"/>
    <w:rsid w:val="6AF853FA"/>
    <w:rsid w:val="6AFA59F3"/>
    <w:rsid w:val="6AFE2651"/>
    <w:rsid w:val="6AFF3195"/>
    <w:rsid w:val="6B001422"/>
    <w:rsid w:val="6B035B4C"/>
    <w:rsid w:val="6B0869BC"/>
    <w:rsid w:val="6B0B7AE6"/>
    <w:rsid w:val="6B0C6829"/>
    <w:rsid w:val="6B0D7AAE"/>
    <w:rsid w:val="6B0F2C8A"/>
    <w:rsid w:val="6B104F5C"/>
    <w:rsid w:val="6B161AEE"/>
    <w:rsid w:val="6B195F40"/>
    <w:rsid w:val="6B1C1E0E"/>
    <w:rsid w:val="6B264A3A"/>
    <w:rsid w:val="6B2F1950"/>
    <w:rsid w:val="6B34390B"/>
    <w:rsid w:val="6B374A66"/>
    <w:rsid w:val="6B377C11"/>
    <w:rsid w:val="6B394063"/>
    <w:rsid w:val="6B437955"/>
    <w:rsid w:val="6B476D8B"/>
    <w:rsid w:val="6B4972D1"/>
    <w:rsid w:val="6B4C63D1"/>
    <w:rsid w:val="6B4D0219"/>
    <w:rsid w:val="6B560FEA"/>
    <w:rsid w:val="6B561185"/>
    <w:rsid w:val="6B57648E"/>
    <w:rsid w:val="6B5B7D0E"/>
    <w:rsid w:val="6B5E59CC"/>
    <w:rsid w:val="6B60270D"/>
    <w:rsid w:val="6B6557A5"/>
    <w:rsid w:val="6B6712DB"/>
    <w:rsid w:val="6B677D4D"/>
    <w:rsid w:val="6B682803"/>
    <w:rsid w:val="6B6F7214"/>
    <w:rsid w:val="6B7148A2"/>
    <w:rsid w:val="6B715ECA"/>
    <w:rsid w:val="6B757974"/>
    <w:rsid w:val="6B7D268A"/>
    <w:rsid w:val="6B8221EA"/>
    <w:rsid w:val="6B827287"/>
    <w:rsid w:val="6B83093C"/>
    <w:rsid w:val="6B835C0E"/>
    <w:rsid w:val="6B8464D3"/>
    <w:rsid w:val="6B8535D8"/>
    <w:rsid w:val="6B87372B"/>
    <w:rsid w:val="6B8A6D77"/>
    <w:rsid w:val="6B8B3218"/>
    <w:rsid w:val="6B900323"/>
    <w:rsid w:val="6B901043"/>
    <w:rsid w:val="6B911AA9"/>
    <w:rsid w:val="6B967A7B"/>
    <w:rsid w:val="6B9A2DDA"/>
    <w:rsid w:val="6B9A65C2"/>
    <w:rsid w:val="6BA56647"/>
    <w:rsid w:val="6BA866AD"/>
    <w:rsid w:val="6BA8785C"/>
    <w:rsid w:val="6BAA25F7"/>
    <w:rsid w:val="6BAD2A66"/>
    <w:rsid w:val="6BB12556"/>
    <w:rsid w:val="6BB51320"/>
    <w:rsid w:val="6BB82A7A"/>
    <w:rsid w:val="6BBA7CC6"/>
    <w:rsid w:val="6BC8455D"/>
    <w:rsid w:val="6BC9677D"/>
    <w:rsid w:val="6BCF353F"/>
    <w:rsid w:val="6BD43258"/>
    <w:rsid w:val="6BDA3C52"/>
    <w:rsid w:val="6BDC4D14"/>
    <w:rsid w:val="6BDD068D"/>
    <w:rsid w:val="6BDF514C"/>
    <w:rsid w:val="6BE00E4A"/>
    <w:rsid w:val="6BE76CEC"/>
    <w:rsid w:val="6BE92559"/>
    <w:rsid w:val="6BEA778E"/>
    <w:rsid w:val="6BED21C7"/>
    <w:rsid w:val="6BF04367"/>
    <w:rsid w:val="6BF7582B"/>
    <w:rsid w:val="6BFD1C3F"/>
    <w:rsid w:val="6BFE0550"/>
    <w:rsid w:val="6C046151"/>
    <w:rsid w:val="6C08226B"/>
    <w:rsid w:val="6C083D86"/>
    <w:rsid w:val="6C0A7748"/>
    <w:rsid w:val="6C142023"/>
    <w:rsid w:val="6C1D16E2"/>
    <w:rsid w:val="6C211653"/>
    <w:rsid w:val="6C215B5D"/>
    <w:rsid w:val="6C2170E9"/>
    <w:rsid w:val="6C231AC2"/>
    <w:rsid w:val="6C272691"/>
    <w:rsid w:val="6C2A351F"/>
    <w:rsid w:val="6C2B5C2F"/>
    <w:rsid w:val="6C2D2376"/>
    <w:rsid w:val="6C2E004A"/>
    <w:rsid w:val="6C327C1D"/>
    <w:rsid w:val="6C367C42"/>
    <w:rsid w:val="6C376EFF"/>
    <w:rsid w:val="6C3950B4"/>
    <w:rsid w:val="6C3B7385"/>
    <w:rsid w:val="6C3C561F"/>
    <w:rsid w:val="6C3D3C0F"/>
    <w:rsid w:val="6C3E5957"/>
    <w:rsid w:val="6C4013F7"/>
    <w:rsid w:val="6C4365AD"/>
    <w:rsid w:val="6C4419AF"/>
    <w:rsid w:val="6C45045A"/>
    <w:rsid w:val="6C451AF2"/>
    <w:rsid w:val="6C4D66A7"/>
    <w:rsid w:val="6C510808"/>
    <w:rsid w:val="6C525A85"/>
    <w:rsid w:val="6C553829"/>
    <w:rsid w:val="6C566B6F"/>
    <w:rsid w:val="6C5A1CE4"/>
    <w:rsid w:val="6C5E6353"/>
    <w:rsid w:val="6C60185C"/>
    <w:rsid w:val="6C627084"/>
    <w:rsid w:val="6C62709E"/>
    <w:rsid w:val="6C6568F0"/>
    <w:rsid w:val="6C661592"/>
    <w:rsid w:val="6C691082"/>
    <w:rsid w:val="6C6F3090"/>
    <w:rsid w:val="6C700A1C"/>
    <w:rsid w:val="6C704FDE"/>
    <w:rsid w:val="6C711CE5"/>
    <w:rsid w:val="6C7B174B"/>
    <w:rsid w:val="6C7E3AFA"/>
    <w:rsid w:val="6C8010D8"/>
    <w:rsid w:val="6C8016B6"/>
    <w:rsid w:val="6C804EA1"/>
    <w:rsid w:val="6C835D20"/>
    <w:rsid w:val="6C8448D3"/>
    <w:rsid w:val="6C8651C4"/>
    <w:rsid w:val="6C8F0DEF"/>
    <w:rsid w:val="6C915BF6"/>
    <w:rsid w:val="6C9200DF"/>
    <w:rsid w:val="6C923DEF"/>
    <w:rsid w:val="6C9854C4"/>
    <w:rsid w:val="6C9C4289"/>
    <w:rsid w:val="6C9D66F5"/>
    <w:rsid w:val="6CA00FBE"/>
    <w:rsid w:val="6CA019DB"/>
    <w:rsid w:val="6CA26427"/>
    <w:rsid w:val="6CA30D49"/>
    <w:rsid w:val="6CA63BC8"/>
    <w:rsid w:val="6CA755AB"/>
    <w:rsid w:val="6CAC0930"/>
    <w:rsid w:val="6CB26586"/>
    <w:rsid w:val="6CB3436F"/>
    <w:rsid w:val="6CB53D5A"/>
    <w:rsid w:val="6CBA7B30"/>
    <w:rsid w:val="6CBD7EAD"/>
    <w:rsid w:val="6CC00735"/>
    <w:rsid w:val="6CC62BA4"/>
    <w:rsid w:val="6CCC758C"/>
    <w:rsid w:val="6CCF5389"/>
    <w:rsid w:val="6CD65105"/>
    <w:rsid w:val="6CE16B38"/>
    <w:rsid w:val="6CE84BC7"/>
    <w:rsid w:val="6CEB1CE9"/>
    <w:rsid w:val="6CF12FA7"/>
    <w:rsid w:val="6CF50985"/>
    <w:rsid w:val="6CF83FB5"/>
    <w:rsid w:val="6CFB48C9"/>
    <w:rsid w:val="6CFC0A06"/>
    <w:rsid w:val="6D027ADE"/>
    <w:rsid w:val="6D033E5E"/>
    <w:rsid w:val="6D0A4613"/>
    <w:rsid w:val="6D0F020C"/>
    <w:rsid w:val="6D0F0582"/>
    <w:rsid w:val="6D144BE3"/>
    <w:rsid w:val="6D16035C"/>
    <w:rsid w:val="6D200BD7"/>
    <w:rsid w:val="6D2027C6"/>
    <w:rsid w:val="6D290583"/>
    <w:rsid w:val="6D2B6EA3"/>
    <w:rsid w:val="6D2F4FDE"/>
    <w:rsid w:val="6D30394E"/>
    <w:rsid w:val="6D321474"/>
    <w:rsid w:val="6D363755"/>
    <w:rsid w:val="6D3671B7"/>
    <w:rsid w:val="6D3A0E1D"/>
    <w:rsid w:val="6D437D16"/>
    <w:rsid w:val="6D45389E"/>
    <w:rsid w:val="6D475A36"/>
    <w:rsid w:val="6D4B2F18"/>
    <w:rsid w:val="6D4C6ACB"/>
    <w:rsid w:val="6D4C6BF4"/>
    <w:rsid w:val="6D547081"/>
    <w:rsid w:val="6D5501A1"/>
    <w:rsid w:val="6D56242B"/>
    <w:rsid w:val="6D594DA9"/>
    <w:rsid w:val="6D5F0526"/>
    <w:rsid w:val="6D6306CF"/>
    <w:rsid w:val="6D635085"/>
    <w:rsid w:val="6D65592E"/>
    <w:rsid w:val="6D677A69"/>
    <w:rsid w:val="6D68081A"/>
    <w:rsid w:val="6D695CAE"/>
    <w:rsid w:val="6D6A78F5"/>
    <w:rsid w:val="6D723F67"/>
    <w:rsid w:val="6D755972"/>
    <w:rsid w:val="6D763D5C"/>
    <w:rsid w:val="6D772CF8"/>
    <w:rsid w:val="6D77332B"/>
    <w:rsid w:val="6D7A01F0"/>
    <w:rsid w:val="6D7A6F4E"/>
    <w:rsid w:val="6D7D769C"/>
    <w:rsid w:val="6D7E5677"/>
    <w:rsid w:val="6D823CA3"/>
    <w:rsid w:val="6D827395"/>
    <w:rsid w:val="6D8C4C80"/>
    <w:rsid w:val="6D8C7E95"/>
    <w:rsid w:val="6D925231"/>
    <w:rsid w:val="6D9F0F93"/>
    <w:rsid w:val="6DA51724"/>
    <w:rsid w:val="6DA611E9"/>
    <w:rsid w:val="6DA71E62"/>
    <w:rsid w:val="6DAB14AF"/>
    <w:rsid w:val="6DAD0B45"/>
    <w:rsid w:val="6DAE3BCB"/>
    <w:rsid w:val="6DB32978"/>
    <w:rsid w:val="6DB32C04"/>
    <w:rsid w:val="6DB3553B"/>
    <w:rsid w:val="6DBD5D0A"/>
    <w:rsid w:val="6DC14725"/>
    <w:rsid w:val="6DC25783"/>
    <w:rsid w:val="6DC72109"/>
    <w:rsid w:val="6DCF1A33"/>
    <w:rsid w:val="6DD0757C"/>
    <w:rsid w:val="6DD11887"/>
    <w:rsid w:val="6DD1658B"/>
    <w:rsid w:val="6DD50F60"/>
    <w:rsid w:val="6DD7574E"/>
    <w:rsid w:val="6DDE537A"/>
    <w:rsid w:val="6DE91028"/>
    <w:rsid w:val="6DE967C5"/>
    <w:rsid w:val="6DED53B4"/>
    <w:rsid w:val="6DF02AF8"/>
    <w:rsid w:val="6DF66946"/>
    <w:rsid w:val="6DF72B8A"/>
    <w:rsid w:val="6DF8125F"/>
    <w:rsid w:val="6DFE0DD4"/>
    <w:rsid w:val="6DFE7F45"/>
    <w:rsid w:val="6E0229B4"/>
    <w:rsid w:val="6E0309C7"/>
    <w:rsid w:val="6E035F3A"/>
    <w:rsid w:val="6E0472B5"/>
    <w:rsid w:val="6E056B89"/>
    <w:rsid w:val="6E091F3D"/>
    <w:rsid w:val="6E0A3C0E"/>
    <w:rsid w:val="6E0A7453"/>
    <w:rsid w:val="6E0C0E9E"/>
    <w:rsid w:val="6E0E055E"/>
    <w:rsid w:val="6E106B47"/>
    <w:rsid w:val="6E1139F7"/>
    <w:rsid w:val="6E1510F0"/>
    <w:rsid w:val="6E166B86"/>
    <w:rsid w:val="6E1B015A"/>
    <w:rsid w:val="6E1B1E66"/>
    <w:rsid w:val="6E1C3ED4"/>
    <w:rsid w:val="6E1D07B9"/>
    <w:rsid w:val="6E1D4049"/>
    <w:rsid w:val="6E226936"/>
    <w:rsid w:val="6E241E50"/>
    <w:rsid w:val="6E26266F"/>
    <w:rsid w:val="6E281711"/>
    <w:rsid w:val="6E2865B5"/>
    <w:rsid w:val="6E301E58"/>
    <w:rsid w:val="6E321BAA"/>
    <w:rsid w:val="6E322500"/>
    <w:rsid w:val="6E38088F"/>
    <w:rsid w:val="6E394299"/>
    <w:rsid w:val="6E3E452F"/>
    <w:rsid w:val="6E426F28"/>
    <w:rsid w:val="6E443205"/>
    <w:rsid w:val="6E44721A"/>
    <w:rsid w:val="6E4D146A"/>
    <w:rsid w:val="6E53325E"/>
    <w:rsid w:val="6E565636"/>
    <w:rsid w:val="6E58659E"/>
    <w:rsid w:val="6E5B2E86"/>
    <w:rsid w:val="6E6238A9"/>
    <w:rsid w:val="6E624811"/>
    <w:rsid w:val="6E6371CF"/>
    <w:rsid w:val="6E6665B3"/>
    <w:rsid w:val="6E6738EF"/>
    <w:rsid w:val="6E6B2DF3"/>
    <w:rsid w:val="6E72252B"/>
    <w:rsid w:val="6E7560A6"/>
    <w:rsid w:val="6E775CD9"/>
    <w:rsid w:val="6E785CF4"/>
    <w:rsid w:val="6E7B0DE6"/>
    <w:rsid w:val="6E820A67"/>
    <w:rsid w:val="6E82467D"/>
    <w:rsid w:val="6E83643B"/>
    <w:rsid w:val="6E846405"/>
    <w:rsid w:val="6E846A90"/>
    <w:rsid w:val="6E8E2349"/>
    <w:rsid w:val="6E8E3022"/>
    <w:rsid w:val="6E8E7CFC"/>
    <w:rsid w:val="6E935F65"/>
    <w:rsid w:val="6E9544D0"/>
    <w:rsid w:val="6E966DA2"/>
    <w:rsid w:val="6EA168B2"/>
    <w:rsid w:val="6EA74E11"/>
    <w:rsid w:val="6EA840E4"/>
    <w:rsid w:val="6EAD306A"/>
    <w:rsid w:val="6EAE0549"/>
    <w:rsid w:val="6EB04D0E"/>
    <w:rsid w:val="6EBF416D"/>
    <w:rsid w:val="6EC44AA0"/>
    <w:rsid w:val="6EC64172"/>
    <w:rsid w:val="6EC86FE9"/>
    <w:rsid w:val="6ECB7023"/>
    <w:rsid w:val="6ECF78C3"/>
    <w:rsid w:val="6ED478B9"/>
    <w:rsid w:val="6ED53E51"/>
    <w:rsid w:val="6ED7649C"/>
    <w:rsid w:val="6ED83600"/>
    <w:rsid w:val="6ED924EF"/>
    <w:rsid w:val="6EDA6CD7"/>
    <w:rsid w:val="6EDB3D76"/>
    <w:rsid w:val="6EDF387E"/>
    <w:rsid w:val="6EE070C5"/>
    <w:rsid w:val="6EE13152"/>
    <w:rsid w:val="6EE24725"/>
    <w:rsid w:val="6EE549FA"/>
    <w:rsid w:val="6EE56059"/>
    <w:rsid w:val="6EEC0AC1"/>
    <w:rsid w:val="6EED1AF7"/>
    <w:rsid w:val="6EF05CFD"/>
    <w:rsid w:val="6EF2289E"/>
    <w:rsid w:val="6EF34DFC"/>
    <w:rsid w:val="6EF40CAF"/>
    <w:rsid w:val="6EF43DC0"/>
    <w:rsid w:val="6EF743CE"/>
    <w:rsid w:val="6EF77608"/>
    <w:rsid w:val="6EF97107"/>
    <w:rsid w:val="6EFC4430"/>
    <w:rsid w:val="6EFE1F56"/>
    <w:rsid w:val="6EFF7479"/>
    <w:rsid w:val="6F034F69"/>
    <w:rsid w:val="6F0502C6"/>
    <w:rsid w:val="6F057791"/>
    <w:rsid w:val="6F086931"/>
    <w:rsid w:val="6F0B01CF"/>
    <w:rsid w:val="6F0C4789"/>
    <w:rsid w:val="6F0C6DCC"/>
    <w:rsid w:val="6F0D08F9"/>
    <w:rsid w:val="6F121CA6"/>
    <w:rsid w:val="6F125A01"/>
    <w:rsid w:val="6F126D03"/>
    <w:rsid w:val="6F156FA4"/>
    <w:rsid w:val="6F157462"/>
    <w:rsid w:val="6F166453"/>
    <w:rsid w:val="6F1E0E4D"/>
    <w:rsid w:val="6F1F3C7A"/>
    <w:rsid w:val="6F200FA8"/>
    <w:rsid w:val="6F2173F5"/>
    <w:rsid w:val="6F240B90"/>
    <w:rsid w:val="6F26579E"/>
    <w:rsid w:val="6F2870F1"/>
    <w:rsid w:val="6F2968A7"/>
    <w:rsid w:val="6F2A1E29"/>
    <w:rsid w:val="6F2A6AE9"/>
    <w:rsid w:val="6F2C1B84"/>
    <w:rsid w:val="6F2F1488"/>
    <w:rsid w:val="6F3360B3"/>
    <w:rsid w:val="6F35243A"/>
    <w:rsid w:val="6F3A4E32"/>
    <w:rsid w:val="6F3D113F"/>
    <w:rsid w:val="6F44693B"/>
    <w:rsid w:val="6F462099"/>
    <w:rsid w:val="6F46655B"/>
    <w:rsid w:val="6F477020"/>
    <w:rsid w:val="6F4B0DDB"/>
    <w:rsid w:val="6F4D0444"/>
    <w:rsid w:val="6F4E0977"/>
    <w:rsid w:val="6F51652A"/>
    <w:rsid w:val="6F525FBC"/>
    <w:rsid w:val="6F58766F"/>
    <w:rsid w:val="6F5E405F"/>
    <w:rsid w:val="6F614293"/>
    <w:rsid w:val="6F67176A"/>
    <w:rsid w:val="6F672883"/>
    <w:rsid w:val="6F6A5B44"/>
    <w:rsid w:val="6F6F6AB0"/>
    <w:rsid w:val="6F71097A"/>
    <w:rsid w:val="6F7319E0"/>
    <w:rsid w:val="6F767D3E"/>
    <w:rsid w:val="6F77239F"/>
    <w:rsid w:val="6F780E07"/>
    <w:rsid w:val="6F7854A2"/>
    <w:rsid w:val="6F7A0134"/>
    <w:rsid w:val="6F7B4E22"/>
    <w:rsid w:val="6F7E7735"/>
    <w:rsid w:val="6F7F74F1"/>
    <w:rsid w:val="6F8306AD"/>
    <w:rsid w:val="6F8D2788"/>
    <w:rsid w:val="6F912058"/>
    <w:rsid w:val="6F9151F2"/>
    <w:rsid w:val="6F9208F0"/>
    <w:rsid w:val="6F926B42"/>
    <w:rsid w:val="6F961F95"/>
    <w:rsid w:val="6F966D1C"/>
    <w:rsid w:val="6F972B34"/>
    <w:rsid w:val="6F9F5A6A"/>
    <w:rsid w:val="6FA16C86"/>
    <w:rsid w:val="6FA320D5"/>
    <w:rsid w:val="6FA36659"/>
    <w:rsid w:val="6FA43510"/>
    <w:rsid w:val="6FA81EC2"/>
    <w:rsid w:val="6FAA79E8"/>
    <w:rsid w:val="6FAF0E89"/>
    <w:rsid w:val="6FAF4FFE"/>
    <w:rsid w:val="6FB259C2"/>
    <w:rsid w:val="6FB70E63"/>
    <w:rsid w:val="6FBB5EAB"/>
    <w:rsid w:val="6FBE056B"/>
    <w:rsid w:val="6FBE7BB6"/>
    <w:rsid w:val="6FBE7C8A"/>
    <w:rsid w:val="6FC25D5A"/>
    <w:rsid w:val="6FC47D10"/>
    <w:rsid w:val="6FC543BB"/>
    <w:rsid w:val="6FC86413"/>
    <w:rsid w:val="6FC93FC3"/>
    <w:rsid w:val="6FC9660E"/>
    <w:rsid w:val="6FCA6D11"/>
    <w:rsid w:val="6FD00E95"/>
    <w:rsid w:val="6FD07A82"/>
    <w:rsid w:val="6FD11D3E"/>
    <w:rsid w:val="6FD25FB3"/>
    <w:rsid w:val="6FD66B93"/>
    <w:rsid w:val="6FDC565D"/>
    <w:rsid w:val="6FDE5B9F"/>
    <w:rsid w:val="6FDF0F57"/>
    <w:rsid w:val="6FE96A32"/>
    <w:rsid w:val="6FEC2C40"/>
    <w:rsid w:val="6FED1703"/>
    <w:rsid w:val="6FEE795B"/>
    <w:rsid w:val="6FEF1330"/>
    <w:rsid w:val="6FF0328D"/>
    <w:rsid w:val="6FF43359"/>
    <w:rsid w:val="6FF7227E"/>
    <w:rsid w:val="70052845"/>
    <w:rsid w:val="70052F64"/>
    <w:rsid w:val="70053B3B"/>
    <w:rsid w:val="70074F62"/>
    <w:rsid w:val="700A543B"/>
    <w:rsid w:val="7014619A"/>
    <w:rsid w:val="701A4930"/>
    <w:rsid w:val="701D4EAA"/>
    <w:rsid w:val="701E2E9F"/>
    <w:rsid w:val="701F0E4A"/>
    <w:rsid w:val="7023779A"/>
    <w:rsid w:val="7024636C"/>
    <w:rsid w:val="702515BB"/>
    <w:rsid w:val="70261FB3"/>
    <w:rsid w:val="70271E3F"/>
    <w:rsid w:val="702A6D7B"/>
    <w:rsid w:val="702D1CE5"/>
    <w:rsid w:val="70304724"/>
    <w:rsid w:val="70331BF2"/>
    <w:rsid w:val="70365253"/>
    <w:rsid w:val="70381498"/>
    <w:rsid w:val="703C26CA"/>
    <w:rsid w:val="703C71AC"/>
    <w:rsid w:val="70487618"/>
    <w:rsid w:val="704878F4"/>
    <w:rsid w:val="704A1E12"/>
    <w:rsid w:val="70542BA4"/>
    <w:rsid w:val="70543826"/>
    <w:rsid w:val="70573CE1"/>
    <w:rsid w:val="705C0ADF"/>
    <w:rsid w:val="706634CD"/>
    <w:rsid w:val="706A0F8F"/>
    <w:rsid w:val="706C7393"/>
    <w:rsid w:val="7070747B"/>
    <w:rsid w:val="707853C3"/>
    <w:rsid w:val="707A1F03"/>
    <w:rsid w:val="707B3209"/>
    <w:rsid w:val="70802488"/>
    <w:rsid w:val="70803347"/>
    <w:rsid w:val="708334FF"/>
    <w:rsid w:val="708472E4"/>
    <w:rsid w:val="7087527C"/>
    <w:rsid w:val="708D52A8"/>
    <w:rsid w:val="708E0B76"/>
    <w:rsid w:val="708E2C02"/>
    <w:rsid w:val="708F4711"/>
    <w:rsid w:val="709064CF"/>
    <w:rsid w:val="70992AB6"/>
    <w:rsid w:val="709B3053"/>
    <w:rsid w:val="709D12FB"/>
    <w:rsid w:val="70A53A07"/>
    <w:rsid w:val="70A66401"/>
    <w:rsid w:val="70A87A9E"/>
    <w:rsid w:val="70A95134"/>
    <w:rsid w:val="70AB59C2"/>
    <w:rsid w:val="70AD75A8"/>
    <w:rsid w:val="70AF72F9"/>
    <w:rsid w:val="70AF7A49"/>
    <w:rsid w:val="70B63A46"/>
    <w:rsid w:val="70BA3C5B"/>
    <w:rsid w:val="70BB63DC"/>
    <w:rsid w:val="70BE5BCD"/>
    <w:rsid w:val="70BF574D"/>
    <w:rsid w:val="70C03917"/>
    <w:rsid w:val="70C344A6"/>
    <w:rsid w:val="70C75DDD"/>
    <w:rsid w:val="70C833A0"/>
    <w:rsid w:val="70CB6897"/>
    <w:rsid w:val="70CE39F5"/>
    <w:rsid w:val="70D26FA2"/>
    <w:rsid w:val="70D313CC"/>
    <w:rsid w:val="70D517E4"/>
    <w:rsid w:val="70D91340"/>
    <w:rsid w:val="70DA5CFF"/>
    <w:rsid w:val="70DF67CE"/>
    <w:rsid w:val="70E14294"/>
    <w:rsid w:val="70E243F7"/>
    <w:rsid w:val="70E57B94"/>
    <w:rsid w:val="70E64BF8"/>
    <w:rsid w:val="70E839C1"/>
    <w:rsid w:val="70EC2179"/>
    <w:rsid w:val="70ED144B"/>
    <w:rsid w:val="70EF7F56"/>
    <w:rsid w:val="70FA630B"/>
    <w:rsid w:val="70FD30BA"/>
    <w:rsid w:val="70FF78E8"/>
    <w:rsid w:val="71050B0B"/>
    <w:rsid w:val="71057D14"/>
    <w:rsid w:val="7106795F"/>
    <w:rsid w:val="710B46D0"/>
    <w:rsid w:val="71111928"/>
    <w:rsid w:val="71143211"/>
    <w:rsid w:val="71145BDE"/>
    <w:rsid w:val="71157697"/>
    <w:rsid w:val="711603B0"/>
    <w:rsid w:val="711E51B5"/>
    <w:rsid w:val="712204BA"/>
    <w:rsid w:val="71232003"/>
    <w:rsid w:val="712D267F"/>
    <w:rsid w:val="712E7595"/>
    <w:rsid w:val="7133322B"/>
    <w:rsid w:val="71344520"/>
    <w:rsid w:val="71347437"/>
    <w:rsid w:val="713554DF"/>
    <w:rsid w:val="713629A0"/>
    <w:rsid w:val="71446038"/>
    <w:rsid w:val="71461992"/>
    <w:rsid w:val="714B3F53"/>
    <w:rsid w:val="71541E90"/>
    <w:rsid w:val="715D1301"/>
    <w:rsid w:val="715D69E5"/>
    <w:rsid w:val="715E7F84"/>
    <w:rsid w:val="715F4802"/>
    <w:rsid w:val="7163234C"/>
    <w:rsid w:val="716531BF"/>
    <w:rsid w:val="71665B90"/>
    <w:rsid w:val="7168622B"/>
    <w:rsid w:val="71695CFE"/>
    <w:rsid w:val="716A268F"/>
    <w:rsid w:val="716C671B"/>
    <w:rsid w:val="716D3E4E"/>
    <w:rsid w:val="71722787"/>
    <w:rsid w:val="7175005F"/>
    <w:rsid w:val="71765F4C"/>
    <w:rsid w:val="717708A7"/>
    <w:rsid w:val="717A0383"/>
    <w:rsid w:val="717B3081"/>
    <w:rsid w:val="717F291B"/>
    <w:rsid w:val="718049D9"/>
    <w:rsid w:val="71825A57"/>
    <w:rsid w:val="71825B16"/>
    <w:rsid w:val="718A2B77"/>
    <w:rsid w:val="718E3D0F"/>
    <w:rsid w:val="719101E5"/>
    <w:rsid w:val="71955EE4"/>
    <w:rsid w:val="71965BDE"/>
    <w:rsid w:val="719B1AF1"/>
    <w:rsid w:val="719C0D9B"/>
    <w:rsid w:val="719C7804"/>
    <w:rsid w:val="719D4987"/>
    <w:rsid w:val="71A072F4"/>
    <w:rsid w:val="71A16935"/>
    <w:rsid w:val="71A60034"/>
    <w:rsid w:val="71A80B7E"/>
    <w:rsid w:val="71A8218A"/>
    <w:rsid w:val="71AA1240"/>
    <w:rsid w:val="71AA172E"/>
    <w:rsid w:val="71AD6A2C"/>
    <w:rsid w:val="71AF50D3"/>
    <w:rsid w:val="71B21F1F"/>
    <w:rsid w:val="71B362A7"/>
    <w:rsid w:val="71B536A4"/>
    <w:rsid w:val="71C065D9"/>
    <w:rsid w:val="71C14E0E"/>
    <w:rsid w:val="71C352B0"/>
    <w:rsid w:val="71C5582E"/>
    <w:rsid w:val="71C71A14"/>
    <w:rsid w:val="71CD05B1"/>
    <w:rsid w:val="71D00584"/>
    <w:rsid w:val="71D11A87"/>
    <w:rsid w:val="71D772C3"/>
    <w:rsid w:val="71D814B4"/>
    <w:rsid w:val="71DB2212"/>
    <w:rsid w:val="71DE7097"/>
    <w:rsid w:val="71E74989"/>
    <w:rsid w:val="71EA4291"/>
    <w:rsid w:val="71EA7962"/>
    <w:rsid w:val="71EC3F22"/>
    <w:rsid w:val="71EF570C"/>
    <w:rsid w:val="71F12148"/>
    <w:rsid w:val="71F93E54"/>
    <w:rsid w:val="72014769"/>
    <w:rsid w:val="720731E7"/>
    <w:rsid w:val="72077373"/>
    <w:rsid w:val="720B5C2F"/>
    <w:rsid w:val="720C6738"/>
    <w:rsid w:val="720D41B9"/>
    <w:rsid w:val="72130B60"/>
    <w:rsid w:val="721455EC"/>
    <w:rsid w:val="72174503"/>
    <w:rsid w:val="721813CF"/>
    <w:rsid w:val="72183748"/>
    <w:rsid w:val="7227667E"/>
    <w:rsid w:val="72283876"/>
    <w:rsid w:val="722C4B7F"/>
    <w:rsid w:val="722C4BB2"/>
    <w:rsid w:val="72321631"/>
    <w:rsid w:val="723309E9"/>
    <w:rsid w:val="723811C7"/>
    <w:rsid w:val="723839D1"/>
    <w:rsid w:val="7239387B"/>
    <w:rsid w:val="723B082F"/>
    <w:rsid w:val="723B16F5"/>
    <w:rsid w:val="723B4A4B"/>
    <w:rsid w:val="723D0A25"/>
    <w:rsid w:val="724328F8"/>
    <w:rsid w:val="72446B75"/>
    <w:rsid w:val="72447164"/>
    <w:rsid w:val="72450BDD"/>
    <w:rsid w:val="72452319"/>
    <w:rsid w:val="72490608"/>
    <w:rsid w:val="724A59CB"/>
    <w:rsid w:val="724F0D1A"/>
    <w:rsid w:val="724F34B6"/>
    <w:rsid w:val="724F7B20"/>
    <w:rsid w:val="725E5736"/>
    <w:rsid w:val="726522EC"/>
    <w:rsid w:val="726B070A"/>
    <w:rsid w:val="72712ACE"/>
    <w:rsid w:val="7272387D"/>
    <w:rsid w:val="727662A7"/>
    <w:rsid w:val="727824DD"/>
    <w:rsid w:val="72815963"/>
    <w:rsid w:val="72866F51"/>
    <w:rsid w:val="728776C3"/>
    <w:rsid w:val="72891A25"/>
    <w:rsid w:val="728B0C58"/>
    <w:rsid w:val="728C3C9F"/>
    <w:rsid w:val="728D3191"/>
    <w:rsid w:val="728F42E4"/>
    <w:rsid w:val="7292472E"/>
    <w:rsid w:val="72925A8F"/>
    <w:rsid w:val="72932061"/>
    <w:rsid w:val="72940443"/>
    <w:rsid w:val="72955A8E"/>
    <w:rsid w:val="729A51DC"/>
    <w:rsid w:val="729C4E89"/>
    <w:rsid w:val="729F57FE"/>
    <w:rsid w:val="72A740E8"/>
    <w:rsid w:val="72AC1CC9"/>
    <w:rsid w:val="72B109BF"/>
    <w:rsid w:val="72B15272"/>
    <w:rsid w:val="72B312A9"/>
    <w:rsid w:val="72C05D94"/>
    <w:rsid w:val="72C15774"/>
    <w:rsid w:val="72C4424C"/>
    <w:rsid w:val="72C628A0"/>
    <w:rsid w:val="72CA4259"/>
    <w:rsid w:val="72CF02D0"/>
    <w:rsid w:val="72D26397"/>
    <w:rsid w:val="72D34A8D"/>
    <w:rsid w:val="72D36E8B"/>
    <w:rsid w:val="72D956E3"/>
    <w:rsid w:val="72DD0154"/>
    <w:rsid w:val="72DF47C3"/>
    <w:rsid w:val="72E94D2E"/>
    <w:rsid w:val="72EB0D12"/>
    <w:rsid w:val="72EB74C4"/>
    <w:rsid w:val="72F21780"/>
    <w:rsid w:val="72F26424"/>
    <w:rsid w:val="72F31511"/>
    <w:rsid w:val="72F46D86"/>
    <w:rsid w:val="72FC3DAE"/>
    <w:rsid w:val="72FC67AC"/>
    <w:rsid w:val="72FE47B2"/>
    <w:rsid w:val="72FF2F07"/>
    <w:rsid w:val="72FF5C9F"/>
    <w:rsid w:val="73067EEA"/>
    <w:rsid w:val="730F371A"/>
    <w:rsid w:val="73102258"/>
    <w:rsid w:val="731127EE"/>
    <w:rsid w:val="731E058F"/>
    <w:rsid w:val="73256018"/>
    <w:rsid w:val="73275491"/>
    <w:rsid w:val="732A58A7"/>
    <w:rsid w:val="732B11A5"/>
    <w:rsid w:val="732C474D"/>
    <w:rsid w:val="732E6B82"/>
    <w:rsid w:val="73334198"/>
    <w:rsid w:val="73335F46"/>
    <w:rsid w:val="73340339"/>
    <w:rsid w:val="73392536"/>
    <w:rsid w:val="733D0C11"/>
    <w:rsid w:val="73430A0D"/>
    <w:rsid w:val="7343261B"/>
    <w:rsid w:val="7343262D"/>
    <w:rsid w:val="73450781"/>
    <w:rsid w:val="734B722A"/>
    <w:rsid w:val="734C4CFE"/>
    <w:rsid w:val="734E392B"/>
    <w:rsid w:val="73522870"/>
    <w:rsid w:val="7353570C"/>
    <w:rsid w:val="73596B8B"/>
    <w:rsid w:val="735C475C"/>
    <w:rsid w:val="73604A9A"/>
    <w:rsid w:val="73654FFB"/>
    <w:rsid w:val="736822C7"/>
    <w:rsid w:val="736E380E"/>
    <w:rsid w:val="73770529"/>
    <w:rsid w:val="737A3CFF"/>
    <w:rsid w:val="737F4D7D"/>
    <w:rsid w:val="738023B8"/>
    <w:rsid w:val="7382036B"/>
    <w:rsid w:val="73855F58"/>
    <w:rsid w:val="738A091A"/>
    <w:rsid w:val="738C530A"/>
    <w:rsid w:val="738F0E26"/>
    <w:rsid w:val="7390667C"/>
    <w:rsid w:val="73944C37"/>
    <w:rsid w:val="73951ADF"/>
    <w:rsid w:val="7395262C"/>
    <w:rsid w:val="73962BB0"/>
    <w:rsid w:val="739936B5"/>
    <w:rsid w:val="739C3424"/>
    <w:rsid w:val="73A306E1"/>
    <w:rsid w:val="73A62B18"/>
    <w:rsid w:val="73A70288"/>
    <w:rsid w:val="73B03D52"/>
    <w:rsid w:val="73B21579"/>
    <w:rsid w:val="73B22AB4"/>
    <w:rsid w:val="73B676F5"/>
    <w:rsid w:val="73BB170F"/>
    <w:rsid w:val="73BC2BC2"/>
    <w:rsid w:val="73BE7F06"/>
    <w:rsid w:val="73D4159F"/>
    <w:rsid w:val="73D43A05"/>
    <w:rsid w:val="73D524A1"/>
    <w:rsid w:val="73D53DA1"/>
    <w:rsid w:val="73D852ED"/>
    <w:rsid w:val="73DE620C"/>
    <w:rsid w:val="73E21E46"/>
    <w:rsid w:val="73E772F5"/>
    <w:rsid w:val="73E8612D"/>
    <w:rsid w:val="73EB2106"/>
    <w:rsid w:val="73ED46F4"/>
    <w:rsid w:val="73EF4563"/>
    <w:rsid w:val="73F637FC"/>
    <w:rsid w:val="73F8639A"/>
    <w:rsid w:val="73F930B4"/>
    <w:rsid w:val="73FC0AB3"/>
    <w:rsid w:val="73FD2204"/>
    <w:rsid w:val="73FD7B10"/>
    <w:rsid w:val="73FE196F"/>
    <w:rsid w:val="74022F04"/>
    <w:rsid w:val="74023E02"/>
    <w:rsid w:val="74034FE9"/>
    <w:rsid w:val="74051282"/>
    <w:rsid w:val="740679F6"/>
    <w:rsid w:val="740F518E"/>
    <w:rsid w:val="74102D1A"/>
    <w:rsid w:val="74110069"/>
    <w:rsid w:val="7416765A"/>
    <w:rsid w:val="74181338"/>
    <w:rsid w:val="74236A4D"/>
    <w:rsid w:val="742566D4"/>
    <w:rsid w:val="742678B4"/>
    <w:rsid w:val="74280EC3"/>
    <w:rsid w:val="742F2BB2"/>
    <w:rsid w:val="74303B75"/>
    <w:rsid w:val="7434192E"/>
    <w:rsid w:val="74344320"/>
    <w:rsid w:val="743A76F9"/>
    <w:rsid w:val="743B1BBC"/>
    <w:rsid w:val="743B540B"/>
    <w:rsid w:val="74466A60"/>
    <w:rsid w:val="7449623F"/>
    <w:rsid w:val="744E4FAA"/>
    <w:rsid w:val="74532014"/>
    <w:rsid w:val="74556924"/>
    <w:rsid w:val="745E1482"/>
    <w:rsid w:val="74605B62"/>
    <w:rsid w:val="746453AC"/>
    <w:rsid w:val="74677631"/>
    <w:rsid w:val="74696B7D"/>
    <w:rsid w:val="74770A2D"/>
    <w:rsid w:val="74782B19"/>
    <w:rsid w:val="747C1315"/>
    <w:rsid w:val="747C15A5"/>
    <w:rsid w:val="747D1978"/>
    <w:rsid w:val="74824EB1"/>
    <w:rsid w:val="74833B56"/>
    <w:rsid w:val="748403B8"/>
    <w:rsid w:val="74895734"/>
    <w:rsid w:val="749727D4"/>
    <w:rsid w:val="749C0FB7"/>
    <w:rsid w:val="749D69F2"/>
    <w:rsid w:val="74A83754"/>
    <w:rsid w:val="74A83E60"/>
    <w:rsid w:val="74A90F27"/>
    <w:rsid w:val="74AB51F6"/>
    <w:rsid w:val="74AF2498"/>
    <w:rsid w:val="74B331A5"/>
    <w:rsid w:val="74B400D9"/>
    <w:rsid w:val="74B530B7"/>
    <w:rsid w:val="74B6388F"/>
    <w:rsid w:val="74B775E4"/>
    <w:rsid w:val="74B95CD6"/>
    <w:rsid w:val="74BA5F60"/>
    <w:rsid w:val="74BB7231"/>
    <w:rsid w:val="74BD5898"/>
    <w:rsid w:val="74C0491A"/>
    <w:rsid w:val="74C22B45"/>
    <w:rsid w:val="74C44547"/>
    <w:rsid w:val="74C94DB4"/>
    <w:rsid w:val="74D34C9F"/>
    <w:rsid w:val="74D553E4"/>
    <w:rsid w:val="74D873D7"/>
    <w:rsid w:val="74DA3B5A"/>
    <w:rsid w:val="74DC44AD"/>
    <w:rsid w:val="74E04287"/>
    <w:rsid w:val="74E21346"/>
    <w:rsid w:val="74E41349"/>
    <w:rsid w:val="74E415AB"/>
    <w:rsid w:val="74EA384F"/>
    <w:rsid w:val="74EB7577"/>
    <w:rsid w:val="74EF2223"/>
    <w:rsid w:val="74F1406D"/>
    <w:rsid w:val="74F4255C"/>
    <w:rsid w:val="74F66170"/>
    <w:rsid w:val="74F82FA3"/>
    <w:rsid w:val="74F975EE"/>
    <w:rsid w:val="74FE4F81"/>
    <w:rsid w:val="7501205A"/>
    <w:rsid w:val="750760E7"/>
    <w:rsid w:val="750909FD"/>
    <w:rsid w:val="750C09B2"/>
    <w:rsid w:val="750C300E"/>
    <w:rsid w:val="750F22CA"/>
    <w:rsid w:val="75103CA3"/>
    <w:rsid w:val="75110A1B"/>
    <w:rsid w:val="75182B1F"/>
    <w:rsid w:val="751C5CB3"/>
    <w:rsid w:val="75224C45"/>
    <w:rsid w:val="75263D7E"/>
    <w:rsid w:val="752A2AA1"/>
    <w:rsid w:val="752E35F7"/>
    <w:rsid w:val="75301FC7"/>
    <w:rsid w:val="753574AC"/>
    <w:rsid w:val="7538049A"/>
    <w:rsid w:val="75380CA2"/>
    <w:rsid w:val="753D757B"/>
    <w:rsid w:val="753F0707"/>
    <w:rsid w:val="75404C07"/>
    <w:rsid w:val="754164C4"/>
    <w:rsid w:val="75447949"/>
    <w:rsid w:val="75454D20"/>
    <w:rsid w:val="754B2023"/>
    <w:rsid w:val="754D7793"/>
    <w:rsid w:val="75525877"/>
    <w:rsid w:val="75532EB2"/>
    <w:rsid w:val="75534ACD"/>
    <w:rsid w:val="75550416"/>
    <w:rsid w:val="7564068C"/>
    <w:rsid w:val="75680D53"/>
    <w:rsid w:val="756845CD"/>
    <w:rsid w:val="756E5262"/>
    <w:rsid w:val="756E7C56"/>
    <w:rsid w:val="75741C9A"/>
    <w:rsid w:val="75743568"/>
    <w:rsid w:val="75787B0E"/>
    <w:rsid w:val="757C4758"/>
    <w:rsid w:val="757E170D"/>
    <w:rsid w:val="757E4C1E"/>
    <w:rsid w:val="758149F1"/>
    <w:rsid w:val="75853417"/>
    <w:rsid w:val="7586108E"/>
    <w:rsid w:val="75867058"/>
    <w:rsid w:val="758D4034"/>
    <w:rsid w:val="75904828"/>
    <w:rsid w:val="75910A9C"/>
    <w:rsid w:val="75911131"/>
    <w:rsid w:val="75994786"/>
    <w:rsid w:val="759A04FF"/>
    <w:rsid w:val="759C42BA"/>
    <w:rsid w:val="75A31436"/>
    <w:rsid w:val="75A73A27"/>
    <w:rsid w:val="75A87E67"/>
    <w:rsid w:val="75AF54A9"/>
    <w:rsid w:val="75B07D22"/>
    <w:rsid w:val="75B2217B"/>
    <w:rsid w:val="75B2260E"/>
    <w:rsid w:val="75B25A6C"/>
    <w:rsid w:val="75B47763"/>
    <w:rsid w:val="75B802EB"/>
    <w:rsid w:val="75BE0E35"/>
    <w:rsid w:val="75BE5F9B"/>
    <w:rsid w:val="75C10706"/>
    <w:rsid w:val="75C64E50"/>
    <w:rsid w:val="75C77A6C"/>
    <w:rsid w:val="75C94DAB"/>
    <w:rsid w:val="75CA6749"/>
    <w:rsid w:val="75CC3F53"/>
    <w:rsid w:val="75D178E7"/>
    <w:rsid w:val="75D46215"/>
    <w:rsid w:val="75D5375D"/>
    <w:rsid w:val="75D81608"/>
    <w:rsid w:val="75DB59B4"/>
    <w:rsid w:val="75DC08E4"/>
    <w:rsid w:val="75DD23D2"/>
    <w:rsid w:val="75DE17B9"/>
    <w:rsid w:val="75E15FE7"/>
    <w:rsid w:val="75E34E7B"/>
    <w:rsid w:val="75E526D0"/>
    <w:rsid w:val="75E564EF"/>
    <w:rsid w:val="75E62741"/>
    <w:rsid w:val="75E66CEF"/>
    <w:rsid w:val="75E95748"/>
    <w:rsid w:val="75EA4607"/>
    <w:rsid w:val="75EA665C"/>
    <w:rsid w:val="75EB48B6"/>
    <w:rsid w:val="75EC541A"/>
    <w:rsid w:val="75EC6FE4"/>
    <w:rsid w:val="75EF615C"/>
    <w:rsid w:val="75F1469F"/>
    <w:rsid w:val="75F275DE"/>
    <w:rsid w:val="75F53987"/>
    <w:rsid w:val="75F93286"/>
    <w:rsid w:val="75FE6433"/>
    <w:rsid w:val="75FE70DD"/>
    <w:rsid w:val="76005F4F"/>
    <w:rsid w:val="76012362"/>
    <w:rsid w:val="7603788D"/>
    <w:rsid w:val="760517AF"/>
    <w:rsid w:val="760655BC"/>
    <w:rsid w:val="76067F2E"/>
    <w:rsid w:val="76091EFB"/>
    <w:rsid w:val="760C4AFC"/>
    <w:rsid w:val="760D514D"/>
    <w:rsid w:val="760F0220"/>
    <w:rsid w:val="761210C4"/>
    <w:rsid w:val="761356E0"/>
    <w:rsid w:val="76144867"/>
    <w:rsid w:val="761448FC"/>
    <w:rsid w:val="76166EF4"/>
    <w:rsid w:val="76212B9B"/>
    <w:rsid w:val="7625392B"/>
    <w:rsid w:val="76280CBF"/>
    <w:rsid w:val="7628672B"/>
    <w:rsid w:val="762B2FE1"/>
    <w:rsid w:val="76314EF5"/>
    <w:rsid w:val="763B1BB0"/>
    <w:rsid w:val="763B41E2"/>
    <w:rsid w:val="763C72B7"/>
    <w:rsid w:val="763D044E"/>
    <w:rsid w:val="763D5748"/>
    <w:rsid w:val="7642545E"/>
    <w:rsid w:val="76440938"/>
    <w:rsid w:val="7645046A"/>
    <w:rsid w:val="7646336E"/>
    <w:rsid w:val="764D5FCD"/>
    <w:rsid w:val="76501D75"/>
    <w:rsid w:val="76506933"/>
    <w:rsid w:val="76523430"/>
    <w:rsid w:val="765238CA"/>
    <w:rsid w:val="7653296E"/>
    <w:rsid w:val="76534489"/>
    <w:rsid w:val="76571D3F"/>
    <w:rsid w:val="765A18E7"/>
    <w:rsid w:val="765B0FBD"/>
    <w:rsid w:val="765E5079"/>
    <w:rsid w:val="76612AFA"/>
    <w:rsid w:val="76617AE2"/>
    <w:rsid w:val="76621824"/>
    <w:rsid w:val="76643E46"/>
    <w:rsid w:val="76660A15"/>
    <w:rsid w:val="7667345C"/>
    <w:rsid w:val="766919A7"/>
    <w:rsid w:val="7670010F"/>
    <w:rsid w:val="76737F91"/>
    <w:rsid w:val="76740FD9"/>
    <w:rsid w:val="76743FA1"/>
    <w:rsid w:val="76777220"/>
    <w:rsid w:val="7678114D"/>
    <w:rsid w:val="767E473F"/>
    <w:rsid w:val="7683704C"/>
    <w:rsid w:val="768520F7"/>
    <w:rsid w:val="76857FBA"/>
    <w:rsid w:val="76886023"/>
    <w:rsid w:val="768C2287"/>
    <w:rsid w:val="768C4DE2"/>
    <w:rsid w:val="769105A1"/>
    <w:rsid w:val="7691545E"/>
    <w:rsid w:val="76972285"/>
    <w:rsid w:val="769739A7"/>
    <w:rsid w:val="769D3E02"/>
    <w:rsid w:val="76A15C2B"/>
    <w:rsid w:val="76B008E1"/>
    <w:rsid w:val="76B146E5"/>
    <w:rsid w:val="76B2478E"/>
    <w:rsid w:val="76B24E1D"/>
    <w:rsid w:val="76B35127"/>
    <w:rsid w:val="76B42D19"/>
    <w:rsid w:val="76BD26F7"/>
    <w:rsid w:val="76BD4312"/>
    <w:rsid w:val="76BE43CE"/>
    <w:rsid w:val="76C17EC7"/>
    <w:rsid w:val="76C32063"/>
    <w:rsid w:val="76C80ED1"/>
    <w:rsid w:val="76C9617F"/>
    <w:rsid w:val="76CA339F"/>
    <w:rsid w:val="76D52491"/>
    <w:rsid w:val="76DA42CB"/>
    <w:rsid w:val="76DB4885"/>
    <w:rsid w:val="76DB492B"/>
    <w:rsid w:val="76E149D9"/>
    <w:rsid w:val="76E45ED5"/>
    <w:rsid w:val="76E97EE4"/>
    <w:rsid w:val="76F613E9"/>
    <w:rsid w:val="76F64D92"/>
    <w:rsid w:val="76F73895"/>
    <w:rsid w:val="76FB3391"/>
    <w:rsid w:val="76FF4ABD"/>
    <w:rsid w:val="7704168F"/>
    <w:rsid w:val="770522D9"/>
    <w:rsid w:val="7706115C"/>
    <w:rsid w:val="770747BF"/>
    <w:rsid w:val="770B3462"/>
    <w:rsid w:val="770D05C0"/>
    <w:rsid w:val="770D3E27"/>
    <w:rsid w:val="770E550A"/>
    <w:rsid w:val="770F50B3"/>
    <w:rsid w:val="77161E37"/>
    <w:rsid w:val="7716675C"/>
    <w:rsid w:val="77174B0D"/>
    <w:rsid w:val="771D1EE8"/>
    <w:rsid w:val="771F1309"/>
    <w:rsid w:val="772327BD"/>
    <w:rsid w:val="77264EFA"/>
    <w:rsid w:val="772C6AD6"/>
    <w:rsid w:val="773105E2"/>
    <w:rsid w:val="7732762D"/>
    <w:rsid w:val="773504DF"/>
    <w:rsid w:val="77355722"/>
    <w:rsid w:val="77387FCF"/>
    <w:rsid w:val="773A31A8"/>
    <w:rsid w:val="773C1DE1"/>
    <w:rsid w:val="773F697E"/>
    <w:rsid w:val="77413047"/>
    <w:rsid w:val="7742187A"/>
    <w:rsid w:val="774229A2"/>
    <w:rsid w:val="77422A05"/>
    <w:rsid w:val="77436399"/>
    <w:rsid w:val="77492CD5"/>
    <w:rsid w:val="774E29BA"/>
    <w:rsid w:val="77534924"/>
    <w:rsid w:val="77577FE1"/>
    <w:rsid w:val="775D3A42"/>
    <w:rsid w:val="775D7A36"/>
    <w:rsid w:val="77624A27"/>
    <w:rsid w:val="77636704"/>
    <w:rsid w:val="776639E1"/>
    <w:rsid w:val="77692217"/>
    <w:rsid w:val="776D532A"/>
    <w:rsid w:val="77707769"/>
    <w:rsid w:val="77770AF7"/>
    <w:rsid w:val="777B7A69"/>
    <w:rsid w:val="777E0E14"/>
    <w:rsid w:val="77822565"/>
    <w:rsid w:val="77877E6E"/>
    <w:rsid w:val="77972AD7"/>
    <w:rsid w:val="779C1326"/>
    <w:rsid w:val="779C230C"/>
    <w:rsid w:val="779F7BFD"/>
    <w:rsid w:val="77A96E26"/>
    <w:rsid w:val="77AB5F7C"/>
    <w:rsid w:val="77AD4ADB"/>
    <w:rsid w:val="77AE203F"/>
    <w:rsid w:val="77B175A5"/>
    <w:rsid w:val="77B27590"/>
    <w:rsid w:val="77B44F50"/>
    <w:rsid w:val="77B4592C"/>
    <w:rsid w:val="77B51620"/>
    <w:rsid w:val="77B91F17"/>
    <w:rsid w:val="77BE21AC"/>
    <w:rsid w:val="77C32513"/>
    <w:rsid w:val="77CA0CAC"/>
    <w:rsid w:val="77CB3411"/>
    <w:rsid w:val="77CE2D10"/>
    <w:rsid w:val="77CF019A"/>
    <w:rsid w:val="77D01973"/>
    <w:rsid w:val="77D071F5"/>
    <w:rsid w:val="77D34EB5"/>
    <w:rsid w:val="77D42677"/>
    <w:rsid w:val="77D53A70"/>
    <w:rsid w:val="77D617A6"/>
    <w:rsid w:val="77DC4DFE"/>
    <w:rsid w:val="77E564EB"/>
    <w:rsid w:val="77EA7FF0"/>
    <w:rsid w:val="77EC031F"/>
    <w:rsid w:val="77F00C49"/>
    <w:rsid w:val="77F030AC"/>
    <w:rsid w:val="77F035AC"/>
    <w:rsid w:val="77F23B77"/>
    <w:rsid w:val="77F42163"/>
    <w:rsid w:val="77F51A1C"/>
    <w:rsid w:val="77F77061"/>
    <w:rsid w:val="77F9775E"/>
    <w:rsid w:val="77FC3AEF"/>
    <w:rsid w:val="780103C1"/>
    <w:rsid w:val="780E229A"/>
    <w:rsid w:val="78120820"/>
    <w:rsid w:val="781248B7"/>
    <w:rsid w:val="7812790F"/>
    <w:rsid w:val="78142BF5"/>
    <w:rsid w:val="78193B68"/>
    <w:rsid w:val="78210A63"/>
    <w:rsid w:val="78234C7B"/>
    <w:rsid w:val="78250553"/>
    <w:rsid w:val="78252301"/>
    <w:rsid w:val="782825A8"/>
    <w:rsid w:val="782D45C2"/>
    <w:rsid w:val="78305F41"/>
    <w:rsid w:val="78313449"/>
    <w:rsid w:val="783228CA"/>
    <w:rsid w:val="783320E1"/>
    <w:rsid w:val="783907E3"/>
    <w:rsid w:val="783B2765"/>
    <w:rsid w:val="783D1BD7"/>
    <w:rsid w:val="78407E52"/>
    <w:rsid w:val="784152A8"/>
    <w:rsid w:val="78426414"/>
    <w:rsid w:val="78463E2D"/>
    <w:rsid w:val="7847671C"/>
    <w:rsid w:val="78477551"/>
    <w:rsid w:val="784D2D0F"/>
    <w:rsid w:val="784E3962"/>
    <w:rsid w:val="7854098E"/>
    <w:rsid w:val="78583071"/>
    <w:rsid w:val="785A7F58"/>
    <w:rsid w:val="785C235A"/>
    <w:rsid w:val="785E1CB7"/>
    <w:rsid w:val="785F4652"/>
    <w:rsid w:val="786A0603"/>
    <w:rsid w:val="78720F60"/>
    <w:rsid w:val="78736C64"/>
    <w:rsid w:val="78754338"/>
    <w:rsid w:val="787B7E41"/>
    <w:rsid w:val="787D708B"/>
    <w:rsid w:val="78801F66"/>
    <w:rsid w:val="788023A0"/>
    <w:rsid w:val="788727F1"/>
    <w:rsid w:val="78874D6A"/>
    <w:rsid w:val="78890946"/>
    <w:rsid w:val="78946B8C"/>
    <w:rsid w:val="78954775"/>
    <w:rsid w:val="78973E74"/>
    <w:rsid w:val="789B7238"/>
    <w:rsid w:val="789C345F"/>
    <w:rsid w:val="789E3E62"/>
    <w:rsid w:val="78A27C24"/>
    <w:rsid w:val="78A44941"/>
    <w:rsid w:val="78A601D7"/>
    <w:rsid w:val="78A667B3"/>
    <w:rsid w:val="78AB48C7"/>
    <w:rsid w:val="78AB6307"/>
    <w:rsid w:val="78AD0549"/>
    <w:rsid w:val="78AE7351"/>
    <w:rsid w:val="78B02928"/>
    <w:rsid w:val="78B066F9"/>
    <w:rsid w:val="78B21F9C"/>
    <w:rsid w:val="78B47B29"/>
    <w:rsid w:val="78B56375"/>
    <w:rsid w:val="78B64AD1"/>
    <w:rsid w:val="78B867DA"/>
    <w:rsid w:val="78B939F0"/>
    <w:rsid w:val="78BA4147"/>
    <w:rsid w:val="78C052B2"/>
    <w:rsid w:val="78C86EEE"/>
    <w:rsid w:val="78CF0568"/>
    <w:rsid w:val="78D14237"/>
    <w:rsid w:val="78DB1430"/>
    <w:rsid w:val="78DC3B31"/>
    <w:rsid w:val="78DE2DB8"/>
    <w:rsid w:val="78E054CD"/>
    <w:rsid w:val="78E21FA1"/>
    <w:rsid w:val="78E461B6"/>
    <w:rsid w:val="78E705FC"/>
    <w:rsid w:val="78E82BF4"/>
    <w:rsid w:val="78EA2622"/>
    <w:rsid w:val="78EA4062"/>
    <w:rsid w:val="78EE6911"/>
    <w:rsid w:val="78F656F1"/>
    <w:rsid w:val="78F862C1"/>
    <w:rsid w:val="78FC0E25"/>
    <w:rsid w:val="78FC5ACF"/>
    <w:rsid w:val="78FF4A43"/>
    <w:rsid w:val="78FF6166"/>
    <w:rsid w:val="79004B1D"/>
    <w:rsid w:val="790A788C"/>
    <w:rsid w:val="790D7B1F"/>
    <w:rsid w:val="79110AD8"/>
    <w:rsid w:val="791A1EEB"/>
    <w:rsid w:val="791D747D"/>
    <w:rsid w:val="7920788E"/>
    <w:rsid w:val="79224BBF"/>
    <w:rsid w:val="79254583"/>
    <w:rsid w:val="79272C51"/>
    <w:rsid w:val="79274143"/>
    <w:rsid w:val="792A2929"/>
    <w:rsid w:val="792B05B6"/>
    <w:rsid w:val="792B67CC"/>
    <w:rsid w:val="79304B6D"/>
    <w:rsid w:val="79315A96"/>
    <w:rsid w:val="79333B86"/>
    <w:rsid w:val="793841F9"/>
    <w:rsid w:val="793850B3"/>
    <w:rsid w:val="793B5D10"/>
    <w:rsid w:val="7943710C"/>
    <w:rsid w:val="79450781"/>
    <w:rsid w:val="79464C25"/>
    <w:rsid w:val="79473B95"/>
    <w:rsid w:val="79490A5A"/>
    <w:rsid w:val="794A4D1D"/>
    <w:rsid w:val="794B2B9D"/>
    <w:rsid w:val="79512B04"/>
    <w:rsid w:val="79516FCB"/>
    <w:rsid w:val="79541B1C"/>
    <w:rsid w:val="79570BA8"/>
    <w:rsid w:val="795B120D"/>
    <w:rsid w:val="795F1843"/>
    <w:rsid w:val="795F63EE"/>
    <w:rsid w:val="79606EDD"/>
    <w:rsid w:val="796238F6"/>
    <w:rsid w:val="79685299"/>
    <w:rsid w:val="796B407D"/>
    <w:rsid w:val="796C77A5"/>
    <w:rsid w:val="796E1AFB"/>
    <w:rsid w:val="79704713"/>
    <w:rsid w:val="79737817"/>
    <w:rsid w:val="797500B3"/>
    <w:rsid w:val="79752E15"/>
    <w:rsid w:val="797612FC"/>
    <w:rsid w:val="79766B8D"/>
    <w:rsid w:val="79776CD3"/>
    <w:rsid w:val="797A152D"/>
    <w:rsid w:val="797A79C7"/>
    <w:rsid w:val="797B724D"/>
    <w:rsid w:val="797E1877"/>
    <w:rsid w:val="797F3EF0"/>
    <w:rsid w:val="7984317B"/>
    <w:rsid w:val="79856CE3"/>
    <w:rsid w:val="79885189"/>
    <w:rsid w:val="798951F2"/>
    <w:rsid w:val="798B2638"/>
    <w:rsid w:val="798C7C16"/>
    <w:rsid w:val="79925D6A"/>
    <w:rsid w:val="7997386C"/>
    <w:rsid w:val="799A768A"/>
    <w:rsid w:val="799B2F35"/>
    <w:rsid w:val="799E7F2B"/>
    <w:rsid w:val="79A752DD"/>
    <w:rsid w:val="79B13D31"/>
    <w:rsid w:val="79B16619"/>
    <w:rsid w:val="79B400E6"/>
    <w:rsid w:val="79B9613E"/>
    <w:rsid w:val="79BF7305"/>
    <w:rsid w:val="79C0593F"/>
    <w:rsid w:val="79CB0122"/>
    <w:rsid w:val="79CD1930"/>
    <w:rsid w:val="79CD61FC"/>
    <w:rsid w:val="79D02741"/>
    <w:rsid w:val="79D62DAF"/>
    <w:rsid w:val="79DA5A00"/>
    <w:rsid w:val="79DA7AE8"/>
    <w:rsid w:val="79DD6B59"/>
    <w:rsid w:val="79E25836"/>
    <w:rsid w:val="79E720FD"/>
    <w:rsid w:val="79E84DA6"/>
    <w:rsid w:val="79E852A3"/>
    <w:rsid w:val="79EA1A55"/>
    <w:rsid w:val="79ED5C11"/>
    <w:rsid w:val="79ED6E4F"/>
    <w:rsid w:val="79F16039"/>
    <w:rsid w:val="79F25111"/>
    <w:rsid w:val="79F52A50"/>
    <w:rsid w:val="79F71A7C"/>
    <w:rsid w:val="79FE77A5"/>
    <w:rsid w:val="7A000823"/>
    <w:rsid w:val="7A035E4D"/>
    <w:rsid w:val="7A04680B"/>
    <w:rsid w:val="7A0661DD"/>
    <w:rsid w:val="7A097610"/>
    <w:rsid w:val="7A0E5017"/>
    <w:rsid w:val="7A10521B"/>
    <w:rsid w:val="7A106071"/>
    <w:rsid w:val="7A15331F"/>
    <w:rsid w:val="7A1563A6"/>
    <w:rsid w:val="7A1C0D2C"/>
    <w:rsid w:val="7A222688"/>
    <w:rsid w:val="7A2325A0"/>
    <w:rsid w:val="7A234EA1"/>
    <w:rsid w:val="7A291E51"/>
    <w:rsid w:val="7A2C0940"/>
    <w:rsid w:val="7A2E7885"/>
    <w:rsid w:val="7A317656"/>
    <w:rsid w:val="7A3368D0"/>
    <w:rsid w:val="7A34473F"/>
    <w:rsid w:val="7A352D6B"/>
    <w:rsid w:val="7A39555A"/>
    <w:rsid w:val="7A3D6CF9"/>
    <w:rsid w:val="7A3F0DAE"/>
    <w:rsid w:val="7A3F6A0C"/>
    <w:rsid w:val="7A403A5A"/>
    <w:rsid w:val="7A41365C"/>
    <w:rsid w:val="7A420AB1"/>
    <w:rsid w:val="7A43056C"/>
    <w:rsid w:val="7A4466AF"/>
    <w:rsid w:val="7A491A73"/>
    <w:rsid w:val="7A4D3E0B"/>
    <w:rsid w:val="7A517FE1"/>
    <w:rsid w:val="7A522C5D"/>
    <w:rsid w:val="7A534A6C"/>
    <w:rsid w:val="7A5D7950"/>
    <w:rsid w:val="7A5F5873"/>
    <w:rsid w:val="7A630A19"/>
    <w:rsid w:val="7A662F84"/>
    <w:rsid w:val="7A6D117D"/>
    <w:rsid w:val="7A6D61E2"/>
    <w:rsid w:val="7A7037BE"/>
    <w:rsid w:val="7A716AD3"/>
    <w:rsid w:val="7A75417B"/>
    <w:rsid w:val="7A774B1D"/>
    <w:rsid w:val="7A7B26AD"/>
    <w:rsid w:val="7A7F0FF0"/>
    <w:rsid w:val="7A8331A1"/>
    <w:rsid w:val="7A8525E8"/>
    <w:rsid w:val="7A8653EC"/>
    <w:rsid w:val="7A8920E9"/>
    <w:rsid w:val="7A8A48C6"/>
    <w:rsid w:val="7A8B2C6C"/>
    <w:rsid w:val="7A8F2DF6"/>
    <w:rsid w:val="7A943B20"/>
    <w:rsid w:val="7A9538D2"/>
    <w:rsid w:val="7A9638CA"/>
    <w:rsid w:val="7A965CC6"/>
    <w:rsid w:val="7A966ECE"/>
    <w:rsid w:val="7A990A69"/>
    <w:rsid w:val="7A996FD7"/>
    <w:rsid w:val="7A9A3DBA"/>
    <w:rsid w:val="7A9E3D7E"/>
    <w:rsid w:val="7AA2434E"/>
    <w:rsid w:val="7AA32641"/>
    <w:rsid w:val="7AA41F27"/>
    <w:rsid w:val="7AA72900"/>
    <w:rsid w:val="7AA930C7"/>
    <w:rsid w:val="7AB44BF4"/>
    <w:rsid w:val="7AB67420"/>
    <w:rsid w:val="7AB83D1E"/>
    <w:rsid w:val="7ABC1292"/>
    <w:rsid w:val="7AC00C09"/>
    <w:rsid w:val="7ACE62B4"/>
    <w:rsid w:val="7ACE785E"/>
    <w:rsid w:val="7ACF3AA2"/>
    <w:rsid w:val="7AD442C6"/>
    <w:rsid w:val="7AD7296F"/>
    <w:rsid w:val="7ADB24D7"/>
    <w:rsid w:val="7ADE0E8D"/>
    <w:rsid w:val="7AE30252"/>
    <w:rsid w:val="7AE77961"/>
    <w:rsid w:val="7AE90B23"/>
    <w:rsid w:val="7AE95E7E"/>
    <w:rsid w:val="7AEE79EA"/>
    <w:rsid w:val="7AF426F0"/>
    <w:rsid w:val="7AF64429"/>
    <w:rsid w:val="7AF65DC7"/>
    <w:rsid w:val="7AF82363"/>
    <w:rsid w:val="7AF95CC7"/>
    <w:rsid w:val="7AFC1667"/>
    <w:rsid w:val="7B0019AE"/>
    <w:rsid w:val="7B03158D"/>
    <w:rsid w:val="7B071A98"/>
    <w:rsid w:val="7B097A1C"/>
    <w:rsid w:val="7B0A394A"/>
    <w:rsid w:val="7B0C59FB"/>
    <w:rsid w:val="7B0E3280"/>
    <w:rsid w:val="7B0F2D4F"/>
    <w:rsid w:val="7B111001"/>
    <w:rsid w:val="7B164183"/>
    <w:rsid w:val="7B1D57C7"/>
    <w:rsid w:val="7B1D6131"/>
    <w:rsid w:val="7B215A53"/>
    <w:rsid w:val="7B217199"/>
    <w:rsid w:val="7B2657D7"/>
    <w:rsid w:val="7B2E4F3D"/>
    <w:rsid w:val="7B2F58B8"/>
    <w:rsid w:val="7B332FF8"/>
    <w:rsid w:val="7B373EE9"/>
    <w:rsid w:val="7B41062F"/>
    <w:rsid w:val="7B4355EB"/>
    <w:rsid w:val="7B48292E"/>
    <w:rsid w:val="7B4C52C9"/>
    <w:rsid w:val="7B52609D"/>
    <w:rsid w:val="7B542153"/>
    <w:rsid w:val="7B5B1111"/>
    <w:rsid w:val="7B635832"/>
    <w:rsid w:val="7B637CA9"/>
    <w:rsid w:val="7B640E99"/>
    <w:rsid w:val="7B646B71"/>
    <w:rsid w:val="7B693C45"/>
    <w:rsid w:val="7B6A44CF"/>
    <w:rsid w:val="7B6A7FDD"/>
    <w:rsid w:val="7B6C38F1"/>
    <w:rsid w:val="7B6E09B6"/>
    <w:rsid w:val="7B6F32E7"/>
    <w:rsid w:val="7B7354E5"/>
    <w:rsid w:val="7B7A0BB6"/>
    <w:rsid w:val="7B7B32D0"/>
    <w:rsid w:val="7B7E5E37"/>
    <w:rsid w:val="7B7F6108"/>
    <w:rsid w:val="7B822758"/>
    <w:rsid w:val="7B8260B7"/>
    <w:rsid w:val="7B8622D3"/>
    <w:rsid w:val="7B863B2B"/>
    <w:rsid w:val="7B8B11B4"/>
    <w:rsid w:val="7B8B2796"/>
    <w:rsid w:val="7B8B41DD"/>
    <w:rsid w:val="7B8B7C47"/>
    <w:rsid w:val="7B8C08E9"/>
    <w:rsid w:val="7B8C23AA"/>
    <w:rsid w:val="7B8C7231"/>
    <w:rsid w:val="7B8E117B"/>
    <w:rsid w:val="7B8E4662"/>
    <w:rsid w:val="7B8E665B"/>
    <w:rsid w:val="7B903B68"/>
    <w:rsid w:val="7B910ED2"/>
    <w:rsid w:val="7B97666B"/>
    <w:rsid w:val="7B9D5478"/>
    <w:rsid w:val="7BA071ED"/>
    <w:rsid w:val="7BA305F1"/>
    <w:rsid w:val="7BA56A97"/>
    <w:rsid w:val="7BA95FF4"/>
    <w:rsid w:val="7BA9675A"/>
    <w:rsid w:val="7BAD7955"/>
    <w:rsid w:val="7BAE3A4F"/>
    <w:rsid w:val="7BB60DB8"/>
    <w:rsid w:val="7BB87985"/>
    <w:rsid w:val="7BB90B23"/>
    <w:rsid w:val="7BBB7BFF"/>
    <w:rsid w:val="7BBD53EA"/>
    <w:rsid w:val="7BBE7545"/>
    <w:rsid w:val="7BBF6C02"/>
    <w:rsid w:val="7BC34F5E"/>
    <w:rsid w:val="7BCF5D85"/>
    <w:rsid w:val="7BD04C7A"/>
    <w:rsid w:val="7BD139E0"/>
    <w:rsid w:val="7BD227A0"/>
    <w:rsid w:val="7BDA1CCA"/>
    <w:rsid w:val="7BDA7AFB"/>
    <w:rsid w:val="7BDC01F7"/>
    <w:rsid w:val="7BEB26DB"/>
    <w:rsid w:val="7BED453D"/>
    <w:rsid w:val="7BF5165C"/>
    <w:rsid w:val="7BFA1ADC"/>
    <w:rsid w:val="7BFA1CF7"/>
    <w:rsid w:val="7BFA5BF3"/>
    <w:rsid w:val="7C02078F"/>
    <w:rsid w:val="7C044924"/>
    <w:rsid w:val="7C044AB6"/>
    <w:rsid w:val="7C04672D"/>
    <w:rsid w:val="7C0641F8"/>
    <w:rsid w:val="7C075FEE"/>
    <w:rsid w:val="7C0A2A41"/>
    <w:rsid w:val="7C0B0687"/>
    <w:rsid w:val="7C106F66"/>
    <w:rsid w:val="7C147D4F"/>
    <w:rsid w:val="7C15268D"/>
    <w:rsid w:val="7C162856"/>
    <w:rsid w:val="7C1A488A"/>
    <w:rsid w:val="7C1B5595"/>
    <w:rsid w:val="7C23493A"/>
    <w:rsid w:val="7C240B22"/>
    <w:rsid w:val="7C251BAD"/>
    <w:rsid w:val="7C266648"/>
    <w:rsid w:val="7C274792"/>
    <w:rsid w:val="7C2D3986"/>
    <w:rsid w:val="7C2D41C7"/>
    <w:rsid w:val="7C303EB0"/>
    <w:rsid w:val="7C32323F"/>
    <w:rsid w:val="7C35296F"/>
    <w:rsid w:val="7C360761"/>
    <w:rsid w:val="7C3607DE"/>
    <w:rsid w:val="7C3772AD"/>
    <w:rsid w:val="7C3839F8"/>
    <w:rsid w:val="7C3D7119"/>
    <w:rsid w:val="7C3E1AEF"/>
    <w:rsid w:val="7C3E6054"/>
    <w:rsid w:val="7C3F23E9"/>
    <w:rsid w:val="7C477869"/>
    <w:rsid w:val="7C480CB4"/>
    <w:rsid w:val="7C524F07"/>
    <w:rsid w:val="7C5316BF"/>
    <w:rsid w:val="7C535C24"/>
    <w:rsid w:val="7C5B311C"/>
    <w:rsid w:val="7C5C650E"/>
    <w:rsid w:val="7C5D2BE1"/>
    <w:rsid w:val="7C5E2286"/>
    <w:rsid w:val="7C652D94"/>
    <w:rsid w:val="7C681620"/>
    <w:rsid w:val="7C725CFD"/>
    <w:rsid w:val="7C7316C0"/>
    <w:rsid w:val="7C7510DE"/>
    <w:rsid w:val="7C765821"/>
    <w:rsid w:val="7C78250B"/>
    <w:rsid w:val="7C7B6E0A"/>
    <w:rsid w:val="7C7D189E"/>
    <w:rsid w:val="7C7E0C01"/>
    <w:rsid w:val="7C80044E"/>
    <w:rsid w:val="7C8532A9"/>
    <w:rsid w:val="7C872BEB"/>
    <w:rsid w:val="7C886179"/>
    <w:rsid w:val="7C8C1762"/>
    <w:rsid w:val="7C8D32E6"/>
    <w:rsid w:val="7C9C46A8"/>
    <w:rsid w:val="7C9D48A2"/>
    <w:rsid w:val="7C9F79C5"/>
    <w:rsid w:val="7CA030B6"/>
    <w:rsid w:val="7CA05F8F"/>
    <w:rsid w:val="7CA12D16"/>
    <w:rsid w:val="7CA169AF"/>
    <w:rsid w:val="7CA174E1"/>
    <w:rsid w:val="7CA33BBB"/>
    <w:rsid w:val="7CA57B60"/>
    <w:rsid w:val="7CAB5EDF"/>
    <w:rsid w:val="7CAE6020"/>
    <w:rsid w:val="7CB066D2"/>
    <w:rsid w:val="7CB83038"/>
    <w:rsid w:val="7CB92107"/>
    <w:rsid w:val="7CBD6F32"/>
    <w:rsid w:val="7CC4270C"/>
    <w:rsid w:val="7CCA0C34"/>
    <w:rsid w:val="7CCD4BD3"/>
    <w:rsid w:val="7CCE5670"/>
    <w:rsid w:val="7CCF47DF"/>
    <w:rsid w:val="7CD1610C"/>
    <w:rsid w:val="7CD52EB3"/>
    <w:rsid w:val="7CD67BE1"/>
    <w:rsid w:val="7CD95DB0"/>
    <w:rsid w:val="7CDD5182"/>
    <w:rsid w:val="7CE309DD"/>
    <w:rsid w:val="7CE4561B"/>
    <w:rsid w:val="7CE73F64"/>
    <w:rsid w:val="7CE83C46"/>
    <w:rsid w:val="7CEC26A0"/>
    <w:rsid w:val="7CEC7892"/>
    <w:rsid w:val="7CED12C2"/>
    <w:rsid w:val="7CEE3E4D"/>
    <w:rsid w:val="7CEF2C25"/>
    <w:rsid w:val="7CF244D2"/>
    <w:rsid w:val="7CF4781C"/>
    <w:rsid w:val="7D0145AF"/>
    <w:rsid w:val="7D032E2D"/>
    <w:rsid w:val="7D063EB5"/>
    <w:rsid w:val="7D085154"/>
    <w:rsid w:val="7D08685C"/>
    <w:rsid w:val="7D0C79C5"/>
    <w:rsid w:val="7D0E3552"/>
    <w:rsid w:val="7D0F0877"/>
    <w:rsid w:val="7D154307"/>
    <w:rsid w:val="7D162B61"/>
    <w:rsid w:val="7D16490F"/>
    <w:rsid w:val="7D1D144A"/>
    <w:rsid w:val="7D2012E9"/>
    <w:rsid w:val="7D20753B"/>
    <w:rsid w:val="7D28169C"/>
    <w:rsid w:val="7D293831"/>
    <w:rsid w:val="7D2954C1"/>
    <w:rsid w:val="7D2C3F72"/>
    <w:rsid w:val="7D2F3C22"/>
    <w:rsid w:val="7D310ACA"/>
    <w:rsid w:val="7D31799A"/>
    <w:rsid w:val="7D3C5135"/>
    <w:rsid w:val="7D3D096D"/>
    <w:rsid w:val="7D3E7429"/>
    <w:rsid w:val="7D4313B9"/>
    <w:rsid w:val="7D441EBF"/>
    <w:rsid w:val="7D470A80"/>
    <w:rsid w:val="7D4A36D4"/>
    <w:rsid w:val="7D4A42E4"/>
    <w:rsid w:val="7D4A691C"/>
    <w:rsid w:val="7D4B78E6"/>
    <w:rsid w:val="7D4F7E21"/>
    <w:rsid w:val="7D522ECD"/>
    <w:rsid w:val="7D55675B"/>
    <w:rsid w:val="7D565F94"/>
    <w:rsid w:val="7D5A0CE9"/>
    <w:rsid w:val="7D63439A"/>
    <w:rsid w:val="7D641E1F"/>
    <w:rsid w:val="7D680465"/>
    <w:rsid w:val="7D681837"/>
    <w:rsid w:val="7D69241B"/>
    <w:rsid w:val="7D6B16A8"/>
    <w:rsid w:val="7D6D4DA6"/>
    <w:rsid w:val="7D7004C3"/>
    <w:rsid w:val="7D7F23D2"/>
    <w:rsid w:val="7D7F3750"/>
    <w:rsid w:val="7D8201F6"/>
    <w:rsid w:val="7D852294"/>
    <w:rsid w:val="7D857905"/>
    <w:rsid w:val="7D865DAC"/>
    <w:rsid w:val="7D8A2C07"/>
    <w:rsid w:val="7D8B587E"/>
    <w:rsid w:val="7D935841"/>
    <w:rsid w:val="7D943702"/>
    <w:rsid w:val="7D9527B6"/>
    <w:rsid w:val="7D963A49"/>
    <w:rsid w:val="7D9D6DDE"/>
    <w:rsid w:val="7DA01541"/>
    <w:rsid w:val="7DA94B99"/>
    <w:rsid w:val="7DAA05C9"/>
    <w:rsid w:val="7DAC7021"/>
    <w:rsid w:val="7DAD7173"/>
    <w:rsid w:val="7DAE0FEB"/>
    <w:rsid w:val="7DAF2136"/>
    <w:rsid w:val="7DB27ABE"/>
    <w:rsid w:val="7DB759BE"/>
    <w:rsid w:val="7DB839AE"/>
    <w:rsid w:val="7DB859C6"/>
    <w:rsid w:val="7DBC53DD"/>
    <w:rsid w:val="7DC176AB"/>
    <w:rsid w:val="7DC6671D"/>
    <w:rsid w:val="7DC70476"/>
    <w:rsid w:val="7DC9628F"/>
    <w:rsid w:val="7DC97BD3"/>
    <w:rsid w:val="7DD0469D"/>
    <w:rsid w:val="7DD47A50"/>
    <w:rsid w:val="7DD8186D"/>
    <w:rsid w:val="7DD90D4E"/>
    <w:rsid w:val="7DD936C0"/>
    <w:rsid w:val="7DD97F7E"/>
    <w:rsid w:val="7DDA5E08"/>
    <w:rsid w:val="7DDB290A"/>
    <w:rsid w:val="7DDC3A27"/>
    <w:rsid w:val="7DE51069"/>
    <w:rsid w:val="7DEB7B49"/>
    <w:rsid w:val="7DED5CFD"/>
    <w:rsid w:val="7DF1407C"/>
    <w:rsid w:val="7DF970EE"/>
    <w:rsid w:val="7DFF43BB"/>
    <w:rsid w:val="7E032931"/>
    <w:rsid w:val="7E06188F"/>
    <w:rsid w:val="7E062BD5"/>
    <w:rsid w:val="7E105802"/>
    <w:rsid w:val="7E150362"/>
    <w:rsid w:val="7E174C7C"/>
    <w:rsid w:val="7E17642F"/>
    <w:rsid w:val="7E1C3323"/>
    <w:rsid w:val="7E1E273D"/>
    <w:rsid w:val="7E223C41"/>
    <w:rsid w:val="7E252456"/>
    <w:rsid w:val="7E253E6F"/>
    <w:rsid w:val="7E260853"/>
    <w:rsid w:val="7E283F1A"/>
    <w:rsid w:val="7E303036"/>
    <w:rsid w:val="7E31542A"/>
    <w:rsid w:val="7E325B02"/>
    <w:rsid w:val="7E334629"/>
    <w:rsid w:val="7E371D6A"/>
    <w:rsid w:val="7E386B07"/>
    <w:rsid w:val="7E3B40A8"/>
    <w:rsid w:val="7E4024CA"/>
    <w:rsid w:val="7E417464"/>
    <w:rsid w:val="7E437A17"/>
    <w:rsid w:val="7E450217"/>
    <w:rsid w:val="7E4A4E81"/>
    <w:rsid w:val="7E4F5574"/>
    <w:rsid w:val="7E516D03"/>
    <w:rsid w:val="7E624017"/>
    <w:rsid w:val="7E6301CA"/>
    <w:rsid w:val="7E657E8A"/>
    <w:rsid w:val="7E6767A8"/>
    <w:rsid w:val="7E6B2A52"/>
    <w:rsid w:val="7E6F625B"/>
    <w:rsid w:val="7E70079E"/>
    <w:rsid w:val="7E7027BB"/>
    <w:rsid w:val="7E7266D1"/>
    <w:rsid w:val="7E7C17C0"/>
    <w:rsid w:val="7E7F64E4"/>
    <w:rsid w:val="7E81012B"/>
    <w:rsid w:val="7E8115B7"/>
    <w:rsid w:val="7E8169C2"/>
    <w:rsid w:val="7E8371A9"/>
    <w:rsid w:val="7E8609B3"/>
    <w:rsid w:val="7E8A0804"/>
    <w:rsid w:val="7E8C3D2F"/>
    <w:rsid w:val="7E8C488D"/>
    <w:rsid w:val="7E8D0071"/>
    <w:rsid w:val="7E942519"/>
    <w:rsid w:val="7E997676"/>
    <w:rsid w:val="7EA02D9A"/>
    <w:rsid w:val="7EA048B8"/>
    <w:rsid w:val="7EA1262B"/>
    <w:rsid w:val="7EA414F6"/>
    <w:rsid w:val="7EA42FA6"/>
    <w:rsid w:val="7EA906DA"/>
    <w:rsid w:val="7EA93257"/>
    <w:rsid w:val="7EAC3F9E"/>
    <w:rsid w:val="7EAC451C"/>
    <w:rsid w:val="7EAC6F6B"/>
    <w:rsid w:val="7EAE621C"/>
    <w:rsid w:val="7EB870C9"/>
    <w:rsid w:val="7EBA009A"/>
    <w:rsid w:val="7EBA2AE8"/>
    <w:rsid w:val="7EC74F15"/>
    <w:rsid w:val="7EC75F4F"/>
    <w:rsid w:val="7EC76707"/>
    <w:rsid w:val="7ECC1412"/>
    <w:rsid w:val="7ECC5A50"/>
    <w:rsid w:val="7ECD3F98"/>
    <w:rsid w:val="7ECE31A8"/>
    <w:rsid w:val="7ED45390"/>
    <w:rsid w:val="7ED50FBF"/>
    <w:rsid w:val="7ED8255F"/>
    <w:rsid w:val="7ED92098"/>
    <w:rsid w:val="7EDE76AE"/>
    <w:rsid w:val="7EE11ED6"/>
    <w:rsid w:val="7EE3651F"/>
    <w:rsid w:val="7EE873FB"/>
    <w:rsid w:val="7EED2710"/>
    <w:rsid w:val="7EEE6AD4"/>
    <w:rsid w:val="7EF23159"/>
    <w:rsid w:val="7EF50554"/>
    <w:rsid w:val="7EF667A6"/>
    <w:rsid w:val="7EF739F1"/>
    <w:rsid w:val="7EF73C33"/>
    <w:rsid w:val="7EFB2931"/>
    <w:rsid w:val="7EFD2C7C"/>
    <w:rsid w:val="7F016B8A"/>
    <w:rsid w:val="7F0362AE"/>
    <w:rsid w:val="7F0611E5"/>
    <w:rsid w:val="7F076E05"/>
    <w:rsid w:val="7F077A52"/>
    <w:rsid w:val="7F0C3F6A"/>
    <w:rsid w:val="7F0E46D0"/>
    <w:rsid w:val="7F0F6E6A"/>
    <w:rsid w:val="7F1567EA"/>
    <w:rsid w:val="7F1751AD"/>
    <w:rsid w:val="7F197B26"/>
    <w:rsid w:val="7F1B6598"/>
    <w:rsid w:val="7F1D716A"/>
    <w:rsid w:val="7F223789"/>
    <w:rsid w:val="7F2A04B4"/>
    <w:rsid w:val="7F2B6B13"/>
    <w:rsid w:val="7F2E50A5"/>
    <w:rsid w:val="7F2E71ED"/>
    <w:rsid w:val="7F2F1FE3"/>
    <w:rsid w:val="7F324C4B"/>
    <w:rsid w:val="7F3311E1"/>
    <w:rsid w:val="7F341AFA"/>
    <w:rsid w:val="7F344195"/>
    <w:rsid w:val="7F36037A"/>
    <w:rsid w:val="7F421230"/>
    <w:rsid w:val="7F433628"/>
    <w:rsid w:val="7F49515C"/>
    <w:rsid w:val="7F4C286A"/>
    <w:rsid w:val="7F520C1E"/>
    <w:rsid w:val="7F580C3E"/>
    <w:rsid w:val="7F595B74"/>
    <w:rsid w:val="7F5B507F"/>
    <w:rsid w:val="7F5C11DC"/>
    <w:rsid w:val="7F5E2B8F"/>
    <w:rsid w:val="7F615FDE"/>
    <w:rsid w:val="7F665850"/>
    <w:rsid w:val="7F6A7194"/>
    <w:rsid w:val="7F6E203D"/>
    <w:rsid w:val="7F6F7AA2"/>
    <w:rsid w:val="7F735387"/>
    <w:rsid w:val="7F743D1E"/>
    <w:rsid w:val="7F7C54C6"/>
    <w:rsid w:val="7F810B1E"/>
    <w:rsid w:val="7F82015B"/>
    <w:rsid w:val="7F824952"/>
    <w:rsid w:val="7F8377B2"/>
    <w:rsid w:val="7F871186"/>
    <w:rsid w:val="7F88407A"/>
    <w:rsid w:val="7F923FB3"/>
    <w:rsid w:val="7F926F7D"/>
    <w:rsid w:val="7F960F5D"/>
    <w:rsid w:val="7F994101"/>
    <w:rsid w:val="7F9B10FB"/>
    <w:rsid w:val="7F9C5F14"/>
    <w:rsid w:val="7F9F44B7"/>
    <w:rsid w:val="7FA1332B"/>
    <w:rsid w:val="7FA2655F"/>
    <w:rsid w:val="7FA53980"/>
    <w:rsid w:val="7FAE24C7"/>
    <w:rsid w:val="7FAE52D2"/>
    <w:rsid w:val="7FB11CD3"/>
    <w:rsid w:val="7FB227AD"/>
    <w:rsid w:val="7FB23638"/>
    <w:rsid w:val="7FB349C9"/>
    <w:rsid w:val="7FBA2712"/>
    <w:rsid w:val="7FBC00BF"/>
    <w:rsid w:val="7FBE45A5"/>
    <w:rsid w:val="7FC77923"/>
    <w:rsid w:val="7FC81A5A"/>
    <w:rsid w:val="7FC87946"/>
    <w:rsid w:val="7FCA55DB"/>
    <w:rsid w:val="7FCE742A"/>
    <w:rsid w:val="7FD1720E"/>
    <w:rsid w:val="7FD3756D"/>
    <w:rsid w:val="7FD74553"/>
    <w:rsid w:val="7FDA1BBE"/>
    <w:rsid w:val="7FDC6C6A"/>
    <w:rsid w:val="7FE019FF"/>
    <w:rsid w:val="7FE156F8"/>
    <w:rsid w:val="7FE175BB"/>
    <w:rsid w:val="7FEA5A84"/>
    <w:rsid w:val="7FED7D54"/>
    <w:rsid w:val="7FEE2D8F"/>
    <w:rsid w:val="7FEE692F"/>
    <w:rsid w:val="7FF05C04"/>
    <w:rsid w:val="7FF15B66"/>
    <w:rsid w:val="7FF17271"/>
    <w:rsid w:val="7FF41718"/>
    <w:rsid w:val="7FF54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4"/>
    <w:qFormat/>
    <w:uiPriority w:val="0"/>
    <w:pPr>
      <w:keepNext/>
      <w:keepLines/>
      <w:spacing w:before="340" w:after="330" w:line="578" w:lineRule="auto"/>
      <w:outlineLvl w:val="0"/>
    </w:pPr>
    <w:rPr>
      <w:b/>
      <w:bCs/>
      <w:kern w:val="44"/>
      <w:sz w:val="44"/>
      <w:szCs w:val="44"/>
    </w:rPr>
  </w:style>
  <w:style w:type="paragraph" w:styleId="8">
    <w:name w:val="heading 2"/>
    <w:basedOn w:val="1"/>
    <w:next w:val="1"/>
    <w:qFormat/>
    <w:uiPriority w:val="0"/>
    <w:pPr>
      <w:keepNext/>
      <w:keepLines/>
      <w:spacing w:before="260" w:after="260" w:line="360" w:lineRule="auto"/>
      <w:outlineLvl w:val="1"/>
    </w:pPr>
    <w:rPr>
      <w:rFonts w:ascii="Arial" w:hAnsi="Arial"/>
      <w:b/>
      <w:sz w:val="30"/>
    </w:rPr>
  </w:style>
  <w:style w:type="paragraph" w:styleId="9">
    <w:name w:val="heading 3"/>
    <w:basedOn w:val="1"/>
    <w:next w:val="1"/>
    <w:semiHidden/>
    <w:unhideWhenUsed/>
    <w:qFormat/>
    <w:uiPriority w:val="0"/>
    <w:pPr>
      <w:keepNext w:val="0"/>
      <w:keepLines/>
      <w:numPr>
        <w:ilvl w:val="2"/>
        <w:numId w:val="1"/>
      </w:numPr>
      <w:tabs>
        <w:tab w:val="clear" w:pos="1277"/>
      </w:tabs>
      <w:adjustRightInd w:val="0"/>
      <w:spacing w:before="30" w:beforeLines="30" w:after="30" w:afterLines="30" w:line="500" w:lineRule="exact"/>
      <w:ind w:left="0" w:right="0" w:rightChars="0"/>
      <w:jc w:val="left"/>
      <w:outlineLvl w:val="2"/>
    </w:pPr>
    <w:rPr>
      <w:rFonts w:ascii="黑体" w:hAnsi="黑体" w:eastAsia="Times New Roman"/>
      <w:b/>
      <w:sz w:val="28"/>
    </w:rPr>
  </w:style>
  <w:style w:type="paragraph" w:styleId="10">
    <w:name w:val="heading 4"/>
    <w:basedOn w:val="1"/>
    <w:next w:val="1"/>
    <w:qFormat/>
    <w:uiPriority w:val="0"/>
    <w:pPr>
      <w:keepNext/>
      <w:keepLines/>
      <w:spacing w:beforeLines="0" w:beforeAutospacing="0" w:afterLines="0" w:afterAutospacing="0" w:line="360" w:lineRule="auto"/>
      <w:outlineLvl w:val="3"/>
    </w:pPr>
    <w:rPr>
      <w:rFonts w:ascii="Arial" w:hAnsi="Arial" w:eastAsia="宋体"/>
      <w:b/>
      <w:sz w:val="24"/>
    </w:rPr>
  </w:style>
  <w:style w:type="paragraph" w:styleId="11">
    <w:name w:val="heading 7"/>
    <w:next w:val="1"/>
    <w:qFormat/>
    <w:uiPriority w:val="99"/>
    <w:pPr>
      <w:widowControl w:val="0"/>
      <w:adjustRightInd w:val="0"/>
      <w:snapToGrid w:val="0"/>
      <w:jc w:val="center"/>
      <w:outlineLvl w:val="6"/>
    </w:pPr>
    <w:rPr>
      <w:rFonts w:ascii="Times New Roman" w:hAnsi="Times New Roman" w:eastAsia="宋体" w:cs="Times New Roman"/>
      <w:kern w:val="24"/>
      <w:sz w:val="21"/>
      <w:szCs w:val="21"/>
      <w:lang w:val="en-US" w:eastAsia="zh-CN" w:bidi="ar-SA"/>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customStyle="1" w:styleId="4">
    <w:name w:val="xl48"/>
    <w:basedOn w:val="1"/>
    <w:next w:val="5"/>
    <w:autoRedefine/>
    <w:qFormat/>
    <w:uiPriority w:val="0"/>
    <w:pPr>
      <w:widowControl/>
      <w:pBdr>
        <w:bottom w:val="single" w:color="auto" w:sz="4" w:space="0"/>
      </w:pBdr>
      <w:spacing w:before="100" w:beforeAutospacing="1" w:after="100" w:afterAutospacing="1"/>
      <w:textAlignment w:val="top"/>
    </w:pPr>
    <w:rPr>
      <w:rFonts w:ascii="Arial Unicode MS" w:hAnsi="Arial Unicode MS" w:eastAsia="Arial Unicode MS" w:cs="Arial Unicode MS"/>
    </w:rPr>
  </w:style>
  <w:style w:type="paragraph" w:styleId="5">
    <w:name w:val="List Continue 3"/>
    <w:basedOn w:val="1"/>
    <w:next w:val="6"/>
    <w:qFormat/>
    <w:uiPriority w:val="0"/>
    <w:pPr>
      <w:spacing w:after="120"/>
      <w:ind w:left="1260" w:leftChars="600"/>
    </w:pPr>
    <w:rPr>
      <w:sz w:val="24"/>
    </w:rPr>
  </w:style>
  <w:style w:type="paragraph" w:customStyle="1" w:styleId="6">
    <w:name w:val="表编号文字"/>
    <w:next w:val="7"/>
    <w:autoRedefine/>
    <w:semiHidden/>
    <w:qFormat/>
    <w:uiPriority w:val="0"/>
    <w:pPr>
      <w:widowControl w:val="0"/>
      <w:jc w:val="both"/>
    </w:pPr>
    <w:rPr>
      <w:rFonts w:ascii="Times New Roman" w:hAnsi="Times New Roman" w:eastAsia="宋体" w:cs="Times New Roman"/>
      <w:sz w:val="21"/>
      <w:lang w:val="en-US" w:eastAsia="zh-CN" w:bidi="ar-SA"/>
    </w:rPr>
  </w:style>
  <w:style w:type="paragraph" w:customStyle="1" w:styleId="7">
    <w:name w:val="默认段落字体 Para Char Char Char Char"/>
    <w:basedOn w:val="1"/>
    <w:next w:val="1"/>
    <w:autoRedefine/>
    <w:qFormat/>
    <w:uiPriority w:val="0"/>
    <w:rPr>
      <w:sz w:val="24"/>
    </w:rPr>
  </w:style>
  <w:style w:type="paragraph" w:styleId="12">
    <w:name w:val="List 3"/>
    <w:basedOn w:val="1"/>
    <w:next w:val="1"/>
    <w:qFormat/>
    <w:uiPriority w:val="0"/>
    <w:pPr>
      <w:ind w:left="100" w:leftChars="400" w:hanging="200" w:hangingChars="200"/>
      <w:contextualSpacing/>
    </w:pPr>
    <w:rPr>
      <w:szCs w:val="24"/>
    </w:rPr>
  </w:style>
  <w:style w:type="paragraph" w:styleId="13">
    <w:name w:val="table of authorities"/>
    <w:basedOn w:val="1"/>
    <w:next w:val="1"/>
    <w:qFormat/>
    <w:uiPriority w:val="0"/>
    <w:pPr>
      <w:ind w:left="420" w:leftChars="200"/>
    </w:pPr>
  </w:style>
  <w:style w:type="paragraph" w:styleId="14">
    <w:name w:val="caption"/>
    <w:basedOn w:val="1"/>
    <w:next w:val="1"/>
    <w:qFormat/>
    <w:uiPriority w:val="0"/>
    <w:pPr>
      <w:adjustRightInd w:val="0"/>
      <w:snapToGrid w:val="0"/>
      <w:spacing w:line="360" w:lineRule="auto"/>
      <w:jc w:val="left"/>
    </w:pPr>
    <w:rPr>
      <w:rFonts w:eastAsia="黑体"/>
      <w:sz w:val="24"/>
      <w:szCs w:val="20"/>
    </w:rPr>
  </w:style>
  <w:style w:type="paragraph" w:styleId="15">
    <w:name w:val="annotation text"/>
    <w:basedOn w:val="1"/>
    <w:link w:val="67"/>
    <w:semiHidden/>
    <w:qFormat/>
    <w:uiPriority w:val="0"/>
    <w:pPr>
      <w:jc w:val="left"/>
    </w:pPr>
    <w:rPr>
      <w:kern w:val="0"/>
      <w:sz w:val="24"/>
      <w:szCs w:val="20"/>
    </w:rPr>
  </w:style>
  <w:style w:type="paragraph" w:styleId="16">
    <w:name w:val="Body Text 3"/>
    <w:basedOn w:val="1"/>
    <w:qFormat/>
    <w:uiPriority w:val="0"/>
    <w:pPr>
      <w:spacing w:after="120"/>
    </w:pPr>
    <w:rPr>
      <w:sz w:val="16"/>
      <w:szCs w:val="16"/>
    </w:rPr>
  </w:style>
  <w:style w:type="paragraph" w:styleId="17">
    <w:name w:val="Body Text"/>
    <w:basedOn w:val="1"/>
    <w:next w:val="1"/>
    <w:qFormat/>
    <w:uiPriority w:val="0"/>
    <w:pPr>
      <w:spacing w:after="120"/>
    </w:pPr>
    <w:rPr>
      <w:kern w:val="0"/>
      <w:sz w:val="20"/>
    </w:rPr>
  </w:style>
  <w:style w:type="paragraph" w:styleId="18">
    <w:name w:val="Body Text Indent"/>
    <w:basedOn w:val="1"/>
    <w:next w:val="2"/>
    <w:qFormat/>
    <w:uiPriority w:val="0"/>
    <w:pPr>
      <w:spacing w:after="120"/>
      <w:ind w:left="420" w:leftChars="200"/>
    </w:pPr>
    <w:rPr>
      <w:kern w:val="0"/>
      <w:sz w:val="24"/>
      <w:szCs w:val="20"/>
    </w:rPr>
  </w:style>
  <w:style w:type="paragraph" w:styleId="19">
    <w:name w:val="Block Text"/>
    <w:basedOn w:val="1"/>
    <w:qFormat/>
    <w:uiPriority w:val="0"/>
    <w:pPr>
      <w:spacing w:after="120"/>
      <w:ind w:left="1440" w:right="1440"/>
    </w:pPr>
    <w:rPr>
      <w:rFonts w:ascii="宋体" w:hAnsi="Arial Black"/>
      <w:kern w:val="44"/>
      <w:sz w:val="20"/>
    </w:rPr>
  </w:style>
  <w:style w:type="paragraph" w:styleId="20">
    <w:name w:val="Plain Text"/>
    <w:basedOn w:val="1"/>
    <w:qFormat/>
    <w:uiPriority w:val="0"/>
    <w:rPr>
      <w:rFonts w:ascii="宋体" w:hAnsi="Courier New" w:cs="Courier New"/>
    </w:rPr>
  </w:style>
  <w:style w:type="paragraph" w:styleId="21">
    <w:name w:val="endnote text"/>
    <w:basedOn w:val="1"/>
    <w:qFormat/>
    <w:uiPriority w:val="0"/>
    <w:pPr>
      <w:snapToGrid w:val="0"/>
      <w:jc w:val="left"/>
    </w:pPr>
    <w:rPr>
      <w:sz w:val="24"/>
    </w:rPr>
  </w:style>
  <w:style w:type="paragraph" w:styleId="22">
    <w:name w:val="Balloon Text"/>
    <w:basedOn w:val="1"/>
    <w:link w:val="66"/>
    <w:qFormat/>
    <w:uiPriority w:val="0"/>
    <w:rPr>
      <w:sz w:val="18"/>
      <w:szCs w:val="18"/>
    </w:rPr>
  </w:style>
  <w:style w:type="paragraph" w:styleId="23">
    <w:name w:val="footer"/>
    <w:basedOn w:val="1"/>
    <w:qFormat/>
    <w:uiPriority w:val="0"/>
    <w:pPr>
      <w:tabs>
        <w:tab w:val="center" w:pos="4153"/>
        <w:tab w:val="right" w:pos="8306"/>
      </w:tabs>
      <w:snapToGrid w:val="0"/>
      <w:jc w:val="left"/>
    </w:pPr>
    <w:rPr>
      <w:sz w:val="18"/>
      <w:szCs w:val="18"/>
    </w:rPr>
  </w:style>
  <w:style w:type="paragraph" w:styleId="24">
    <w:name w:val="header"/>
    <w:basedOn w:val="1"/>
    <w:next w:val="1"/>
    <w:qFormat/>
    <w:uiPriority w:val="0"/>
    <w:pPr>
      <w:pBdr>
        <w:bottom w:val="single" w:color="auto" w:sz="6" w:space="1"/>
      </w:pBdr>
      <w:tabs>
        <w:tab w:val="center" w:pos="4153"/>
        <w:tab w:val="right" w:pos="8306"/>
      </w:tabs>
      <w:snapToGrid w:val="0"/>
      <w:jc w:val="center"/>
    </w:pPr>
    <w:rPr>
      <w:kern w:val="0"/>
      <w:sz w:val="18"/>
      <w:szCs w:val="18"/>
    </w:rPr>
  </w:style>
  <w:style w:type="paragraph" w:styleId="25">
    <w:name w:val="toc 1"/>
    <w:basedOn w:val="1"/>
    <w:next w:val="1"/>
    <w:qFormat/>
    <w:uiPriority w:val="0"/>
  </w:style>
  <w:style w:type="paragraph" w:styleId="26">
    <w:name w:val="Subtitle"/>
    <w:basedOn w:val="1"/>
    <w:next w:val="1"/>
    <w:qFormat/>
    <w:uiPriority w:val="0"/>
    <w:pPr>
      <w:spacing w:line="320" w:lineRule="exact"/>
      <w:jc w:val="center"/>
    </w:pPr>
    <w:rPr>
      <w:rFonts w:ascii="Cambria" w:hAnsi="Cambria" w:eastAsia="Times New Roman"/>
      <w:bCs/>
      <w:kern w:val="28"/>
      <w:szCs w:val="32"/>
    </w:rPr>
  </w:style>
  <w:style w:type="paragraph" w:styleId="27">
    <w:name w:val="Body Text Indent 3"/>
    <w:basedOn w:val="1"/>
    <w:qFormat/>
    <w:uiPriority w:val="0"/>
    <w:pPr>
      <w:spacing w:line="800" w:lineRule="exact"/>
      <w:ind w:firstLine="646"/>
    </w:pPr>
    <w:rPr>
      <w:rFonts w:eastAsia="仿宋_GB2312"/>
      <w:sz w:val="32"/>
    </w:rPr>
  </w:style>
  <w:style w:type="paragraph" w:styleId="28">
    <w:name w:val="table of figures"/>
    <w:basedOn w:val="1"/>
    <w:next w:val="1"/>
    <w:qFormat/>
    <w:uiPriority w:val="0"/>
    <w:pPr>
      <w:ind w:left="1920" w:leftChars="200"/>
      <w:jc w:val="center"/>
    </w:pPr>
    <w:rPr>
      <w:b/>
      <w:kern w:val="0"/>
      <w:szCs w:val="20"/>
    </w:rPr>
  </w:style>
  <w:style w:type="paragraph" w:styleId="29">
    <w:name w:val="toc 2"/>
    <w:basedOn w:val="1"/>
    <w:next w:val="1"/>
    <w:qFormat/>
    <w:uiPriority w:val="39"/>
    <w:pPr>
      <w:ind w:left="420" w:leftChars="200"/>
    </w:pPr>
  </w:style>
  <w:style w:type="paragraph" w:styleId="30">
    <w:name w:val="Normal (Web)"/>
    <w:basedOn w:val="1"/>
    <w:qFormat/>
    <w:uiPriority w:val="0"/>
    <w:pPr>
      <w:widowControl/>
      <w:spacing w:before="100" w:beforeAutospacing="1" w:after="100" w:afterAutospacing="1"/>
      <w:jc w:val="left"/>
    </w:pPr>
    <w:rPr>
      <w:rFonts w:hint="eastAsia" w:ascii="宋体" w:hAnsi="宋体"/>
      <w:color w:val="000000"/>
      <w:kern w:val="0"/>
      <w:sz w:val="24"/>
    </w:rPr>
  </w:style>
  <w:style w:type="paragraph" w:styleId="31">
    <w:name w:val="annotation subject"/>
    <w:basedOn w:val="15"/>
    <w:next w:val="32"/>
    <w:link w:val="68"/>
    <w:qFormat/>
    <w:uiPriority w:val="0"/>
    <w:rPr>
      <w:b/>
      <w:bCs/>
      <w:kern w:val="2"/>
      <w:sz w:val="21"/>
      <w:szCs w:val="21"/>
    </w:rPr>
  </w:style>
  <w:style w:type="paragraph" w:customStyle="1" w:styleId="32">
    <w:name w:val="样式 标题 1 + 黑色"/>
    <w:basedOn w:val="3"/>
    <w:next w:val="1"/>
    <w:autoRedefine/>
    <w:qFormat/>
    <w:uiPriority w:val="0"/>
    <w:pPr>
      <w:keepNext w:val="0"/>
      <w:pageBreakBefore/>
      <w:widowControl/>
      <w:numPr>
        <w:ilvl w:val="0"/>
        <w:numId w:val="0"/>
      </w:numPr>
      <w:tabs>
        <w:tab w:val="left" w:pos="567"/>
        <w:tab w:val="left" w:pos="5652"/>
      </w:tabs>
      <w:spacing w:before="240" w:line="240" w:lineRule="auto"/>
      <w:ind w:left="431" w:hanging="431"/>
      <w:jc w:val="left"/>
    </w:pPr>
    <w:rPr>
      <w:snapToGrid/>
      <w:color w:val="000000"/>
      <w:kern w:val="32"/>
      <w:sz w:val="32"/>
      <w:szCs w:val="32"/>
    </w:rPr>
  </w:style>
  <w:style w:type="paragraph" w:styleId="33">
    <w:name w:val="Body Text First Indent"/>
    <w:basedOn w:val="17"/>
    <w:qFormat/>
    <w:uiPriority w:val="0"/>
    <w:pPr>
      <w:ind w:firstLine="420" w:firstLineChars="100"/>
    </w:pPr>
  </w:style>
  <w:style w:type="paragraph" w:styleId="34">
    <w:name w:val="Body Text First Indent 2"/>
    <w:basedOn w:val="18"/>
    <w:next w:val="1"/>
    <w:qFormat/>
    <w:uiPriority w:val="0"/>
    <w:pPr>
      <w:ind w:firstLine="420" w:firstLineChars="200"/>
    </w:pPr>
    <w:rPr>
      <w:sz w:val="21"/>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8">
    <w:name w:val="Hyperlink"/>
    <w:qFormat/>
    <w:uiPriority w:val="0"/>
    <w:rPr>
      <w:color w:val="0000FF"/>
      <w:u w:val="single"/>
    </w:rPr>
  </w:style>
  <w:style w:type="character" w:styleId="39">
    <w:name w:val="annotation reference"/>
    <w:semiHidden/>
    <w:qFormat/>
    <w:uiPriority w:val="0"/>
    <w:rPr>
      <w:sz w:val="21"/>
    </w:rPr>
  </w:style>
  <w:style w:type="paragraph" w:customStyle="1" w:styleId="40">
    <w:name w:val="xl27"/>
    <w:basedOn w:val="13"/>
    <w:qFormat/>
    <w:uiPriority w:val="0"/>
    <w:pPr>
      <w:widowControl/>
      <w:pBdr>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rPr>
  </w:style>
  <w:style w:type="paragraph" w:customStyle="1" w:styleId="41">
    <w:name w:val="样式9"/>
    <w:basedOn w:val="1"/>
    <w:qFormat/>
    <w:uiPriority w:val="0"/>
    <w:pPr>
      <w:adjustRightInd w:val="0"/>
      <w:snapToGrid w:val="0"/>
      <w:spacing w:line="460" w:lineRule="exact"/>
      <w:ind w:firstLine="520" w:firstLineChars="200"/>
    </w:pPr>
    <w:rPr>
      <w:sz w:val="26"/>
      <w:szCs w:val="26"/>
    </w:rPr>
  </w:style>
  <w:style w:type="paragraph" w:customStyle="1" w:styleId="42">
    <w:name w:val="表格"/>
    <w:basedOn w:val="2"/>
    <w:next w:val="1"/>
    <w:qFormat/>
    <w:uiPriority w:val="0"/>
    <w:pPr>
      <w:adjustRightInd w:val="0"/>
      <w:snapToGrid w:val="0"/>
      <w:spacing w:beforeLines="10" w:afterLines="10" w:line="259" w:lineRule="auto"/>
      <w:jc w:val="center"/>
    </w:pPr>
    <w:rPr>
      <w:rFonts w:ascii="宋体"/>
      <w:kern w:val="0"/>
      <w:szCs w:val="20"/>
    </w:rPr>
  </w:style>
  <w:style w:type="paragraph" w:customStyle="1" w:styleId="43">
    <w:name w:val="正文首行"/>
    <w:basedOn w:val="2"/>
    <w:qFormat/>
    <w:uiPriority w:val="0"/>
    <w:pPr>
      <w:spacing w:line="480" w:lineRule="exact"/>
      <w:ind w:firstLine="200"/>
    </w:pPr>
  </w:style>
  <w:style w:type="paragraph" w:customStyle="1" w:styleId="44">
    <w:name w:val="WPSOffice手动目录 1"/>
    <w:qFormat/>
    <w:uiPriority w:val="0"/>
    <w:rPr>
      <w:rFonts w:asciiTheme="minorHAnsi" w:hAnsiTheme="minorHAnsi" w:eastAsiaTheme="minorEastAsia" w:cstheme="minorBidi"/>
      <w:lang w:val="en-US" w:eastAsia="zh-CN" w:bidi="ar-SA"/>
    </w:rPr>
  </w:style>
  <w:style w:type="paragraph" w:customStyle="1" w:styleId="45">
    <w:name w:val="S报告正文"/>
    <w:basedOn w:val="1"/>
    <w:qFormat/>
    <w:uiPriority w:val="0"/>
    <w:pPr>
      <w:adjustRightInd w:val="0"/>
      <w:snapToGrid w:val="0"/>
      <w:spacing w:line="480" w:lineRule="exact"/>
      <w:ind w:firstLine="510"/>
      <w:jc w:val="left"/>
    </w:pPr>
    <w:rPr>
      <w:sz w:val="24"/>
    </w:rPr>
  </w:style>
  <w:style w:type="paragraph" w:customStyle="1" w:styleId="46">
    <w:name w:val="S表名图名"/>
    <w:basedOn w:val="45"/>
    <w:qFormat/>
    <w:uiPriority w:val="1"/>
    <w:pPr>
      <w:ind w:firstLine="0"/>
      <w:jc w:val="center"/>
    </w:pPr>
    <w:rPr>
      <w:b/>
      <w:szCs w:val="23"/>
    </w:rPr>
  </w:style>
  <w:style w:type="paragraph" w:customStyle="1" w:styleId="47">
    <w:name w:val="S表格文字"/>
    <w:basedOn w:val="33"/>
    <w:qFormat/>
    <w:uiPriority w:val="0"/>
    <w:pPr>
      <w:adjustRightInd w:val="0"/>
      <w:snapToGrid w:val="0"/>
      <w:spacing w:before="20" w:after="20"/>
      <w:ind w:firstLine="0" w:firstLineChars="0"/>
      <w:jc w:val="center"/>
    </w:pPr>
    <w:rPr>
      <w:szCs w:val="20"/>
    </w:rPr>
  </w:style>
  <w:style w:type="paragraph" w:customStyle="1" w:styleId="48">
    <w:name w:val="S备注"/>
    <w:basedOn w:val="45"/>
    <w:qFormat/>
    <w:uiPriority w:val="0"/>
    <w:pPr>
      <w:spacing w:before="60" w:after="120" w:line="240" w:lineRule="auto"/>
      <w:ind w:firstLine="0"/>
    </w:pPr>
    <w:rPr>
      <w:b/>
      <w:sz w:val="21"/>
    </w:rPr>
  </w:style>
  <w:style w:type="paragraph" w:customStyle="1" w:styleId="49">
    <w:name w:val="正文首行缩进 2 + Times New Roman"/>
    <w:basedOn w:val="1"/>
    <w:qFormat/>
    <w:uiPriority w:val="0"/>
    <w:pPr>
      <w:tabs>
        <w:tab w:val="left" w:pos="0"/>
        <w:tab w:val="left" w:pos="870"/>
        <w:tab w:val="left" w:pos="3150"/>
      </w:tabs>
      <w:autoSpaceDE w:val="0"/>
      <w:autoSpaceDN w:val="0"/>
      <w:spacing w:line="360" w:lineRule="auto"/>
      <w:ind w:firstLine="480" w:firstLineChars="200"/>
      <w:jc w:val="left"/>
    </w:pPr>
    <w:rPr>
      <w:kern w:val="0"/>
      <w:sz w:val="24"/>
    </w:rPr>
  </w:style>
  <w:style w:type="paragraph" w:customStyle="1" w:styleId="50">
    <w:name w:val="表格文字"/>
    <w:basedOn w:val="33"/>
    <w:qFormat/>
    <w:uiPriority w:val="0"/>
    <w:pPr>
      <w:spacing w:line="0" w:lineRule="atLeast"/>
      <w:jc w:val="center"/>
    </w:pPr>
    <w:rPr>
      <w:sz w:val="28"/>
      <w:szCs w:val="20"/>
    </w:rPr>
  </w:style>
  <w:style w:type="paragraph" w:customStyle="1" w:styleId="51">
    <w:name w:val="目录 21"/>
    <w:basedOn w:val="1"/>
    <w:next w:val="1"/>
    <w:qFormat/>
    <w:locked/>
    <w:uiPriority w:val="39"/>
    <w:pPr>
      <w:ind w:left="420" w:leftChars="200"/>
    </w:pPr>
  </w:style>
  <w:style w:type="paragraph" w:customStyle="1" w:styleId="52">
    <w:name w:val="正文格式"/>
    <w:basedOn w:val="1"/>
    <w:qFormat/>
    <w:uiPriority w:val="0"/>
    <w:pPr>
      <w:spacing w:line="360" w:lineRule="auto"/>
      <w:ind w:firstLine="560" w:firstLineChars="200"/>
    </w:pPr>
    <w:rPr>
      <w:rFonts w:ascii="宋体" w:hAnsi="宋体"/>
      <w:sz w:val="28"/>
      <w:szCs w:val="28"/>
    </w:rPr>
  </w:style>
  <w:style w:type="paragraph" w:customStyle="1" w:styleId="53">
    <w:name w:val="列出段落1"/>
    <w:basedOn w:val="1"/>
    <w:qFormat/>
    <w:uiPriority w:val="0"/>
    <w:pPr>
      <w:ind w:firstLine="420" w:firstLineChars="200"/>
    </w:pPr>
    <w:rPr>
      <w:rFonts w:ascii="Calibri" w:hAnsi="Calibri"/>
    </w:rPr>
  </w:style>
  <w:style w:type="character" w:customStyle="1" w:styleId="54">
    <w:name w:val="content1"/>
    <w:basedOn w:val="37"/>
    <w:qFormat/>
    <w:uiPriority w:val="0"/>
    <w:rPr>
      <w:rFonts w:ascii="Times New Roman" w:hAnsi="Times New Roman" w:eastAsia="宋体" w:cs="Times New Roman"/>
      <w:color w:val="000000"/>
      <w:sz w:val="20"/>
      <w:szCs w:val="20"/>
    </w:rPr>
  </w:style>
  <w:style w:type="paragraph" w:customStyle="1" w:styleId="55">
    <w:name w:val="正文小四"/>
    <w:qFormat/>
    <w:uiPriority w:val="0"/>
    <w:pPr>
      <w:ind w:firstLine="360" w:firstLineChars="150"/>
    </w:pPr>
    <w:rPr>
      <w:rFonts w:ascii="宋体" w:hAnsi="宋体" w:eastAsia="宋体" w:cs="Times New Roman"/>
      <w:kern w:val="2"/>
      <w:sz w:val="24"/>
      <w:szCs w:val="24"/>
      <w:lang w:val="en-US" w:eastAsia="zh-CN" w:bidi="ar-SA"/>
    </w:rPr>
  </w:style>
  <w:style w:type="paragraph" w:customStyle="1" w:styleId="56">
    <w:name w:val="表格1"/>
    <w:basedOn w:val="1"/>
    <w:qFormat/>
    <w:uiPriority w:val="0"/>
    <w:pPr>
      <w:adjustRightInd w:val="0"/>
      <w:spacing w:line="400" w:lineRule="atLeast"/>
      <w:jc w:val="center"/>
    </w:pPr>
    <w:rPr>
      <w:kern w:val="0"/>
    </w:rPr>
  </w:style>
  <w:style w:type="paragraph" w:customStyle="1" w:styleId="57">
    <w:name w:val="报告表头"/>
    <w:basedOn w:val="1"/>
    <w:qFormat/>
    <w:uiPriority w:val="0"/>
    <w:pPr>
      <w:adjustRightInd w:val="0"/>
      <w:spacing w:line="500" w:lineRule="exact"/>
      <w:ind w:firstLine="600"/>
      <w:jc w:val="center"/>
      <w:textAlignment w:val="baseline"/>
    </w:pPr>
    <w:rPr>
      <w:rFonts w:ascii="黑体" w:eastAsia="黑体"/>
      <w:kern w:val="0"/>
      <w:sz w:val="24"/>
    </w:rPr>
  </w:style>
  <w:style w:type="paragraph" w:customStyle="1" w:styleId="58">
    <w:name w:val="书表内容"/>
    <w:basedOn w:val="1"/>
    <w:qFormat/>
    <w:uiPriority w:val="0"/>
    <w:pPr>
      <w:spacing w:line="360" w:lineRule="exact"/>
      <w:jc w:val="center"/>
    </w:pPr>
    <w:rPr>
      <w:szCs w:val="24"/>
    </w:rPr>
  </w:style>
  <w:style w:type="paragraph" w:customStyle="1" w:styleId="59">
    <w:name w:val="样式 小四 居中"/>
    <w:basedOn w:val="1"/>
    <w:qFormat/>
    <w:uiPriority w:val="0"/>
    <w:pPr>
      <w:jc w:val="center"/>
    </w:pPr>
    <w:rPr>
      <w:szCs w:val="20"/>
    </w:rPr>
  </w:style>
  <w:style w:type="paragraph" w:customStyle="1" w:styleId="60">
    <w:name w:val="Default"/>
    <w:basedOn w:val="61"/>
    <w:next w:val="1"/>
    <w:qFormat/>
    <w:uiPriority w:val="0"/>
    <w:pPr>
      <w:autoSpaceDE w:val="0"/>
      <w:autoSpaceDN w:val="0"/>
      <w:jc w:val="left"/>
    </w:pPr>
    <w:rPr>
      <w:color w:val="000000"/>
      <w:kern w:val="0"/>
      <w:sz w:val="24"/>
      <w:szCs w:val="24"/>
    </w:rPr>
  </w:style>
  <w:style w:type="paragraph" w:customStyle="1" w:styleId="61">
    <w:name w:val="！正文 Alt+0"/>
    <w:basedOn w:val="1"/>
    <w:autoRedefine/>
    <w:qFormat/>
    <w:uiPriority w:val="0"/>
    <w:pPr>
      <w:ind w:firstLine="200"/>
    </w:pPr>
    <w:rPr>
      <w:sz w:val="28"/>
      <w:szCs w:val="28"/>
    </w:rPr>
  </w:style>
  <w:style w:type="paragraph" w:customStyle="1" w:styleId="62">
    <w:name w:val="纯文本1"/>
    <w:basedOn w:val="1"/>
    <w:qFormat/>
    <w:uiPriority w:val="0"/>
    <w:pPr>
      <w:adjustRightInd w:val="0"/>
    </w:pPr>
    <w:rPr>
      <w:rFonts w:hAnsi="Courier New"/>
      <w:szCs w:val="20"/>
    </w:rPr>
  </w:style>
  <w:style w:type="paragraph" w:customStyle="1" w:styleId="63">
    <w:name w:val="文本正文"/>
    <w:basedOn w:val="1"/>
    <w:qFormat/>
    <w:uiPriority w:val="0"/>
    <w:pPr>
      <w:spacing w:line="360" w:lineRule="auto"/>
      <w:ind w:firstLine="480" w:firstLineChars="200"/>
    </w:pPr>
    <w:rPr>
      <w:sz w:val="24"/>
      <w:szCs w:val="24"/>
    </w:rPr>
  </w:style>
  <w:style w:type="paragraph" w:customStyle="1" w:styleId="64">
    <w:name w:val="图表标题"/>
    <w:basedOn w:val="28"/>
    <w:next w:val="42"/>
    <w:qFormat/>
    <w:uiPriority w:val="0"/>
    <w:pPr>
      <w:outlineLvl w:val="4"/>
    </w:pPr>
    <w:rPr>
      <w:bCs/>
      <w:snapToGrid w:val="0"/>
    </w:rPr>
  </w:style>
  <w:style w:type="paragraph" w:customStyle="1" w:styleId="65">
    <w:name w:val="标准正文"/>
    <w:basedOn w:val="1"/>
    <w:qFormat/>
    <w:uiPriority w:val="0"/>
    <w:pPr>
      <w:spacing w:line="360" w:lineRule="auto"/>
      <w:ind w:firstLine="200" w:firstLineChars="200"/>
    </w:pPr>
    <w:rPr>
      <w:rFonts w:hAnsi="宋体"/>
      <w:sz w:val="24"/>
    </w:rPr>
  </w:style>
  <w:style w:type="character" w:customStyle="1" w:styleId="66">
    <w:name w:val="批注框文本 Char"/>
    <w:basedOn w:val="37"/>
    <w:link w:val="22"/>
    <w:qFormat/>
    <w:uiPriority w:val="0"/>
    <w:rPr>
      <w:kern w:val="2"/>
      <w:sz w:val="18"/>
      <w:szCs w:val="18"/>
    </w:rPr>
  </w:style>
  <w:style w:type="character" w:customStyle="1" w:styleId="67">
    <w:name w:val="批注文字 Char"/>
    <w:basedOn w:val="37"/>
    <w:link w:val="15"/>
    <w:semiHidden/>
    <w:qFormat/>
    <w:uiPriority w:val="0"/>
    <w:rPr>
      <w:sz w:val="24"/>
    </w:rPr>
  </w:style>
  <w:style w:type="character" w:customStyle="1" w:styleId="68">
    <w:name w:val="批注主题 Char"/>
    <w:basedOn w:val="67"/>
    <w:link w:val="31"/>
    <w:qFormat/>
    <w:uiPriority w:val="0"/>
    <w:rPr>
      <w:b/>
      <w:bCs/>
      <w:kern w:val="2"/>
      <w:sz w:val="21"/>
      <w:szCs w:val="21"/>
    </w:rPr>
  </w:style>
  <w:style w:type="paragraph" w:customStyle="1" w:styleId="69">
    <w:name w:val="样式 样式 小四 段前: 7.8 磅 段后: 7.8 磅 行距: 1.5 倍行距 + 首行缩进:  2 字符"/>
    <w:basedOn w:val="1"/>
    <w:qFormat/>
    <w:uiPriority w:val="0"/>
    <w:pPr>
      <w:spacing w:line="360" w:lineRule="auto"/>
      <w:ind w:firstLine="480" w:firstLineChars="200"/>
    </w:pPr>
    <w:rPr>
      <w:sz w:val="24"/>
    </w:rPr>
  </w:style>
  <w:style w:type="paragraph" w:customStyle="1" w:styleId="70">
    <w:name w:val="报告表格"/>
    <w:basedOn w:val="71"/>
    <w:qFormat/>
    <w:uiPriority w:val="0"/>
    <w:pPr>
      <w:autoSpaceDE w:val="0"/>
      <w:autoSpaceDN w:val="0"/>
      <w:adjustRightInd w:val="0"/>
      <w:jc w:val="center"/>
      <w:textAlignment w:val="baseline"/>
    </w:pPr>
    <w:rPr>
      <w:b/>
      <w:kern w:val="0"/>
      <w:sz w:val="24"/>
      <w:szCs w:val="20"/>
    </w:rPr>
  </w:style>
  <w:style w:type="paragraph" w:customStyle="1" w:styleId="71">
    <w:name w:val="报告正文"/>
    <w:basedOn w:val="1"/>
    <w:qFormat/>
    <w:uiPriority w:val="0"/>
    <w:pPr>
      <w:spacing w:line="360" w:lineRule="auto"/>
      <w:ind w:firstLine="200" w:firstLineChars="200"/>
      <w:jc w:val="left"/>
    </w:pPr>
    <w:rPr>
      <w:rFonts w:ascii="Cambria Math" w:hAnsi="Cambria Math" w:cs="Yu Mincho Light"/>
      <w:kern w:val="0"/>
      <w:sz w:val="24"/>
    </w:rPr>
  </w:style>
  <w:style w:type="paragraph" w:customStyle="1" w:styleId="72">
    <w:name w:val="表格内容"/>
    <w:basedOn w:val="73"/>
    <w:next w:val="1"/>
    <w:qFormat/>
    <w:uiPriority w:val="0"/>
    <w:pPr>
      <w:spacing w:line="240" w:lineRule="auto"/>
    </w:pPr>
    <w:rPr>
      <w:rFonts w:ascii="Times New Roman"/>
    </w:rPr>
  </w:style>
  <w:style w:type="paragraph" w:customStyle="1" w:styleId="73">
    <w:name w:val="图名"/>
    <w:basedOn w:val="74"/>
    <w:next w:val="74"/>
    <w:autoRedefine/>
    <w:qFormat/>
    <w:uiPriority w:val="0"/>
    <w:pPr>
      <w:spacing w:line="440" w:lineRule="exact"/>
      <w:jc w:val="center"/>
    </w:pPr>
    <w:rPr>
      <w:b/>
      <w:color w:val="000000"/>
      <w:kern w:val="2"/>
      <w:sz w:val="24"/>
      <w:szCs w:val="24"/>
      <w:lang w:val="en-US" w:eastAsia="zh-CN" w:bidi="ar-SA"/>
    </w:rPr>
  </w:style>
  <w:style w:type="paragraph" w:customStyle="1" w:styleId="74">
    <w:name w:val="内容"/>
    <w:basedOn w:val="1"/>
    <w:autoRedefine/>
    <w:qFormat/>
    <w:uiPriority w:val="0"/>
    <w:pPr>
      <w:spacing w:line="360" w:lineRule="auto"/>
      <w:ind w:firstLine="200" w:firstLineChars="200"/>
    </w:pPr>
    <w:rPr>
      <w:sz w:val="24"/>
    </w:rPr>
  </w:style>
  <w:style w:type="paragraph" w:customStyle="1" w:styleId="75">
    <w:name w:val="正文（源通）"/>
    <w:basedOn w:val="1"/>
    <w:qFormat/>
    <w:uiPriority w:val="0"/>
    <w:pPr>
      <w:spacing w:line="500" w:lineRule="exact"/>
      <w:ind w:firstLine="480" w:firstLineChars="200"/>
    </w:pPr>
    <w:rPr>
      <w:rFonts w:eastAsia="Times New Roman"/>
      <w:color w:val="FF0000"/>
    </w:rPr>
  </w:style>
  <w:style w:type="paragraph" w:customStyle="1" w:styleId="76">
    <w:name w:val="样式 四号"/>
    <w:basedOn w:val="1"/>
    <w:qFormat/>
    <w:uiPriority w:val="0"/>
    <w:pPr>
      <w:ind w:firstLine="560" w:firstLineChars="200"/>
      <w:jc w:val="left"/>
    </w:pPr>
    <w:rPr>
      <w:rFonts w:cs="宋体"/>
      <w:sz w:val="24"/>
      <w:szCs w:val="20"/>
    </w:rPr>
  </w:style>
  <w:style w:type="character" w:customStyle="1" w:styleId="77">
    <w:name w:val="16"/>
    <w:qFormat/>
    <w:uiPriority w:val="0"/>
    <w:rPr>
      <w:rFonts w:hint="default" w:ascii="Calibri" w:hAnsi="Calibri" w:cs="Calibri"/>
      <w:color w:val="000000"/>
      <w:sz w:val="24"/>
      <w:szCs w:val="24"/>
    </w:rPr>
  </w:style>
  <w:style w:type="character" w:customStyle="1" w:styleId="78">
    <w:name w:val="15"/>
    <w:qFormat/>
    <w:uiPriority w:val="0"/>
    <w:rPr>
      <w:rFonts w:hint="eastAsia" w:ascii="宋体" w:hAnsi="宋体" w:eastAsia="宋体" w:cs="宋体"/>
      <w:color w:val="000000"/>
      <w:sz w:val="24"/>
      <w:szCs w:val="24"/>
    </w:rPr>
  </w:style>
  <w:style w:type="paragraph" w:customStyle="1" w:styleId="79">
    <w:name w:val="报告表样式"/>
    <w:basedOn w:val="1"/>
    <w:qFormat/>
    <w:uiPriority w:val="0"/>
    <w:pPr>
      <w:adjustRightInd w:val="0"/>
      <w:snapToGrid w:val="0"/>
      <w:spacing w:line="360" w:lineRule="auto"/>
      <w:ind w:firstLine="200" w:firstLineChars="200"/>
    </w:pPr>
    <w:rPr>
      <w:kern w:val="0"/>
      <w:sz w:val="28"/>
      <w:szCs w:val="28"/>
    </w:rPr>
  </w:style>
  <w:style w:type="paragraph" w:customStyle="1" w:styleId="80">
    <w:name w:val="样式1"/>
    <w:basedOn w:val="1"/>
    <w:next w:val="19"/>
    <w:qFormat/>
    <w:uiPriority w:val="0"/>
    <w:pPr>
      <w:jc w:val="center"/>
    </w:pPr>
    <w:rPr>
      <w:kern w:val="0"/>
      <w:szCs w:val="20"/>
    </w:rPr>
  </w:style>
  <w:style w:type="paragraph" w:customStyle="1" w:styleId="81">
    <w:name w:val="图表标注"/>
    <w:basedOn w:val="1"/>
    <w:qFormat/>
    <w:uiPriority w:val="0"/>
    <w:pPr>
      <w:spacing w:line="480" w:lineRule="exact"/>
      <w:jc w:val="center"/>
    </w:pPr>
    <w:rPr>
      <w:rFonts w:eastAsia="黑体"/>
      <w:kern w:val="0"/>
      <w:sz w:val="20"/>
      <w:szCs w:val="20"/>
    </w:rPr>
  </w:style>
  <w:style w:type="character" w:customStyle="1" w:styleId="82">
    <w:name w:val="font21"/>
    <w:basedOn w:val="37"/>
    <w:qFormat/>
    <w:uiPriority w:val="0"/>
    <w:rPr>
      <w:rFonts w:hint="eastAsia" w:ascii="宋体" w:hAnsi="宋体" w:eastAsia="宋体" w:cs="宋体"/>
      <w:color w:val="000000"/>
      <w:sz w:val="21"/>
      <w:szCs w:val="21"/>
      <w:u w:val="none"/>
    </w:rPr>
  </w:style>
  <w:style w:type="character" w:customStyle="1" w:styleId="83">
    <w:name w:val="font01"/>
    <w:basedOn w:val="37"/>
    <w:qFormat/>
    <w:uiPriority w:val="0"/>
    <w:rPr>
      <w:rFonts w:hint="default" w:ascii="Calibri" w:hAnsi="Calibri" w:cs="Calibri"/>
      <w:color w:val="000000"/>
      <w:sz w:val="21"/>
      <w:szCs w:val="21"/>
      <w:u w:val="none"/>
    </w:rPr>
  </w:style>
  <w:style w:type="character" w:customStyle="1" w:styleId="84">
    <w:name w:val="font31"/>
    <w:basedOn w:val="37"/>
    <w:qFormat/>
    <w:uiPriority w:val="0"/>
    <w:rPr>
      <w:rFonts w:hint="eastAsia" w:ascii="宋体" w:hAnsi="宋体" w:eastAsia="宋体" w:cs="宋体"/>
      <w:color w:val="000000"/>
      <w:sz w:val="21"/>
      <w:szCs w:val="21"/>
      <w:u w:val="none"/>
    </w:rPr>
  </w:style>
  <w:style w:type="paragraph" w:customStyle="1" w:styleId="85">
    <w:name w:val="段落 Char1"/>
    <w:basedOn w:val="1"/>
    <w:qFormat/>
    <w:uiPriority w:val="0"/>
    <w:pPr>
      <w:tabs>
        <w:tab w:val="left" w:pos="1021"/>
      </w:tabs>
      <w:spacing w:line="360" w:lineRule="auto"/>
      <w:ind w:firstLine="504" w:firstLineChars="200"/>
    </w:pPr>
    <w:rPr>
      <w:rFonts w:hAnsi="宋体"/>
      <w:bCs/>
      <w:color w:val="000000"/>
      <w:spacing w:val="6"/>
      <w:kern w:val="0"/>
      <w:sz w:val="24"/>
      <w:szCs w:val="28"/>
    </w:rPr>
  </w:style>
  <w:style w:type="paragraph" w:customStyle="1" w:styleId="86">
    <w:name w:val="1文章"/>
    <w:basedOn w:val="1"/>
    <w:qFormat/>
    <w:uiPriority w:val="0"/>
    <w:pPr>
      <w:snapToGrid w:val="0"/>
      <w:spacing w:line="360" w:lineRule="auto"/>
      <w:ind w:firstLine="573"/>
    </w:pPr>
    <w:rPr>
      <w:rFonts w:eastAsia="仿宋_GB2312"/>
      <w:sz w:val="28"/>
      <w:szCs w:val="20"/>
    </w:rPr>
  </w:style>
  <w:style w:type="paragraph" w:customStyle="1" w:styleId="87">
    <w:name w:val="报告表正文"/>
    <w:basedOn w:val="1"/>
    <w:qFormat/>
    <w:uiPriority w:val="0"/>
    <w:pPr>
      <w:adjustRightInd w:val="0"/>
      <w:spacing w:line="312" w:lineRule="auto"/>
      <w:ind w:left="113" w:right="113" w:firstLine="482"/>
      <w:jc w:val="left"/>
      <w:textAlignment w:val="baseline"/>
    </w:pPr>
    <w:rPr>
      <w:kern w:val="0"/>
      <w:sz w:val="24"/>
    </w:rPr>
  </w:style>
  <w:style w:type="paragraph" w:customStyle="1" w:styleId="88">
    <w:name w:val="表格正文"/>
    <w:basedOn w:val="1"/>
    <w:qFormat/>
    <w:uiPriority w:val="0"/>
    <w:pPr>
      <w:spacing w:line="240" w:lineRule="auto"/>
      <w:ind w:firstLine="0" w:firstLineChars="0"/>
      <w:jc w:val="center"/>
    </w:pPr>
    <w:rPr>
      <w:rFonts w:cs="Times New Roman"/>
      <w:sz w:val="21"/>
    </w:rPr>
  </w:style>
  <w:style w:type="paragraph" w:customStyle="1" w:styleId="89">
    <w:name w:val="正文01"/>
    <w:basedOn w:val="1"/>
    <w:qFormat/>
    <w:uiPriority w:val="0"/>
    <w:pPr>
      <w:spacing w:before="60" w:line="460" w:lineRule="exact"/>
      <w:ind w:firstLine="200" w:firstLineChars="200"/>
    </w:pPr>
    <w:rPr>
      <w:bCs/>
      <w:sz w:val="24"/>
      <w:szCs w:val="20"/>
    </w:rPr>
  </w:style>
  <w:style w:type="paragraph" w:customStyle="1" w:styleId="90">
    <w:name w:val="lxc 表头样式1"/>
    <w:basedOn w:val="1"/>
    <w:qFormat/>
    <w:uiPriority w:val="0"/>
    <w:pPr>
      <w:spacing w:line="360" w:lineRule="auto"/>
      <w:jc w:val="center"/>
    </w:pPr>
    <w:rPr>
      <w:b/>
      <w:sz w:val="24"/>
    </w:rPr>
  </w:style>
  <w:style w:type="paragraph" w:customStyle="1" w:styleId="91">
    <w:name w:val="小表格"/>
    <w:basedOn w:val="1"/>
    <w:qFormat/>
    <w:uiPriority w:val="0"/>
    <w:pPr>
      <w:spacing w:line="320" w:lineRule="exact"/>
      <w:ind w:firstLine="0" w:firstLineChars="0"/>
      <w:jc w:val="center"/>
    </w:pPr>
    <w:rPr>
      <w:sz w:val="21"/>
    </w:rPr>
  </w:style>
  <w:style w:type="paragraph" w:customStyle="1" w:styleId="92">
    <w:name w:val="正文文"/>
    <w:basedOn w:val="1"/>
    <w:qFormat/>
    <w:uiPriority w:val="0"/>
    <w:pPr>
      <w:ind w:firstLine="1441"/>
      <w:jc w:val="left"/>
    </w:pPr>
  </w:style>
  <w:style w:type="paragraph" w:customStyle="1" w:styleId="93">
    <w:name w:val="BG1"/>
    <w:basedOn w:val="1"/>
    <w:qFormat/>
    <w:uiPriority w:val="0"/>
    <w:pPr>
      <w:spacing w:line="360" w:lineRule="auto"/>
      <w:ind w:firstLine="422" w:firstLineChars="200"/>
      <w:jc w:val="center"/>
    </w:pPr>
    <w:rPr>
      <w:b/>
      <w:bCs/>
      <w:color w:val="000000"/>
      <w:kern w:val="0"/>
      <w:sz w:val="30"/>
      <w:szCs w:val="22"/>
    </w:rPr>
  </w:style>
  <w:style w:type="paragraph" w:customStyle="1" w:styleId="94">
    <w:name w:val="ZW"/>
    <w:basedOn w:val="1"/>
    <w:qFormat/>
    <w:uiPriority w:val="0"/>
    <w:pPr>
      <w:adjustRightInd w:val="0"/>
      <w:snapToGrid w:val="0"/>
      <w:spacing w:line="360" w:lineRule="auto"/>
      <w:ind w:firstLine="200" w:firstLineChars="200"/>
    </w:pPr>
    <w:rPr>
      <w:rFonts w:eastAsia="仿宋_GB2312"/>
      <w:kern w:val="0"/>
      <w:sz w:val="28"/>
    </w:rPr>
  </w:style>
  <w:style w:type="character" w:customStyle="1" w:styleId="95">
    <w:name w:val="apple-converted-space"/>
    <w:basedOn w:val="37"/>
    <w:qFormat/>
    <w:uiPriority w:val="0"/>
  </w:style>
  <w:style w:type="paragraph" w:customStyle="1" w:styleId="96">
    <w:name w:val="Table Paragraph"/>
    <w:basedOn w:val="1"/>
    <w:qFormat/>
    <w:uiPriority w:val="0"/>
  </w:style>
  <w:style w:type="paragraph" w:customStyle="1" w:styleId="97">
    <w:name w:val="1表头"/>
    <w:basedOn w:val="1"/>
    <w:qFormat/>
    <w:uiPriority w:val="0"/>
    <w:pPr>
      <w:snapToGrid w:val="0"/>
      <w:spacing w:line="360" w:lineRule="auto"/>
      <w:contextualSpacing/>
      <w:jc w:val="center"/>
      <w:outlineLvl w:val="3"/>
    </w:pPr>
    <w:rPr>
      <w:b/>
      <w:spacing w:val="-3"/>
      <w:kern w:val="0"/>
      <w:sz w:val="20"/>
      <w:szCs w:val="24"/>
    </w:rPr>
  </w:style>
  <w:style w:type="paragraph" w:customStyle="1" w:styleId="98">
    <w:name w:val="正文 32"/>
    <w:basedOn w:val="1"/>
    <w:next w:val="99"/>
    <w:autoRedefine/>
    <w:qFormat/>
    <w:uiPriority w:val="0"/>
    <w:pPr>
      <w:autoSpaceDE w:val="0"/>
      <w:autoSpaceDN w:val="0"/>
      <w:adjustRightInd w:val="0"/>
      <w:spacing w:line="300" w:lineRule="auto"/>
      <w:ind w:firstLine="567"/>
      <w:textAlignment w:val="baseline"/>
    </w:pPr>
    <w:rPr>
      <w:rFonts w:eastAsia="楷体_GB2312"/>
      <w:kern w:val="0"/>
      <w:sz w:val="24"/>
      <w:szCs w:val="22"/>
    </w:rPr>
  </w:style>
  <w:style w:type="paragraph" w:customStyle="1" w:styleId="99">
    <w:name w:val="xl30"/>
    <w:basedOn w:val="1"/>
    <w:next w:val="31"/>
    <w:autoRedefine/>
    <w:qFormat/>
    <w:uiPriority w:val="0"/>
    <w:pPr>
      <w:widowControl/>
      <w:pBdr>
        <w:bottom w:val="single" w:color="auto" w:sz="4" w:space="0"/>
      </w:pBdr>
      <w:spacing w:before="156" w:beforeLines="50"/>
      <w:jc w:val="center"/>
      <w:textAlignment w:val="center"/>
    </w:pPr>
    <w:rPr>
      <w:rFonts w:eastAsia="Arial Unicode MS"/>
      <w:kern w:val="0"/>
    </w:rPr>
  </w:style>
  <w:style w:type="paragraph" w:customStyle="1" w:styleId="100">
    <w:name w:val="!正文"/>
    <w:basedOn w:val="1"/>
    <w:autoRedefine/>
    <w:qFormat/>
    <w:uiPriority w:val="0"/>
    <w:pPr>
      <w:spacing w:line="480" w:lineRule="exact"/>
      <w:ind w:firstLine="480" w:firstLineChars="200"/>
    </w:pPr>
    <w:rPr>
      <w:rFonts w:hAnsi="宋体" w:cs="宋体"/>
    </w:rPr>
  </w:style>
  <w:style w:type="paragraph" w:customStyle="1" w:styleId="101">
    <w:name w:val="7表格文字"/>
    <w:basedOn w:val="1"/>
    <w:qFormat/>
    <w:uiPriority w:val="0"/>
    <w:pPr>
      <w:spacing w:line="240" w:lineRule="auto"/>
      <w:ind w:firstLine="0" w:firstLineChars="0"/>
      <w:jc w:val="center"/>
    </w:pPr>
    <w:rPr>
      <w:sz w:val="21"/>
      <w:szCs w:val="21"/>
    </w:rPr>
  </w:style>
  <w:style w:type="paragraph" w:customStyle="1" w:styleId="102">
    <w:name w:val="表格标题"/>
    <w:basedOn w:val="70"/>
    <w:autoRedefine/>
    <w:qFormat/>
    <w:uiPriority w:val="0"/>
    <w:pPr>
      <w:keepNext/>
      <w:widowControl/>
      <w:jc w:val="center"/>
    </w:pPr>
    <w:rPr>
      <w:rFonts w:ascii="Times New Roman" w:hAnsi="Times New Roman" w:eastAsia="宋体" w:cs="Times New Roman"/>
      <w:kern w:val="0"/>
      <w:sz w:val="21"/>
      <w:szCs w:val="24"/>
    </w:rPr>
  </w:style>
  <w:style w:type="paragraph" w:customStyle="1" w:styleId="103">
    <w:name w:val="小标题"/>
    <w:basedOn w:val="1"/>
    <w:qFormat/>
    <w:uiPriority w:val="0"/>
    <w:pPr>
      <w:adjustRightInd w:val="0"/>
      <w:snapToGrid w:val="0"/>
      <w:spacing w:line="360" w:lineRule="auto"/>
      <w:ind w:firstLine="480" w:firstLineChars="200"/>
    </w:pPr>
    <w:rPr>
      <w:rFonts w:ascii="宋体" w:hAnsi="宋体" w:eastAsia="黑体" w:cs="宋体"/>
      <w:b/>
      <w:kern w:val="21"/>
      <w:sz w:val="24"/>
      <w:szCs w:val="24"/>
    </w:rPr>
  </w:style>
  <w:style w:type="paragraph" w:customStyle="1" w:styleId="104">
    <w:name w:val="表标题"/>
    <w:basedOn w:val="1"/>
    <w:next w:val="42"/>
    <w:autoRedefine/>
    <w:qFormat/>
    <w:uiPriority w:val="0"/>
    <w:pPr>
      <w:spacing w:line="240" w:lineRule="auto"/>
      <w:jc w:val="center"/>
    </w:pPr>
    <w:rPr>
      <w:b/>
      <w:kern w:val="0"/>
      <w:sz w:val="21"/>
      <w:szCs w:val="20"/>
    </w:rPr>
  </w:style>
  <w:style w:type="paragraph" w:customStyle="1" w:styleId="105">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06">
    <w:name w:val="样式 样式 样式 小四 首行缩进:  2.25 字符 + 首行缩进:  2.25 字符 + 首行缩进:  2 字符"/>
    <w:basedOn w:val="1"/>
    <w:autoRedefine/>
    <w:qFormat/>
    <w:uiPriority w:val="0"/>
    <w:pPr>
      <w:spacing w:line="440" w:lineRule="exact"/>
      <w:ind w:firstLine="200" w:firstLineChars="200"/>
    </w:pPr>
    <w:rPr>
      <w:sz w:val="24"/>
    </w:rPr>
  </w:style>
  <w:style w:type="table" w:customStyle="1" w:styleId="107">
    <w:name w:val="Table Normal"/>
    <w:unhideWhenUsed/>
    <w:qFormat/>
    <w:uiPriority w:val="0"/>
    <w:tblPr>
      <w:tblCellMar>
        <w:top w:w="0" w:type="dxa"/>
        <w:left w:w="0" w:type="dxa"/>
        <w:bottom w:w="0" w:type="dxa"/>
        <w:right w:w="0" w:type="dxa"/>
      </w:tblCellMar>
    </w:tblPr>
  </w:style>
  <w:style w:type="paragraph" w:customStyle="1" w:styleId="108">
    <w:name w:val="11"/>
    <w:basedOn w:val="17"/>
    <w:next w:val="19"/>
    <w:qFormat/>
    <w:uiPriority w:val="0"/>
    <w:pPr>
      <w:autoSpaceDE w:val="0"/>
      <w:autoSpaceDN w:val="0"/>
      <w:adjustRightInd w:val="0"/>
      <w:spacing w:after="0" w:line="360" w:lineRule="auto"/>
      <w:ind w:firstLine="1320" w:firstLineChars="550"/>
      <w:textAlignment w:val="baseline"/>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wmf"/><Relationship Id="rId21" Type="http://schemas.openxmlformats.org/officeDocument/2006/relationships/oleObject" Target="embeddings/oleObject4.bin"/><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10.wmf"/><Relationship Id="rId17" Type="http://schemas.openxmlformats.org/officeDocument/2006/relationships/oleObject" Target="embeddings/oleObject2.bin"/><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emf"/><Relationship Id="rId13" Type="http://schemas.openxmlformats.org/officeDocument/2006/relationships/oleObject" Target="embeddings/oleObject1.bin"/><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199df572-153a-4ca3-a0ed-c2d7a1ba487d</errorID>
      <errorWord>准预</errorWord>
      <group>L1_Word</group>
      <groupName>字词问题</groupName>
      <ability>L2_Typo</ability>
      <abilityName>字词错误</abilityName>
      <candidateList>
        <item>准予</item>
      </candidateList>
      <explain/>
      <paraID>36A51730</paraID>
      <start>2</start>
      <end>4</end>
      <status>ignored</status>
      <modifiedWord/>
      <trackRevisions>false</trackRevisions>
    </reviewItem>
    <reviewItem>
      <errorID>428fa9de-78bd-4c63-94be-18ba433f21f2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F2A5606</paraID>
      <start>0</start>
      <end>2</end>
      <status>ignored</status>
      <modifiedWord/>
      <trackRevisions>false</trackRevisions>
    </reviewItem>
    <reviewItem>
      <errorID>318b9b54-90a6-440d-aac2-a3687f90dfdd</errorID>
      <errorWord>[2016] 177号</errorWord>
      <group>L1_Knowledge</group>
      <groupName>知识性问题</groupName>
      <ability>L2_Knowledge</ability>
      <abilityName>其他知识</abilityName>
      <candidateList>
        <item>〔2016〕177号</item>
      </candidateList>
      <explain>发文字号格式错误。</explain>
      <paraID>24C86DEF</paraID>
      <start>13</start>
      <end>23</end>
      <status>modified</status>
      <modifiedWord>〔2016〕177号</modifiedWord>
      <trackRevisions>false</trackRevisions>
    </reviewItem>
    <reviewItem>
      <errorID>f0d547e2-12f2-4005-9c7a-ee82cdd7f027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3FC6F015</paraID>
      <start>0</start>
      <end>2</end>
      <status>ignored</status>
      <modifiedWord/>
      <trackRevisions>false</trackRevisions>
    </reviewItem>
    <reviewItem>
      <errorID>51b71e36-f5a5-4b8e-b339-372ce14af731</errorID>
      <errorWord>(</errorWord>
      <group>L1_Format</group>
      <groupName>格式问题</groupName>
      <ability>L2_HalfPunc_CN</ability>
      <abilityName>全半角问题</abilityName>
      <candidateList>
        <item>（</item>
      </candidateList>
      <explain>文本全半角错误。</explain>
      <paraID>3FC6F015</paraID>
      <start>16</start>
      <end>17</end>
      <status>modified</status>
      <modifiedWord>（</modifiedWord>
      <trackRevisions>false</trackRevisions>
    </reviewItem>
    <reviewItem>
      <errorID>86f053e5-e2b9-4112-a098-2c6a523d23a5</errorID>
      <errorWord>)</errorWord>
      <group>L1_Format</group>
      <groupName>格式问题</groupName>
      <ability>L2_HalfPunc_CN</ability>
      <abilityName>全半角问题</abilityName>
      <candidateList>
        <item>）</item>
      </candidateList>
      <explain>文本全半角错误。</explain>
      <paraID>3FC6F015</paraID>
      <start>26</start>
      <end>27</end>
      <status>modified</status>
      <modifiedWord>）</modifiedWord>
      <trackRevisions>false</trackRevisions>
    </reviewItem>
    <reviewItem>
      <errorID>0a34ad4d-1700-4ce8-afc4-a68bd3284bc7</errorID>
      <errorWord>[2014] 132号</errorWord>
      <group>L1_Knowledge</group>
      <groupName>知识性问题</groupName>
      <ability>L2_Knowledge</ability>
      <abilityName>其他知识</abilityName>
      <candidateList>
        <item>〔2014〕132号</item>
      </candidateList>
      <explain>发文字号格式错误。</explain>
      <paraID>5956E132</paraID>
      <start>13</start>
      <end>23</end>
      <status>modified</status>
      <modifiedWord>〔2014〕132号</modifiedWord>
      <trackRevisions>false</trackRevisions>
    </reviewItem>
    <reviewItem>
      <errorID>8641c75f-a5d7-4e07-851a-caf6f08b6946</errorID>
      <errorWord>[2024] 51号</errorWord>
      <group>L1_Knowledge</group>
      <groupName>知识性问题</groupName>
      <ability>L2_Knowledge</ability>
      <abilityName>其他知识</abilityName>
      <candidateList>
        <item>〔2024〕51号</item>
      </candidateList>
      <explain>发文字号格式错误。</explain>
      <paraID>12C3C0BA</paraID>
      <start>47</start>
      <end>56</end>
      <status>modified</status>
      <modifiedWord>〔2024〕51号</modifiedWord>
      <trackRevisions>false</trackRevisions>
    </reviewItem>
    <reviewItem>
      <errorID>5d485609-5aef-4d49-92e6-64ad96f363ca</errorID>
      <errorWord>[2024] 51号</errorWord>
      <group>L1_Knowledge</group>
      <groupName>知识性问题</groupName>
      <ability>L2_Knowledge</ability>
      <abilityName>其他知识</abilityName>
      <candidateList>
        <item>〔2024〕51号</item>
      </candidateList>
      <explain>发文字号格式错误。</explain>
      <paraID>3CE0325E</paraID>
      <start>76</start>
      <end>85</end>
      <status>modified</status>
      <modifiedWord>〔2024〕51号</modifiedWord>
      <trackRevisions>false</trackRevisions>
    </reviewItem>
    <reviewItem>
      <errorID>f1d03cc1-7759-4aad-9dac-bde97e939bf4</errorID>
      <errorWord>[2024] 51号</errorWord>
      <group>L1_Knowledge</group>
      <groupName>知识性问题</groupName>
      <ability>L2_Knowledge</ability>
      <abilityName>其他知识</abilityName>
      <candidateList>
        <item>〔2024〕51号</item>
      </candidateList>
      <explain>发文字号格式错误。</explain>
      <paraID>154F1013</paraID>
      <start>45</start>
      <end>54</end>
      <status>modified</status>
      <modifiedWord>〔2024〕51号</modifiedWord>
      <trackRevisions>false</trackRevisions>
    </reviewItem>
    <reviewItem>
      <errorID>a3e7d83d-cbee-4154-9693-1cb66f447f0f</errorID>
      <errorWord>(</errorWord>
      <group>L1_Format</group>
      <groupName>格式问题</groupName>
      <ability>L2_HalfPunc_CN</ability>
      <abilityName>全半角问题</abilityName>
      <candidateList>
        <item>（</item>
      </candidateList>
      <explain>文本全半角错误。</explain>
      <paraID>20DEE0C2</paraID>
      <start>11</start>
      <end>12</end>
      <status>modified</status>
      <modifiedWord>（</modifiedWord>
      <trackRevisions>false</trackRevisions>
    </reviewItem>
    <reviewItem>
      <errorID>9fa070fb-aeda-4411-8fbf-4e00f91a6b11</errorID>
      <errorWord>)</errorWord>
      <group>L1_Format</group>
      <groupName>格式问题</groupName>
      <ability>L2_HalfPunc_CN</ability>
      <abilityName>全半角问题</abilityName>
      <candidateList>
        <item>）</item>
      </candidateList>
      <explain>文本全半角错误。</explain>
      <paraID>20DEE0C2</paraID>
      <start>18</start>
      <end>19</end>
      <status>modified</status>
      <modifiedWord>）</modifiedWord>
      <trackRevisions>false</trackRevisions>
    </reviewItem>
    <reviewItem>
      <errorID>14e40f7d-5573-4bff-9d09-7b91676570af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20DEE0C2</paraID>
      <start>58</start>
      <end>59</end>
      <status>ignored</status>
      <modifiedWord/>
      <trackRevisions>false</trackRevisions>
    </reviewItem>
    <reviewItem>
      <errorID>8e17667f-0751-4921-9a28-98c1b7c503c8</errorID>
      <errorWord>(1990】36号</errorWord>
      <group>L1_Knowledge</group>
      <groupName>知识性问题</groupName>
      <ability>L2_Knowledge</ability>
      <abilityName>其他知识</abilityName>
      <candidateList>
        <item>〔1990〕36号</item>
      </candidateList>
      <explain>发文字号格式错误。</explain>
      <paraID>20DEE0C2</paraID>
      <start>63</start>
      <end>72</end>
      <status>modified</status>
      <modifiedWord>〔1990〕36号</modifiedWord>
      <trackRevisions>false</trackRevisions>
    </reviewItem>
    <reviewItem>
      <errorID>bd0db1f6-84b4-40ed-843e-4aea125e5128</errorID>
      <errorWord>)</errorWord>
      <group>L1_Format</group>
      <groupName>格式问题</groupName>
      <ability>L2_HalfPunc_CN</ability>
      <abilityName>全半角问题</abilityName>
      <candidateList>
        <item>）</item>
      </candidateList>
      <explain>文本全半角错误。</explain>
      <paraID>20DEE0C2</paraID>
      <start>72</start>
      <end>73</end>
      <status>modified</status>
      <modifiedWord>）</modifiedWord>
      <trackRevisions>false</trackRevisions>
    </reviewItem>
    <reviewItem>
      <errorID>21cb9678-08d8-4842-9a25-c6577b87834e</errorID>
      <errorWord>(</errorWord>
      <group>L1_Format</group>
      <groupName>格式问题</groupName>
      <ability>L2_HalfPunc_CN</ability>
      <abilityName>全半角问题</abilityName>
      <candidateList>
        <item>（</item>
      </candidateList>
      <explain>文本全半角错误。</explain>
      <paraID>20DEE0C2</paraID>
      <start>93</start>
      <end>94</end>
      <status>modified</status>
      <modifiedWord>（</modifiedWord>
      <trackRevisions>false</trackRevisions>
    </reviewItem>
    <reviewItem>
      <errorID>1c3882b4-ec2f-4e9a-8bda-e531bc205853</errorID>
      <errorWord>)</errorWord>
      <group>L1_Format</group>
      <groupName>格式问题</groupName>
      <ability>L2_HalfPunc_CN</ability>
      <abilityName>全半角问题</abilityName>
      <candidateList>
        <item>）</item>
      </candidateList>
      <explain>文本全半角错误。</explain>
      <paraID>20DEE0C2</paraID>
      <start>108</start>
      <end>109</end>
      <status>modified</status>
      <modifiedWord>）</modifiedWord>
      <trackRevisions>false</trackRevisions>
    </reviewItem>
    <reviewItem>
      <errorID>792a62ff-6536-4269-8275-f9cc47fa6939</errorID>
      <errorWord>(</errorWord>
      <group>L1_Format</group>
      <groupName>格式问题</groupName>
      <ability>L2_HalfPunc_CN</ability>
      <abilityName>全半角问题</abilityName>
      <candidateList>
        <item>（</item>
      </candidateList>
      <explain>文本全半角错误。</explain>
      <paraID>20DEE0C2</paraID>
      <start>145</start>
      <end>146</end>
      <status>modified</status>
      <modifiedWord>（</modifiedWord>
      <trackRevisions>false</trackRevisions>
    </reviewItem>
    <reviewItem>
      <errorID>579bd9b3-fd57-41f0-80c2-7c86f37b6dfd</errorID>
      <errorWord>【2013】306号</errorWord>
      <group>L1_Knowledge</group>
      <groupName>知识性问题</groupName>
      <ability>L2_Knowledge</ability>
      <abilityName>其他知识</abilityName>
      <candidateList>
        <item>〔2013〕306号</item>
      </candidateList>
      <explain>发文字号格式错误。</explain>
      <paraID>20DEE0C2</paraID>
      <start>149</start>
      <end>159</end>
      <status>modified</status>
      <modifiedWord>〔2013〕306号</modifiedWord>
      <trackRevisions>false</trackRevisions>
    </reviewItem>
    <reviewItem>
      <errorID>5b5df5e9-4a2e-43a1-83bf-e8c0313ee9eb</errorID>
      <errorWord>)</errorWord>
      <group>L1_Format</group>
      <groupName>格式问题</groupName>
      <ability>L2_HalfPunc_CN</ability>
      <abilityName>全半角问题</abilityName>
      <candidateList>
        <item>）</item>
      </candidateList>
      <explain>文本全半角错误。</explain>
      <paraID>20DEE0C2</paraID>
      <start>159</start>
      <end>160</end>
      <status>modified</status>
      <modifiedWord>）</modifiedWord>
      <trackRevisions>false</trackRevisions>
    </reviewItem>
    <reviewItem>
      <errorID>6dae3343-63eb-4442-a4ef-a054e684592e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20DEE0C2</paraID>
      <start>185</start>
      <end>186</end>
      <status>ignored</status>
      <modifiedWord/>
      <trackRevisions>false</trackRevisions>
    </reviewItem>
    <reviewItem>
      <errorID>9937c4fe-41c3-4ecf-a175-dd5f8f3a4dfa</errorID>
      <errorWord>(</errorWord>
      <group>L1_Format</group>
      <groupName>格式问题</groupName>
      <ability>L2_HalfPunc_CN</ability>
      <abilityName>全半角问题</abilityName>
      <candidateList>
        <item>（</item>
      </candidateList>
      <explain>文本全半角错误。</explain>
      <paraID>20DEE0C2</paraID>
      <start>189</start>
      <end>190</end>
      <status>modified</status>
      <modifiedWord>（</modifiedWord>
      <trackRevisions>false</trackRevisions>
    </reviewItem>
    <reviewItem>
      <errorID>f8dd573f-58a6-44d1-8c22-c1eb60dcadfa</errorID>
      <errorWord>)</errorWord>
      <group>L1_Format</group>
      <groupName>格式问题</groupName>
      <ability>L2_HalfPunc_CN</ability>
      <abilityName>全半角问题</abilityName>
      <candidateList>
        <item>）</item>
      </candidateList>
      <explain>文本全半角错误。</explain>
      <paraID>20DEE0C2</paraID>
      <start>197</start>
      <end>198</end>
      <status>modified</status>
      <modifiedWord>）</modifiedWord>
      <trackRevisions>false</trackRevisions>
    </reviewItem>
    <reviewItem>
      <errorID>2f56ccab-909a-4b72-864f-447581c3d507</errorID>
      <errorWord>(</errorWord>
      <group>L1_Format</group>
      <groupName>格式问题</groupName>
      <ability>L2_HalfPunc_CN</ability>
      <abilityName>全半角问题</abilityName>
      <candidateList>
        <item>（</item>
      </candidateList>
      <explain>文本全半角错误。</explain>
      <paraID>20DEE0C2</paraID>
      <start>267</start>
      <end>268</end>
      <status>modified</status>
      <modifiedWord>（</modifiedWord>
      <trackRevisions>false</trackRevisions>
    </reviewItem>
    <reviewItem>
      <errorID>d59de3d2-fec5-4b45-a6c3-77e692a5c7f6</errorID>
      <errorWord>【2022】601号</errorWord>
      <group>L1_Knowledge</group>
      <groupName>知识性问题</groupName>
      <ability>L2_Knowledge</ability>
      <abilityName>其他知识</abilityName>
      <candidateList>
        <item>〔2022〕601号</item>
      </candidateList>
      <explain>发文字号格式错误。</explain>
      <paraID>20DEE0C2</paraID>
      <start>273</start>
      <end>283</end>
      <status>modified</status>
      <modifiedWord>〔2022〕601号</modifiedWord>
      <trackRevisions>false</trackRevisions>
    </reviewItem>
    <reviewItem>
      <errorID>39d3ab7c-a1b4-45c0-8bf0-44fe88cf0918</errorID>
      <errorWord>)</errorWord>
      <group>L1_Format</group>
      <groupName>格式问题</groupName>
      <ability>L2_HalfPunc_CN</ability>
      <abilityName>全半角问题</abilityName>
      <candidateList>
        <item>）</item>
      </candidateList>
      <explain>文本全半角错误。</explain>
      <paraID>20DEE0C2</paraID>
      <start>283</start>
      <end>284</end>
      <status>modified</status>
      <modifiedWord>）</modifiedWord>
      <trackRevisions>false</trackRevisions>
    </reviewItem>
    <reviewItem>
      <errorID>24d7559f-cc87-4f16-ad2f-2c487cfd0f37</errorID>
      <errorWord>(</errorWord>
      <group>L1_Format</group>
      <groupName>格式问题</groupName>
      <ability>L2_HalfPunc_CN</ability>
      <abilityName>全半角问题</abilityName>
      <candidateList>
        <item>（</item>
      </candidateList>
      <explain>文本全半角错误。</explain>
      <paraID>20DEE0C2</paraID>
      <start>397</start>
      <end>398</end>
      <status>modified</status>
      <modifiedWord>（</modifiedWord>
      <trackRevisions>false</trackRevisions>
    </reviewItem>
    <reviewItem>
      <errorID>d1a10754-b387-40b6-b1ac-63690bdb6c71</errorID>
      <errorWord>)</errorWord>
      <group>L1_Format</group>
      <groupName>格式问题</groupName>
      <ability>L2_HalfPunc_CN</ability>
      <abilityName>全半角问题</abilityName>
      <candidateList>
        <item>）</item>
      </candidateList>
      <explain>文本全半角错误。</explain>
      <paraID>20DEE0C2</paraID>
      <start>405</start>
      <end>406</end>
      <status>modified</status>
      <modifiedWord>）</modifiedWord>
      <trackRevisions>false</trackRevisions>
    </reviewItem>
    <reviewItem>
      <errorID>ea2fc1ea-0cc6-4879-ad4f-c2df4b4f7b35</errorID>
      <errorWord>;</errorWord>
      <group>L1_Format</group>
      <groupName>格式问题</groupName>
      <ability>L2_HalfPunc_CN</ability>
      <abilityName>全半角问题</abilityName>
      <candidateList>
        <item>；</item>
      </candidateList>
      <explain>文本全半角错误。</explain>
      <paraID>20DEE0C2</paraID>
      <start>453</start>
      <end>454</end>
      <status>modified</status>
      <modifiedWord>；</modifiedWord>
      <trackRevisions>false</trackRevisions>
    </reviewItem>
    <reviewItem>
      <errorID>f153f9b7-142a-4d14-96d8-cd8856af8aa7</errorID>
      <errorWord>(</errorWord>
      <group>L1_Format</group>
      <groupName>格式问题</groupName>
      <ability>L2_HalfPunc_CN</ability>
      <abilityName>全半角问题</abilityName>
      <candidateList>
        <item>（</item>
      </candidateList>
      <explain>文本全半角错误。</explain>
      <paraID>20DEE0C2</paraID>
      <start>458</start>
      <end>459</end>
      <status>modified</status>
      <modifiedWord>（</modifiedWord>
      <trackRevisions>false</trackRevisions>
    </reviewItem>
    <reviewItem>
      <errorID>6d173c45-5a83-4607-8144-7926aba40356</errorID>
      <errorWord>)</errorWord>
      <group>L1_Format</group>
      <groupName>格式问题</groupName>
      <ability>L2_HalfPunc_CN</ability>
      <abilityName>全半角问题</abilityName>
      <candidateList>
        <item>）</item>
      </candidateList>
      <explain>文本全半角错误。</explain>
      <paraID>20DEE0C2</paraID>
      <start>466</start>
      <end>467</end>
      <status>modified</status>
      <modifiedWord>）</modifiedWord>
      <trackRevisions>false</trackRevisions>
    </reviewItem>
    <reviewItem>
      <errorID>385cb19a-775f-4b1a-b804-fa17deee3fea</errorID>
      <errorWord>;</errorWord>
      <group>L1_Format</group>
      <groupName>格式问题</groupName>
      <ability>L2_HalfPunc_CN</ability>
      <abilityName>全半角问题</abilityName>
      <candidateList>
        <item>；</item>
      </candidateList>
      <explain>文本全半角错误。</explain>
      <paraID>20DEE0C2</paraID>
      <start>511</start>
      <end>512</end>
      <status>modified</status>
      <modifiedWord>；</modifiedWord>
      <trackRevisions>false</trackRevisions>
    </reviewItem>
    <reviewItem>
      <errorID>1b0880a9-f3de-4d30-8b37-32af481b839e</errorID>
      <errorWord>(</errorWord>
      <group>L1_Format</group>
      <groupName>格式问题</groupName>
      <ability>L2_HalfPunc_CN</ability>
      <abilityName>全半角问题</abilityName>
      <candidateList>
        <item>（</item>
      </candidateList>
      <explain>文本全半角错误。</explain>
      <paraID>20DEE0C2</paraID>
      <start>518</start>
      <end>519</end>
      <status>modified</status>
      <modifiedWord>（</modifiedWord>
      <trackRevisions>false</trackRevisions>
    </reviewItem>
    <reviewItem>
      <errorID>039b05ba-f339-4bac-8570-09b17038c6d0</errorID>
      <errorWord>)</errorWord>
      <group>L1_Format</group>
      <groupName>格式问题</groupName>
      <ability>L2_HalfPunc_CN</ability>
      <abilityName>全半角问题</abilityName>
      <candidateList>
        <item>）</item>
      </candidateList>
      <explain>文本全半角错误。</explain>
      <paraID>20DEE0C2</paraID>
      <start>522</start>
      <end>523</end>
      <status>modified</status>
      <modifiedWord>）</modifiedWord>
      <trackRevisions>false</trackRevisions>
    </reviewItem>
    <reviewItem>
      <errorID>5396a801-bbd6-464f-8d37-d3b140cbec24</errorID>
      <errorWord>(</errorWord>
      <group>L1_Format</group>
      <groupName>格式问题</groupName>
      <ability>L2_HalfPunc_CN</ability>
      <abilityName>全半角问题</abilityName>
      <candidateList>
        <item>（</item>
      </candidateList>
      <explain>文本全半角错误。</explain>
      <paraID>20DEE0C2</paraID>
      <start>578</start>
      <end>579</end>
      <status>modified</status>
      <modifiedWord>（</modifiedWord>
      <trackRevisions>false</trackRevisions>
    </reviewItem>
    <reviewItem>
      <errorID>ad0f6f4f-dfbd-49a5-af7e-c7ccc2dafb8d</errorID>
      <errorWord>【2022】601号</errorWord>
      <group>L1_Knowledge</group>
      <groupName>知识性问题</groupName>
      <ability>L2_Knowledge</ability>
      <abilityName>其他知识</abilityName>
      <candidateList>
        <item>〔2022〕601号</item>
      </candidateList>
      <explain>发文字号格式错误。</explain>
      <paraID>20DEE0C2</paraID>
      <start>584</start>
      <end>594</end>
      <status>modified</status>
      <modifiedWord>〔2022〕601号</modifiedWord>
      <trackRevisions>false</trackRevisions>
    </reviewItem>
    <reviewItem>
      <errorID>dcaaa983-edaf-4c03-b48d-1e77686e49b1</errorID>
      <errorWord>)</errorWord>
      <group>L1_Format</group>
      <groupName>格式问题</groupName>
      <ability>L2_HalfPunc_CN</ability>
      <abilityName>全半角问题</abilityName>
      <candidateList>
        <item>）</item>
      </candidateList>
      <explain>文本全半角错误。</explain>
      <paraID>20DEE0C2</paraID>
      <start>594</start>
      <end>595</end>
      <status>modified</status>
      <modifiedWord>）</modifiedWord>
      <trackRevisions>false</trackRevisions>
    </reviewItem>
    <reviewItem>
      <errorID>e3240098-b742-4464-b96a-71c2ad29f6a6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2DC01C0</paraID>
      <start>0</start>
      <end>3</end>
      <status>modified</status>
      <modifiedWord>（一）</modifiedWord>
      <trackRevisions>false</trackRevisions>
    </reviewItem>
    <reviewItem>
      <errorID>ea648e97-a383-43f0-842f-8df637a36cc4</errorID>
      <errorWord>(</errorWord>
      <group>L1_Format</group>
      <groupName>格式问题</groupName>
      <ability>L2_HalfPunc_CN</ability>
      <abilityName>全半角问题</abilityName>
      <candidateList>
        <item>（</item>
      </candidateList>
      <explain>文本全半角错误。</explain>
      <paraID>49ECA1BC</paraID>
      <start>9</start>
      <end>10</end>
      <status>modified</status>
      <modifiedWord>（</modifiedWord>
      <trackRevisions>false</trackRevisions>
    </reviewItem>
    <reviewItem>
      <errorID>116532b1-e34e-4733-ae0c-9c67397aef8c</errorID>
      <errorWord>)</errorWord>
      <group>L1_Format</group>
      <groupName>格式问题</groupName>
      <ability>L2_HalfPunc_CN</ability>
      <abilityName>全半角问题</abilityName>
      <candidateList>
        <item>）</item>
      </candidateList>
      <explain>文本全半角错误。</explain>
      <paraID>49ECA1BC</paraID>
      <start>15</start>
      <end>16</end>
      <status>modified</status>
      <modifiedWord>）</modifiedWord>
      <trackRevisions>false</trackRevisions>
    </reviewItem>
    <reviewItem>
      <errorID>0f932ec4-f6d5-438e-922d-604d891b4c11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1571FDB3</paraID>
      <start>0</start>
      <end>3</end>
      <status>modified</status>
      <modifiedWord>（二）</modifiedWord>
      <trackRevisions>false</trackRevisions>
    </reviewItem>
    <reviewItem>
      <errorID>9e9ce222-4418-444c-b4fb-f51a7ebb467e</errorID>
      <errorWord>(</errorWord>
      <group>L1_Format</group>
      <groupName>格式问题</groupName>
      <ability>L2_HalfPunc_CN</ability>
      <abilityName>全半角问题</abilityName>
      <candidateList>
        <item>（</item>
      </candidateList>
      <explain>文本全半角错误。</explain>
      <paraID>1571FDB3</paraID>
      <start>164</start>
      <end>165</end>
      <status>modified</status>
      <modifiedWord>（</modifiedWord>
      <trackRevisions>false</trackRevisions>
    </reviewItem>
    <reviewItem>
      <errorID>cd5d3fdd-904a-4563-b623-818c8231e821</errorID>
      <errorWord>)</errorWord>
      <group>L1_Format</group>
      <groupName>格式问题</groupName>
      <ability>L2_HalfPunc_CN</ability>
      <abilityName>全半角问题</abilityName>
      <candidateList>
        <item>）</item>
      </candidateList>
      <explain>文本全半角错误。</explain>
      <paraID>1571FDB3</paraID>
      <start>172</start>
      <end>173</end>
      <status>modified</status>
      <modifiedWord>）</modifiedWord>
      <trackRevisions>false</trackRevisions>
    </reviewItem>
    <reviewItem>
      <errorID>97f7e850-ce14-494d-82a1-5a61c9d209b3</errorID>
      <errorWord>(</errorWord>
      <group>L1_Format</group>
      <groupName>格式问题</groupName>
      <ability>L2_HalfPunc_CN</ability>
      <abilityName>全半角问题</abilityName>
      <candidateList>
        <item>（</item>
      </candidateList>
      <explain>文本全半角错误。</explain>
      <paraID>1571FDB3</paraID>
      <start>178</start>
      <end>179</end>
      <status>modified</status>
      <modifiedWord>（</modifiedWord>
      <trackRevisions>false</trackRevisions>
    </reviewItem>
    <reviewItem>
      <errorID>82d70408-5cd7-42d0-a12f-17a96b5f3ad7</errorID>
      <errorWord>)</errorWord>
      <group>L1_Format</group>
      <groupName>格式问题</groupName>
      <ability>L2_HalfPunc_CN</ability>
      <abilityName>全半角问题</abilityName>
      <candidateList>
        <item>）</item>
      </candidateList>
      <explain>文本全半角错误。</explain>
      <paraID>1571FDB3</paraID>
      <start>182</start>
      <end>183</end>
      <status>modified</status>
      <modifiedWord>）</modifiedWord>
      <trackRevisions>false</trackRevisions>
    </reviewItem>
    <reviewItem>
      <errorID>7451975d-c75b-4195-a544-e7e6497a59fb</errorID>
      <errorWord>;</errorWord>
      <group>L1_Format</group>
      <groupName>格式问题</groupName>
      <ability>L2_HalfPunc_CN</ability>
      <abilityName>全半角问题</abilityName>
      <candidateList>
        <item>；</item>
      </candidateList>
      <explain>文本全半角错误。</explain>
      <paraID>1571FDB3</paraID>
      <start>203</start>
      <end>204</end>
      <status>modified</status>
      <modifiedWord>；</modifiedWord>
      <trackRevisions>false</trackRevisions>
    </reviewItem>
    <reviewItem>
      <errorID>9acab147-b1c8-45a9-b4fa-001e9ba18e7b</errorID>
      <errorWord>(</errorWord>
      <group>L1_Format</group>
      <groupName>格式问题</groupName>
      <ability>L2_HalfPunc_CN</ability>
      <abilityName>全半角问题</abilityName>
      <candidateList>
        <item>（</item>
      </candidateList>
      <explain>文本全半角错误。</explain>
      <paraID>1571FDB3</paraID>
      <start>208</start>
      <end>209</end>
      <status>modified</status>
      <modifiedWord>（</modifiedWord>
      <trackRevisions>false</trackRevisions>
    </reviewItem>
    <reviewItem>
      <errorID>f0d69e11-6255-43a3-a3e1-1cbc372d90e8</errorID>
      <errorWord>)</errorWord>
      <group>L1_Format</group>
      <groupName>格式问题</groupName>
      <ability>L2_HalfPunc_CN</ability>
      <abilityName>全半角问题</abilityName>
      <candidateList>
        <item>）</item>
      </candidateList>
      <explain>文本全半角错误。</explain>
      <paraID>1571FDB3</paraID>
      <start>212</start>
      <end>213</end>
      <status>modified</status>
      <modifiedWord>）</modifiedWord>
      <trackRevisions>false</trackRevisions>
    </reviewItem>
    <reviewItem>
      <errorID>e66bc33d-016f-4539-979a-eaddd87adc92</errorID>
      <errorWord>,</errorWord>
      <group>L1_Format</group>
      <groupName>格式问题</groupName>
      <ability>L2_HalfPunc_CN</ability>
      <abilityName>全半角问题</abilityName>
      <candidateList>
        <item>，</item>
      </candidateList>
      <explain>文本全半角错误。</explain>
      <paraID>1571FDB3</paraID>
      <start>247</start>
      <end>248</end>
      <status>modified</status>
      <modifiedWord>，</modifiedWord>
      <trackRevisions>false</trackRevisions>
    </reviewItem>
    <reviewItem>
      <errorID>4b643e47-149a-438f-ab0b-620c16eea59c</errorID>
      <errorWord>(</errorWord>
      <group>L1_Format</group>
      <groupName>格式问题</groupName>
      <ability>L2_HalfPunc_CN</ability>
      <abilityName>全半角问题</abilityName>
      <candidateList>
        <item>（</item>
      </candidateList>
      <explain>文本全半角错误。</explain>
      <paraID>1571FDB3</paraID>
      <start>300</start>
      <end>301</end>
      <status>modified</status>
      <modifiedWord>（</modifiedWord>
      <trackRevisions>false</trackRevisions>
    </reviewItem>
    <reviewItem>
      <errorID>76b80394-238f-4481-95d3-18ad67a7751e</errorID>
      <errorWord>)</errorWord>
      <group>L1_Format</group>
      <groupName>格式问题</groupName>
      <ability>L2_HalfPunc_CN</ability>
      <abilityName>全半角问题</abilityName>
      <candidateList>
        <item>）</item>
      </candidateList>
      <explain>文本全半角错误。</explain>
      <paraID>1571FDB3</paraID>
      <start>304</start>
      <end>305</end>
      <status>modified</status>
      <modifiedWord>）</modifiedWord>
      <trackRevisions>false</trackRevisions>
    </reviewItem>
    <reviewItem>
      <errorID>1f2bccde-145b-4c16-a16d-db7396bd38ff</errorID>
      <errorWord>国</errorWord>
      <group>L1_Word</group>
      <groupName>字词问题</groupName>
      <ability>L2_Typo</ability>
      <abilityName>字词错误</abilityName>
      <candidateList>
        <item>国家</item>
      </candidateList>
      <explain/>
      <paraID> 9B3579C</paraID>
      <start>59</start>
      <end>61</end>
      <status>modified</status>
      <modifiedWord>国家</modifiedWord>
      <trackRevisions>false</trackRevisions>
    </reviewItem>
    <reviewItem>
      <errorID>6bfff603-763d-4f1c-86c3-15d041080e31</errorID>
      <errorWord>环保基础设施建设</errorWord>
      <group>L1_Political</group>
      <groupName>政治性问题</groupName>
      <ability>L2_Keyword</ability>
      <abilityName>固定表述</abilityName>
      <candidateList>
        <item>环境基础设施建设</item>
      </candidateList>
      <explain>词汇“环境基础设施建设”在特定场景下为固定表述形式，请确认此处的“环保基础设施建设”是否存在不当。</explain>
      <paraID> 9B3579C</paraID>
      <start>78</start>
      <end>86</end>
      <status>ignored</status>
      <modifiedWord/>
      <trackRevisions>false</trackRevisions>
    </reviewItem>
    <reviewItem>
      <errorID>47797483-b3c5-4f78-8760-895ee845eb68</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62D5DF3C</paraID>
      <start>0</start>
      <end>3</end>
      <status>modified</status>
      <modifiedWord>（三）</modifiedWord>
      <trackRevisions>false</trackRevisions>
    </reviewItem>
    <reviewItem>
      <errorID>dc18e11e-1839-4821-881d-1ca83caf557d</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295937FA</paraID>
      <start>0</start>
      <end>3</end>
      <status>modified</status>
      <modifiedWord>（四）</modifiedWord>
      <trackRevisions>false</trackRevisions>
    </reviewItem>
    <reviewItem>
      <errorID>d65c55a5-cf56-4638-a218-2fc3575873c1</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1E7B39CF</paraID>
      <start>0</start>
      <end>3</end>
      <status>modified</status>
      <modifiedWord>（五）</modifiedWord>
      <trackRevisions>false</trackRevisions>
    </reviewItem>
    <reviewItem>
      <errorID>526957c9-8cb9-46c7-b351-29863a663ac5</errorID>
      <errorWord>)</errorWord>
      <group>L1_Format</group>
      <groupName>格式问题</groupName>
      <ability>L2_HalfPunc_CN</ability>
      <abilityName>全半角问题</abilityName>
      <candidateList>
        <item>）</item>
      </candidateList>
      <explain>文本全半角错误。</explain>
      <paraID>429C7AC6</paraID>
      <start>2</start>
      <end>3</end>
      <status>modified</status>
      <modifiedWord>）</modifiedWord>
      <trackRevisions>false</trackRevisions>
    </reviewItem>
    <reviewItem>
      <errorID>d0fd0f88-502a-4dfb-be3f-d85961538f0a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5F54E284</paraID>
      <start>0</start>
      <end>2</end>
      <status>ignored</status>
      <modifiedWord/>
      <trackRevisions>false</trackRevisions>
    </reviewItem>
    <reviewItem>
      <errorID>55207b3f-0a44-4f23-acae-25680f44d5b4</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6D511A81</paraID>
      <start>2</start>
      <end>22</end>
      <status>modified</status>
      <modifiedWord>《产业结构调整指导目录（2024年本）》</modifiedWord>
      <trackRevisions>false</trackRevisions>
    </reviewItem>
    <reviewItem>
      <errorID>3caf65ea-2daa-4e0f-bfe7-412426827577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1857CFF</paraID>
      <start>0</start>
      <end>2</end>
      <status>ignored</status>
      <modifiedWord/>
      <trackRevisions>false</trackRevisions>
    </reviewItem>
    <reviewItem>
      <errorID>c85d7460-27db-4c71-a847-461359129dc3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6CF20DF2</paraID>
      <start>0</start>
      <end>2</end>
      <status>ignored</status>
      <modifiedWord/>
      <trackRevisions>false</trackRevisions>
    </reviewItem>
    <reviewItem>
      <errorID>200a68e1-c375-4187-b8e8-68089e517d15</errorID>
      <errorWord>(</errorWord>
      <group>L1_Format</group>
      <groupName>格式问题</groupName>
      <ability>L2_HalfPunc_CN</ability>
      <abilityName>全半角问题</abilityName>
      <candidateList>
        <item>（</item>
      </candidateList>
      <explain>文本全半角错误。</explain>
      <paraID>20E223C2</paraID>
      <start>70</start>
      <end>71</end>
      <status>modified</status>
      <modifiedWord>（</modifiedWord>
      <trackRevisions>false</trackRevisions>
    </reviewItem>
    <reviewItem>
      <errorID>52cd6675-cd32-4eb4-bbfb-604b5f33e56a</errorID>
      <errorWord>)</errorWord>
      <group>L1_Format</group>
      <groupName>格式问题</groupName>
      <ability>L2_HalfPunc_CN</ability>
      <abilityName>全半角问题</abilityName>
      <candidateList>
        <item>）</item>
      </candidateList>
      <explain>文本全半角错误。</explain>
      <paraID>20E223C2</paraID>
      <start>76</start>
      <end>77</end>
      <status>modified</status>
      <modifiedWord>）</modifiedWord>
      <trackRevisions>false</trackRevisions>
    </reviewItem>
    <reviewItem>
      <errorID>37724b92-0ef9-4e03-8161-5487d3088e8f</errorID>
      <errorWord>管控单元管控单元</errorWord>
      <group>L1_Word</group>
      <groupName>字词问题</groupName>
      <ability>L2_Typo</ability>
      <abilityName>字词错误</abilityName>
      <candidateList>
        <item>管控单元</item>
      </candidateList>
      <explain/>
      <paraID>20E223C2</paraID>
      <start>87</start>
      <end>91</end>
      <status>modified</status>
      <modifiedWord>管控单元</modifiedWord>
      <trackRevisions>false</trackRevisions>
    </reviewItem>
    <reviewItem>
      <errorID>ee25c45e-d83c-4fe8-99a3-2731a4e672f7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77CB67D2</paraID>
      <start>0</start>
      <end>2</end>
      <status>ignored</status>
      <modifiedWord/>
      <trackRevisions>false</trackRevisions>
    </reviewItem>
    <reviewItem>
      <errorID>60bbd7be-f81c-4c04-bba3-a888986d01c1</errorID>
      <errorWord>生态红线</errorWord>
      <group>L1_Political</group>
      <groupName>政治性问题</groupName>
      <ability>L2_Unpolitical</ability>
      <abilityName>政治敏感错误</abilityName>
      <candidateList>
        <item>生态保护红线</item>
      </candidateList>
      <explain/>
      <paraID>77CB67D2</paraID>
      <start>2</start>
      <end>6</end>
      <status>ignored</status>
      <modifiedWord/>
      <trackRevisions>false</trackRevisions>
    </reviewItem>
    <reviewItem>
      <errorID>c819405e-67bc-4c8e-87f9-e0bd2b76d867</errorID>
      <errorWord>生态红线</errorWord>
      <group>L1_Political</group>
      <groupName>政治性问题</groupName>
      <ability>L2_Unpolitical</ability>
      <abilityName>政治敏感错误</abilityName>
      <candidateList>
        <item>生态保护红线</item>
      </candidateList>
      <explain/>
      <paraID>5205E7F0</paraID>
      <start>59</start>
      <end>63</end>
      <status>ignored</status>
      <modifiedWord/>
      <trackRevisions>false</trackRevisions>
    </reviewItem>
    <reviewItem>
      <errorID>1d39d68f-9ad5-4894-ba33-10ae2b6ebac5</errorID>
      <errorWord>生态红线</errorWord>
      <group>L1_Political</group>
      <groupName>政治性问题</groupName>
      <ability>L2_Unpolitical</ability>
      <abilityName>政治敏感错误</abilityName>
      <candidateList>
        <item>生态保护红线</item>
      </candidateList>
      <explain/>
      <paraID>5205E7F0</paraID>
      <start>69</start>
      <end>73</end>
      <status>ignored</status>
      <modifiedWord/>
      <trackRevisions>false</trackRevisions>
    </reviewItem>
    <reviewItem>
      <errorID>7e7c6304-e29a-4ce0-81e4-337469b3ba43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F7BEE7E</paraID>
      <start>0</start>
      <end>2</end>
      <status>ignored</status>
      <modifiedWord/>
      <trackRevisions>false</trackRevisions>
    </reviewItem>
    <reviewItem>
      <errorID>419208a6-f144-44c5-9234-59b2d38f337b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5298C2CF</paraID>
      <start>0</start>
      <end>2</end>
      <status>ignored</status>
      <modifiedWord/>
      <trackRevisions>false</trackRevisions>
    </reviewItem>
    <reviewItem>
      <errorID>6a0dc13e-b00c-4f79-9d28-ea0157ff1423</errorID>
      <errorWord>上线</errorWord>
      <group>L1_Word</group>
      <groupName>字词问题</groupName>
      <ability>L2_Typo</ability>
      <abilityName>字词错误</abilityName>
      <candidateList>
        <item>上限</item>
      </candidateList>
      <explain>存在发音相同字词的误用。</explain>
      <paraID>5298C2CF</paraID>
      <start>6</start>
      <end>8</end>
      <status>ignored</status>
      <modifiedWord/>
      <trackRevisions>false</trackRevisions>
    </reviewItem>
    <reviewItem>
      <errorID>8f27178e-dea7-4a5d-8c89-2081919c43ad</errorID>
      <errorWord>一点量</errorWord>
      <group>L1_Word</group>
      <groupName>字词问题</groupName>
      <ability>L2_Typo</ability>
      <abilityName>字词错误</abilityName>
      <candidateList>
        <item>一定量</item>
      </candidateList>
      <explain/>
      <paraID>57306CD1</paraID>
      <start>24</start>
      <end>27</end>
      <status>modified</status>
      <modifiedWord>一定量</modifiedWord>
      <trackRevisions>false</trackRevisions>
    </reviewItem>
    <reviewItem>
      <errorID>6454f2d0-3a4b-4e4e-84f1-611e00d017a5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18294305</paraID>
      <start>0</start>
      <end>2</end>
      <status>ignored</status>
      <modifiedWord/>
      <trackRevisions>false</trackRevisions>
    </reviewItem>
    <reviewItem>
      <errorID>60db32b3-0a59-495d-84c8-103057fde089</errorID>
      <errorWord>(</errorWord>
      <group>L1_Format</group>
      <groupName>格式问题</groupName>
      <ability>L2_HalfPunc_CN</ability>
      <abilityName>全半角问题</abilityName>
      <candidateList>
        <item>（</item>
      </candidateList>
      <explain>文本全半角错误。</explain>
      <paraID>3B7BD426</paraID>
      <start>0</start>
      <end>1</end>
      <status>modified</status>
      <modifiedWord>（</modifiedWord>
      <trackRevisions>false</trackRevisions>
    </reviewItem>
    <reviewItem>
      <errorID>839f30ed-255f-43f6-83de-e235b79ab73f</errorID>
      <errorWord>)</errorWord>
      <group>L1_Format</group>
      <groupName>格式问题</groupName>
      <ability>L2_HalfPunc_CN</ability>
      <abilityName>全半角问题</abilityName>
      <candidateList>
        <item>）</item>
      </candidateList>
      <explain>文本全半角错误。</explain>
      <paraID>3B7BD426</paraID>
      <start>4</start>
      <end>5</end>
      <status>modified</status>
      <modifiedWord>）</modifiedWord>
      <trackRevisions>false</trackRevisions>
    </reviewItem>
    <reviewItem>
      <errorID>dd291850-dbcc-471e-961f-293aae254ea8</errorID>
      <errorWord>(</errorWord>
      <group>L1_Format</group>
      <groupName>格式问题</groupName>
      <ability>L2_HalfPunc_CN</ability>
      <abilityName>全半角问题</abilityName>
      <candidateList>
        <item>（</item>
      </candidateList>
      <explain>文本全半角错误。</explain>
      <paraID>40632EED</paraID>
      <start>0</start>
      <end>1</end>
      <status>modified</status>
      <modifiedWord>（</modifiedWord>
      <trackRevisions>false</trackRevisions>
    </reviewItem>
    <reviewItem>
      <errorID>6d15563e-5b29-4bbd-b99b-c66c8b3ed5c7</errorID>
      <errorWord>)</errorWord>
      <group>L1_Format</group>
      <groupName>格式问题</groupName>
      <ability>L2_HalfPunc_CN</ability>
      <abilityName>全半角问题</abilityName>
      <candidateList>
        <item>）</item>
      </candidateList>
      <explain>文本全半角错误。</explain>
      <paraID>40632EED</paraID>
      <start>4</start>
      <end>5</end>
      <status>modified</status>
      <modifiedWord>）</modifiedWord>
      <trackRevisions>false</trackRevisions>
    </reviewItem>
    <reviewItem>
      <errorID>11c6438e-7219-459d-a7f7-9263d73a06af</errorID>
      <errorWord>(</errorWord>
      <group>L1_Format</group>
      <groupName>格式问题</groupName>
      <ability>L2_HalfPunc_CN</ability>
      <abilityName>全半角问题</abilityName>
      <candidateList>
        <item>（</item>
      </candidateList>
      <explain>文本全半角错误。</explain>
      <paraID>40632EED</paraID>
      <start>8</start>
      <end>9</end>
      <status>modified</status>
      <modifiedWord>（</modifiedWord>
      <trackRevisions>false</trackRevisions>
    </reviewItem>
    <reviewItem>
      <errorID>ae77047a-04b7-4d46-92e7-be891d7b7228</errorID>
      <errorWord>):</errorWord>
      <group>L1_Format</group>
      <groupName>格式问题</groupName>
      <ability>L2_HalfPunc_CN</ability>
      <abilityName>全半角问题</abilityName>
      <candidateList>
        <item>）：</item>
      </candidateList>
      <explain>文本全半角错误。</explain>
      <paraID>40632EED</paraID>
      <start>13</start>
      <end>15</end>
      <status>ignored</status>
      <modifiedWord/>
      <trackRevisions>false</trackRevisions>
    </reviewItem>
    <reviewItem>
      <errorID>8876f959-13ec-4e30-87e9-e297ed461046</errorID>
      <errorWord>(</errorWord>
      <group>L1_Format</group>
      <groupName>格式问题</groupName>
      <ability>L2_HalfPunc_CN</ability>
      <abilityName>全半角问题</abilityName>
      <candidateList>
        <item>（</item>
      </candidateList>
      <explain>文本全半角错误。</explain>
      <paraID>40632EED</paraID>
      <start>31</start>
      <end>32</end>
      <status>modified</status>
      <modifiedWord>（</modifiedWord>
      <trackRevisions>false</trackRevisions>
    </reviewItem>
    <reviewItem>
      <errorID>8b5f15f5-b940-49f1-be27-f015144ae81d</errorID>
      <errorWord>):</errorWord>
      <group>L1_Format</group>
      <groupName>格式问题</groupName>
      <ability>L2_HalfPunc_CN</ability>
      <abilityName>全半角问题</abilityName>
      <candidateList>
        <item>）：</item>
      </candidateList>
      <explain>文本全半角错误。</explain>
      <paraID>40632EED</paraID>
      <start>36</start>
      <end>38</end>
      <status>ignored</status>
      <modifiedWord/>
      <trackRevisions>false</trackRevisions>
    </reviewItem>
    <reviewItem>
      <errorID>43dd8d2d-3c1d-4cb6-a248-38a484daf2cb</errorID>
      <errorWord>(</errorWord>
      <group>L1_Format</group>
      <groupName>格式问题</groupName>
      <ability>L2_HalfPunc_CN</ability>
      <abilityName>全半角问题</abilityName>
      <candidateList>
        <item>（</item>
      </candidateList>
      <explain>文本全半角错误。</explain>
      <paraID>40632EED</paraID>
      <start>100</start>
      <end>101</end>
      <status>modified</status>
      <modifiedWord>（</modifiedWord>
      <trackRevisions>false</trackRevisions>
    </reviewItem>
    <reviewItem>
      <errorID>126ee31e-59b4-494f-862e-b10571fa48db</errorID>
      <errorWord>)</errorWord>
      <group>L1_Format</group>
      <groupName>格式问题</groupName>
      <ability>L2_HalfPunc_CN</ability>
      <abilityName>全半角问题</abilityName>
      <candidateList>
        <item>）</item>
      </candidateList>
      <explain>文本全半角错误。</explain>
      <paraID>40632EED</paraID>
      <start>118</start>
      <end>119</end>
      <status>modified</status>
      <modifiedWord>）</modifiedWord>
      <trackRevisions>false</trackRevisions>
    </reviewItem>
    <reviewItem>
      <errorID>3f0616fe-8374-44bb-84bb-103c1940cf7d</errorID>
      <errorWord>(</errorWord>
      <group>L1_Format</group>
      <groupName>格式问题</groupName>
      <ability>L2_HalfPunc_CN</ability>
      <abilityName>全半角问题</abilityName>
      <candidateList>
        <item>（</item>
      </candidateList>
      <explain>文本全半角错误。</explain>
      <paraID> 734B132</paraID>
      <start>0</start>
      <end>1</end>
      <status>modified</status>
      <modifiedWord>（</modifiedWord>
      <trackRevisions>false</trackRevisions>
    </reviewItem>
    <reviewItem>
      <errorID>b56ce827-9fc6-4a75-a8da-4e448b953d90</errorID>
      <errorWord>)</errorWord>
      <group>L1_Format</group>
      <groupName>格式问题</groupName>
      <ability>L2_HalfPunc_CN</ability>
      <abilityName>全半角问题</abilityName>
      <candidateList>
        <item>）</item>
      </candidateList>
      <explain>文本全半角错误。</explain>
      <paraID> 734B132</paraID>
      <start>4</start>
      <end>5</end>
      <status>modified</status>
      <modifiedWord>）</modifiedWord>
      <trackRevisions>false</trackRevisions>
    </reviewItem>
    <reviewItem>
      <errorID>5c4f6dc2-6ee5-4cdd-ad0c-1847ad851b75</errorID>
      <errorWord>(</errorWord>
      <group>L1_Format</group>
      <groupName>格式问题</groupName>
      <ability>L2_HalfPunc_CN</ability>
      <abilityName>全半角问题</abilityName>
      <candidateList>
        <item>（</item>
      </candidateList>
      <explain>文本全半角错误。</explain>
      <paraID>70E20F65</paraID>
      <start>0</start>
      <end>1</end>
      <status>modified</status>
      <modifiedWord>（</modifiedWord>
      <trackRevisions>false</trackRevisions>
    </reviewItem>
    <reviewItem>
      <errorID>8d9074ab-b7dc-4b73-9074-cbdbd8a2cd05</errorID>
      <errorWord>)</errorWord>
      <group>L1_Format</group>
      <groupName>格式问题</groupName>
      <ability>L2_HalfPunc_CN</ability>
      <abilityName>全半角问题</abilityName>
      <candidateList>
        <item>）</item>
      </candidateList>
      <explain>文本全半角错误。</explain>
      <paraID>70E20F65</paraID>
      <start>4</start>
      <end>5</end>
      <status>modified</status>
      <modifiedWord>）</modifiedWord>
      <trackRevisions>false</trackRevisions>
    </reviewItem>
    <reviewItem>
      <errorID>70ce954e-fb13-430b-833e-ac2753a5b4c6</errorID>
      <errorWord>(</errorWord>
      <group>L1_Format</group>
      <groupName>格式问题</groupName>
      <ability>L2_HalfPunc_CN</ability>
      <abilityName>全半角问题</abilityName>
      <candidateList>
        <item>（</item>
      </candidateList>
      <explain>文本全半角错误。</explain>
      <paraID>217816FD</paraID>
      <start>0</start>
      <end>1</end>
      <status>modified</status>
      <modifiedWord>（</modifiedWord>
      <trackRevisions>false</trackRevisions>
    </reviewItem>
    <reviewItem>
      <errorID>481ecafa-6913-48f8-a51e-fd41c050dd25</errorID>
      <errorWord>)</errorWord>
      <group>L1_Format</group>
      <groupName>格式问题</groupName>
      <ability>L2_HalfPunc_CN</ability>
      <abilityName>全半角问题</abilityName>
      <candidateList>
        <item>）</item>
      </candidateList>
      <explain>文本全半角错误。</explain>
      <paraID>217816FD</paraID>
      <start>4</start>
      <end>5</end>
      <status>modified</status>
      <modifiedWord>）</modifiedWord>
      <trackRevisions>false</trackRevisions>
    </reviewItem>
    <reviewItem>
      <errorID>6503235c-4a86-4e96-a1cb-300c450adb32</errorID>
      <errorWord>(</errorWord>
      <group>L1_Format</group>
      <groupName>格式问题</groupName>
      <ability>L2_HalfPunc_CN</ability>
      <abilityName>全半角问题</abilityName>
      <candidateList>
        <item>（</item>
      </candidateList>
      <explain>文本全半角错误。</explain>
      <paraID>3B442903</paraID>
      <start>3</start>
      <end>4</end>
      <status>modified</status>
      <modifiedWord>（</modifiedWord>
      <trackRevisions>false</trackRevisions>
    </reviewItem>
    <reviewItem>
      <errorID>92ab5003-cdb2-4824-90ca-15d56bce5b0c</errorID>
      <errorWord>)</errorWord>
      <group>L1_Format</group>
      <groupName>格式问题</groupName>
      <ability>L2_HalfPunc_CN</ability>
      <abilityName>全半角问题</abilityName>
      <candidateList>
        <item>）</item>
      </candidateList>
      <explain>文本全半角错误。</explain>
      <paraID>3B442903</paraID>
      <start>8</start>
      <end>9</end>
      <status>modified</status>
      <modifiedWord>）</modifiedWord>
      <trackRevisions>false</trackRevisions>
    </reviewItem>
    <reviewItem>
      <errorID>af9d1e7c-533f-48ba-958b-7783de4b9e23</errorID>
      <errorWord>)</errorWord>
      <group>L1_Format</group>
      <groupName>格式问题</groupName>
      <ability>L2_HalfPunc_CN</ability>
      <abilityName>全半角问题</abilityName>
      <candidateList>
        <item>）</item>
      </candidateList>
      <explain>文本全半角错误。</explain>
      <paraID>304FDF55</paraID>
      <start>6</start>
      <end>7</end>
      <status>modified</status>
      <modifiedWord>）</modifiedWord>
      <trackRevisions>false</trackRevisions>
    </reviewItem>
    <reviewItem>
      <errorID>122ef21c-0985-46ff-8801-f52292b319e4</errorID>
      <errorWord>(</errorWord>
      <group>L1_Format</group>
      <groupName>格式问题</groupName>
      <ability>L2_HalfPunc_CN</ability>
      <abilityName>全半角问题</abilityName>
      <candidateList>
        <item>（</item>
      </candidateList>
      <explain>文本全半角错误。</explain>
      <paraID>1963D8E4</paraID>
      <start>3</start>
      <end>4</end>
      <status>modified</status>
      <modifiedWord>（</modifiedWord>
      <trackRevisions>false</trackRevisions>
    </reviewItem>
    <reviewItem>
      <errorID>8ada1d02-31c3-40cc-905a-e9bded91dd16</errorID>
      <errorWord>)</errorWord>
      <group>L1_Format</group>
      <groupName>格式问题</groupName>
      <ability>L2_HalfPunc_CN</ability>
      <abilityName>全半角问题</abilityName>
      <candidateList>
        <item>）</item>
      </candidateList>
      <explain>文本全半角错误。</explain>
      <paraID>1963D8E4</paraID>
      <start>8</start>
      <end>9</end>
      <status>modified</status>
      <modifiedWord>）</modifiedWord>
      <trackRevisions>false</trackRevisions>
    </reviewItem>
    <reviewItem>
      <errorID>14c892fb-53d4-4f51-9cb9-bcaec2ee135d</errorID>
      <errorWord>)</errorWord>
      <group>L1_Format</group>
      <groupName>格式问题</groupName>
      <ability>L2_HalfPunc_CN</ability>
      <abilityName>全半角问题</abilityName>
      <candidateList>
        <item>）</item>
      </candidateList>
      <explain>文本全半角错误。</explain>
      <paraID>388461A0</paraID>
      <start>6</start>
      <end>7</end>
      <status>modified</status>
      <modifiedWord>）</modifiedWord>
      <trackRevisions>false</trackRevisions>
    </reviewItem>
    <reviewItem>
      <errorID>f1383161-eb3c-4495-979d-f9d0bc9763a7</errorID>
      <errorWord>(</errorWord>
      <group>L1_Format</group>
      <groupName>格式问题</groupName>
      <ability>L2_HalfPunc_CN</ability>
      <abilityName>全半角问题</abilityName>
      <candidateList>
        <item>（</item>
      </candidateList>
      <explain>文本全半角错误。</explain>
      <paraID>22203A4E</paraID>
      <start>0</start>
      <end>1</end>
      <status>modified</status>
      <modifiedWord>（</modifiedWord>
      <trackRevisions>false</trackRevisions>
    </reviewItem>
    <reviewItem>
      <errorID>d8244a93-3955-4c31-a702-dcdb8e64556d</errorID>
      <errorWord>)</errorWord>
      <group>L1_Format</group>
      <groupName>格式问题</groupName>
      <ability>L2_HalfPunc_CN</ability>
      <abilityName>全半角问题</abilityName>
      <candidateList>
        <item>）</item>
      </candidateList>
      <explain>文本全半角错误。</explain>
      <paraID>22203A4E</paraID>
      <start>4</start>
      <end>5</end>
      <status>modified</status>
      <modifiedWord>）</modifiedWord>
      <trackRevisions>false</trackRevisions>
    </reviewItem>
    <reviewItem>
      <errorID>967ee79c-2352-4285-89f1-1c0a0da9c4ba</errorID>
      <errorWord>)</errorWord>
      <group>L1_Format</group>
      <groupName>格式问题</groupName>
      <ability>L2_HalfPunc_CN</ability>
      <abilityName>全半角问题</abilityName>
      <candidateList>
        <item>）</item>
      </candidateList>
      <explain>文本全半角错误。</explain>
      <paraID>5FBAC28A</paraID>
      <start>6</start>
      <end>7</end>
      <status>modified</status>
      <modifiedWord>）</modifiedWord>
      <trackRevisions>false</trackRevisions>
    </reviewItem>
    <reviewItem>
      <errorID>b7b1cb8f-2d5c-4d55-a562-023da81853ba</errorID>
      <errorWord>)</errorWord>
      <group>L1_Format</group>
      <groupName>格式问题</groupName>
      <ability>L2_HalfPunc_CN</ability>
      <abilityName>全半角问题</abilityName>
      <candidateList>
        <item>）</item>
      </candidateList>
      <explain>文本全半角错误。</explain>
      <paraID>4D7D70D1</paraID>
      <start>6</start>
      <end>7</end>
      <status>modified</status>
      <modifiedWord>）</modifiedWord>
      <trackRevisions>false</trackRevisions>
    </reviewItem>
    <reviewItem>
      <errorID>ea77b41f-72a1-4401-a014-38f4dde18b28</errorID>
      <errorWord>(</errorWord>
      <group>L1_Format</group>
      <groupName>格式问题</groupName>
      <ability>L2_HalfPunc_CN</ability>
      <abilityName>全半角问题</abilityName>
      <candidateList>
        <item>（</item>
      </candidateList>
      <explain>文本全半角错误。</explain>
      <paraID>4D7D70D1</paraID>
      <start>41</start>
      <end>42</end>
      <status>modified</status>
      <modifiedWord>（</modifiedWord>
      <trackRevisions>false</trackRevisions>
    </reviewItem>
    <reviewItem>
      <errorID>1a281a5f-0231-4b5d-b685-0f47d9798ed9</errorID>
      <errorWord>)</errorWord>
      <group>L1_Format</group>
      <groupName>格式问题</groupName>
      <ability>L2_HalfPunc_CN</ability>
      <abilityName>全半角问题</abilityName>
      <candidateList>
        <item>）</item>
      </candidateList>
      <explain>文本全半角错误。</explain>
      <paraID>4D7D70D1</paraID>
      <start>43</start>
      <end>44</end>
      <status>modified</status>
      <modifiedWord>）</modifiedWord>
      <trackRevisions>false</trackRevisions>
    </reviewItem>
    <reviewItem>
      <errorID>438640fa-4191-4e16-aac2-0f392927369d</errorID>
      <errorWord>)</errorWord>
      <group>L1_Format</group>
      <groupName>格式问题</groupName>
      <ability>L2_HalfPunc_CN</ability>
      <abilityName>全半角问题</abilityName>
      <candidateList>
        <item>）</item>
      </candidateList>
      <explain>文本全半角错误。</explain>
      <paraID>76725187</paraID>
      <start>6</start>
      <end>7</end>
      <status>modified</status>
      <modifiedWord>）</modifiedWord>
      <trackRevisions>false</trackRevisions>
    </reviewItem>
    <reviewItem>
      <errorID>7bb6a6bd-ba0e-475a-945d-8d6d2b979971</errorID>
      <errorWord>(</errorWord>
      <group>L1_Format</group>
      <groupName>格式问题</groupName>
      <ability>L2_HalfPunc_CN</ability>
      <abilityName>全半角问题</abilityName>
      <candidateList>
        <item>（</item>
      </candidateList>
      <explain>文本全半角错误。</explain>
      <paraID>76725187</paraID>
      <start>49</start>
      <end>50</end>
      <status>modified</status>
      <modifiedWord>（</modifiedWord>
      <trackRevisions>false</trackRevisions>
    </reviewItem>
    <reviewItem>
      <errorID>85b01409-754b-4381-9d23-389a1895c2f0</errorID>
      <errorWord>)</errorWord>
      <group>L1_Format</group>
      <groupName>格式问题</groupName>
      <ability>L2_HalfPunc_CN</ability>
      <abilityName>全半角问题</abilityName>
      <candidateList>
        <item>）</item>
      </candidateList>
      <explain>文本全半角错误。</explain>
      <paraID>76725187</paraID>
      <start>53</start>
      <end>54</end>
      <status>modified</status>
      <modifiedWord>）</modifiedWord>
      <trackRevisions>false</trackRevisions>
    </reviewItem>
    <reviewItem>
      <errorID>476dedcc-7211-4f8d-9a5c-a212ac2d6bee</errorID>
      <errorWord>(</errorWord>
      <group>L1_Format</group>
      <groupName>格式问题</groupName>
      <ability>L2_HalfPunc_CN</ability>
      <abilityName>全半角问题</abilityName>
      <candidateList>
        <item>（</item>
      </candidateList>
      <explain>文本全半角错误。</explain>
      <paraID> CF905FD</paraID>
      <start>0</start>
      <end>1</end>
      <status>modified</status>
      <modifiedWord>（</modifiedWord>
      <trackRevisions>false</trackRevisions>
    </reviewItem>
    <reviewItem>
      <errorID>f524a097-9b07-486a-be3f-e6b18649c7e6</errorID>
      <errorWord>)</errorWord>
      <group>L1_Format</group>
      <groupName>格式问题</groupName>
      <ability>L2_HalfPunc_CN</ability>
      <abilityName>全半角问题</abilityName>
      <candidateList>
        <item>）</item>
      </candidateList>
      <explain>文本全半角错误。</explain>
      <paraID> CF905FD</paraID>
      <start>4</start>
      <end>5</end>
      <status>modified</status>
      <modifiedWord>）</modifiedWord>
      <trackRevisions>false</trackRevisions>
    </reviewItem>
    <reviewItem>
      <errorID>7139b11a-06d6-426a-9237-d6d38a00a6d9</errorID>
      <errorWord>(</errorWord>
      <group>L1_Format</group>
      <groupName>格式问题</groupName>
      <ability>L2_HalfPunc_CN</ability>
      <abilityName>全半角问题</abilityName>
      <candidateList>
        <item>（</item>
      </candidateList>
      <explain>文本全半角错误。</explain>
      <paraID>6ECA9887</paraID>
      <start>0</start>
      <end>1</end>
      <status>modified</status>
      <modifiedWord>（</modifiedWord>
      <trackRevisions>false</trackRevisions>
    </reviewItem>
    <reviewItem>
      <errorID>e40d6858-4689-4115-b5bf-ceaa6812a3d8</errorID>
      <errorWord>)</errorWord>
      <group>L1_Format</group>
      <groupName>格式问题</groupName>
      <ability>L2_HalfPunc_CN</ability>
      <abilityName>全半角问题</abilityName>
      <candidateList>
        <item>）</item>
      </candidateList>
      <explain>文本全半角错误。</explain>
      <paraID>6ECA9887</paraID>
      <start>4</start>
      <end>5</end>
      <status>modified</status>
      <modifiedWord>）</modifiedWord>
      <trackRevisions>false</trackRevisions>
    </reviewItem>
    <reviewItem>
      <errorID>60568f13-5ce3-4461-a8be-b00b5a66a2ef</errorID>
      <errorWord>(</errorWord>
      <group>L1_Format</group>
      <groupName>格式问题</groupName>
      <ability>L2_HalfPunc_CN</ability>
      <abilityName>全半角问题</abilityName>
      <candidateList>
        <item>（</item>
      </candidateList>
      <explain>文本全半角错误。</explain>
      <paraID>49804E55</paraID>
      <start>0</start>
      <end>1</end>
      <status>modified</status>
      <modifiedWord>（</modifiedWord>
      <trackRevisions>false</trackRevisions>
    </reviewItem>
    <reviewItem>
      <errorID>d64c83f8-0588-4605-a089-e9ad15faf287</errorID>
      <errorWord>)</errorWord>
      <group>L1_Format</group>
      <groupName>格式问题</groupName>
      <ability>L2_HalfPunc_CN</ability>
      <abilityName>全半角问题</abilityName>
      <candidateList>
        <item>）</item>
      </candidateList>
      <explain>文本全半角错误。</explain>
      <paraID>49804E55</paraID>
      <start>4</start>
      <end>5</end>
      <status>modified</status>
      <modifiedWord>）</modifiedWord>
      <trackRevisions>false</trackRevisions>
    </reviewItem>
    <reviewItem>
      <errorID>fb09e7fe-e1d7-4061-8df7-7aed2d6778c2</errorID>
      <errorWord>(</errorWord>
      <group>L1_Format</group>
      <groupName>格式问题</groupName>
      <ability>L2_HalfPunc_CN</ability>
      <abilityName>全半角问题</abilityName>
      <candidateList>
        <item>（</item>
      </candidateList>
      <explain>文本全半角错误。</explain>
      <paraID>52574AC0</paraID>
      <start>0</start>
      <end>1</end>
      <status>modified</status>
      <modifiedWord>（</modifiedWord>
      <trackRevisions>false</trackRevisions>
    </reviewItem>
    <reviewItem>
      <errorID>4eb62759-ea50-4c07-995b-edecda501a90</errorID>
      <errorWord>)</errorWord>
      <group>L1_Format</group>
      <groupName>格式问题</groupName>
      <ability>L2_HalfPunc_CN</ability>
      <abilityName>全半角问题</abilityName>
      <candidateList>
        <item>）</item>
      </candidateList>
      <explain>文本全半角错误。</explain>
      <paraID>52574AC0</paraID>
      <start>4</start>
      <end>5</end>
      <status>modified</status>
      <modifiedWord>）</modifiedWord>
      <trackRevisions>false</trackRevisions>
    </reviewItem>
    <reviewItem>
      <errorID>d39bec5c-cdcb-4040-a145-b610f70d8577</errorID>
      <errorWord>(</errorWord>
      <group>L1_Format</group>
      <groupName>格式问题</groupName>
      <ability>L2_HalfPunc_CN</ability>
      <abilityName>全半角问题</abilityName>
      <candidateList>
        <item>（</item>
      </candidateList>
      <explain>文本全半角错误。</explain>
      <paraID>52574AC0</paraID>
      <start>20</start>
      <end>21</end>
      <status>modified</status>
      <modifiedWord>（</modifiedWord>
      <trackRevisions>false</trackRevisions>
    </reviewItem>
    <reviewItem>
      <errorID>b70005c7-5bb9-4c6b-8ca4-c5b375e1de9f</errorID>
      <errorWord>)</errorWord>
      <group>L1_Format</group>
      <groupName>格式问题</groupName>
      <ability>L2_HalfPunc_CN</ability>
      <abilityName>全半角问题</abilityName>
      <candidateList>
        <item>）</item>
      </candidateList>
      <explain>文本全半角错误。</explain>
      <paraID>52574AC0</paraID>
      <start>24</start>
      <end>25</end>
      <status>modified</status>
      <modifiedWord>）</modifiedWord>
      <trackRevisions>false</trackRevisions>
    </reviewItem>
    <reviewItem>
      <errorID>2b53cae1-5661-4dc7-a087-16ee537df837</errorID>
      <errorWord>(</errorWord>
      <group>L1_Format</group>
      <groupName>格式问题</groupName>
      <ability>L2_HalfPunc_CN</ability>
      <abilityName>全半角问题</abilityName>
      <candidateList>
        <item>（</item>
      </candidateList>
      <explain>文本全半角错误。</explain>
      <paraID>3AF92CD0</paraID>
      <start>0</start>
      <end>1</end>
      <status>modified</status>
      <modifiedWord>（</modifiedWord>
      <trackRevisions>false</trackRevisions>
    </reviewItem>
    <reviewItem>
      <errorID>80496a8d-91a2-4003-9fda-0ed705d49560</errorID>
      <errorWord>)</errorWord>
      <group>L1_Format</group>
      <groupName>格式问题</groupName>
      <ability>L2_HalfPunc_CN</ability>
      <abilityName>全半角问题</abilityName>
      <candidateList>
        <item>）</item>
      </candidateList>
      <explain>文本全半角错误。</explain>
      <paraID>3AF92CD0</paraID>
      <start>4</start>
      <end>5</end>
      <status>modified</status>
      <modifiedWord>）</modifiedWord>
      <trackRevisions>false</trackRevisions>
    </reviewItem>
    <reviewItem>
      <errorID>d2d8576f-303b-4a16-babb-0e8f37f86150</errorID>
      <errorWord>)</errorWord>
      <group>L1_Format</group>
      <groupName>格式问题</groupName>
      <ability>L2_HalfPunc_CN</ability>
      <abilityName>全半角问题</abilityName>
      <candidateList>
        <item>）</item>
      </candidateList>
      <explain>文本全半角错误。</explain>
      <paraID> 1EC61B5</paraID>
      <start>6</start>
      <end>7</end>
      <status>modified</status>
      <modifiedWord>）</modifiedWord>
      <trackRevisions>false</trackRevisions>
    </reviewItem>
    <reviewItem>
      <errorID>628c6c4e-b574-4e65-9a22-6c9327a1eff1</errorID>
      <errorWord>(</errorWord>
      <group>L1_Format</group>
      <groupName>格式问题</groupName>
      <ability>L2_HalfPunc_CN</ability>
      <abilityName>全半角问题</abilityName>
      <candidateList>
        <item>（</item>
      </candidateList>
      <explain>文本全半角错误。</explain>
      <paraID> 1EC61B5</paraID>
      <start>70</start>
      <end>71</end>
      <status>modified</status>
      <modifiedWord>（</modifiedWord>
      <trackRevisions>false</trackRevisions>
    </reviewItem>
    <reviewItem>
      <errorID>29849eba-52fb-4b90-b805-e12a0d3412d1</errorID>
      <errorWord>)</errorWord>
      <group>L1_Format</group>
      <groupName>格式问题</groupName>
      <ability>L2_HalfPunc_CN</ability>
      <abilityName>全半角问题</abilityName>
      <candidateList>
        <item>）</item>
      </candidateList>
      <explain>文本全半角错误。</explain>
      <paraID> 1EC61B5</paraID>
      <start>75</start>
      <end>76</end>
      <status>modified</status>
      <modifiedWord>）</modifiedWord>
      <trackRevisions>false</trackRevisions>
    </reviewItem>
    <reviewItem>
      <errorID>e14777bb-5a5e-449b-a1aa-db4bf17c7509</errorID>
      <errorWord>(</errorWord>
      <group>L1_Format</group>
      <groupName>格式问题</groupName>
      <ability>L2_HalfPunc_CN</ability>
      <abilityName>全半角问题</abilityName>
      <candidateList>
        <item>（</item>
      </candidateList>
      <explain>文本全半角错误。</explain>
      <paraID> 1EC61B5</paraID>
      <start>86</start>
      <end>87</end>
      <status>modified</status>
      <modifiedWord>（</modifiedWord>
      <trackRevisions>false</trackRevisions>
    </reviewItem>
    <reviewItem>
      <errorID>c2de966c-d268-4c69-81de-5dee59a1a464</errorID>
      <errorWord>)</errorWord>
      <group>L1_Format</group>
      <groupName>格式问题</groupName>
      <ability>L2_HalfPunc_CN</ability>
      <abilityName>全半角问题</abilityName>
      <candidateList>
        <item>）</item>
      </candidateList>
      <explain>文本全半角错误。</explain>
      <paraID> 1EC61B5</paraID>
      <start>91</start>
      <end>92</end>
      <status>modified</status>
      <modifiedWord>）</modifiedWord>
      <trackRevisions>false</trackRevisions>
    </reviewItem>
    <reviewItem>
      <errorID>bdef68c9-ddf6-4d6e-ac92-c7587f65b4d7</errorID>
      <errorWord>)</errorWord>
      <group>L1_Format</group>
      <groupName>格式问题</groupName>
      <ability>L2_HalfPunc_CN</ability>
      <abilityName>全半角问题</abilityName>
      <candidateList>
        <item>）</item>
      </candidateList>
      <explain>文本全半角错误。</explain>
      <paraID>6715F11E</paraID>
      <start>6</start>
      <end>7</end>
      <status>modified</status>
      <modifiedWord>）</modifiedWord>
      <trackRevisions>false</trackRevisions>
    </reviewItem>
    <reviewItem>
      <errorID>39b7f36a-2a5a-4e54-9ccd-701fac53e27c</errorID>
      <errorWord>(</errorWord>
      <group>L1_Format</group>
      <groupName>格式问题</groupName>
      <ability>L2_HalfPunc_CN</ability>
      <abilityName>全半角问题</abilityName>
      <candidateList>
        <item>（</item>
      </candidateList>
      <explain>文本全半角错误。</explain>
      <paraID>6715F11E</paraID>
      <start>17</start>
      <end>18</end>
      <status>modified</status>
      <modifiedWord>（</modifiedWord>
      <trackRevisions>false</trackRevisions>
    </reviewItem>
    <reviewItem>
      <errorID>675ba3af-9643-4cda-806f-81b91f3d1af9</errorID>
      <errorWord>)</errorWord>
      <group>L1_Format</group>
      <groupName>格式问题</groupName>
      <ability>L2_HalfPunc_CN</ability>
      <abilityName>全半角问题</abilityName>
      <candidateList>
        <item>）</item>
      </candidateList>
      <explain>文本全半角错误。</explain>
      <paraID>6715F11E</paraID>
      <start>22</start>
      <end>23</end>
      <status>modified</status>
      <modifiedWord>）</modifiedWord>
      <trackRevisions>false</trackRevisions>
    </reviewItem>
    <reviewItem>
      <errorID>c629ca02-b852-41b5-ab3b-7195b6f35db9</errorID>
      <errorWord>(</errorWord>
      <group>L1_Format</group>
      <groupName>格式问题</groupName>
      <ability>L2_HalfPunc_CN</ability>
      <abilityName>全半角问题</abilityName>
      <candidateList>
        <item>（</item>
      </candidateList>
      <explain>文本全半角错误。</explain>
      <paraID>6715F11E</paraID>
      <start>61</start>
      <end>62</end>
      <status>modified</status>
      <modifiedWord>（</modifiedWord>
      <trackRevisions>false</trackRevisions>
    </reviewItem>
    <reviewItem>
      <errorID>7d6655e6-09cb-48ad-9882-126fe5e6d97e</errorID>
      <errorWord>)</errorWord>
      <group>L1_Format</group>
      <groupName>格式问题</groupName>
      <ability>L2_HalfPunc_CN</ability>
      <abilityName>全半角问题</abilityName>
      <candidateList>
        <item>）</item>
      </candidateList>
      <explain>文本全半角错误。</explain>
      <paraID>6715F11E</paraID>
      <start>65</start>
      <end>66</end>
      <status>modified</status>
      <modifiedWord>）</modifiedWord>
      <trackRevisions>false</trackRevisions>
    </reviewItem>
    <reviewItem>
      <errorID>299e04fe-c755-4b79-95cd-9aeb6c507b31</errorID>
      <errorWord>(</errorWord>
      <group>L1_Format</group>
      <groupName>格式问题</groupName>
      <ability>L2_HalfPunc_CN</ability>
      <abilityName>全半角问题</abilityName>
      <candidateList>
        <item>（</item>
      </candidateList>
      <explain>文本全半角错误。</explain>
      <paraID>6715F11E</paraID>
      <start>89</start>
      <end>90</end>
      <status>modified</status>
      <modifiedWord>（</modifiedWord>
      <trackRevisions>false</trackRevisions>
    </reviewItem>
    <reviewItem>
      <errorID>759bf4de-081d-4503-8cee-8d6fa31a5384</errorID>
      <errorWord>)</errorWord>
      <group>L1_Format</group>
      <groupName>格式问题</groupName>
      <ability>L2_HalfPunc_CN</ability>
      <abilityName>全半角问题</abilityName>
      <candidateList>
        <item>）</item>
      </candidateList>
      <explain>文本全半角错误。</explain>
      <paraID>6715F11E</paraID>
      <start>93</start>
      <end>94</end>
      <status>modified</status>
      <modifiedWord>）</modifiedWord>
      <trackRevisions>false</trackRevisions>
    </reviewItem>
    <reviewItem>
      <errorID>7c95fba5-a785-41bf-a7ae-fb9f090e6326</errorID>
      <errorWord>(</errorWord>
      <group>L1_Format</group>
      <groupName>格式问题</groupName>
      <ability>L2_HalfPunc_CN</ability>
      <abilityName>全半角问题</abilityName>
      <candidateList>
        <item>（</item>
      </candidateList>
      <explain>文本全半角错误。</explain>
      <paraID>6715F11E</paraID>
      <start>108</start>
      <end>109</end>
      <status>modified</status>
      <modifiedWord>（</modifiedWord>
      <trackRevisions>false</trackRevisions>
    </reviewItem>
    <reviewItem>
      <errorID>0a281b8b-a723-4dc7-b52c-419ab913ddb9</errorID>
      <errorWord>)</errorWord>
      <group>L1_Format</group>
      <groupName>格式问题</groupName>
      <ability>L2_HalfPunc_CN</ability>
      <abilityName>全半角问题</abilityName>
      <candidateList>
        <item>）</item>
      </candidateList>
      <explain>文本全半角错误。</explain>
      <paraID>6715F11E</paraID>
      <start>113</start>
      <end>114</end>
      <status>modified</status>
      <modifiedWord>）</modifiedWord>
      <trackRevisions>false</trackRevisions>
    </reviewItem>
    <reviewItem>
      <errorID>928fa7f5-a888-4965-92da-18c5b37b31b8</errorID>
      <errorWord>(</errorWord>
      <group>L1_Format</group>
      <groupName>格式问题</groupName>
      <ability>L2_HalfPunc_CN</ability>
      <abilityName>全半角问题</abilityName>
      <candidateList>
        <item>（</item>
      </candidateList>
      <explain>文本全半角错误。</explain>
      <paraID>6715F11E</paraID>
      <start>138</start>
      <end>139</end>
      <status>modified</status>
      <modifiedWord>（</modifiedWord>
      <trackRevisions>false</trackRevisions>
    </reviewItem>
    <reviewItem>
      <errorID>aa35775b-066f-49ea-b6fe-e801c249e85b</errorID>
      <errorWord>)</errorWord>
      <group>L1_Format</group>
      <groupName>格式问题</groupName>
      <ability>L2_HalfPunc_CN</ability>
      <abilityName>全半角问题</abilityName>
      <candidateList>
        <item>）</item>
      </candidateList>
      <explain>文本全半角错误。</explain>
      <paraID>6715F11E</paraID>
      <start>142</start>
      <end>143</end>
      <status>modified</status>
      <modifiedWord>）</modifiedWord>
      <trackRevisions>false</trackRevisions>
    </reviewItem>
    <reviewItem>
      <errorID>3a9a6ea0-adb0-44ad-bfa5-494d44545059</errorID>
      <errorWord>(</errorWord>
      <group>L1_Format</group>
      <groupName>格式问题</groupName>
      <ability>L2_HalfPunc_CN</ability>
      <abilityName>全半角问题</abilityName>
      <candidateList>
        <item>（</item>
      </candidateList>
      <explain>文本全半角错误。</explain>
      <paraID>64C32D9F</paraID>
      <start>0</start>
      <end>1</end>
      <status>modified</status>
      <modifiedWord>（</modifiedWord>
      <trackRevisions>false</trackRevisions>
    </reviewItem>
    <reviewItem>
      <errorID>96129e72-54dd-4571-927c-3bbca3b220b8</errorID>
      <errorWord>)</errorWord>
      <group>L1_Format</group>
      <groupName>格式问题</groupName>
      <ability>L2_HalfPunc_CN</ability>
      <abilityName>全半角问题</abilityName>
      <candidateList>
        <item>）</item>
      </candidateList>
      <explain>文本全半角错误。</explain>
      <paraID>64C32D9F</paraID>
      <start>4</start>
      <end>5</end>
      <status>modified</status>
      <modifiedWord>）</modifiedWord>
      <trackRevisions>false</trackRevisions>
    </reviewItem>
    <reviewItem>
      <errorID>90069c62-b22c-4f40-b80d-b35e15a65141</errorID>
      <errorWord>(</errorWord>
      <group>L1_Format</group>
      <groupName>格式问题</groupName>
      <ability>L2_HalfPunc_CN</ability>
      <abilityName>全半角问题</abilityName>
      <candidateList>
        <item>（</item>
      </candidateList>
      <explain>文本全半角错误。</explain>
      <paraID>162B7CCC</paraID>
      <start>0</start>
      <end>1</end>
      <status>modified</status>
      <modifiedWord>（</modifiedWord>
      <trackRevisions>false</trackRevisions>
    </reviewItem>
    <reviewItem>
      <errorID>33cddd3e-e8f9-4d27-b687-8a58e4483eac</errorID>
      <errorWord>)</errorWord>
      <group>L1_Format</group>
      <groupName>格式问题</groupName>
      <ability>L2_HalfPunc_CN</ability>
      <abilityName>全半角问题</abilityName>
      <candidateList>
        <item>）</item>
      </candidateList>
      <explain>文本全半角错误。</explain>
      <paraID>162B7CCC</paraID>
      <start>4</start>
      <end>5</end>
      <status>modified</status>
      <modifiedWord>）</modifiedWord>
      <trackRevisions>false</trackRevisions>
    </reviewItem>
    <reviewItem>
      <errorID>e9cef374-bee3-4b97-9038-4f274fbdc303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27F13DAB</paraID>
      <start>0</start>
      <end>2</end>
      <status>ignored</status>
      <modifiedWord/>
      <trackRevisions>false</trackRevisions>
    </reviewItem>
    <reviewItem>
      <errorID>c9dfa752-4f82-4a07-9f50-9dd51d3a131a</errorID>
      <errorWord>【2024】17号</errorWord>
      <group>L1_Knowledge</group>
      <groupName>知识性问题</groupName>
      <ability>L2_Knowledge</ability>
      <abilityName>其他知识</abilityName>
      <candidateList>
        <item>〔2024〕17号</item>
      </candidateList>
      <explain>发文字号格式错误。</explain>
      <paraID>413DDD8F</paraID>
      <start>142</start>
      <end>151</end>
      <status>modified</status>
      <modifiedWord>〔2024〕17号</modifiedWord>
      <trackRevisions>false</trackRevisions>
    </reviewItem>
    <reviewItem>
      <errorID>a6fe906b-c231-462b-9626-eeca447513be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42F11FBA</paraID>
      <start>17</start>
      <end>19</end>
      <status>modified</status>
      <modifiedWord>》《</modifiedWord>
      <trackRevisions>false</trackRevisions>
    </reviewItem>
    <reviewItem>
      <errorID>7c5c8d35-30d0-4b32-9d70-8c0d85c2c2d9</errorID>
      <errorWord>-</errorWord>
      <group>L1_Format</group>
      <groupName>格式问题</groupName>
      <ability>L2_HalfPunc_CN</ability>
      <abilityName>全半角问题</abilityName>
      <candidateList>
        <item>－</item>
      </candidateList>
      <explain>文本全半角错误。</explain>
      <paraID>42F11FBA</paraID>
      <start>108</start>
      <end>109</end>
      <status>modified</status>
      <modifiedWord>－</modifiedWord>
      <trackRevisions>false</trackRevisions>
    </reviewItem>
    <reviewItem>
      <errorID>729a9293-e5bf-4267-b4a4-2f2bf36d2f80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11C0AF99</paraID>
      <start>0</start>
      <end>2</end>
      <status>ignored</status>
      <modifiedWord/>
      <trackRevisions>false</trackRevisions>
    </reviewItem>
    <reviewItem>
      <errorID>c794d08e-ddb0-49e6-b5ac-1653464589b6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15B6956E</paraID>
      <start>0</start>
      <end>3</end>
      <status>unmodified</status>
      <modifiedWord/>
      <trackRevisions>false</trackRevisions>
    </reviewItem>
    <reviewItem>
      <errorID>686af9f9-d16b-4afa-92c1-eea57bcbf960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256D6DA9</paraID>
      <start>0</start>
      <end>3</end>
      <status>unmodified</status>
      <modifiedWord/>
      <trackRevisions>false</trackRevisions>
    </reviewItem>
    <reviewItem>
      <errorID>91424056-5939-418c-aa7c-6a1ba64014f9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4DA0F69A</paraID>
      <start>0</start>
      <end>2</end>
      <status>ignored</status>
      <modifiedWord/>
      <trackRevisions>false</trackRevisions>
    </reviewItem>
    <reviewItem>
      <errorID>a3e4ecd5-c8eb-43ee-8b97-771022f4b281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745D695D</paraID>
      <start>0</start>
      <end>2</end>
      <status>ignored</status>
      <modifiedWord/>
      <trackRevisions>false</trackRevisions>
    </reviewItem>
    <reviewItem>
      <errorID>cef694d6-7021-4bf6-8fbc-cffb940591a0</errorID>
      <errorWord>kw</errorWord>
      <group>L1_Word</group>
      <groupName>字词问题</groupName>
      <ability>L2_Typo</ability>
      <abilityName>字词错误</abilityName>
      <candidateList>
        <item>kW</item>
      </candidateList>
      <explain/>
      <paraID>5D81DB4A</paraID>
      <start>0</start>
      <end>2</end>
      <status>modified</status>
      <modifiedWord>kW</modifiedWord>
      <trackRevisions>false</trackRevisions>
    </reviewItem>
    <reviewItem>
      <errorID>d606ae57-ff77-4315-9b09-37623fc3700e</errorID>
      <errorWord>（</errorWord>
      <group>L1_Punc</group>
      <groupName>标点问题</groupName>
      <ability>L2_Punc_CN</ability>
      <abilityName>标点符号问题</abilityName>
      <candidateList/>
      <explain>同一形式括号套用。</explain>
      <paraID>77C3FE41</paraID>
      <start>94</start>
      <end>95</end>
      <status>unmodified</status>
      <modifiedWord/>
      <trackRevisions>false</trackRevisions>
    </reviewItem>
    <reviewItem>
      <errorID>7c61a6d9-5d7f-44cf-a220-e25ac0a4228e</errorID>
      <errorWord>(</errorWord>
      <group>L1_Punc</group>
      <groupName>标点问题</groupName>
      <ability>L2_Punc_CN</ability>
      <abilityName>标点符号问题</abilityName>
      <candidateList/>
      <explain>同一形式括号套用。</explain>
      <paraID>77C3FE41</paraID>
      <start>104</start>
      <end>105</end>
      <status>unmodified</status>
      <modifiedWord/>
      <trackRevisions>false</trackRevisions>
    </reviewItem>
    <reviewItem>
      <errorID>94e4011d-2532-4ec4-aa44-7b6329587306</errorID>
      <errorWord>)</errorWord>
      <group>L1_Punc</group>
      <groupName>标点问题</groupName>
      <ability>L2_Punc_CN</ability>
      <abilityName>标点符号问题</abilityName>
      <candidateList/>
      <explain>同一形式括号套用。</explain>
      <paraID>77C3FE41</paraID>
      <start>110</start>
      <end>111</end>
      <status>unmodified</status>
      <modifiedWord/>
      <trackRevisions>false</trackRevisions>
    </reviewItem>
    <reviewItem>
      <errorID>4f27b19e-6e38-419f-9c7f-aa740ed3cd28</errorID>
      <errorWord>）</errorWord>
      <group>L1_Punc</group>
      <groupName>标点问题</groupName>
      <ability>L2_Punc_CN</ability>
      <abilityName>标点符号问题</abilityName>
      <candidateList/>
      <explain>同一形式括号套用。</explain>
      <paraID>77C3FE41</paraID>
      <start>112</start>
      <end>113</end>
      <status>unmodified</status>
      <modifiedWord/>
      <trackRevisions>false</trackRevisions>
    </reviewItem>
    <reviewItem>
      <errorID>f6102a46-65de-4d3b-8d25-933553d636c8</errorID>
      <errorWord>＜</errorWord>
      <group>L1_Format</group>
      <groupName>格式问题</groupName>
      <ability>L2_HalfPunc_CN</ability>
      <abilityName>全半角问题</abilityName>
      <candidateList>
        <item>&lt;</item>
      </candidateList>
      <explain>文本全半角错误。</explain>
      <paraID>4118471B</paraID>
      <start>0</start>
      <end>1</end>
      <status>unmodified</status>
      <modifiedWord/>
      <trackRevisions>false</trackRevisions>
    </reviewItem>
    <reviewItem>
      <errorID>6a63bbc4-cde7-4431-847d-d1d5596e1323</errorID>
      <errorWord>化学成份</errorWord>
      <group>L1_Word</group>
      <groupName>字词问题</groupName>
      <ability>L2_Variant</ability>
      <abilityName>异形词</abilityName>
      <candidateList>
        <item>化学成分</item>
      </candidateList>
      <explain>词汇[化学成份]的规范词形写作[化学成分]。</explain>
      <paraID>7D599F78</paraID>
      <start>180</start>
      <end>184</end>
      <status>modified</status>
      <modifiedWord>化学成分</modifiedWord>
      <trackRevisions>false</trackRevisions>
    </reviewItem>
    <reviewItem>
      <errorID>d2106401-6474-41ab-a586-9fd57f304c81</errorID>
      <errorWord>胶粘剂</errorWord>
      <group>L1_Word</group>
      <groupName>字词问题</groupName>
      <ability>L2_Typo</ability>
      <abilityName>字词错误</abilityName>
      <candidateList>
        <item>胶黏剂</item>
      </candidateList>
      <explain/>
      <paraID>5CEB5E6B</paraID>
      <start>148</start>
      <end>151</end>
      <status>ignored</status>
      <modifiedWord/>
      <trackRevisions>false</trackRevisions>
    </reviewItem>
    <reviewItem>
      <errorID>2bb7e692-5803-4029-923d-b86a102ee79a</errorID>
      <errorWord>胶粘剂</errorWord>
      <group>L1_Word</group>
      <groupName>字词问题</groupName>
      <ability>L2_Typo</ability>
      <abilityName>字词错误</abilityName>
      <candidateList>
        <item>胶黏剂</item>
      </candidateList>
      <explain/>
      <paraID>5CEB5E6B</paraID>
      <start>185</start>
      <end>188</end>
      <status>ignored</status>
      <modifiedWord/>
      <trackRevisions>false</trackRevisions>
    </reviewItem>
    <reviewItem>
      <errorID>c38efff5-af99-45dc-97d5-adc0a9b3dfef</errorID>
      <errorWord>(</errorWord>
      <group>L1_Format</group>
      <groupName>格式问题</groupName>
      <ability>L2_HalfPunc_CN</ability>
      <abilityName>全半角问题</abilityName>
      <candidateList>
        <item>（</item>
      </candidateList>
      <explain>文本全半角错误。</explain>
      <paraID>60AA7407</paraID>
      <start>93</start>
      <end>94</end>
      <status>modified</status>
      <modifiedWord>（</modifiedWord>
      <trackRevisions>false</trackRevisions>
    </reviewItem>
    <reviewItem>
      <errorID>3480f1e4-9a34-42df-9465-82050092849f</errorID>
      <errorWord>)</errorWord>
      <group>L1_Format</group>
      <groupName>格式问题</groupName>
      <ability>L2_HalfPunc_CN</ability>
      <abilityName>全半角问题</abilityName>
      <candidateList>
        <item>）</item>
      </candidateList>
      <explain>文本全半角错误。</explain>
      <paraID>60AA7407</paraID>
      <start>102</start>
      <end>103</end>
      <status>modified</status>
      <modifiedWord>）</modifiedWord>
      <trackRevisions>false</trackRevisions>
    </reviewItem>
    <reviewItem>
      <errorID>0711dc29-daf0-45e6-a572-ac806563607f</errorID>
      <errorWord>~</errorWord>
      <group>L1_Format</group>
      <groupName>格式问题</groupName>
      <ability>L2_HalfPunc_CN</ability>
      <abilityName>全半角问题</abilityName>
      <candidateList>
        <item>～</item>
      </candidateList>
      <explain>文本全半角错误。</explain>
      <paraID>60AA7407</paraID>
      <start>148</start>
      <end>149</end>
      <status>unmodified</status>
      <modifiedWord/>
      <trackRevisions>false</trackRevisions>
    </reviewItem>
    <reviewItem>
      <errorID>e9d4d65f-2e34-439d-bf1b-cc2b566685a3</errorID>
      <errorWord>:</errorWord>
      <group>L1_Format</group>
      <groupName>格式问题</groupName>
      <ability>L2_HalfPunc_CN</ability>
      <abilityName>全半角问题</abilityName>
      <candidateList>
        <item>：</item>
      </candidateList>
      <explain>文本全半角错误。</explain>
      <paraID>2BD5D0C7</paraID>
      <start>6</start>
      <end>7</end>
      <status>unmodified</status>
      <modifiedWord/>
      <trackRevisions>false</trackRevisions>
    </reviewItem>
    <reviewItem>
      <errorID>f70e6bee-cde1-4d50-b017-1b85d19a6418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2BD5D0C7</paraID>
      <start>160</start>
      <end>161</end>
      <status>unmodified</status>
      <modifiedWord/>
      <trackRevisions>false</trackRevisions>
    </reviewItem>
    <reviewItem>
      <errorID>c38fe39a-24d4-459b-b281-e9d0d6d41e52</errorID>
      <errorWord>粘度</errorWord>
      <group>L1_Word</group>
      <groupName>字词问题</groupName>
      <ability>L2_Alias</ability>
      <abilityName>也作/曾用词</abilityName>
      <candidateList>
        <item>黏度</item>
      </candidateList>
      <explain>词汇[粘度]为不规范表述或旧称，其规范书面表述为[黏度]。</explain>
      <paraID>2BD5D0C7</paraID>
      <start>190</start>
      <end>192</end>
      <status>ignored</status>
      <modifiedWord/>
      <trackRevisions>false</trackRevisions>
    </reviewItem>
    <reviewItem>
      <errorID>7e207de0-cd6f-40c5-85a1-9c1edda3a2ef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2BD5D0C7</paraID>
      <start>240</start>
      <end>241</end>
      <status>unmodified</status>
      <modifiedWord/>
      <trackRevisions>false</trackRevisions>
    </reviewItem>
    <reviewItem>
      <errorID>acf0ade5-2398-45a5-bdad-a1aef61330b1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421497F</paraID>
      <start>0</start>
      <end>2</end>
      <status>ignored</status>
      <modifiedWord/>
      <trackRevisions>false</trackRevisions>
    </reviewItem>
    <reviewItem>
      <errorID>a89c3ea4-eee8-4863-9c2d-019acbd9db79</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19FDF961</paraID>
      <start>27</start>
      <end>47</end>
      <status>modified</status>
      <modifiedWord>《产业结构调整指导目录（2024年本）》</modifiedWord>
      <trackRevisions>false</trackRevisions>
    </reviewItem>
    <reviewItem>
      <errorID>f0d62f13-a30d-4781-a70c-9e396f64fd89</errorID>
      <errorWord>III</errorWord>
      <group>L1_Word</group>
      <groupName>字词问题</groupName>
      <ability>L2_Typo</ability>
      <abilityName>字词错误</abilityName>
      <candidateList>
        <item>Ⅲ</item>
      </candidateList>
      <explain/>
      <paraID>4A054CB0</paraID>
      <start>5</start>
      <end>6</end>
      <status>modified</status>
      <modifiedWord>Ⅲ</modifiedWord>
      <trackRevisions>false</trackRevisions>
    </reviewItem>
    <reviewItem>
      <errorID>4a7905d7-133f-4459-89cc-369005f1defd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1495B530</paraID>
      <start>8</start>
      <end>9</end>
      <status>unmodified</status>
      <modifiedWord/>
      <trackRevisions>false</trackRevisions>
    </reviewItem>
    <reviewItem>
      <errorID>2adf5e0d-7918-4a38-a6a0-88b304c8f9ff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45954C45</paraID>
      <start>0</start>
      <end>2</end>
      <status>unmodified</status>
      <modifiedWord/>
      <trackRevisions>false</trackRevisions>
    </reviewItem>
    <reviewItem>
      <errorID>955d59d4-d1aa-4661-905b-73ffb8563249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2A7009A0</paraID>
      <start>18</start>
      <end>19</end>
      <status>unmodified</status>
      <modifiedWord/>
      <trackRevisions>false</trackRevisions>
    </reviewItem>
    <reviewItem>
      <errorID>726199ac-c51b-4298-bbb2-f90df6eab7f0</errorID>
      <errorWord>:</errorWord>
      <group>L1_Format</group>
      <groupName>格式问题</groupName>
      <ability>L2_HalfPunc_CN</ability>
      <abilityName>全半角问题</abilityName>
      <candidateList>
        <item>：</item>
      </candidateList>
      <explain>文本全半角错误。</explain>
      <paraID>3271CB4B</paraID>
      <start>11</start>
      <end>12</end>
      <status>unmodified</status>
      <modifiedWord/>
      <trackRevisions>false</trackRevisions>
    </reviewItem>
    <reviewItem>
      <errorID>464251b1-20a5-4b04-b5b0-765dd959a555</errorID>
      <errorWord>:</errorWord>
      <group>L1_Format</group>
      <groupName>格式问题</groupName>
      <ability>L2_HalfPunc_CN</ability>
      <abilityName>全半角问题</abilityName>
      <candidateList>
        <item>：</item>
      </candidateList>
      <explain>文本全半角错误。</explain>
      <paraID>4A3B6B01</paraID>
      <start>11</start>
      <end>12</end>
      <status>unmodified</status>
      <modifiedWord/>
      <trackRevisions>false</trackRevisions>
    </reviewItem>
    <reviewItem>
      <errorID>064a3a84-371d-48ee-9670-7ccd7f00a18f</errorID>
      <errorWord>加入到</errorWord>
      <group>L1_Word</group>
      <groupName>字词问题</groupName>
      <ability>L2_Typo</ability>
      <abilityName>字词错误</abilityName>
      <candidateList>
        <item>加入</item>
      </candidateList>
      <explain/>
      <paraID>308F43D7</paraID>
      <start>34</start>
      <end>37</end>
      <status>unmodified</status>
      <modifiedWord/>
      <trackRevisions>false</trackRevisions>
    </reviewItem>
    <reviewItem>
      <errorID>3dc47e1f-39d4-4c4a-91f8-090efda3b896</errorID>
      <errorWord>注入到</errorWord>
      <group>L1_Word</group>
      <groupName>字词问题</groupName>
      <ability>L2_Typo</ability>
      <abilityName>字词错误</abilityName>
      <candidateList>
        <item>注入</item>
      </candidateList>
      <explain/>
      <paraID>20203CFC</paraID>
      <start>75</start>
      <end>78</end>
      <status>unmodified</status>
      <modifiedWord/>
      <trackRevisions>false</trackRevisions>
    </reviewItem>
    <reviewItem>
      <errorID>7d4d2cab-0cf0-4574-8e35-49ab9412a60c</errorID>
      <errorWord>调核</errorWord>
      <group>L1_Word</group>
      <groupName>字词问题</groupName>
      <ability>L2_Typo</ability>
      <abilityName>字词错误</abilityName>
      <candidateList>
        <item>调整</item>
      </candidateList>
      <explain/>
      <paraID>4F3A498D</paraID>
      <start>87</start>
      <end>89</end>
      <status>modified</status>
      <modifiedWord>调整</modifiedWord>
      <trackRevisions>false</trackRevisions>
    </reviewItem>
    <reviewItem>
      <errorID>34a05df8-ba6c-46ce-bc8f-c549d0463e9f</errorID>
      <errorWord>一</errorWord>
      <group>L1_Word</group>
      <groupName>字词问题</groupName>
      <ability>L2_Typo</ability>
      <abilityName>字词错误</abilityName>
      <candidateList>
        <item>一道</item>
      </candidateList>
      <explain/>
      <paraID>4F3A498D</paraID>
      <start>111</start>
      <end>113</end>
      <status>modified</status>
      <modifiedWord>一道</modifiedWord>
      <trackRevisions>false</trackRevisions>
    </reviewItem>
    <reviewItem>
      <errorID>454f5b7a-364e-4a0f-9f83-dae5626beb0a</errorID>
      <errorWord>一</errorWord>
      <group>L1_Word</group>
      <groupName>字词问题</groupName>
      <ability>L2_Typo</ability>
      <abilityName>字词错误</abilityName>
      <candidateList>
        <item>一道</item>
      </candidateList>
      <explain/>
      <paraID>48899566</paraID>
      <start>50</start>
      <end>51</end>
      <status>unmodified</status>
      <modifiedWord/>
      <trackRevisions>false</trackRevisions>
    </reviewItem>
    <reviewItem>
      <errorID>26e746d8-39e7-474a-9ca1-602c315786ef</errorID>
      <errorWord>的</errorWord>
      <group>L1_Word</group>
      <groupName>字词问题</groupName>
      <ability>L2_DDD</ability>
      <abilityName>的地得用法</abilityName>
      <candidateList>
        <item>地</item>
      </candidateList>
      <explain/>
      <paraID>4CFA31F8</paraID>
      <start>56</start>
      <end>57</end>
      <status>modified</status>
      <modifiedWord>地</modifiedWord>
      <trackRevisions>false</trackRevisions>
    </reviewItem>
    <reviewItem>
      <errorID>2b61d615-5afb-4776-a433-34c64f0afeba</errorID>
      <errorWord>的</errorWord>
      <group>L1_Word</group>
      <groupName>字词问题</groupName>
      <ability>L2_DDD</ability>
      <abilityName>的地得用法</abilityName>
      <candidateList>
        <item>地</item>
      </candidateList>
      <explain/>
      <paraID>2D3F9E89</paraID>
      <start>76</start>
      <end>77</end>
      <status>modified</status>
      <modifiedWord>地</modifiedWord>
      <trackRevisions>false</trackRevisions>
    </reviewItem>
    <reviewItem>
      <errorID>20f08e13-439a-495b-80dc-d2fea073960b</errorID>
      <errorWord>的</errorWord>
      <group>L1_Word</group>
      <groupName>字词问题</groupName>
      <ability>L2_DDD</ability>
      <abilityName>的地得用法</abilityName>
      <candidateList>
        <item>地</item>
      </candidateList>
      <explain/>
      <paraID>4DDFCB69</paraID>
      <start>15</start>
      <end>16</end>
      <status>modified</status>
      <modifiedWord>地</modifiedWord>
      <trackRevisions>false</trackRevisions>
    </reviewItem>
    <reviewItem>
      <errorID>43bd5e71-f4fd-45fa-a9d2-7df4671c0038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4DDFCB69</paraID>
      <start>80</start>
      <end>81</end>
      <status>unmodified</status>
      <modifiedWord/>
      <trackRevisions>false</trackRevisions>
    </reviewItem>
    <reviewItem>
      <errorID>c53ded14-ab77-49f8-90fe-15638c940004</errorID>
      <errorWord>、和</errorWord>
      <group>L1_Word</group>
      <groupName>字词问题</groupName>
      <ability>L2_Typo</ability>
      <abilityName>字词错误</abilityName>
      <candidateList>
        <item>、</item>
      </candidateList>
      <explain/>
      <paraID> 52F4347</paraID>
      <start>11</start>
      <end>12</end>
      <status>modified</status>
      <modifiedWord>、</modifiedWord>
      <trackRevisions>false</trackRevisions>
    </reviewItem>
    <reviewItem>
      <errorID>19f2fd1d-c225-4928-b3bd-76c58a9aaf44</errorID>
      <errorWord>后的</errorWord>
      <group>L1_Word</group>
      <groupName>字词问题</groupName>
      <ability>L2_Typo</ability>
      <abilityName>字词错误</abilityName>
      <candidateList>
        <item>后</item>
      </candidateList>
      <explain/>
      <paraID>615177EE</paraID>
      <start>145</start>
      <end>146</end>
      <status>modified</status>
      <modifiedWord>后</modifiedWord>
      <trackRevisions>false</trackRevisions>
    </reviewItem>
    <reviewItem>
      <errorID>f1d08bb2-422d-49bc-9a20-984bddd1167b</errorID>
      <errorWord>加入到</errorWord>
      <group>L1_Word</group>
      <groupName>字词问题</groupName>
      <ability>L2_Typo</ability>
      <abilityName>字词错误</abilityName>
      <candidateList>
        <item>加入</item>
      </candidateList>
      <explain/>
      <paraID>21A6B434</paraID>
      <start>39</start>
      <end>42</end>
      <status>unmodified</status>
      <modifiedWord/>
      <trackRevisions>false</trackRevisions>
    </reviewItem>
    <reviewItem>
      <errorID>b384f7a0-d1c9-454b-bad0-c5956e3f6b69</errorID>
      <errorWord>注入到</errorWord>
      <group>L1_Word</group>
      <groupName>字词问题</groupName>
      <ability>L2_Typo</ability>
      <abilityName>字词错误</abilityName>
      <candidateList>
        <item>注入</item>
      </candidateList>
      <explain/>
      <paraID>66ABE600</paraID>
      <start>71</start>
      <end>74</end>
      <status>unmodified</status>
      <modifiedWord/>
      <trackRevisions>false</trackRevisions>
    </reviewItem>
    <reviewItem>
      <errorID>c17ed0b5-ff68-4fac-ba94-5ba5431dc913</errorID>
      <errorWord>调核</errorWord>
      <group>L1_Word</group>
      <groupName>字词问题</groupName>
      <ability>L2_Typo</ability>
      <abilityName>字词错误</abilityName>
      <candidateList>
        <item>调整</item>
      </candidateList>
      <explain/>
      <paraID>7C3BAC3B</paraID>
      <start>87</start>
      <end>89</end>
      <status>modified</status>
      <modifiedWord>调整</modifiedWord>
      <trackRevisions>false</trackRevisions>
    </reviewItem>
    <reviewItem>
      <errorID>ce11de20-0907-4332-9d6f-0d28c8521423</errorID>
      <errorWord>一</errorWord>
      <group>L1_Word</group>
      <groupName>字词问题</groupName>
      <ability>L2_Typo</ability>
      <abilityName>字词错误</abilityName>
      <candidateList>
        <item>一道</item>
      </candidateList>
      <explain/>
      <paraID>7C3BAC3B</paraID>
      <start>111</start>
      <end>112</end>
      <status>unmodified</status>
      <modifiedWord/>
      <trackRevisions>false</trackRevisions>
    </reviewItem>
    <reviewItem>
      <errorID>9b77c854-f195-4adc-8fd2-fff13e5f8cc4</errorID>
      <errorWord>一</errorWord>
      <group>L1_Word</group>
      <groupName>字词问题</groupName>
      <ability>L2_Typo</ability>
      <abilityName>字词错误</abilityName>
      <candidateList>
        <item>一道</item>
      </candidateList>
      <explain/>
      <paraID> 114405B</paraID>
      <start>47</start>
      <end>48</end>
      <status>unmodified</status>
      <modifiedWord/>
      <trackRevisions>false</trackRevisions>
    </reviewItem>
    <reviewItem>
      <errorID>4eaa01b7-1962-496a-862a-66c35eaadce0</errorID>
      <errorWord>【2024】17号</errorWord>
      <group>L1_Knowledge</group>
      <groupName>知识性问题</groupName>
      <ability>L2_Knowledge</ability>
      <abilityName>其他知识</abilityName>
      <candidateList>
        <item>〔2024〕17号</item>
      </candidateList>
      <explain>发文字号格式错误。</explain>
      <paraID>6C57855E</paraID>
      <start>100</start>
      <end>109</end>
      <status>modified</status>
      <modifiedWord>〔2024〕17号</modifiedWord>
      <trackRevisions>false</trackRevisions>
    </reviewItem>
    <reviewItem>
      <errorID>2cc8ddac-7a58-4b01-a44a-db79905d56f2</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6AE50304</paraID>
      <start>24</start>
      <end>31</end>
      <status>unmodified</status>
      <modifiedWord/>
      <trackRevisions>false</trackRevisions>
    </reviewItem>
    <reviewItem>
      <errorID>70319529-5184-456a-bc40-51a0e36129a0</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6AE50304</paraID>
      <start>35</start>
      <end>42</end>
      <status>unmodified</status>
      <modifiedWord/>
      <trackRevisions>false</trackRevisions>
    </reviewItem>
    <reviewItem>
      <errorID>74a35666-206a-4571-83a3-94b2b563bdca</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6AE50304</paraID>
      <start>47</start>
      <end>54</end>
      <status>unmodified</status>
      <modifiedWord/>
      <trackRevisions>false</trackRevisions>
    </reviewItem>
    <reviewItem>
      <errorID>001bcd24-6f39-4130-869c-034d24c837a7</errorID>
      <errorWord>，</errorWord>
      <group>L1_Word</group>
      <groupName>字词问题</groupName>
      <ability>L2_Typo</ability>
      <abilityName>字词错误</abilityName>
      <candidateList>
        <item>，具</item>
      </candidateList>
      <explain/>
      <paraID>7B0BE5D3</paraID>
      <start>52</start>
      <end>54</end>
      <status>modified</status>
      <modifiedWord>，具</modifiedWord>
      <trackRevisions>false</trackRevisions>
    </reviewItem>
    <reviewItem>
      <errorID>ed88de29-e482-4a90-b24c-214c8e9f5311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5494D414</paraID>
      <start>0</start>
      <end>2</end>
      <status>ignored</status>
      <modifiedWord/>
      <trackRevisions>false</trackRevisions>
    </reviewItem>
    <reviewItem>
      <errorID>80639eab-7204-43f3-873e-9545ce333958</errorID>
      <errorWord>(</errorWord>
      <group>L1_Format</group>
      <groupName>格式问题</groupName>
      <ability>L2_HalfPunc_CN</ability>
      <abilityName>全半角问题</abilityName>
      <candidateList>
        <item>（</item>
      </candidateList>
      <explain>文本全半角错误。</explain>
      <paraID>72D525B5</paraID>
      <start>20</start>
      <end>21</end>
      <status>modified</status>
      <modifiedWord>（</modifiedWord>
      <trackRevisions>false</trackRevisions>
    </reviewItem>
    <reviewItem>
      <errorID>ad85b108-50fd-4263-8196-99f3c1d90c74</errorID>
      <errorWord>)(</errorWord>
      <group>L1_Format</group>
      <groupName>格式问题</groupName>
      <ability>L2_HalfPunc_CN</ability>
      <abilityName>全半角问题</abilityName>
      <candidateList>
        <item>）（</item>
      </candidateList>
      <explain>文本全半角错误。</explain>
      <paraID>72D525B5</paraID>
      <start>26</start>
      <end>28</end>
      <status>unmodified</status>
      <modifiedWord/>
      <trackRevisions>false</trackRevisions>
    </reviewItem>
    <reviewItem>
      <errorID>f5a75c74-b306-42ef-a8f8-88af6bca88c9</errorID>
      <errorWord>)</errorWord>
      <group>L1_Format</group>
      <groupName>格式问题</groupName>
      <ability>L2_HalfPunc_CN</ability>
      <abilityName>全半角问题</abilityName>
      <candidateList>
        <item>）</item>
      </candidateList>
      <explain>文本全半角错误。</explain>
      <paraID>72D525B5</paraID>
      <start>30</start>
      <end>31</end>
      <status>modified</status>
      <modifiedWord>）</modifiedWord>
      <trackRevisions>false</trackRevisions>
    </reviewItem>
    <reviewItem>
      <errorID>8c1ad363-bc50-4bda-819b-04845f87a0f9</errorID>
      <errorWord>)</errorWord>
      <group>L1_Format</group>
      <groupName>格式问题</groupName>
      <ability>L2_HalfPunc_CN</ability>
      <abilityName>全半角问题</abilityName>
      <candidateList>
        <item>）</item>
      </candidateList>
      <explain>文本全半角错误。</explain>
      <paraID>59283899</paraID>
      <start>52</start>
      <end>53</end>
      <status>modified</status>
      <modifiedWord>）</modifiedWord>
      <trackRevisions>false</trackRevisions>
    </reviewItem>
    <reviewItem>
      <errorID>ea9481d4-facc-442c-aea8-b8add5a0fc96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6DC2D5A4</paraID>
      <start>0</start>
      <end>2</end>
      <status>ignored</status>
      <modifiedWord/>
      <trackRevisions>false</trackRevisions>
    </reviewItem>
    <reviewItem>
      <errorID>30035879-f46a-402a-a779-477998f65426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3AC1C8F4</paraID>
      <start>85</start>
      <end>86</end>
      <status>unmodified</status>
      <modifiedWord/>
      <trackRevisions>false</trackRevisions>
    </reviewItem>
    <reviewItem>
      <errorID>551c411d-8e01-4a6c-b178-d188100ee52f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C2B3BC7</paraID>
      <start>15</start>
      <end>16</end>
      <status>unmodified</status>
      <modifiedWord/>
      <trackRevisions>false</trackRevisions>
    </reviewItem>
    <reviewItem>
      <errorID>42b410f8-cddb-4ab5-8eb3-a981f66d0e65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3AAE10FF</paraID>
      <start>0</start>
      <end>2</end>
      <status>ignored</status>
      <modifiedWord/>
      <trackRevisions>false</trackRevisions>
    </reviewItem>
    <reviewItem>
      <errorID>e2333db3-d987-498c-8347-10e8600c1bc0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3E238832</paraID>
      <start>0</start>
      <end>2</end>
      <status>ignored</status>
      <modifiedWord/>
      <trackRevisions>false</trackRevisions>
    </reviewItem>
    <reviewItem>
      <errorID>92bd6846-c67b-4e6d-8474-d99199103833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45663F4</paraID>
      <start>0</start>
      <end>2</end>
      <status>unmodified</status>
      <modifiedWord/>
      <trackRevisions>false</trackRevisions>
    </reviewItem>
    <reviewItem>
      <errorID>fbc2363d-284e-4911-b28c-a4063125121f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2966C3E6</paraID>
      <start>0</start>
      <end>2</end>
      <status>unmodified</status>
      <modifiedWord/>
      <trackRevisions>false</trackRevisions>
    </reviewItem>
    <reviewItem>
      <errorID>9f9092e2-f59e-4c1d-8ba8-c276d3427974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76434011</paraID>
      <start>0</start>
      <end>2</end>
      <status>ignored</status>
      <modifiedWord/>
      <trackRevisions>false</trackRevisions>
    </reviewItem>
    <reviewItem>
      <errorID>c3af54c0-bbd0-446a-bbc6-c74018931444</errorID>
      <errorWord>(</errorWord>
      <group>L1_Format</group>
      <groupName>格式问题</groupName>
      <ability>L2_HalfPunc_CN</ability>
      <abilityName>全半角问题</abilityName>
      <candidateList>
        <item>（</item>
      </candidateList>
      <explain>文本全半角错误。</explain>
      <paraID>4D421702</paraID>
      <start>8</start>
      <end>9</end>
      <status>modified</status>
      <modifiedWord>（</modifiedWord>
      <trackRevisions>false</trackRevisions>
    </reviewItem>
    <reviewItem>
      <errorID>8971135b-f92a-4c1f-b0dc-d600e9fb5124</errorID>
      <errorWord>)</errorWord>
      <group>L1_Format</group>
      <groupName>格式问题</groupName>
      <ability>L2_HalfPunc_CN</ability>
      <abilityName>全半角问题</abilityName>
      <candidateList>
        <item>）</item>
      </candidateList>
      <explain>文本全半角错误。</explain>
      <paraID>4D421702</paraID>
      <start>14</start>
      <end>15</end>
      <status>modified</status>
      <modifiedWord>）</modifiedWord>
      <trackRevisions>false</trackRevisions>
    </reviewItem>
    <reviewItem>
      <errorID>9cbb474d-ca1d-4e99-8de3-3eb30d147428</errorID>
      <errorWord>(</errorWord>
      <group>L1_Format</group>
      <groupName>格式问题</groupName>
      <ability>L2_HalfPunc_CN</ability>
      <abilityName>全半角问题</abilityName>
      <candidateList>
        <item>（</item>
      </candidateList>
      <explain>文本全半角错误。</explain>
      <paraID>18150A37</paraID>
      <start>3</start>
      <end>4</end>
      <status>modified</status>
      <modifiedWord>（</modifiedWord>
      <trackRevisions>false</trackRevisions>
    </reviewItem>
    <reviewItem>
      <errorID>4e6bc4ea-af2c-46a4-8f82-68d0f0ae0aef</errorID>
      <errorWord>)</errorWord>
      <group>L1_Format</group>
      <groupName>格式问题</groupName>
      <ability>L2_HalfPunc_CN</ability>
      <abilityName>全半角问题</abilityName>
      <candidateList>
        <item>）</item>
      </candidateList>
      <explain>文本全半角错误。</explain>
      <paraID>18150A37</paraID>
      <start>5</start>
      <end>6</end>
      <status>modified</status>
      <modifiedWord>）</modifiedWord>
      <trackRevisions>false</trackRevisions>
    </reviewItem>
    <reviewItem>
      <errorID>fe44ca8a-4d05-4605-aa84-6c57f5aae676</errorID>
      <errorWord>(</errorWord>
      <group>L1_Format</group>
      <groupName>格式问题</groupName>
      <ability>L2_HalfPunc_CN</ability>
      <abilityName>全半角问题</abilityName>
      <candidateList>
        <item>（</item>
      </candidateList>
      <explain>文本全半角错误。</explain>
      <paraID>4034B628</paraID>
      <start>9</start>
      <end>10</end>
      <status>modified</status>
      <modifiedWord>（</modifiedWord>
      <trackRevisions>false</trackRevisions>
    </reviewItem>
    <reviewItem>
      <errorID>872d80bf-1ec8-4f58-a714-d65f77f7260e</errorID>
      <errorWord>)</errorWord>
      <group>L1_Format</group>
      <groupName>格式问题</groupName>
      <ability>L2_HalfPunc_CN</ability>
      <abilityName>全半角问题</abilityName>
      <candidateList>
        <item>）</item>
      </candidateList>
      <explain>文本全半角错误。</explain>
      <paraID>4034B628</paraID>
      <start>15</start>
      <end>16</end>
      <status>modified</status>
      <modifiedWord>）</modifiedWord>
      <trackRevisions>false</trackRevisions>
    </reviewItem>
    <reviewItem>
      <errorID>fbc6d36e-ae57-4638-bb3e-3d4551dfc36d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179E0E61</paraID>
      <start>0</start>
      <end>2</end>
      <status>ignored</status>
      <modifiedWord/>
      <trackRevisions>false</trackRevisions>
    </reviewItem>
    <reviewItem>
      <errorID>9b04c028-ccc6-40d9-a2c6-1107f58ff3b0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3CCD68EF</paraID>
      <start>0</start>
      <end>2</end>
      <status>ignored</status>
      <modifiedWord/>
      <trackRevisions>false</trackRevisions>
    </reviewItem>
    <reviewItem>
      <errorID>a98be011-c764-43ea-b434-305223cc96ed</errorID>
      <errorWord>(</errorWord>
      <group>L1_Format</group>
      <groupName>格式问题</groupName>
      <ability>L2_HalfPunc_CN</ability>
      <abilityName>全半角问题</abilityName>
      <candidateList>
        <item>（</item>
      </candidateList>
      <explain>文本全半角错误。</explain>
      <paraID>7401A8EE</paraID>
      <start>68</start>
      <end>69</end>
      <status>modified</status>
      <modifiedWord>（</modifiedWord>
      <trackRevisions>false</trackRevisions>
    </reviewItem>
    <reviewItem>
      <errorID>24964b90-c5aa-4bec-9d4a-3112a519f785</errorID>
      <errorWord>)</errorWord>
      <group>L1_Format</group>
      <groupName>格式问题</groupName>
      <ability>L2_HalfPunc_CN</ability>
      <abilityName>全半角问题</abilityName>
      <candidateList>
        <item>）</item>
      </candidateList>
      <explain>文本全半角错误。</explain>
      <paraID>7401A8EE</paraID>
      <start>81</start>
      <end>82</end>
      <status>modified</status>
      <modifiedWord>）</modifiedWord>
      <trackRevisions>false</trackRevisions>
    </reviewItem>
    <reviewItem>
      <errorID>8cfff6c9-7dd6-4479-8cee-af00fc894432</errorID>
      <errorWord>（</errorWord>
      <group>L1_Format</group>
      <groupName>格式问题</groupName>
      <ability>L2_HalfPunc_CN</ability>
      <abilityName>全半角问题</abilityName>
      <candidateList>
        <item>(</item>
      </candidateList>
      <explain>文本全半角错误。</explain>
      <paraID>559F02B6</paraID>
      <start>0</start>
      <end>1</end>
      <status>unmodified</status>
      <modifiedWord/>
      <trackRevisions>false</trackRevisions>
    </reviewItem>
    <reviewItem>
      <errorID>3b03d7f4-e7e4-4f2e-b549-ab2507d1c76f</errorID>
      <errorWord>）</errorWord>
      <group>L1_Format</group>
      <groupName>格式问题</groupName>
      <ability>L2_HalfPunc_CN</ability>
      <abilityName>全半角问题</abilityName>
      <candidateList>
        <item>)</item>
      </candidateList>
      <explain>文本全半角错误。</explain>
      <paraID>559F02B6</paraID>
      <start>14</start>
      <end>15</end>
      <status>unmodified</status>
      <modifiedWord/>
      <trackRevisions>false</trackRevisions>
    </reviewItem>
    <reviewItem>
      <errorID>9d355d9f-1199-424d-950b-a8f000d7c5e7</errorID>
      <errorWord>(</errorWord>
      <group>L1_Format</group>
      <groupName>格式问题</groupName>
      <ability>L2_HalfPunc_CN</ability>
      <abilityName>全半角问题</abilityName>
      <candidateList>
        <item>（</item>
      </candidateList>
      <explain>文本全半角错误。</explain>
      <paraID>54E43F15</paraID>
      <start>22</start>
      <end>23</end>
      <status>modified</status>
      <modifiedWord>（</modifiedWord>
      <trackRevisions>false</trackRevisions>
    </reviewItem>
    <reviewItem>
      <errorID>17ae2dfc-4f76-4790-9bd5-8a2ebd657444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10E4ACEA</paraID>
      <start>0</start>
      <end>2</end>
      <status>ignored</status>
      <modifiedWord/>
      <trackRevisions>false</trackRevisions>
    </reviewItem>
    <reviewItem>
      <errorID>fd643900-2a46-43a6-8b23-37b1f2e2884b</errorID>
      <errorWord>(</errorWord>
      <group>L1_Format</group>
      <groupName>格式问题</groupName>
      <ability>L2_HalfPunc_CN</ability>
      <abilityName>全半角问题</abilityName>
      <candidateList>
        <item>（</item>
      </candidateList>
      <explain>文本全半角错误。</explain>
      <paraID>7CD3CD32</paraID>
      <start>70</start>
      <end>71</end>
      <status>modified</status>
      <modifiedWord>（</modifiedWord>
      <trackRevisions>false</trackRevisions>
    </reviewItem>
    <reviewItem>
      <errorID>77191fec-2eaa-414e-ba18-c1fb3f1a2f55</errorID>
      <errorWord>)</errorWord>
      <group>L1_Format</group>
      <groupName>格式问题</groupName>
      <ability>L2_HalfPunc_CN</ability>
      <abilityName>全半角问题</abilityName>
      <candidateList>
        <item>）</item>
      </candidateList>
      <explain>文本全半角错误。</explain>
      <paraID>7CD3CD32</paraID>
      <start>84</start>
      <end>85</end>
      <status>modified</status>
      <modifiedWord>）</modifiedWord>
      <trackRevisions>false</trackRevisions>
    </reviewItem>
    <reviewItem>
      <errorID>bc76da61-b6be-44c8-a79c-85daa399ea2d</errorID>
      <errorWord>VOCS</errorWord>
      <group>L1_English</group>
      <groupName>英文问题</groupName>
      <ability>L2_Case</ability>
      <abilityName>大小写问题</abilityName>
      <candidateList>
        <item>VOCs</item>
      </candidateList>
      <explain>疑似单词大小写错误，建议将VOCS修改为VOCs</explain>
      <paraID>7CAF21ED</paraID>
      <start>20</start>
      <end>24</end>
      <status>modified</status>
      <modifiedWord>VOCs</modifiedWord>
      <trackRevisions>false</trackRevisions>
    </reviewItem>
    <reviewItem>
      <errorID>a8d9bd2e-7619-4e4a-aeb8-80f49622a4c8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15B6BAC4</paraID>
      <start>0</start>
      <end>2</end>
      <status>ignored</status>
      <modifiedWord/>
      <trackRevisions>false</trackRevisions>
    </reviewItem>
    <reviewItem>
      <errorID>630d3b9b-56bb-4c87-92d0-aae1e97cffb2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23C6590B</paraID>
      <start>0</start>
      <end>2</end>
      <status>ignored</status>
      <modifiedWord/>
      <trackRevisions>false</trackRevisions>
    </reviewItem>
    <reviewItem>
      <errorID>6b2d31c8-2b83-4646-800b-f494dc7fd95b</errorID>
      <errorWord>：</errorWord>
      <group>L1_Format</group>
      <groupName>格式问题</groupName>
      <ability>L2_HalfPunc_CN</ability>
      <abilityName>全半角问题</abilityName>
      <candidateList>
        <item>:</item>
      </candidateList>
      <explain>文本全半角错误。</explain>
      <paraID> FEF9CFE</paraID>
      <start>189</start>
      <end>190</end>
      <status>unmodified</status>
      <modifiedWord/>
      <trackRevisions>false</trackRevisions>
    </reviewItem>
    <reviewItem>
      <errorID>911a57a5-64a0-46f5-8596-2ea291fba9da</errorID>
      <errorWord>项目在</errorWord>
      <group>L1_Word</group>
      <groupName>字词问题</groupName>
      <ability>L2_Typo</ability>
      <abilityName>字词错误</abilityName>
      <candidateList>
        <item>项目</item>
      </candidateList>
      <explain/>
      <paraID>15C8234B</paraID>
      <start>13</start>
      <end>15</end>
      <status>modified</status>
      <modifiedWord>项目</modifiedWord>
      <trackRevisions>false</trackRevisions>
    </reviewItem>
    <reviewItem>
      <errorID>0caf18d7-15e9-4c88-a9b1-b46a195ad289</errorID>
      <errorWord>，</errorWord>
      <group>L1_Format</group>
      <groupName>格式问题</groupName>
      <ability>L2_HalfPunc_CN</ability>
      <abilityName>全半角问题</abilityName>
      <candidateList>
        <item>, </item>
      </candidateList>
      <explain>文本全半角错误。</explain>
      <paraID>2C958443</paraID>
      <start>11</start>
      <end>12</end>
      <status>unmodified</status>
      <modifiedWord/>
      <trackRevisions>false</trackRevisions>
    </reviewItem>
    <reviewItem>
      <errorID>076af414-98fb-4fd6-9a51-08ba4ee1e5f8</errorID>
      <errorWord>污水厂</errorWord>
      <group>L1_Word</group>
      <groupName>字词问题</groupName>
      <ability>L2_Typo</ability>
      <abilityName>字词错误</abilityName>
      <candidateList>
        <item>污水处理厂</item>
      </candidateList>
      <explain/>
      <paraID> 689A572</paraID>
      <start>252</start>
      <end>255</end>
      <status>unmodified</status>
      <modifiedWord/>
      <trackRevisions>false</trackRevisions>
    </reviewItem>
    <reviewItem>
      <errorID>cdbcd198-1347-4d90-a374-70dd627688e5</errorID>
      <errorWord>污水厂</errorWord>
      <group>L1_Word</group>
      <groupName>字词问题</groupName>
      <ability>L2_Typo</ability>
      <abilityName>字词错误</abilityName>
      <candidateList>
        <item>污水处理厂</item>
      </candidateList>
      <explain/>
      <paraID>7DBDFD9A</paraID>
      <start>172</start>
      <end>175</end>
      <status>unmodified</status>
      <modifiedWord/>
      <trackRevisions>false</trackRevisions>
    </reviewItem>
    <reviewItem>
      <errorID>0aad4bff-5981-4532-b51d-47a3df1a043e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1CD0C8EA</paraID>
      <start>0</start>
      <end>2</end>
      <status>ignored</status>
      <modifiedWord/>
      <trackRevisions>false</trackRevisions>
    </reviewItem>
    <reviewItem>
      <errorID>770df7c0-fe24-453f-8461-d4532c24ef53</errorID>
      <errorWord>泄露</errorWord>
      <group>L1_Word</group>
      <groupName>字词问题</groupName>
      <ability>L2_Typo</ability>
      <abilityName>字词错误</abilityName>
      <candidateList>
        <item>泄漏</item>
      </candidateList>
      <explain>存在发音相同字词的误用。</explain>
      <paraID>2E9494A6</paraID>
      <start>64</start>
      <end>66</end>
      <status>modified</status>
      <modifiedWord>泄漏</modifiedWord>
      <trackRevisions>false</trackRevisions>
    </reviewItem>
    <reviewItem>
      <errorID>2cb19aa3-58d9-4634-80d1-690ca5fe82ef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5B921BAF</paraID>
      <start>0</start>
      <end>2</end>
      <status>ignored</status>
      <modifiedWord/>
      <trackRevisions>false</trackRevisions>
    </reviewItem>
    <reviewItem>
      <errorID>159aac61-3f11-4137-a6fd-648305347112</errorID>
      <errorWord>(</errorWord>
      <group>L1_Format</group>
      <groupName>格式问题</groupName>
      <ability>L2_HalfPunc_CN</ability>
      <abilityName>全半角问题</abilityName>
      <candidateList>
        <item>（</item>
      </candidateList>
      <explain>文本全半角错误。</explain>
      <paraID>5DEACFC5</paraID>
      <start>2</start>
      <end>3</end>
      <status>modified</status>
      <modifiedWord>（</modifiedWord>
      <trackRevisions>false</trackRevisions>
    </reviewItem>
    <reviewItem>
      <errorID>f26af633-381c-43c0-b543-0185f96606aa</errorID>
      <errorWord>)</errorWord>
      <group>L1_Format</group>
      <groupName>格式问题</groupName>
      <ability>L2_HalfPunc_CN</ability>
      <abilityName>全半角问题</abilityName>
      <candidateList>
        <item>）</item>
      </candidateList>
      <explain>文本全半角错误。</explain>
      <paraID>5DEACFC5</paraID>
      <start>6</start>
      <end>7</end>
      <status>modified</status>
      <modifiedWord>）</modifiedWord>
      <trackRevisions>false</trackRevisions>
    </reviewItem>
    <reviewItem>
      <errorID>97cdb1db-85ff-4d3a-bcc7-a70222c5c51a</errorID>
      <errorWord>（</errorWord>
      <group>L1_Format</group>
      <groupName>格式问题</groupName>
      <ability>L2_HalfPunc_CN</ability>
      <abilityName>全半角问题</abilityName>
      <candidateList>
        <item>(</item>
      </candidateList>
      <explain>文本全半角错误。</explain>
      <paraID>1C686489</paraID>
      <start>0</start>
      <end>1</end>
      <status>unmodified</status>
      <modifiedWord/>
      <trackRevisions>false</trackRevisions>
    </reviewItem>
    <reviewItem>
      <errorID>5f12d724-05a2-4934-bd01-360a9c2cfe87</errorID>
      <errorWord>，</errorWord>
      <group>L1_Format</group>
      <groupName>格式问题</groupName>
      <ability>L2_HalfPunc_CN</ability>
      <abilityName>全半角问题</abilityName>
      <candidateList>
        <item>,</item>
      </candidateList>
      <explain>文本全半角错误。</explain>
      <paraID>1C686489</paraID>
      <start>3</start>
      <end>4</end>
      <status>unmodified</status>
      <modifiedWord/>
      <trackRevisions>false</trackRevisions>
    </reviewItem>
    <reviewItem>
      <errorID>c23b6709-0362-4214-b93c-b8970aadf0ce</errorID>
      <errorWord>，</errorWord>
      <group>L1_Format</group>
      <groupName>格式问题</groupName>
      <ability>L2_HalfPunc_CN</ability>
      <abilityName>全半角问题</abilityName>
      <candidateList>
        <item>,</item>
      </candidateList>
      <explain>文本全半角错误。</explain>
      <paraID>1C686489</paraID>
      <start>5</start>
      <end>6</end>
      <status>unmodified</status>
      <modifiedWord/>
      <trackRevisions>false</trackRevisions>
    </reviewItem>
    <reviewItem>
      <errorID>376aec00-6c3b-4f64-8471-02e9b98e85a5</errorID>
      <errorWord>（</errorWord>
      <group>L1_Format</group>
      <groupName>格式问题</groupName>
      <ability>L2_HalfPunc_CN</ability>
      <abilityName>全半角问题</abilityName>
      <candidateList>
        <item>(</item>
      </candidateList>
      <explain>文本全半角错误。</explain>
      <paraID>52EC5C0F</paraID>
      <start>0</start>
      <end>1</end>
      <status>unmodified</status>
      <modifiedWord/>
      <trackRevisions>false</trackRevisions>
    </reviewItem>
    <reviewItem>
      <errorID>28f10b60-4247-4cb2-b8e7-5527149c9948</errorID>
      <errorWord>，</errorWord>
      <group>L1_Format</group>
      <groupName>格式问题</groupName>
      <ability>L2_HalfPunc_CN</ability>
      <abilityName>全半角问题</abilityName>
      <candidateList>
        <item>,</item>
      </candidateList>
      <explain>文本全半角错误。</explain>
      <paraID>52EC5C0F</paraID>
      <start>3</start>
      <end>4</end>
      <status>unmodified</status>
      <modifiedWord/>
      <trackRevisions>false</trackRevisions>
    </reviewItem>
    <reviewItem>
      <errorID>1138119e-b563-43c5-a486-389b15c53276</errorID>
      <errorWord>，</errorWord>
      <group>L1_Format</group>
      <groupName>格式问题</groupName>
      <ability>L2_HalfPunc_CN</ability>
      <abilityName>全半角问题</abilityName>
      <candidateList>
        <item>,</item>
      </candidateList>
      <explain>文本全半角错误。</explain>
      <paraID>52EC5C0F</paraID>
      <start>6</start>
      <end>7</end>
      <status>unmodified</status>
      <modifiedWord/>
      <trackRevisions>false</trackRevisions>
    </reviewItem>
    <reviewItem>
      <errorID>bedb3609-7df7-4c32-aac5-579a71213bd8</errorID>
      <errorWord>)</errorWord>
      <group>L1_Format</group>
      <groupName>格式问题</groupName>
      <ability>L2_HalfPunc_CN</ability>
      <abilityName>全半角问题</abilityName>
      <candidateList>
        <item>）</item>
      </candidateList>
      <explain>文本全半角错误。</explain>
      <paraID>7340240C</paraID>
      <start>12</start>
      <end>13</end>
      <status>modified</status>
      <modifiedWord>）</modifiedWord>
      <trackRevisions>false</trackRevisions>
    </reviewItem>
    <reviewItem>
      <errorID>94fc7fed-1ff8-4965-92ea-361a94e1e22f</errorID>
      <errorWord>)</errorWord>
      <group>L1_Format</group>
      <groupName>格式问题</groupName>
      <ability>L2_HalfPunc_CN</ability>
      <abilityName>全半角问题</abilityName>
      <candidateList>
        <item>）</item>
      </candidateList>
      <explain>文本全半角错误。</explain>
      <paraID>3637CAF3</paraID>
      <start>13</start>
      <end>14</end>
      <status>modified</status>
      <modifiedWord>）</modifiedWord>
      <trackRevisions>false</trackRevisions>
    </reviewItem>
    <reviewItem>
      <errorID>5fc5e17c-f6cb-40ef-bb2d-36636c427c8e</errorID>
      <errorWord>)</errorWord>
      <group>L1_Format</group>
      <groupName>格式问题</groupName>
      <ability>L2_HalfPunc_CN</ability>
      <abilityName>全半角问题</abilityName>
      <candidateList>
        <item>）</item>
      </candidateList>
      <explain>文本全半角错误。</explain>
      <paraID>5FFB66C6</paraID>
      <start>12</start>
      <end>13</end>
      <status>modified</status>
      <modifiedWord>）</modifiedWord>
      <trackRevisions>false</trackRevisions>
    </reviewItem>
    <reviewItem>
      <errorID>caccb94a-8d5b-4411-98f0-3426c05a3e60</errorID>
      <errorWord>(</errorWord>
      <group>L1_Format</group>
      <groupName>格式问题</groupName>
      <ability>L2_HalfPunc_CN</ability>
      <abilityName>全半角问题</abilityName>
      <candidateList>
        <item>（</item>
      </candidateList>
      <explain>文本全半角错误。</explain>
      <paraID>19C56411</paraID>
      <start>13</start>
      <end>14</end>
      <status>modified</status>
      <modifiedWord>（</modifiedWord>
      <trackRevisions>false</trackRevisions>
    </reviewItem>
    <reviewItem>
      <errorID>0cdbd9c7-7ec7-4798-9b75-e9486e66bb8b</errorID>
      <errorWord>)</errorWord>
      <group>L1_Format</group>
      <groupName>格式问题</groupName>
      <ability>L2_HalfPunc_CN</ability>
      <abilityName>全半角问题</abilityName>
      <candidateList>
        <item>）</item>
      </candidateList>
      <explain>文本全半角错误。</explain>
      <paraID>19C56411</paraID>
      <start>19</start>
      <end>20</end>
      <status>modified</status>
      <modifiedWord>）</modifiedWord>
      <trackRevisions>false</trackRevisions>
    </reviewItem>
    <reviewItem>
      <errorID>f8ca8b0a-4017-4220-85b2-d10a77db6efa</errorID>
      <errorWord>)</errorWord>
      <group>L1_Format</group>
      <groupName>格式问题</groupName>
      <ability>L2_HalfPunc_CN</ability>
      <abilityName>全半角问题</abilityName>
      <candidateList>
        <item>）</item>
      </candidateList>
      <explain>文本全半角错误。</explain>
      <paraID>43794E44</paraID>
      <start>109</start>
      <end>110</end>
      <status>modified</status>
      <modifiedWord>）</modifiedWord>
      <trackRevisions>false</trackRevisions>
    </reviewItem>
    <reviewItem>
      <errorID>62f21cff-72f5-417b-8606-32962c250f39</errorID>
      <errorWord>(</errorWord>
      <group>L1_Format</group>
      <groupName>格式问题</groupName>
      <ability>L2_HalfPunc_CN</ability>
      <abilityName>全半角问题</abilityName>
      <candidateList>
        <item>（</item>
      </candidateList>
      <explain>文本全半角错误。</explain>
      <paraID>357753F4</paraID>
      <start>22</start>
      <end>23</end>
      <status>modified</status>
      <modifiedWord>（</modifiedWord>
      <trackRevisions>false</trackRevisions>
    </reviewItem>
    <reviewItem>
      <errorID>e56759f4-058d-49db-a886-57c872955402</errorID>
      <errorWord>)</errorWord>
      <group>L1_Format</group>
      <groupName>格式问题</groupName>
      <ability>L2_HalfPunc_CN</ability>
      <abilityName>全半角问题</abilityName>
      <candidateList>
        <item>）</item>
      </candidateList>
      <explain>文本全半角错误。</explain>
      <paraID>357753F4</paraID>
      <start>33</start>
      <end>34</end>
      <status>modified</status>
      <modifiedWord>）</modifiedWord>
      <trackRevisions>false</trackRevisions>
    </reviewItem>
    <reviewItem>
      <errorID>909afc4e-1483-49f4-b26f-0d5e8cd9f983</errorID>
      <errorWord>、</errorWord>
      <group>L1_Punc</group>
      <groupName>标点问题</groupName>
      <ability>L2_Punc_CN</ability>
      <abilityName>标点符号问题</abilityName>
      <candidateList>
        <item>.</item>
      </candidateList>
      <explain/>
      <paraID>2FD82412</paraID>
      <start>1</start>
      <end>2</end>
      <status>unmodified</status>
      <modifiedWord/>
      <trackRevisions>false</trackRevisions>
    </reviewItem>
    <reviewItem>
      <errorID>3bf9c435-1b9f-476a-afaa-82320227d4b4</errorID>
      <errorWord>、</errorWord>
      <group>L1_Punc</group>
      <groupName>标点问题</groupName>
      <ability>L2_Punc_CN</ability>
      <abilityName>标点符号问题</abilityName>
      <candidateList>
        <item>.</item>
      </candidateList>
      <explain/>
      <paraID>5E81D6B0</paraID>
      <start>1</start>
      <end>2</end>
      <status>unmodified</status>
      <modifiedWord/>
      <trackRevisions>false</trackRevisions>
    </reviewItem>
    <reviewItem>
      <errorID>bd0b76a3-7643-4461-a2be-809a76a2e189</errorID>
      <errorWord>、</errorWord>
      <group>L1_Punc</group>
      <groupName>标点问题</groupName>
      <ability>L2_Punc_CN</ability>
      <abilityName>标点符号问题</abilityName>
      <candidateList>
        <item>.</item>
      </candidateList>
      <explain/>
      <paraID> AB0E98B</paraID>
      <start>1</start>
      <end>2</end>
      <status>unmodified</status>
      <modifiedWord/>
      <trackRevisions>false</trackRevisions>
    </reviewItem>
    <reviewItem>
      <errorID>74890b5d-4b28-48cf-8630-beedf1a88046</errorID>
      <errorWord>、</errorWord>
      <group>L1_Punc</group>
      <groupName>标点问题</groupName>
      <ability>L2_Punc_CN</ability>
      <abilityName>标点符号问题</abilityName>
      <candidateList>
        <item>.</item>
      </candidateList>
      <explain/>
      <paraID>38A6C164</paraID>
      <start>1</start>
      <end>2</end>
      <status>unmodified</status>
      <modifiedWord/>
      <trackRevisions>false</trackRevisions>
    </reviewItem>
    <reviewItem>
      <errorID>f533b209-6eac-4fda-8d65-b3f8556bd264</errorID>
      <errorWord>-</errorWord>
      <group>L1_Format</group>
      <groupName>格式问题</groupName>
      <ability>L2_HalfPunc_CN</ability>
      <abilityName>全半角问题</abilityName>
      <candidateList>
        <item>－</item>
      </candidateList>
      <explain>文本全半角错误。</explain>
      <paraID>3A0B46BF</paraID>
      <start>7</start>
      <end>8</end>
      <status>modified</status>
      <modifiedWord>－</modifiedWord>
      <trackRevisions>false</trackRevisions>
    </reviewItem>
    <reviewItem>
      <errorID>8c57c78f-443e-4861-a65c-899b3b8c55b1</errorID>
      <errorWord>其它</errorWord>
      <group>L1_Word</group>
      <groupName>字词问题</groupName>
      <ability>L2_Alias</ability>
      <abilityName>也作/曾用词</abilityName>
      <candidateList>
        <item>其他</item>
      </candidateList>
      <explain>词汇[其它]为不规范表述或旧称，其规范书面表述为[其他]。</explain>
      <paraID>484106AE</paraID>
      <start>16</start>
      <end>18</end>
      <status>modified</status>
      <modifiedWord>其他</modifiedWord>
      <trackRevisions>false</trackRevisions>
    </reviewItem>
    <reviewItem>
      <errorID>bf0225cd-238d-4a9d-84eb-1fafcf9bc65e</errorID>
      <errorWord>)</errorWord>
      <group>L1_Format</group>
      <groupName>格式问题</groupName>
      <ability>L2_HalfPunc_CN</ability>
      <abilityName>全半角问题</abilityName>
      <candidateList>
        <item>）</item>
      </candidateList>
      <explain>文本全半角错误。</explain>
      <paraID>484106AE</paraID>
      <start>69</start>
      <end>70</end>
      <status>modified</status>
      <modifiedWord>）</modifiedWord>
      <trackRevisions>false</trackRevisions>
    </reviewItem>
    <reviewItem>
      <errorID>14cbba60-ba63-46fc-840c-413bc6f179cd</errorID>
      <errorWord>)</errorWord>
      <group>L1_Format</group>
      <groupName>格式问题</groupName>
      <ability>L2_HalfPunc_CN</ability>
      <abilityName>全半角问题</abilityName>
      <candidateList>
        <item>）</item>
      </candidateList>
      <explain>文本全半角错误。</explain>
      <paraID>2A866B8C</paraID>
      <start>10</start>
      <end>11</end>
      <status>modified</status>
      <modifiedWord>）</modifiedWord>
      <trackRevisions>false</trackRevisions>
    </reviewItem>
    <reviewItem>
      <errorID>ca57ea96-55f9-49a6-b7d4-8482a3582ead</errorID>
      <errorWord>)</errorWord>
      <group>L1_Format</group>
      <groupName>格式问题</groupName>
      <ability>L2_HalfPunc_CN</ability>
      <abilityName>全半角问题</abilityName>
      <candidateList>
        <item>）</item>
      </candidateList>
      <explain>文本全半角错误。</explain>
      <paraID>761B2E28</paraID>
      <start>9</start>
      <end>10</end>
      <status>modified</status>
      <modifiedWord>）</modifiedWord>
      <trackRevisions>false</trackRevisions>
    </reviewItem>
    <reviewItem>
      <errorID>bc43cef4-fee0-472e-88c1-9e88a9c09b69</errorID>
      <errorWord>（</errorWord>
      <group>L1_Format</group>
      <groupName>格式问题</groupName>
      <ability>L2_HalfPunc_CN</ability>
      <abilityName>全半角问题</abilityName>
      <candidateList>
        <item>(</item>
      </candidateList>
      <explain>文本全半角错误。</explain>
      <paraID>63D66BF4</paraID>
      <start>0</start>
      <end>1</end>
      <status>unmodified</status>
      <modifiedWord/>
      <trackRevisions>false</trackRevisions>
    </reviewItem>
    <reviewItem>
      <errorID>3e7c0f1c-59f5-402a-8838-ace42500d893</errorID>
      <errorWord>，</errorWord>
      <group>L1_Format</group>
      <groupName>格式问题</groupName>
      <ability>L2_HalfPunc_CN</ability>
      <abilityName>全半角问题</abilityName>
      <candidateList>
        <item>,</item>
      </candidateList>
      <explain>文本全半角错误。</explain>
      <paraID>63D66BF4</paraID>
      <start>3</start>
      <end>4</end>
      <status>unmodified</status>
      <modifiedWord/>
      <trackRevisions>false</trackRevisions>
    </reviewItem>
    <reviewItem>
      <errorID>6b3bbf43-97c3-4c16-8b39-3805b75347fd</errorID>
      <errorWord>，</errorWord>
      <group>L1_Format</group>
      <groupName>格式问题</groupName>
      <ability>L2_HalfPunc_CN</ability>
      <abilityName>全半角问题</abilityName>
      <candidateList>
        <item>,</item>
      </candidateList>
      <explain>文本全半角错误。</explain>
      <paraID>63D66BF4</paraID>
      <start>5</start>
      <end>6</end>
      <status>unmodified</status>
      <modifiedWord/>
      <trackRevisions>false</trackRevisions>
    </reviewItem>
    <reviewItem>
      <errorID>490143f1-d9ed-43c0-b8b4-7eba4de03b46</errorID>
      <errorWord>）</errorWord>
      <group>L1_Format</group>
      <groupName>格式问题</groupName>
      <ability>L2_HalfPunc_CN</ability>
      <abilityName>全半角问题</abilityName>
      <candidateList>
        <item>)</item>
      </candidateList>
      <explain>文本全半角错误。</explain>
      <paraID>63D66BF4</paraID>
      <start>8</start>
      <end>9</end>
      <status>unmodified</status>
      <modifiedWord/>
      <trackRevisions>false</trackRevisions>
    </reviewItem>
    <reviewItem>
      <errorID>277c2a57-db23-4e79-b020-69035b5ec9bf</errorID>
      <errorWord>（</errorWord>
      <group>L1_Format</group>
      <groupName>格式问题</groupName>
      <ability>L2_HalfPunc_CN</ability>
      <abilityName>全半角问题</abilityName>
      <candidateList>
        <item>(</item>
      </candidateList>
      <explain>文本全半角错误。</explain>
      <paraID>1E08D9AD</paraID>
      <start>0</start>
      <end>1</end>
      <status>unmodified</status>
      <modifiedWord/>
      <trackRevisions>false</trackRevisions>
    </reviewItem>
    <reviewItem>
      <errorID>c4378153-d424-4a80-a99e-a2a519598f67</errorID>
      <errorWord>，</errorWord>
      <group>L1_Format</group>
      <groupName>格式问题</groupName>
      <ability>L2_HalfPunc_CN</ability>
      <abilityName>全半角问题</abilityName>
      <candidateList>
        <item>,</item>
      </candidateList>
      <explain>文本全半角错误。</explain>
      <paraID>1E08D9AD</paraID>
      <start>2</start>
      <end>3</end>
      <status>unmodified</status>
      <modifiedWord/>
      <trackRevisions>false</trackRevisions>
    </reviewItem>
    <reviewItem>
      <errorID>44b41967-8634-4d7f-9b5c-f2a48aab3981</errorID>
      <errorWord>，</errorWord>
      <group>L1_Format</group>
      <groupName>格式问题</groupName>
      <ability>L2_HalfPunc_CN</ability>
      <abilityName>全半角问题</abilityName>
      <candidateList>
        <item>,</item>
      </candidateList>
      <explain>文本全半角错误。</explain>
      <paraID>1E08D9AD</paraID>
      <start>6</start>
      <end>7</end>
      <status>unmodified</status>
      <modifiedWord/>
      <trackRevisions>false</trackRevisions>
    </reviewItem>
    <reviewItem>
      <errorID>ef93e2c1-52ce-4ab2-b0da-296b04483152</errorID>
      <errorWord>）</errorWord>
      <group>L1_Format</group>
      <groupName>格式问题</groupName>
      <ability>L2_HalfPunc_CN</ability>
      <abilityName>全半角问题</abilityName>
      <candidateList>
        <item>)</item>
      </candidateList>
      <explain>文本全半角错误。</explain>
      <paraID>1E08D9AD</paraID>
      <start>9</start>
      <end>10</end>
      <status>unmodified</status>
      <modifiedWord/>
      <trackRevisions>false</trackRevisions>
    </reviewItem>
    <reviewItem>
      <errorID>2d130e3c-4d1d-48c4-af24-9ea72fc477c7</errorID>
      <errorWord>（</errorWord>
      <group>L1_Format</group>
      <groupName>格式问题</groupName>
      <ability>L2_HalfPunc_CN</ability>
      <abilityName>全半角问题</abilityName>
      <candidateList>
        <item>(</item>
      </candidateList>
      <explain>文本全半角错误。</explain>
      <paraID>45C318B3</paraID>
      <start>0</start>
      <end>1</end>
      <status>unmodified</status>
      <modifiedWord/>
      <trackRevisions>false</trackRevisions>
    </reviewItem>
    <reviewItem>
      <errorID>74ee5381-69e3-4c90-aa77-e89f276501e0</errorID>
      <errorWord>，</errorWord>
      <group>L1_Format</group>
      <groupName>格式问题</groupName>
      <ability>L2_HalfPunc_CN</ability>
      <abilityName>全半角问题</abilityName>
      <candidateList>
        <item>,</item>
      </candidateList>
      <explain>文本全半角错误。</explain>
      <paraID>45C318B3</paraID>
      <start>4</start>
      <end>5</end>
      <status>unmodified</status>
      <modifiedWord/>
      <trackRevisions>false</trackRevisions>
    </reviewItem>
    <reviewItem>
      <errorID>c9ffd496-1543-4add-a89a-be91cea19fe5</errorID>
      <errorWord>，</errorWord>
      <group>L1_Format</group>
      <groupName>格式问题</groupName>
      <ability>L2_HalfPunc_CN</ability>
      <abilityName>全半角问题</abilityName>
      <candidateList>
        <item>,</item>
      </candidateList>
      <explain>文本全半角错误。</explain>
      <paraID>45C318B3</paraID>
      <start>6</start>
      <end>7</end>
      <status>unmodified</status>
      <modifiedWord/>
      <trackRevisions>false</trackRevisions>
    </reviewItem>
    <reviewItem>
      <errorID>80d20f78-1ddc-4264-aef1-28d36b7c76a9</errorID>
      <errorWord>）</errorWord>
      <group>L1_Format</group>
      <groupName>格式问题</groupName>
      <ability>L2_HalfPunc_CN</ability>
      <abilityName>全半角问题</abilityName>
      <candidateList>
        <item>)</item>
      </candidateList>
      <explain>文本全半角错误。</explain>
      <paraID>45C318B3</paraID>
      <start>9</start>
      <end>10</end>
      <status>unmodified</status>
      <modifiedWord/>
      <trackRevisions>false</trackRevisions>
    </reviewItem>
    <reviewItem>
      <errorID>dbca3922-29e7-4766-ab4f-5f59c06db117</errorID>
      <errorWord>（</errorWord>
      <group>L1_Format</group>
      <groupName>格式问题</groupName>
      <ability>L2_HalfPunc_CN</ability>
      <abilityName>全半角问题</abilityName>
      <candidateList>
        <item>(</item>
      </candidateList>
      <explain>文本全半角错误。</explain>
      <paraID>28BBDC1C</paraID>
      <start>0</start>
      <end>1</end>
      <status>unmodified</status>
      <modifiedWord/>
      <trackRevisions>false</trackRevisions>
    </reviewItem>
    <reviewItem>
      <errorID>b3d84cc9-239e-4bea-9f94-a57b9dfb02a0</errorID>
      <errorWord>，</errorWord>
      <group>L1_Format</group>
      <groupName>格式问题</groupName>
      <ability>L2_HalfPunc_CN</ability>
      <abilityName>全半角问题</abilityName>
      <candidateList>
        <item>,</item>
      </candidateList>
      <explain>文本全半角错误。</explain>
      <paraID>28BBDC1C</paraID>
      <start>2</start>
      <end>3</end>
      <status>unmodified</status>
      <modifiedWord/>
      <trackRevisions>false</trackRevisions>
    </reviewItem>
    <reviewItem>
      <errorID>ba45fcbc-054a-4cb6-bf61-4b1e13a6aef7</errorID>
      <errorWord>，</errorWord>
      <group>L1_Format</group>
      <groupName>格式问题</groupName>
      <ability>L2_HalfPunc_CN</ability>
      <abilityName>全半角问题</abilityName>
      <candidateList>
        <item>,</item>
      </candidateList>
      <explain>文本全半角错误。</explain>
      <paraID>28BBDC1C</paraID>
      <start>5</start>
      <end>6</end>
      <status>unmodified</status>
      <modifiedWord/>
      <trackRevisions>false</trackRevisions>
    </reviewItem>
    <reviewItem>
      <errorID>08b710f4-082a-4fc3-9a30-6ba4481dddfd</errorID>
      <errorWord>）</errorWord>
      <group>L1_Format</group>
      <groupName>格式问题</groupName>
      <ability>L2_HalfPunc_CN</ability>
      <abilityName>全半角问题</abilityName>
      <candidateList>
        <item>)</item>
      </candidateList>
      <explain>文本全半角错误。</explain>
      <paraID>28BBDC1C</paraID>
      <start>8</start>
      <end>9</end>
      <status>unmodified</status>
      <modifiedWord/>
      <trackRevisions>false</trackRevisions>
    </reviewItem>
    <reviewItem>
      <errorID>19a04c07-23ba-4030-997a-1944773705e1</errorID>
      <errorWord>再</errorWord>
      <group>L1_Word</group>
      <groupName>字词问题</groupName>
      <ability>L2_Typo</ability>
      <abilityName>字词错误</abilityName>
      <candidateList>
        <item>在</item>
      </candidateList>
      <explain>存在发音相同字词的误用。</explain>
      <paraID>610CDEBC</paraID>
      <start>37</start>
      <end>38</end>
      <status>modified</status>
      <modifiedWord>在</modifiedWord>
      <trackRevisions>false</trackRevisions>
    </reviewItem>
    <reviewItem>
      <errorID>560f5559-8f94-4778-96e6-b37f6ee8a0fe</errorID>
      <errorWord>减震</errorWord>
      <group>L1_Word</group>
      <groupName>字词问题</groupName>
      <ability>L2_Typo</ability>
      <abilityName>字词错误</abilityName>
      <candidateList>
        <item>减振</item>
      </candidateList>
      <explain>存在发音相同字词的误用。</explain>
      <paraID>610CDEBC</paraID>
      <start>53</start>
      <end>55</end>
      <status>modified</status>
      <modifiedWord>减振</modifiedWord>
      <trackRevisions>false</trackRevisions>
    </reviewItem>
    <reviewItem>
      <errorID>89946541-8fed-40b0-bd90-44d2b5091977</errorID>
      <errorWord>)</errorWord>
      <group>L1_Format</group>
      <groupName>格式问题</groupName>
      <ability>L2_HalfPunc_CN</ability>
      <abilityName>全半角问题</abilityName>
      <candidateList>
        <item>）</item>
      </candidateList>
      <explain>文本全半角错误。</explain>
      <paraID>610CDEBC</paraID>
      <start>71</start>
      <end>72</end>
      <status>modified</status>
      <modifiedWord>）</modifiedWord>
      <trackRevisions>false</trackRevisions>
    </reviewItem>
    <reviewItem>
      <errorID>8822c48d-f5fb-4eac-ae24-0627ae60bd49</errorID>
      <errorWord>(</errorWord>
      <group>L1_Format</group>
      <groupName>格式问题</groupName>
      <ability>L2_HalfPunc_CN</ability>
      <abilityName>全半角问题</abilityName>
      <candidateList>
        <item>（</item>
      </candidateList>
      <explain>文本全半角错误。</explain>
      <paraID>610CDEBC</paraID>
      <start>117</start>
      <end>118</end>
      <status>modified</status>
      <modifiedWord>（</modifiedWord>
      <trackRevisions>false</trackRevisions>
    </reviewItem>
    <reviewItem>
      <errorID>b2292bf4-643f-4a20-a560-330006b8683a</errorID>
      <errorWord>)</errorWord>
      <group>L1_Format</group>
      <groupName>格式问题</groupName>
      <ability>L2_HalfPunc_CN</ability>
      <abilityName>全半角问题</abilityName>
      <candidateList>
        <item>）</item>
      </candidateList>
      <explain>文本全半角错误。</explain>
      <paraID>610CDEBC</paraID>
      <start>130</start>
      <end>131</end>
      <status>modified</status>
      <modifiedWord>）</modifiedWord>
      <trackRevisions>false</trackRevisions>
    </reviewItem>
    <reviewItem>
      <errorID>1d7cadd7-281b-4334-b49f-3dfea186f742</errorID>
      <errorWord>，经</errorWord>
      <group>L1_Word</group>
      <groupName>字词问题</groupName>
      <ability>L2_Typo</ability>
      <abilityName>字词错误</abilityName>
      <candidateList>
        <item>，</item>
      </candidateList>
      <explain/>
      <paraID>1A81EEFD</paraID>
      <start>2</start>
      <end>4</end>
      <status>unmodified</status>
      <modifiedWord/>
      <trackRevisions>false</trackRevisions>
    </reviewItem>
    <reviewItem>
      <errorID>e0b43aa2-595a-43fd-bb87-6b70dd3a14c9</errorID>
      <errorWord>设备、基础减震</errorWord>
      <group>L1_Word</group>
      <groupName>字词问题</groupName>
      <ability>L2_Typo</ability>
      <abilityName>字词错误</abilityName>
      <candidateList>
        <item>设备、基础减振</item>
      </candidateList>
      <explain/>
      <paraID>1A81EEFD</paraID>
      <start>16</start>
      <end>23</end>
      <status>modified</status>
      <modifiedWord>设备、基础减振</modifiedWord>
      <trackRevisions>false</trackRevisions>
    </reviewItem>
    <reviewItem>
      <errorID>32a73d3b-8c5b-4ef8-bb28-b1b35702b24b</errorID>
      <errorWord>车</errorWord>
      <group>L1_Word</group>
      <groupName>字词问题</groupName>
      <ability>L2_Typo</ability>
      <abilityName>字词错误</abilityName>
      <candidateList>
        <item>车辆</item>
      </candidateList>
      <explain/>
      <paraID>1A81EEFD</paraID>
      <start>61</start>
      <end>62</end>
      <status>unmodified</status>
      <modifiedWord/>
      <trackRevisions>false</trackRevisions>
    </reviewItem>
    <reviewItem>
      <errorID>5e34af9f-df2a-4904-84b9-96dac803cd47</errorID>
      <errorWord>强</errorWord>
      <group>L1_Word</group>
      <groupName>字词问题</groupName>
      <ability>L2_Typo</ability>
      <abilityName>字词错误</abilityName>
      <candidateList>
        <item>强对</item>
      </candidateList>
      <explain/>
      <paraID>1A81EEFD</paraID>
      <start>101</start>
      <end>102</end>
      <status>unmodified</status>
      <modifiedWord/>
      <trackRevisions>false</trackRevisions>
    </reviewItem>
    <reviewItem>
      <errorID>2452aa8f-eb71-4d09-88a5-fedcd18581e7</errorID>
      <errorWord>(</errorWord>
      <group>L1_Format</group>
      <groupName>格式问题</groupName>
      <ability>L2_HalfPunc_CN</ability>
      <abilityName>全半角问题</abilityName>
      <candidateList>
        <item>（</item>
      </candidateList>
      <explain>文本全半角错误。</explain>
      <paraID>2D14B1A5</paraID>
      <start>16</start>
      <end>17</end>
      <status>modified</status>
      <modifiedWord>（</modifiedWord>
      <trackRevisions>false</trackRevisions>
    </reviewItem>
    <reviewItem>
      <errorID>824f929a-2a3f-4786-90e2-2ccd7a96201b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A43BF3F</paraID>
      <start>0</start>
      <end>2</end>
      <status>unmodified</status>
      <modifiedWord/>
      <trackRevisions>false</trackRevisions>
    </reviewItem>
    <reviewItem>
      <errorID>636b1816-8017-4e34-9f3b-67f4b151ef1f</errorID>
      <errorWord>冶理</errorWord>
      <group>L1_Word</group>
      <groupName>字词问题</groupName>
      <ability>L2_Typo</ability>
      <abilityName>字词错误</abilityName>
      <candidateList>
        <item>治理</item>
      </candidateList>
      <explain>存在字形相近字词的误用。</explain>
      <paraID>1FFDFDBE</paraID>
      <start>203</start>
      <end>205</end>
      <status>modified</status>
      <modifiedWord>治理</modifiedWord>
      <trackRevisions>false</trackRevisions>
    </reviewItem>
    <reviewItem>
      <errorID>df4d34df-cacc-4bd5-a36b-7156fd77684f</errorID>
      <errorWord>(</errorWord>
      <group>L1_Format</group>
      <groupName>格式问题</groupName>
      <ability>L2_HalfPunc_CN</ability>
      <abilityName>全半角问题</abilityName>
      <candidateList>
        <item>（</item>
      </candidateList>
      <explain>文本全半角错误。</explain>
      <paraID>1FFDFDBE</paraID>
      <start>207</start>
      <end>208</end>
      <status>modified</status>
      <modifiedWord>（</modifiedWord>
      <trackRevisions>false</trackRevisions>
    </reviewItem>
    <reviewItem>
      <errorID>b91c0909-5b49-4cc1-bf37-9811315735f7</errorID>
      <errorWord>)</errorWord>
      <group>L1_Format</group>
      <groupName>格式问题</groupName>
      <ability>L2_HalfPunc_CN</ability>
      <abilityName>全半角问题</abilityName>
      <candidateList>
        <item>）</item>
      </candidateList>
      <explain>文本全半角错误。</explain>
      <paraID>1FFDFDBE</paraID>
      <start>221</start>
      <end>222</end>
      <status>modified</status>
      <modifiedWord>）</modifiedWord>
      <trackRevisions>false</trackRevisions>
    </reviewItem>
    <reviewItem>
      <errorID>68b28558-c940-4513-b0f6-650bca97ac4e</errorID>
      <errorWord>(</errorWord>
      <group>L1_Format</group>
      <groupName>格式问题</groupName>
      <ability>L2_HalfPunc_CN</ability>
      <abilityName>全半角问题</abilityName>
      <candidateList>
        <item>（</item>
      </candidateList>
      <explain>文本全半角错误。</explain>
      <paraID>3CA60644</paraID>
      <start>77</start>
      <end>78</end>
      <status>modified</status>
      <modifiedWord>（</modifiedWord>
      <trackRevisions>false</trackRevisions>
    </reviewItem>
    <reviewItem>
      <errorID>babd36bf-9d4a-43f3-9e6d-48e6e431eb9f</errorID>
      <errorWord>)</errorWord>
      <group>L1_Format</group>
      <groupName>格式问题</groupName>
      <ability>L2_HalfPunc_CN</ability>
      <abilityName>全半角问题</abilityName>
      <candidateList>
        <item>）</item>
      </candidateList>
      <explain>文本全半角错误。</explain>
      <paraID>3CA60644</paraID>
      <start>84</start>
      <end>85</end>
      <status>modified</status>
      <modifiedWord>）</modifiedWord>
      <trackRevisions>false</trackRevisions>
    </reviewItem>
    <reviewItem>
      <errorID>e3704ca0-5202-4e89-9e32-0d23b3dd0c39</errorID>
      <errorWord>-</errorWord>
      <group>L1_Format</group>
      <groupName>格式问题</groupName>
      <ability>L2_HalfPunc_CN</ability>
      <abilityName>全半角问题</abilityName>
      <candidateList>
        <item>－</item>
      </candidateList>
      <explain>文本全半角错误。</explain>
      <paraID>3CA60644</paraID>
      <start>95</start>
      <end>96</end>
      <status>modified</status>
      <modifiedWord>－</modifiedWord>
      <trackRevisions>false</trackRevisions>
    </reviewItem>
    <reviewItem>
      <errorID>565c4abe-9bfc-4a61-8706-8e0aa915d3df</errorID>
      <errorWord>间</errorWord>
      <group>L1_Word</group>
      <groupName>字词问题</groupName>
      <ability>L2_Typo</ability>
      <abilityName>字词错误</abilityName>
      <candidateList>
        <item>可</item>
      </candidateList>
      <explain>存在字形相近字词的误用。</explain>
      <paraID>3CA60644</paraID>
      <start>118</start>
      <end>119</end>
      <status>unmodified</status>
      <modifiedWord/>
      <trackRevisions>false</trackRevisions>
    </reviewItem>
    <reviewItem>
      <errorID>9c54c22a-6022-4f15-a4a1-77ee1491d1f3</errorID>
      <errorWord>(</errorWord>
      <group>L1_Format</group>
      <groupName>格式问题</groupName>
      <ability>L2_HalfPunc_CN</ability>
      <abilityName>全半角问题</abilityName>
      <candidateList>
        <item>（</item>
      </candidateList>
      <explain>文本全半角错误。</explain>
      <paraID>338BA051</paraID>
      <start>99</start>
      <end>100</end>
      <status>modified</status>
      <modifiedWord>（</modifiedWord>
      <trackRevisions>false</trackRevisions>
    </reviewItem>
    <reviewItem>
      <errorID>55c65a49-b449-486a-abe5-d8a112b2dcab</errorID>
      <errorWord>)</errorWord>
      <group>L1_Format</group>
      <groupName>格式问题</groupName>
      <ability>L2_HalfPunc_CN</ability>
      <abilityName>全半角问题</abilityName>
      <candidateList>
        <item>）</item>
      </candidateList>
      <explain>文本全半角错误。</explain>
      <paraID>338BA051</paraID>
      <start>113</start>
      <end>114</end>
      <status>modified</status>
      <modifiedWord>）</modifiedWord>
      <trackRevisions>false</trackRevisions>
    </reviewItem>
    <reviewItem>
      <errorID>0adfd272-a737-4d0b-bf3a-ef9fb22038c8</errorID>
      <errorWord>泄露</errorWord>
      <group>L1_Word</group>
      <groupName>字词问题</groupName>
      <ability>L2_Typo</ability>
      <abilityName>字词错误</abilityName>
      <candidateList>
        <item>泄漏</item>
      </candidateList>
      <explain>存在发音相同字词的误用。</explain>
      <paraID>14268BAC</paraID>
      <start>51</start>
      <end>53</end>
      <status>modified</status>
      <modifiedWord>泄漏</modifiedWord>
      <trackRevisions>false</trackRevisions>
    </reviewItem>
    <reviewItem>
      <errorID>3629d516-ab7d-463a-b53b-41a875af5291</errorID>
      <errorWord>其它</errorWord>
      <group>L1_Word</group>
      <groupName>字词问题</groupName>
      <ability>L2_Alias</ability>
      <abilityName>也作/曾用词</abilityName>
      <candidateList>
        <item>其他</item>
      </candidateList>
      <explain>词汇[其它]为不规范表述或旧称，其规范书面表述为[其他]。</explain>
      <paraID>14268BAC</paraID>
      <start>61</start>
      <end>63</end>
      <status>modified</status>
      <modifiedWord>其他</modifiedWord>
      <trackRevisions>false</trackRevisions>
    </reviewItem>
    <reviewItem>
      <errorID>ab045555-0365-45f3-b7b5-ac31a8b0ed0f</errorID>
      <errorWord>墙角</errorWord>
      <group>L1_Word</group>
      <groupName>字词问题</groupName>
      <ability>L2_Typo</ability>
      <abilityName>字词错误</abilityName>
      <candidateList>
        <item>墙脚</item>
      </candidateList>
      <explain>存在发音相同字词的误用。</explain>
      <paraID>3DBD3E79</paraID>
      <start>5</start>
      <end>7</end>
      <status>modified</status>
      <modifiedWord>墙脚</modifiedWord>
      <trackRevisions>false</trackRevisions>
    </reviewItem>
    <reviewItem>
      <errorID>de1294f2-5eaf-4fef-96a2-73f89f583677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3DBD3E79</paraID>
      <start>49</start>
      <end>50</end>
      <status>unmodified</status>
      <modifiedWord/>
      <trackRevisions>false</trackRevisions>
    </reviewItem>
    <reviewItem>
      <errorID>d6c8bd4f-d5e5-497e-a121-39ba483968b6</errorID>
      <errorWord>接受单位</errorWord>
      <group>L1_Word</group>
      <groupName>字词问题</groupName>
      <ability>L2_Typo</ability>
      <abilityName>字词错误</abilityName>
      <candidateList>
        <item>接收单位</item>
      </candidateList>
      <explain>存在发音相同字词的误用。</explain>
      <paraID>6C56A81C</paraID>
      <start>91</start>
      <end>95</end>
      <status>modified</status>
      <modifiedWord>接收单位</modifiedWord>
      <trackRevisions>false</trackRevisions>
    </reviewItem>
    <reviewItem>
      <errorID>d1a22608-9fb6-41b5-9c6d-2e3f123e6ae8</errorID>
      <errorWord>(</errorWord>
      <group>L1_Format</group>
      <groupName>格式问题</groupName>
      <ability>L2_HalfPunc_CN</ability>
      <abilityName>全半角问题</abilityName>
      <candidateList>
        <item>（</item>
      </candidateList>
      <explain>文本全半角错误。</explain>
      <paraID>5B936D37</paraID>
      <start>16</start>
      <end>17</end>
      <status>modified</status>
      <modifiedWord>（</modifiedWord>
      <trackRevisions>false</trackRevisions>
    </reviewItem>
    <reviewItem>
      <errorID>485450e0-c9fb-40a7-975d-aefc8d629d28</errorID>
      <errorWord>)</errorWord>
      <group>L1_Format</group>
      <groupName>格式问题</groupName>
      <ability>L2_HalfPunc_CN</ability>
      <abilityName>全半角问题</abilityName>
      <candidateList>
        <item>）</item>
      </candidateList>
      <explain>文本全半角错误。</explain>
      <paraID>5B936D37</paraID>
      <start>30</start>
      <end>31</end>
      <status>modified</status>
      <modifiedWord>）</modifiedWord>
      <trackRevisions>false</trackRevisions>
    </reviewItem>
    <reviewItem>
      <errorID>5cd925b4-01ad-4be7-b828-5d8fbc3461e1</errorID>
      <errorWord>质资</errorWord>
      <group>L1_Word</group>
      <groupName>字词问题</groupName>
      <ability>L2_Typo</ability>
      <abilityName>字词错误</abilityName>
      <candidateList>
        <item>资质</item>
      </candidateList>
      <explain/>
      <paraID>5F33E704</paraID>
      <start>85</start>
      <end>87</end>
      <status>modified</status>
      <modifiedWord>资质</modifiedWord>
      <trackRevisions>false</trackRevisions>
    </reviewItem>
    <reviewItem>
      <errorID>1bb3d71c-06e3-4e7b-828d-cfaf949fd888</errorID>
      <errorWord>曝晒</errorWord>
      <group>L1_Word</group>
      <groupName>字词问题</groupName>
      <ability>L2_Typo</ability>
      <abilityName>字词错误</abilityName>
      <candidateList>
        <item>暴晒</item>
      </candidateList>
      <explain>存在发音相同字词的误用。</explain>
      <paraID>5F33E704</paraID>
      <start>198</start>
      <end>200</end>
      <status>modified</status>
      <modifiedWord>暴晒</modifiedWord>
      <trackRevisions>false</trackRevisions>
    </reviewItem>
    <reviewItem>
      <errorID>2b86d78f-638e-4dd6-ac40-db4ad10aa3e0</errorID>
      <errorWord>，</errorWord>
      <group>L1_Format</group>
      <groupName>格式问题</groupName>
      <ability>L2_HalfPunc_CN</ability>
      <abilityName>全半角问题</abilityName>
      <candidateList>
        <item>, </item>
      </candidateList>
      <explain>文本全半角错误。</explain>
      <paraID>4EA96B2A</paraID>
      <start>1</start>
      <end>2</end>
      <status>unmodified</status>
      <modifiedWord/>
      <trackRevisions>false</trackRevisions>
    </reviewItem>
    <reviewItem>
      <errorID>21aec6f5-cf4f-4e69-b2d4-5533ff385a31</errorID>
      <errorWord>，</errorWord>
      <group>L1_Format</group>
      <groupName>格式问题</groupName>
      <ability>L2_HalfPunc_CN</ability>
      <abilityName>全半角问题</abilityName>
      <candidateList>
        <item>, </item>
      </candidateList>
      <explain>文本全半角错误。</explain>
      <paraID>3985E292</paraID>
      <start>1</start>
      <end>2</end>
      <status>unmodified</status>
      <modifiedWord/>
      <trackRevisions>false</trackRevisions>
    </reviewItem>
    <reviewItem>
      <errorID>cd3bf2fe-ff91-4a86-9dff-b2174dfc3a50</errorID>
      <errorWord>，</errorWord>
      <group>L1_Format</group>
      <groupName>格式问题</groupName>
      <ability>L2_HalfPunc_CN</ability>
      <abilityName>全半角问题</abilityName>
      <candidateList>
        <item>, </item>
      </candidateList>
      <explain>文本全半角错误。</explain>
      <paraID>4B2292F3</paraID>
      <start>1</start>
      <end>2</end>
      <status>unmodified</status>
      <modifiedWord/>
      <trackRevisions>false</trackRevisions>
    </reviewItem>
    <reviewItem>
      <errorID>29184227-946e-41e5-a13f-63ea5b54bf2f</errorID>
      <errorWord>，</errorWord>
      <group>L1_Format</group>
      <groupName>格式问题</groupName>
      <ability>L2_HalfPunc_CN</ability>
      <abilityName>全半角问题</abilityName>
      <candidateList>
        <item>, </item>
      </candidateList>
      <explain>文本全半角错误。</explain>
      <paraID>2A94E772</paraID>
      <start>1</start>
      <end>2</end>
      <status>unmodified</status>
      <modifiedWord/>
      <trackRevisions>false</trackRevisions>
    </reviewItem>
    <reviewItem>
      <errorID>f208888b-ef2e-4809-963c-7d3260004457</errorID>
      <errorWord>，</errorWord>
      <group>L1_Format</group>
      <groupName>格式问题</groupName>
      <ability>L2_HalfPunc_CN</ability>
      <abilityName>全半角问题</abilityName>
      <candidateList>
        <item>, </item>
      </candidateList>
      <explain>文本全半角错误。</explain>
      <paraID>54FA1242</paraID>
      <start>1</start>
      <end>2</end>
      <status>unmodified</status>
      <modifiedWord/>
      <trackRevisions>false</trackRevisions>
    </reviewItem>
    <reviewItem>
      <errorID>45178439-28a1-4667-ae38-90eea3df885b</errorID>
      <errorWord>，</errorWord>
      <group>L1_Format</group>
      <groupName>格式问题</groupName>
      <ability>L2_HalfPunc_CN</ability>
      <abilityName>全半角问题</abilityName>
      <candidateList>
        <item>, </item>
      </candidateList>
      <explain>文本全半角错误。</explain>
      <paraID>7B64B84C</paraID>
      <start>1</start>
      <end>2</end>
      <status>unmodified</status>
      <modifiedWord/>
      <trackRevisions>false</trackRevisions>
    </reviewItem>
    <reviewItem>
      <errorID>35e42808-fb7d-457d-8156-ca2b841d5ee7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48C5985E</paraID>
      <start>0</start>
      <end>2</end>
      <status>unmodified</status>
      <modifiedWord/>
      <trackRevisions>false</trackRevisions>
    </reviewItem>
    <reviewItem>
      <errorID>99bbbb44-b2ad-496c-85d3-ba23d2aa4796</errorID>
      <errorWord>(</errorWord>
      <group>L1_Format</group>
      <groupName>格式问题</groupName>
      <ability>L2_HalfPunc_CN</ability>
      <abilityName>全半角问题</abilityName>
      <candidateList>
        <item>（</item>
      </candidateList>
      <explain>文本全半角错误。</explain>
      <paraID>6AA61126</paraID>
      <start>57</start>
      <end>58</end>
      <status>modified</status>
      <modifiedWord>（</modifiedWord>
      <trackRevisions>false</trackRevisions>
    </reviewItem>
    <reviewItem>
      <errorID>e5953e2a-9962-4e10-9aab-c91cb1a2c591</errorID>
      <errorWord>)</errorWord>
      <group>L1_Format</group>
      <groupName>格式问题</groupName>
      <ability>L2_HalfPunc_CN</ability>
      <abilityName>全半角问题</abilityName>
      <candidateList>
        <item>）</item>
      </candidateList>
      <explain>文本全半角错误。</explain>
      <paraID>6AA61126</paraID>
      <start>72</start>
      <end>73</end>
      <status>modified</status>
      <modifiedWord>）</modifiedWord>
      <trackRevisions>false</trackRevisions>
    </reviewItem>
    <reviewItem>
      <errorID>cc603d39-7b09-4dd9-92fe-7a3ff024751b</errorID>
      <errorWord>泄露</errorWord>
      <group>L1_Word</group>
      <groupName>字词问题</groupName>
      <ability>L2_Typo</ability>
      <abilityName>字词错误</abilityName>
      <candidateList>
        <item>泄漏</item>
      </candidateList>
      <explain/>
      <paraID>6AA61126</paraID>
      <start>88</start>
      <end>90</end>
      <status>modified</status>
      <modifiedWord>泄漏</modifiedWord>
      <trackRevisions>false</trackRevisions>
    </reviewItem>
    <reviewItem>
      <errorID>b2e67e11-8879-49ec-b501-da7ace7620f7</errorID>
      <errorWord>泄露</errorWord>
      <group>L1_Word</group>
      <groupName>字词问题</groupName>
      <ability>L2_Typo</ability>
      <abilityName>字词错误</abilityName>
      <candidateList>
        <item>泄漏</item>
      </candidateList>
      <explain/>
      <paraID> 740C788</paraID>
      <start>0</start>
      <end>2</end>
      <status>modified</status>
      <modifiedWord>泄漏</modifiedWord>
      <trackRevisions>false</trackRevisions>
    </reviewItem>
    <reviewItem>
      <errorID>021ccca7-686d-430a-9c7d-d1e0737dfbbd</errorID>
      <errorWord>泄露</errorWord>
      <group>L1_Word</group>
      <groupName>字词问题</groupName>
      <ability>L2_Typo</ability>
      <abilityName>字词错误</abilityName>
      <candidateList>
        <item>泄漏</item>
      </candidateList>
      <explain/>
      <paraID>3AB939B7</paraID>
      <start>0</start>
      <end>2</end>
      <status>modified</status>
      <modifiedWord>泄漏</modifiedWord>
      <trackRevisions>false</trackRevisions>
    </reviewItem>
    <reviewItem>
      <errorID>0a90c7ee-a4de-4468-a517-f0b6df1d06b8</errorID>
      <errorWord>泄露</errorWord>
      <group>L1_Word</group>
      <groupName>字词问题</groupName>
      <ability>L2_Typo</ability>
      <abilityName>字词错误</abilityName>
      <candidateList>
        <item>泄漏</item>
      </candidateList>
      <explain/>
      <paraID>5B3E375C</paraID>
      <start>0</start>
      <end>2</end>
      <status>modified</status>
      <modifiedWord>泄漏</modifiedWord>
      <trackRevisions>false</trackRevisions>
    </reviewItem>
    <reviewItem>
      <errorID>bbbd12ca-404b-4f9c-b443-5eaffa5eda33</errorID>
      <errorWord>泄露</errorWord>
      <group>L1_Word</group>
      <groupName>字词问题</groupName>
      <ability>L2_Typo</ability>
      <abilityName>字词错误</abilityName>
      <candidateList>
        <item>泄漏</item>
      </candidateList>
      <explain/>
      <paraID>5CB7BEBA</paraID>
      <start>0</start>
      <end>2</end>
      <status>modified</status>
      <modifiedWord>泄漏</modifiedWord>
      <trackRevisions>false</trackRevisions>
    </reviewItem>
    <reviewItem>
      <errorID>acd08440-b396-4f43-89cb-b64bc0f97bcf</errorID>
      <errorWord>泄露</errorWord>
      <group>L1_Word</group>
      <groupName>字词问题</groupName>
      <ability>L2_Typo</ability>
      <abilityName>字词错误</abilityName>
      <candidateList>
        <item>泄漏</item>
      </candidateList>
      <explain/>
      <paraID>6084702F</paraID>
      <start>0</start>
      <end>2</end>
      <status>modified</status>
      <modifiedWord>泄漏</modifiedWord>
      <trackRevisions>false</trackRevisions>
    </reviewItem>
    <reviewItem>
      <errorID>20430277-b6d3-485f-b156-e5ee10448af3</errorID>
      <errorWord>泄露</errorWord>
      <group>L1_Word</group>
      <groupName>字词问题</groupName>
      <ability>L2_Typo</ability>
      <abilityName>字词错误</abilityName>
      <candidateList>
        <item>泄漏</item>
      </candidateList>
      <explain/>
      <paraID>5399CFDA</paraID>
      <start>0</start>
      <end>2</end>
      <status>modified</status>
      <modifiedWord>泄漏</modifiedWord>
      <trackRevisions>false</trackRevisions>
    </reviewItem>
    <reviewItem>
      <errorID>65ed1c5d-2c6c-4e36-b9f4-ef497568aa66</errorID>
      <errorWord>泄露</errorWord>
      <group>L1_Word</group>
      <groupName>字词问题</groupName>
      <ability>L2_Typo</ability>
      <abilityName>字词错误</abilityName>
      <candidateList>
        <item>泄漏</item>
      </candidateList>
      <explain/>
      <paraID>3A3BAF17</paraID>
      <start>0</start>
      <end>2</end>
      <status>modified</status>
      <modifiedWord>泄漏</modifiedWord>
      <trackRevisions>false</trackRevisions>
    </reviewItem>
    <reviewItem>
      <errorID>31ade11d-c58e-4af4-b835-f4576ae2b8fa</errorID>
      <errorWord>粘稠</errorWord>
      <group>L1_Word</group>
      <groupName>字词问题</groupName>
      <ability>L2_Typo</ability>
      <abilityName>字词错误</abilityName>
      <candidateList>
        <item>黏稠</item>
      </candidateList>
      <explain>存在发音相同字词的误用。</explain>
      <paraID>3E240346</paraID>
      <start>9</start>
      <end>11</end>
      <status>ignored</status>
      <modifiedWord/>
      <trackRevisions>false</trackRevisions>
    </reviewItem>
    <reviewItem>
      <errorID>a53ec80b-b627-4895-aaf0-c3fab4227eba</errorID>
      <errorWord>,</errorWord>
      <group>L1_Format</group>
      <groupName>格式问题</groupName>
      <ability>L2_HalfPunc_CN</ability>
      <abilityName>全半角问题</abilityName>
      <candidateList>
        <item>，</item>
      </candidateList>
      <explain>文本全半角错误。</explain>
      <paraID>3E240346</paraID>
      <start>66</start>
      <end>67</end>
      <status>modified</status>
      <modifiedWord>，</modifiedWord>
      <trackRevisions>false</trackRevisions>
    </reviewItem>
    <reviewItem>
      <errorID>ec338a77-8f3b-4cf0-9e3a-c0a4f489646a</errorID>
      <errorWord>;</errorWord>
      <group>L1_Format</group>
      <groupName>格式问题</groupName>
      <ability>L2_HalfPunc_CN</ability>
      <abilityName>全半角问题</abilityName>
      <candidateList>
        <item>；</item>
      </candidateList>
      <explain>文本全半角错误。</explain>
      <paraID>3E240346</paraID>
      <start>76</start>
      <end>77</end>
      <status>modified</status>
      <modifiedWord>；</modifiedWord>
      <trackRevisions>false</trackRevisions>
    </reviewItem>
    <reviewItem>
      <errorID>63d52db0-125d-4b31-84cb-f73444966d09</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516F163B</paraID>
      <start>39</start>
      <end>46</end>
      <status>unmodified</status>
      <modifiedWord/>
      <trackRevisions>false</trackRevisions>
    </reviewItem>
    <reviewItem>
      <errorID>a0457d63-2a8c-4c35-a9b3-87a5dbe3e3b2</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516F163B</paraID>
      <start>50</start>
      <end>57</end>
      <status>unmodified</status>
      <modifiedWord/>
      <trackRevisions>false</trackRevisions>
    </reviewItem>
    <reviewItem>
      <errorID>e60d275b-4cd9-4fed-a374-299b8bfeb93b</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516F163B</paraID>
      <start>62</start>
      <end>69</end>
      <status>unmodified</status>
      <modifiedWord/>
      <trackRevisions>false</trackRevisions>
    </reviewItem>
    <reviewItem>
      <errorID>b0b3d41e-b94e-4f5a-9c61-08c4c7dea3a0</errorID>
      <errorWord>见</errorWord>
      <group>L1_Word</group>
      <groupName>字词问题</groupName>
      <ability>L2_Typo</ability>
      <abilityName>字词错误</abilityName>
      <candidateList>
        <item>见下</item>
      </candidateList>
      <explain/>
      <paraID>56E404EB</paraID>
      <start>18</start>
      <end>19</end>
      <status>unmodified</status>
      <modifiedWord/>
      <trackRevisions>false</trackRevisions>
    </reviewItem>
    <reviewItem>
      <errorID>c71a1e11-7f7e-411d-81aa-73b49beab27f</errorID>
      <errorWord>放</errorWord>
      <group>L1_Word</group>
      <groupName>字词问题</groupName>
      <ability>L2_Typo</ability>
      <abilityName>字词错误</abilityName>
      <candidateList>
        <item>放环</item>
      </candidateList>
      <explain/>
      <paraID> 3AA4B21</paraID>
      <start>10</start>
      <end>12</end>
      <status>modified</status>
      <modifiedWord>放环</modifiedWord>
      <trackRevisions>false</trackRevisions>
    </reviewItem>
    <reviewItem>
      <errorID>ed6175d7-a431-46ee-bbc2-a0b51ca35595</errorID>
      <errorWord>电器设备等</errorWord>
      <group>L1_Word</group>
      <groupName>字词问题</groupName>
      <ability>L2_Typo</ability>
      <abilityName>字词错误</abilityName>
      <candidateList>
        <item>电气设备等</item>
      </candidateList>
      <explain/>
      <paraID>5DDE0043</paraID>
      <start>41</start>
      <end>46</end>
      <status>ignored</status>
      <modifiedWord/>
      <trackRevisions>false</trackRevisions>
    </reviewItem>
    <reviewItem>
      <errorID>97bbb600-8a40-433b-b811-27f638b50ea7</errorID>
      <errorWord>因为</errorWord>
      <group>L1_Word</group>
      <groupName>字词问题</groupName>
      <ability>L2_Typo</ability>
      <abilityName>字词错误</abilityName>
      <candidateList>
        <item>因</item>
      </candidateList>
      <explain/>
      <paraID>5DDE0043</paraID>
      <start>53</start>
      <end>55</end>
      <status>unmodified</status>
      <modifiedWord/>
      <trackRevisions>false</trackRevisions>
    </reviewItem>
    <reviewItem>
      <errorID>b948a0c1-a925-459b-91d5-a0e9bfc9d4cb</errorID>
      <errorWord>佩带</errorWord>
      <group>L1_Word</group>
      <groupName>字词问题</groupName>
      <ability>L2_Typo</ability>
      <abilityName>字词错误</abilityName>
      <candidateList>
        <item>佩戴</item>
      </candidateList>
      <explain>存在发音相同字词的误用。</explain>
      <paraID>2FF3A473</paraID>
      <start>31</start>
      <end>33</end>
      <status>modified</status>
      <modifiedWord>佩戴</modifiedWord>
      <trackRevisions>false</trackRevisions>
    </reviewItem>
    <reviewItem>
      <errorID>aa76bc8a-674d-44e2-9a4b-5a10b3bbbf4a</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54EFC887</paraID>
      <start>5</start>
      <end>15</end>
      <status>modified</status>
      <modifiedWord>中华人民共和国劳动法</modifiedWord>
      <trackRevisions>false</trackRevisions>
    </reviewItem>
    <reviewItem>
      <errorID>e68cd0be-dd13-46b8-a6c7-488ce3285fed</errorID>
      <errorWord>的</errorWord>
      <group>L1_Word</group>
      <groupName>字词问题</groupName>
      <ability>L2_DDD</ability>
      <abilityName>的地得用法</abilityName>
      <candidateList>
        <item>地</item>
      </candidateList>
      <explain/>
      <paraID> FB080C4</paraID>
      <start>84</start>
      <end>85</end>
      <status>modified</status>
      <modifiedWord>地</modifiedWord>
      <trackRevisions>false</trackRevisions>
    </reviewItem>
    <reviewItem>
      <errorID>16cd98fc-23bd-48aa-b63e-012f5a8b4315</errorID>
      <errorWord>制订了</errorWord>
      <group>L1_Word</group>
      <groupName>字词问题</groupName>
      <ability>L2_Typo</ability>
      <abilityName>字词错误</abilityName>
      <candidateList>
        <item>制定了</item>
      </candidateList>
      <explain/>
      <paraID>5E829F0F</paraID>
      <start>15</start>
      <end>18</end>
      <status>modified</status>
      <modifiedWord>制定了</modifiedWord>
      <trackRevisions>false</trackRevisions>
    </reviewItem>
    <reviewItem>
      <errorID>903865c6-0871-44aa-8a50-abba85276063</errorID>
      <errorWord>强</errorWord>
      <group>L1_Word</group>
      <groupName>字词问题</groupName>
      <ability>L2_Typo</ability>
      <abilityName>字词错误</abilityName>
      <candidateList>
        <item>强对</item>
      </candidateList>
      <explain/>
      <paraID>5E829F0F</paraID>
      <start>43</start>
      <end>44</end>
      <status>unmodified</status>
      <modifiedWord/>
      <trackRevisions>false</trackRevisions>
    </reviewItem>
    <reviewItem>
      <errorID>348bf492-669e-40d6-bb62-4256b3af1f80</errorID>
      <errorWord>改</errorWord>
      <group>L1_Word</group>
      <groupName>字词问题</groupName>
      <ability>L2_Typo</ability>
      <abilityName>字词错误</abilityName>
      <candidateList>
        <item>该</item>
      </candidateList>
      <explain/>
      <paraID>6C8C65D6</paraID>
      <start>48</start>
      <end>49</end>
      <status>modified</status>
      <modifiedWord>该</modifiedWord>
      <trackRevisions>false</trackRevisions>
    </reviewItem>
    <reviewItem>
      <errorID>b258efd2-b28a-4aed-a8c1-8e24b40e2b20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1CFA1BE9</paraID>
      <start>110</start>
      <end>111</end>
      <status>unmodified</status>
      <modifiedWord/>
      <trackRevisions>false</trackRevisions>
    </reviewItem>
    <reviewItem>
      <errorID>e114b996-0d89-48dd-a410-ea66915de6f2</errorID>
      <errorWord>表明</errorWord>
      <group>L1_Word</group>
      <groupName>字词问题</groupName>
      <ability>L2_Typo</ability>
      <abilityName>字词错误</abilityName>
      <candidateList>
        <item>标明</item>
      </candidateList>
      <explain/>
      <paraID>6A14C741</paraID>
      <start>67</start>
      <end>69</end>
      <status>modified</status>
      <modifiedWord>标明</modifiedWord>
      <trackRevisions>false</trackRevisions>
    </reviewItem>
    <reviewItem>
      <errorID>2bb18d20-86ed-4da5-bb95-c06a8a29eb88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2C722D76</paraID>
      <start>0</start>
      <end>2</end>
      <status>unmodified</status>
      <modifiedWord/>
      <trackRevisions>false</trackRevisions>
    </reviewItem>
    <reviewItem>
      <errorID>f0f34745-b33b-49d6-a2ab-ce24ea73bd3d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6661A13</paraID>
      <start>0</start>
      <end>2</end>
      <status>unmodified</status>
      <modifiedWord/>
      <trackRevisions>false</trackRevisions>
    </reviewItem>
    <reviewItem>
      <errorID>44676c2d-b0d6-4230-beee-b4166762f744</errorID>
      <errorWord>问题需及时</errorWord>
      <group>L1_Word</group>
      <groupName>字词问题</groupName>
      <ability>L2_Typo</ability>
      <abilityName>字词错误</abilityName>
      <candidateList>
        <item>问题须及时</item>
      </candidateList>
      <explain/>
      <paraID>113CAD9B</paraID>
      <start>120</start>
      <end>125</end>
      <status>unmodified</status>
      <modifiedWord/>
      <trackRevisions>false</trackRevisions>
    </reviewItem>
    <reviewItem>
      <errorID>959ccaee-c48b-4d4d-8c94-2497841b66d2</errorID>
      <errorWord>环保污染</errorWord>
      <group>L1_Word</group>
      <groupName>字词问题</groupName>
      <ability>L2_Typo</ability>
      <abilityName>字词错误</abilityName>
      <candidateList>
        <item>环境污染</item>
      </candidateList>
      <explain/>
      <paraID>113CAD9B</paraID>
      <start>199</start>
      <end>203</end>
      <status>modified</status>
      <modifiedWord>环境污染</modifiedWord>
      <trackRevisions>false</trackRevisions>
    </reviewItem>
    <reviewItem>
      <errorID>815c7e92-3499-4788-a2c0-ee133c860f06</errorID>
      <errorWord>要</errorWord>
      <group>L1_Word</group>
      <groupName>字词问题</groupName>
      <ability>L2_Typo</ability>
      <abilityName>字词错误</abilityName>
      <candidateList>
        <item>要快</item>
      </candidateList>
      <explain/>
      <paraID>113CAD9B</paraID>
      <start>213</start>
      <end>215</end>
      <status>modified</status>
      <modifiedWord>要快</modifiedWord>
      <trackRevisions>false</trackRevisions>
    </reviewItem>
    <reviewItem>
      <errorID>6014aed9-5bd9-4ddc-b417-55629711f3cb</errorID>
      <errorWord>人</errorWord>
      <group>L1_Word</group>
      <groupName>字词问题</groupName>
      <ability>L2_Typo</ability>
      <abilityName>字词错误</abilityName>
      <candidateList>
        <item>人员</item>
      </candidateList>
      <explain/>
      <paraID>7455ECF6</paraID>
      <start>121</start>
      <end>123</end>
      <status>modified</status>
      <modifiedWord>人员</modifiedWord>
      <trackRevisions>false</trackRevisions>
    </reviewItem>
    <reviewItem>
      <errorID>0e994ede-27ac-40a5-83bb-d15608d2dfca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2949A45C</paraID>
      <start>0</start>
      <end>3</end>
      <status>unmodified</status>
      <modifiedWord/>
      <trackRevisions>false</trackRevisions>
    </reviewItem>
    <reviewItem>
      <errorID>b0adf849-a0f4-4c48-ac10-5e6208afc057</errorID>
      <errorWord>《环境保护图形标志实施细则》（试行）</errorWord>
      <group>L1_Knowledge</group>
      <groupName>知识性问题</groupName>
      <ability>L2_Knowledge</ability>
      <abilityName>其他知识</abilityName>
      <candidateList>
        <item>《环境保护图形标志实施细则（试行）》</item>
      </candidateList>
      <explain>疑似政策文件、法律法规名称等书写不规范，请注意检查。</explain>
      <paraID>6C260E83</paraID>
      <start>112</start>
      <end>130</end>
      <status>modified</status>
      <modifiedWord>《环境保护图形标志实施细则（试行）》</modifiedWord>
      <trackRevisions>false</trackRevisions>
    </reviewItem>
    <reviewItem>
      <errorID>967cc70e-7835-4bfe-a86a-79a87afda94b</errorID>
      <errorWord>(</errorWord>
      <group>L1_Format</group>
      <groupName>格式问题</groupName>
      <ability>L2_HalfPunc_CN</ability>
      <abilityName>全半角问题</abilityName>
      <candidateList>
        <item>（</item>
      </candidateList>
      <explain>文本全半角错误。</explain>
      <paraID>29F3CC39</paraID>
      <start>13</start>
      <end>14</end>
      <status>modified</status>
      <modifiedWord>（</modifiedWord>
      <trackRevisions>false</trackRevisions>
    </reviewItem>
    <reviewItem>
      <errorID>29c10b4f-65a1-48b6-886d-d7320010e590</errorID>
      <errorWord>)</errorWord>
      <group>L1_Format</group>
      <groupName>格式问题</groupName>
      <ability>L2_HalfPunc_CN</ability>
      <abilityName>全半角问题</abilityName>
      <candidateList>
        <item>）</item>
      </candidateList>
      <explain>文本全半角错误。</explain>
      <paraID>29F3CC39</paraID>
      <start>27</start>
      <end>28</end>
      <status>modified</status>
      <modifiedWord>）</modifiedWord>
      <trackRevisions>false</trackRevisions>
    </reviewItem>
    <reviewItem>
      <errorID>00fbfdf7-19c8-4070-8176-f8fd82765621</errorID>
      <errorWord>(</errorWord>
      <group>L1_Format</group>
      <groupName>格式问题</groupName>
      <ability>L2_HalfPunc_CN</ability>
      <abilityName>全半角问题</abilityName>
      <candidateList>
        <item>（</item>
      </candidateList>
      <explain>文本全半角错误。</explain>
      <paraID>6DE85A19</paraID>
      <start>16</start>
      <end>17</end>
      <status>modified</status>
      <modifiedWord>（</modifiedWord>
      <trackRevisions>false</trackRevisions>
    </reviewItem>
    <reviewItem>
      <errorID>00828917-be76-4d63-ac5f-dd1fb20fcc06</errorID>
      <errorWord>)</errorWord>
      <group>L1_Format</group>
      <groupName>格式问题</groupName>
      <ability>L2_HalfPunc_CN</ability>
      <abilityName>全半角问题</abilityName>
      <candidateList>
        <item>）</item>
      </candidateList>
      <explain>文本全半角错误。</explain>
      <paraID>6DE85A19</paraID>
      <start>29</start>
      <end>30</end>
      <status>modified</status>
      <modifiedWord>）</modifiedWord>
      <trackRevisions>false</trackRevisions>
    </reviewItem>
    <reviewItem>
      <errorID>09659966-cbb7-4a20-867a-43a27bddb3af</errorID>
      <errorWord>交有</errorWord>
      <group>L1_Word</group>
      <groupName>字词问题</groupName>
      <ability>L2_Typo</ability>
      <abilityName>字词错误</abilityName>
      <candidateList>
        <item>交由</item>
      </candidateList>
      <explain/>
      <paraID>337378BA</paraID>
      <start>28</start>
      <end>30</end>
      <status>modified</status>
      <modifiedWord>交由</modifiedWord>
      <trackRevisions>false</trackRevisions>
    </reviewItem>
    <reviewItem>
      <errorID>9b95f5d8-36a3-43a8-a6ef-897ad2d2f6aa</errorID>
      <errorWord>《环境影响评价技术导则 地下水环境（HJ610-2016）》</errorWord>
      <group>L1_Knowledge</group>
      <groupName>知识性问题</groupName>
      <ability>L2_Knowledge</ability>
      <abilityName>其他知识</abilityName>
      <candidateList>
        <item>《环境影响评价技术导则 地下水环境》（HJ610-2016）</item>
      </candidateList>
      <explain>疑似政策文件、法律法规名称等书写不规范，请注意检查。</explain>
      <paraID>6DE33786</paraID>
      <start>12</start>
      <end>42</end>
      <status>modified</status>
      <modifiedWord>《环境影响评价技术导则 地下水环境》（HJ610-2016）</modifiedWord>
      <trackRevisions>false</trackRevisions>
    </reviewItem>
    <reviewItem>
      <errorID>e6740219-9638-4da2-bbf2-64489733b8d9</errorID>
      <errorWord>《环境影响评价技术导则 地下水环境（HJ610-2016）》</errorWord>
      <group>L1_Knowledge</group>
      <groupName>知识性问题</groupName>
      <ability>L2_Knowledge</ability>
      <abilityName>其他知识</abilityName>
      <candidateList>
        <item>《环境影响评价技术导则 地下水环境》（HJ610-2016）</item>
      </candidateList>
      <explain>疑似政策文件、法律法规名称等书写不规范，请注意检查。</explain>
      <paraID>49F9DE41</paraID>
      <start>12</start>
      <end>42</end>
      <status>modified</status>
      <modifiedWord>《环境影响评价技术导则 地下水环境》（HJ610-2016）</modifiedWord>
      <trackRevisions>false</trackRevisions>
    </reviewItem>
    <reviewItem>
      <errorID>de07b185-2ada-405c-bb59-19c772279648</errorID>
      <errorWord>《环境影响评价技术导则 地下水环境（HJ610-2016）》</errorWord>
      <group>L1_Knowledge</group>
      <groupName>知识性问题</groupName>
      <ability>L2_Knowledge</ability>
      <abilityName>其他知识</abilityName>
      <candidateList>
        <item>《环境影响评价技术导则 地下水环境》（HJ610-2016）</item>
      </candidateList>
      <explain>疑似政策文件、法律法规名称等书写不规范，请注意检查。</explain>
      <paraID>50F22D1A</paraID>
      <start>12</start>
      <end>42</end>
      <status>modified</status>
      <modifiedWord>《环境影响评价技术导则 地下水环境》（HJ610-2016）</modifiedWord>
      <trackRevisions>false</trackRevisions>
    </reviewItem>
    <reviewItem>
      <errorID>9cbc9df0-f527-474c-8b96-643fc6aaf602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506FE676</paraID>
      <start>0</start>
      <end>2</end>
      <status>ignored</status>
      <modifiedWord/>
      <trackRevisions>false</trackRevisions>
    </reviewItem>
    <reviewItem>
      <errorID>73301cd0-6b7f-45f0-b875-276014066af7</errorID>
      <errorWord>(</errorWord>
      <group>L1_Format</group>
      <groupName>格式问题</groupName>
      <ability>L2_HalfPunc_CN</ability>
      <abilityName>全半角问题</abilityName>
      <candidateList>
        <item>（</item>
      </candidateList>
      <explain>文本全半角错误。</explain>
      <paraID>3FCBEDA5</paraID>
      <start>12</start>
      <end>13</end>
      <status>modified</status>
      <modifiedWord>（</modifiedWord>
      <trackRevisions>false</trackRevisions>
    </reviewItem>
    <reviewItem>
      <errorID>526ce012-fe6c-431e-bcb8-cfad991fa158</errorID>
      <errorWord>)</errorWord>
      <group>L1_Format</group>
      <groupName>格式问题</groupName>
      <ability>L2_HalfPunc_CN</ability>
      <abilityName>全半角问题</abilityName>
      <candidateList>
        <item>）</item>
      </candidateList>
      <explain>文本全半角错误。</explain>
      <paraID>3FCBEDA5</paraID>
      <start>30</start>
      <end>31</end>
      <status>modified</status>
      <modifiedWord>）</modifiedWord>
      <trackRevisions>false</trackRevisions>
    </reviewItem>
    <reviewItem>
      <errorID>2458db38-2573-4c23-9e03-c265a09e3f00</errorID>
      <errorWord>(</errorWord>
      <group>L1_Format</group>
      <groupName>格式问题</groupName>
      <ability>L2_HalfPunc_CN</ability>
      <abilityName>全半角问题</abilityName>
      <candidateList>
        <item>（</item>
      </candidateList>
      <explain>文本全半角错误。</explain>
      <paraID>3FCBEDA5</paraID>
      <start>41</start>
      <end>42</end>
      <status>modified</status>
      <modifiedWord>（</modifiedWord>
      <trackRevisions>false</trackRevisions>
    </reviewItem>
    <reviewItem>
      <errorID>8af06ac6-d0f2-4407-86e3-cb0b3cedecda</errorID>
      <errorWord>)</errorWord>
      <group>L1_Format</group>
      <groupName>格式问题</groupName>
      <ability>L2_HalfPunc_CN</ability>
      <abilityName>全半角问题</abilityName>
      <candidateList>
        <item>）</item>
      </candidateList>
      <explain>文本全半角错误。</explain>
      <paraID>3FCBEDA5</paraID>
      <start>44</start>
      <end>45</end>
      <status>modified</status>
      <modifiedWord>）</modifiedWord>
      <trackRevisions>false</trackRevisions>
    </reviewItem>
    <reviewItem>
      <errorID>9317d4d5-d2a6-4cb7-9a89-ca63964374b2</errorID>
      <errorWord>(</errorWord>
      <group>L1_Format</group>
      <groupName>格式问题</groupName>
      <ability>L2_HalfPunc_CN</ability>
      <abilityName>全半角问题</abilityName>
      <candidateList>
        <item>（</item>
      </candidateList>
      <explain>文本全半角错误。</explain>
      <paraID>3FCBEDA5</paraID>
      <start>46</start>
      <end>47</end>
      <status>modified</status>
      <modifiedWord>（</modifiedWord>
      <trackRevisions>false</trackRevisions>
    </reviewItem>
    <reviewItem>
      <errorID>91ded31c-6df6-4758-9793-d2188f9b594f</errorID>
      <errorWord>)</errorWord>
      <group>L1_Format</group>
      <groupName>格式问题</groupName>
      <ability>L2_HalfPunc_CN</ability>
      <abilityName>全半角问题</abilityName>
      <candidateList>
        <item>）</item>
      </candidateList>
      <explain>文本全半角错误。</explain>
      <paraID>3FCBEDA5</paraID>
      <start>53</start>
      <end>54</end>
      <status>modified</status>
      <modifiedWord>）</modifiedWord>
      <trackRevisions>false</trackRevisions>
    </reviewItem>
    <reviewItem>
      <errorID>ea4a999e-fcdd-4fa5-af21-777b0dcd65e9</errorID>
      <errorWord>制</errorWord>
      <group>L1_Word</group>
      <groupName>字词问题</groupName>
      <ability>L2_Typo</ability>
      <abilityName>字词错误</abilityName>
      <candidateList>
        <item>制度</item>
      </candidateList>
      <explain/>
      <paraID>3FCBEDA5</paraID>
      <start>81</start>
      <end>83</end>
      <status>modified</status>
      <modifiedWord>制度</modifiedWord>
      <trackRevisions>false</trackRevisions>
    </reviewItem>
    <reviewItem>
      <errorID>39aebacb-2191-4587-a0d0-9b5e33529cb4</errorID>
      <errorWord>(</errorWord>
      <group>L1_Format</group>
      <groupName>格式问题</groupName>
      <ability>L2_HalfPunc_CN</ability>
      <abilityName>全半角问题</abilityName>
      <candidateList>
        <item>（</item>
      </candidateList>
      <explain>文本全半角错误。</explain>
      <paraID>3FCBEDA5</paraID>
      <start>93</start>
      <end>94</end>
      <status>modified</status>
      <modifiedWord>（</modifiedWord>
      <trackRevisions>false</trackRevisions>
    </reviewItem>
    <reviewItem>
      <errorID>bd01535b-d925-454c-a4fb-6cb7df46fa28</errorID>
      <errorWord>[2017]84号</errorWord>
      <group>L1_Knowledge</group>
      <groupName>知识性问题</groupName>
      <ability>L2_Knowledge</ability>
      <abilityName>其他知识</abilityName>
      <candidateList>
        <item>〔2017〕84号</item>
      </candidateList>
      <explain>发文字号格式错误。</explain>
      <paraID>3FCBEDA5</paraID>
      <start>98</start>
      <end>107</end>
      <status>modified</status>
      <modifiedWord>〔2017〕84号</modifiedWord>
      <trackRevisions>false</trackRevisions>
    </reviewItem>
    <reviewItem>
      <errorID>b102ccca-9eaf-464d-9d09-c5e7c2d0d042</errorID>
      <errorWord>)</errorWord>
      <group>L1_Format</group>
      <groupName>格式问题</groupName>
      <ability>L2_HalfPunc_CN</ability>
      <abilityName>全半角问题</abilityName>
      <candidateList>
        <item>）</item>
      </candidateList>
      <explain>文本全半角错误。</explain>
      <paraID>3FCBEDA5</paraID>
      <start>107</start>
      <end>108</end>
      <status>modified</status>
      <modifiedWord>）</modifiedWord>
      <trackRevisions>false</trackRevisions>
    </reviewItem>
    <reviewItem>
      <errorID>088751c4-843a-46ed-925d-5bafa3fd4dae</errorID>
      <errorWord>，</errorWord>
      <group>L1_Word</group>
      <groupName>字词问题</groupName>
      <ability>L2_Typo</ability>
      <abilityName>字词错误</abilityName>
      <candidateList>
        <item>，在</item>
      </candidateList>
      <explain/>
      <paraID>3FCBEDA5</paraID>
      <start>108</start>
      <end>110</end>
      <status>modified</status>
      <modifiedWord>，在</modifiedWord>
      <trackRevisions>false</trackRevisions>
    </reviewItem>
    <reviewItem>
      <errorID>a9039430-0092-4682-813a-7e58be7a909a</errorID>
      <errorWord>(</errorWord>
      <group>L1_Format</group>
      <groupName>格式问题</groupName>
      <ability>L2_HalfPunc_CN</ability>
      <abilityName>全半角问题</abilityName>
      <candidateList>
        <item>（</item>
      </candidateList>
      <explain>文本全半角错误。</explain>
      <paraID>6696869A</paraID>
      <start>18</start>
      <end>19</end>
      <status>modified</status>
      <modifiedWord>（</modifiedWord>
      <trackRevisions>false</trackRevisions>
    </reviewItem>
    <reviewItem>
      <errorID>e37d3a1b-0560-4691-ae6a-33ca7962ae21</errorID>
      <errorWord>)</errorWord>
      <group>L1_Format</group>
      <groupName>格式问题</groupName>
      <ability>L2_HalfPunc_CN</ability>
      <abilityName>全半角问题</abilityName>
      <candidateList>
        <item>）</item>
      </candidateList>
      <explain>文本全半角错误。</explain>
      <paraID>6696869A</paraID>
      <start>25</start>
      <end>26</end>
      <status>modified</status>
      <modifiedWord>）</modifiedWord>
      <trackRevisions>false</trackRevisions>
    </reviewItem>
    <reviewItem>
      <errorID>d1216cd6-7ae0-4f82-8ba1-3a3209edbc4f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4F9DEFC9</paraID>
      <start>0</start>
      <end>2</end>
      <status>ignored</status>
      <modifiedWord/>
      <trackRevisions>false</trackRevisions>
    </reviewItem>
    <reviewItem>
      <errorID>f4773225-aed2-41d7-9cd5-c9d2c1d891b9</errorID>
      <errorWord>[2017]4号</errorWord>
      <group>L1_Knowledge</group>
      <groupName>知识性问题</groupName>
      <ability>L2_Knowledge</ability>
      <abilityName>其他知识</abilityName>
      <candidateList>
        <item>〔2017〕4号</item>
      </candidateList>
      <explain>发文字号格式错误。</explain>
      <paraID>2E0B0582</paraID>
      <start>47</start>
      <end>55</end>
      <status>modified</status>
      <modifiedWord>〔2017〕4号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65ff0f-48ef-44d3-8041-1bb284788329}">
  <ds:schemaRefs/>
</ds:datastoreItem>
</file>

<file path=docProps/app.xml><?xml version="1.0" encoding="utf-8"?>
<Properties xmlns="http://schemas.openxmlformats.org/officeDocument/2006/extended-properties" xmlns:vt="http://schemas.openxmlformats.org/officeDocument/2006/docPropsVTypes">
  <Template>Normal</Template>
  <Pages>66</Pages>
  <Words>403</Words>
  <Characters>438</Characters>
  <Lines>316</Lines>
  <Paragraphs>89</Paragraphs>
  <TotalTime>27</TotalTime>
  <ScaleCrop>false</ScaleCrop>
  <LinksUpToDate>false</LinksUpToDate>
  <CharactersWithSpaces>501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2021-04-01T03:41:00Z</dcterms:created>
  <dc:creator>艾文娟</dc:creator>
  <cp:lastModifiedBy>星妮琪</cp:lastModifiedBy>
  <cp:lastPrinted>2025-08-29T02:54:00Z</cp:lastPrinted>
  <dcterms:modified xsi:type="dcterms:W3CDTF">2026-07-22T07:52:38Z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2F924361D2AF44C1BEC1441FE9F32C1D_13</vt:lpwstr>
  </property>
  <property fmtid="{D5CDD505-2E9C-101B-9397-08002B2CF9AE}" pid="4" name="KSOTemplateDocerSaveRecord">
    <vt:lpwstr>eyJoZGlkIjoiMWZiY2M4YTQ3OTAwZTAyMDhlZTZhNDZkMzkwNTc5YjYiLCJ1c2VySWQiOiI1NTU4MTU3NTYifQ==</vt:lpwstr>
  </property>
</Properties>
</file>