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一、严格遵守《中华人民共和国食品安全法》《中华人</w:t>
      </w:r>
      <w:r>
        <w:rPr>
          <w:spacing w:val="16"/>
        </w:rPr>
        <w:t xml:space="preserve"> </w:t>
      </w:r>
      <w:r>
        <w:rPr>
          <w:spacing w:val="-3"/>
        </w:rPr>
        <w:t>民共和国食品安全</w:t>
      </w:r>
      <w:r>
        <w:rPr>
          <w:rFonts w:hint="eastAsia"/>
          <w:spacing w:val="-3"/>
          <w:lang w:eastAsia="zh-CN"/>
        </w:rPr>
        <w:t>法</w:t>
      </w:r>
      <w:bookmarkStart w:id="0" w:name="_GoBack"/>
      <w:bookmarkEnd w:id="0"/>
      <w:r>
        <w:rPr>
          <w:spacing w:val="-3"/>
        </w:rPr>
        <w:t>实施条例》《国家食品卫生标准》《农产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负责，保证食品安全，接受社会监督，承担社会责</w:t>
      </w:r>
      <w:r>
        <w:rPr>
          <w:spacing w:val="-3"/>
        </w:rPr>
        <w:t>任。</w:t>
      </w:r>
    </w:p>
    <w:p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02AB5"/>
    <w:rsid w:val="3C840805"/>
    <w:rsid w:val="4A451487"/>
    <w:rsid w:val="5C271589"/>
    <w:rsid w:val="6E131496"/>
    <w:rsid w:val="72FA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986</Words>
  <Characters>987</Characters>
  <TotalTime>0</TotalTime>
  <ScaleCrop>false</ScaleCrop>
  <LinksUpToDate>false</LinksUpToDate>
  <CharactersWithSpaces>1026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Administrator</cp:lastModifiedBy>
  <dcterms:modified xsi:type="dcterms:W3CDTF">2026-03-16T08:43:22Z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2052-11.8.2.12055</vt:lpwstr>
  </property>
  <property fmtid="{D5CDD505-2E9C-101B-9397-08002B2CF9AE}" pid="7" name="ICV">
    <vt:lpwstr>1A6C08BF76C544B39D842CAF68F89902_12</vt:lpwstr>
  </property>
</Properties>
</file>