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sz w:val="48"/>
          <w:szCs w:val="48"/>
        </w:rPr>
      </w:pPr>
      <w:r>
        <w:rPr>
          <w:rFonts w:ascii="宋体" w:hAnsi="宋体" w:cs="宋体"/>
          <w:sz w:val="48"/>
          <w:szCs w:val="48"/>
        </w:rPr>
        <w:t>2024</w:t>
      </w:r>
      <w:r>
        <w:rPr>
          <w:rFonts w:hint="eastAsia" w:ascii="宋体" w:hAnsi="宋体" w:cs="宋体"/>
          <w:sz w:val="48"/>
          <w:szCs w:val="48"/>
        </w:rPr>
        <w:t>年度江永县疾病预防控制中心</w:t>
      </w:r>
    </w:p>
    <w:p>
      <w:pPr>
        <w:jc w:val="center"/>
        <w:rPr>
          <w:rFonts w:ascii="宋体" w:cs="宋体"/>
          <w:sz w:val="48"/>
          <w:szCs w:val="48"/>
        </w:rPr>
      </w:pPr>
      <w:r>
        <w:rPr>
          <w:rFonts w:hint="eastAsia" w:ascii="宋体" w:hAnsi="宋体" w:cs="宋体"/>
          <w:sz w:val="48"/>
          <w:szCs w:val="48"/>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pStyle w:val="2"/>
      </w:pPr>
    </w:p>
    <w:p>
      <w:pPr>
        <w:pStyle w:val="2"/>
      </w:pPr>
    </w:p>
    <w:p>
      <w:pPr>
        <w:pStyle w:val="2"/>
      </w:pPr>
    </w:p>
    <w:p>
      <w:pPr>
        <w:pStyle w:val="2"/>
      </w:pPr>
    </w:p>
    <w:p>
      <w:pPr>
        <w:pStyle w:val="2"/>
      </w:pPr>
    </w:p>
    <w:p>
      <w:pPr>
        <w:pStyle w:val="2"/>
      </w:pPr>
    </w:p>
    <w:p>
      <w:pPr>
        <w:pStyle w:val="2"/>
      </w:pPr>
    </w:p>
    <w:p>
      <w:pPr>
        <w:ind w:firstLine="900" w:firstLineChars="250"/>
        <w:rPr>
          <w:rFonts w:eastAsia="黑体"/>
          <w:sz w:val="36"/>
          <w:szCs w:val="36"/>
        </w:rPr>
      </w:pPr>
      <w:r>
        <w:rPr>
          <w:rFonts w:hint="eastAsia" w:eastAsia="黑体"/>
          <w:sz w:val="36"/>
          <w:szCs w:val="36"/>
        </w:rPr>
        <w:t>单位名称（盖章）：江永县疾病预防控制中心</w:t>
      </w:r>
    </w:p>
    <w:p>
      <w:pPr>
        <w:pStyle w:val="2"/>
      </w:pPr>
    </w:p>
    <w:p>
      <w:pPr>
        <w:spacing w:line="560" w:lineRule="exact"/>
        <w:rPr>
          <w:rFonts w:eastAsia="黑体"/>
          <w:sz w:val="32"/>
          <w:szCs w:val="32"/>
        </w:rPr>
      </w:pPr>
      <w:r>
        <w:rPr>
          <w:rFonts w:eastAsia="黑体"/>
          <w:sz w:val="32"/>
          <w:szCs w:val="32"/>
        </w:rPr>
        <w:t xml:space="preserve">    </w:t>
      </w:r>
      <w:r>
        <w:rPr>
          <w:rFonts w:hint="eastAsia" w:eastAsia="黑体"/>
          <w:sz w:val="32"/>
          <w:szCs w:val="32"/>
        </w:rPr>
        <w:t>一、基本情况</w:t>
      </w:r>
    </w:p>
    <w:p>
      <w:pPr>
        <w:spacing w:line="560" w:lineRule="exact"/>
        <w:ind w:firstLine="643" w:firstLineChars="200"/>
        <w:rPr>
          <w:rFonts w:eastAsia="楷体_GB2312"/>
          <w:b/>
          <w:sz w:val="32"/>
          <w:szCs w:val="32"/>
        </w:rPr>
      </w:pPr>
      <w:r>
        <w:rPr>
          <w:rFonts w:hint="eastAsia" w:eastAsia="楷体_GB2312"/>
          <w:b/>
          <w:sz w:val="32"/>
          <w:szCs w:val="32"/>
        </w:rPr>
        <w:t>（一）部门（单位）基本情况</w:t>
      </w:r>
    </w:p>
    <w:p>
      <w:pPr>
        <w:spacing w:line="560" w:lineRule="exact"/>
        <w:ind w:firstLine="643" w:firstLineChars="200"/>
        <w:rPr>
          <w:rFonts w:ascii="仿宋" w:hAnsi="仿宋" w:eastAsia="仿宋" w:cs="仿宋"/>
          <w:color w:val="000000"/>
          <w:sz w:val="32"/>
          <w:szCs w:val="32"/>
        </w:rPr>
      </w:pPr>
      <w:r>
        <w:rPr>
          <w:rFonts w:ascii="仿宋" w:hAnsi="仿宋" w:eastAsia="仿宋" w:cs="仿宋"/>
          <w:b/>
          <w:sz w:val="32"/>
          <w:szCs w:val="32"/>
        </w:rPr>
        <w:t>1</w:t>
      </w:r>
      <w:r>
        <w:rPr>
          <w:rFonts w:hint="eastAsia" w:ascii="仿宋" w:hAnsi="仿宋" w:eastAsia="仿宋" w:cs="仿宋"/>
          <w:b/>
          <w:sz w:val="32"/>
          <w:szCs w:val="32"/>
        </w:rPr>
        <w:t>、主要职能。</w:t>
      </w:r>
      <w:r>
        <w:rPr>
          <w:rFonts w:hint="eastAsia" w:ascii="仿宋" w:hAnsi="仿宋" w:eastAsia="仿宋" w:cs="仿宋"/>
          <w:color w:val="000000"/>
          <w:sz w:val="32"/>
          <w:szCs w:val="32"/>
        </w:rPr>
        <w:t>拟订并实施本县重大疾病预防控制和重点公共卫生服务工作计划和实施方案并对全县实施情况进行质量检查和效果评价；指导建立本县公共卫生监测系统，对影响人群生活、学习、工作等生存环境质量及生命质量的危险因素，进行食品、劳动、环境、学校卫生等公共卫生的监测；对传染病、地方病、寄生虫病、慢性非传染性疾病、职业病、学生常见病、中毒等重大疾病发生和分布的规律进行流行病学监测，并提出预防控制对策；参与和指导地方处理重大疫情、突发公共卫生事件，建立本县重大疾病、中毒、卫生污染、救灾防病等重大公共卫生问题的应急反应系统。配合并参与省、市及国家组织对重大国际突发公共卫生事件的调查处理；开展疫苗应用效果评价和免疫规划策略研究，并对本县免疫策略的实施进行技术指导与评价；推广先进的检测、检验方法，建立质量控制体系，促进本县公共卫生检验工作规范化；开展相关产品的卫生质量检测、检验，安全性评价和危险性分析；做好本中心的质量体系管理及评审与外审工作，制定并落实本县</w:t>
      </w:r>
      <w:r>
        <w:rPr>
          <w:rFonts w:ascii="仿宋" w:hAnsi="仿宋" w:eastAsia="仿宋" w:cs="仿宋"/>
          <w:color w:val="000000"/>
          <w:sz w:val="32"/>
          <w:szCs w:val="32"/>
        </w:rPr>
        <w:t>2020</w:t>
      </w:r>
      <w:r>
        <w:rPr>
          <w:rFonts w:hint="eastAsia" w:ascii="仿宋" w:hAnsi="仿宋" w:eastAsia="仿宋" w:cs="仿宋"/>
          <w:color w:val="000000"/>
          <w:sz w:val="32"/>
          <w:szCs w:val="32"/>
        </w:rPr>
        <w:t>健康教育规划：各重点人群进行健康知识培训；指导全县城乡各行业部门开展健康教育活动及监测；开展调查研讨、效果评价、理论研讨等工作；参加上级业务部门组织的各项专业培训，对所辖地区健康教育专兼职人员进行业务技能培训；落实《全国计划免疫管理条例》、《疫苗流通和预防接种管理条例》等法规；开展免疫接种率的监测与调查；开展免疫效果的监测与评价；开展免疫副反应的监测、调查和处理；做好疫苗的冷链、使用计划、分发、采购、储存、保管及供方质量保证。指导乡镇建好信息平台，利用免疫规划信息管理系统，加强适龄儿童管理和儿童接种信息的录入工作。继续做好</w:t>
      </w:r>
      <w:r>
        <w:rPr>
          <w:rFonts w:ascii="仿宋" w:hAnsi="仿宋" w:eastAsia="仿宋" w:cs="仿宋"/>
          <w:color w:val="000000"/>
          <w:sz w:val="32"/>
          <w:szCs w:val="32"/>
        </w:rPr>
        <w:t>AFP</w:t>
      </w:r>
      <w:r>
        <w:rPr>
          <w:rFonts w:hint="eastAsia" w:ascii="仿宋" w:hAnsi="仿宋" w:eastAsia="仿宋" w:cs="仿宋"/>
          <w:color w:val="000000"/>
          <w:sz w:val="32"/>
          <w:szCs w:val="32"/>
        </w:rPr>
        <w:t>病例监测工作，保持无脊灰状态。做好全县结核病人的发现，归口管理和统计报告，督导各医疗机构做好结核病人的转诊和结核病人的治疗与登记，管好免费药品和专用设备的使用，组织好全县初治涂阴病人的免费治疗的实施工作；开展慢病患病情况变化趋势以及与慢病相关行为危险因素的专题调查研究，收集慢病防治有关信息，拟定防治方案。加大艾滋病检测干预和治疗跟踪管理及病人发现工作力度，切实提高病人治疗率，努力遏制艾滋病发病与上升势头。完成上级交给的各项地方病，寄生虫病防治任务；完成碘缺乏病监测任务；完成丝虫病防治达标后的后期监测管理工作；完成疟疾病防治达标考核及监测工作；完成地方病防治监测和相关指令性任务；及时准确地上报全县地方病、寄生虫病等相关信息。根据全县的实际需要，结合疫情情况，严格按《疫苗流通与预防接种管理条例》实施疫苗采购计划，为全县的免疫接种及时提供、安全的生物制品。</w:t>
      </w:r>
    </w:p>
    <w:p>
      <w:pPr>
        <w:spacing w:line="560" w:lineRule="exact"/>
        <w:ind w:firstLine="643" w:firstLineChars="200"/>
        <w:rPr>
          <w:rFonts w:eastAsia="楷体_GB2312"/>
          <w:b/>
          <w:sz w:val="32"/>
          <w:szCs w:val="32"/>
        </w:rPr>
      </w:pPr>
      <w:r>
        <w:rPr>
          <w:rFonts w:ascii="仿宋" w:hAnsi="仿宋" w:eastAsia="仿宋" w:cs="仿宋"/>
          <w:b/>
          <w:sz w:val="32"/>
          <w:szCs w:val="32"/>
        </w:rPr>
        <w:t>2</w:t>
      </w:r>
      <w:r>
        <w:rPr>
          <w:rFonts w:hint="eastAsia" w:ascii="仿宋" w:hAnsi="仿宋" w:eastAsia="仿宋" w:cs="仿宋"/>
          <w:b/>
          <w:sz w:val="32"/>
          <w:szCs w:val="32"/>
        </w:rPr>
        <w:t>、机构和人员情况。</w:t>
      </w:r>
      <w:r>
        <w:rPr>
          <w:rFonts w:hint="eastAsia" w:ascii="仿宋" w:hAnsi="仿宋" w:eastAsia="仿宋" w:cs="仿宋"/>
          <w:color w:val="000000"/>
          <w:sz w:val="32"/>
          <w:szCs w:val="32"/>
          <w:shd w:val="clear" w:color="auto" w:fill="FFFFFF"/>
        </w:rPr>
        <w:t>江永县疾病预防控制中心属财政全额拨款副科级事业单位，为一级预算单位，内设办公室、疾控科、计划免疫科、检测检验科、公共卫生检测科、结防病防治科、健康教育科、质量管理科和财务后勤科等</w:t>
      </w:r>
      <w:r>
        <w:rPr>
          <w:rFonts w:ascii="仿宋" w:hAnsi="仿宋" w:eastAsia="仿宋" w:cs="仿宋"/>
          <w:color w:val="000000"/>
          <w:sz w:val="32"/>
          <w:szCs w:val="32"/>
          <w:shd w:val="clear" w:color="auto" w:fill="FFFFFF"/>
        </w:rPr>
        <w:t>9</w:t>
      </w:r>
      <w:r>
        <w:rPr>
          <w:rFonts w:hint="eastAsia" w:ascii="仿宋" w:hAnsi="仿宋" w:eastAsia="仿宋" w:cs="仿宋"/>
          <w:color w:val="000000"/>
          <w:sz w:val="32"/>
          <w:szCs w:val="32"/>
          <w:shd w:val="clear" w:color="auto" w:fill="FFFFFF"/>
        </w:rPr>
        <w:t>个科室。共有编制</w:t>
      </w:r>
      <w:r>
        <w:rPr>
          <w:rFonts w:ascii="仿宋" w:hAnsi="仿宋" w:eastAsia="仿宋" w:cs="仿宋"/>
          <w:color w:val="000000"/>
          <w:sz w:val="32"/>
          <w:szCs w:val="32"/>
          <w:shd w:val="clear" w:color="auto" w:fill="FFFFFF"/>
        </w:rPr>
        <w:t>32</w:t>
      </w:r>
      <w:r>
        <w:rPr>
          <w:rFonts w:hint="eastAsia" w:ascii="仿宋" w:hAnsi="仿宋" w:eastAsia="仿宋" w:cs="仿宋"/>
          <w:color w:val="000000"/>
          <w:sz w:val="32"/>
          <w:szCs w:val="32"/>
          <w:shd w:val="clear" w:color="auto" w:fill="FFFFFF"/>
        </w:rPr>
        <w:t>人，现有在职人员</w:t>
      </w:r>
      <w:r>
        <w:rPr>
          <w:rFonts w:ascii="仿宋" w:hAnsi="仿宋" w:eastAsia="仿宋" w:cs="仿宋"/>
          <w:color w:val="000000"/>
          <w:sz w:val="32"/>
          <w:szCs w:val="32"/>
          <w:shd w:val="clear" w:color="auto" w:fill="FFFFFF"/>
        </w:rPr>
        <w:t>32</w:t>
      </w:r>
      <w:r>
        <w:rPr>
          <w:rFonts w:hint="eastAsia" w:ascii="仿宋" w:hAnsi="仿宋" w:eastAsia="仿宋" w:cs="仿宋"/>
          <w:color w:val="000000"/>
          <w:sz w:val="32"/>
          <w:szCs w:val="32"/>
          <w:shd w:val="clear" w:color="auto" w:fill="FFFFFF"/>
        </w:rPr>
        <w:t>人。</w:t>
      </w:r>
    </w:p>
    <w:p>
      <w:pPr>
        <w:numPr>
          <w:ilvl w:val="0"/>
          <w:numId w:val="1"/>
        </w:numPr>
        <w:spacing w:line="560" w:lineRule="exact"/>
        <w:ind w:firstLine="643" w:firstLineChars="200"/>
        <w:rPr>
          <w:rFonts w:eastAsia="楷体_GB2312"/>
          <w:b/>
          <w:sz w:val="32"/>
          <w:szCs w:val="32"/>
        </w:rPr>
      </w:pPr>
      <w:r>
        <w:rPr>
          <w:rFonts w:hint="eastAsia" w:eastAsia="楷体_GB2312"/>
          <w:b/>
          <w:sz w:val="32"/>
          <w:szCs w:val="32"/>
        </w:rPr>
        <w:t>部门（单位）年度整体支出绩效目标，省级专项资金绩效目标、其他项目支出（除省级专项资金以外）绩效目标</w:t>
      </w:r>
    </w:p>
    <w:p>
      <w:pPr>
        <w:spacing w:line="560" w:lineRule="exact"/>
        <w:rPr>
          <w:rFonts w:ascii="仿宋" w:hAnsi="仿宋" w:eastAsia="仿宋" w:cs="仿宋"/>
          <w:bCs/>
          <w:sz w:val="32"/>
          <w:szCs w:val="32"/>
        </w:rPr>
      </w:pPr>
      <w:r>
        <w:rPr>
          <w:rFonts w:ascii="仿宋" w:hAnsi="仿宋" w:eastAsia="仿宋" w:cs="仿宋"/>
          <w:bCs/>
          <w:sz w:val="32"/>
          <w:szCs w:val="32"/>
        </w:rPr>
        <w:t xml:space="preserve">    </w:t>
      </w:r>
      <w:r>
        <w:rPr>
          <w:rFonts w:hint="eastAsia" w:ascii="仿宋" w:hAnsi="仿宋" w:eastAsia="仿宋" w:cs="仿宋"/>
          <w:bCs/>
          <w:sz w:val="32"/>
          <w:szCs w:val="32"/>
        </w:rPr>
        <w:t>加强重大疾病监测，严防重大公共卫生事件发生，确保江永县人民群众身体健康，促进江永经济社会持续健康稳定发展。</w:t>
      </w:r>
    </w:p>
    <w:p>
      <w:pPr>
        <w:pStyle w:val="13"/>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二、一般公共预算支出情况</w:t>
      </w:r>
    </w:p>
    <w:p>
      <w:pPr>
        <w:pStyle w:val="13"/>
        <w:spacing w:line="560" w:lineRule="exact"/>
        <w:ind w:firstLine="640"/>
        <w:rPr>
          <w:rFonts w:ascii="仿宋" w:hAnsi="仿宋" w:eastAsia="仿宋" w:cs="仿宋"/>
          <w:sz w:val="32"/>
          <w:szCs w:val="32"/>
        </w:rPr>
      </w:pPr>
      <w:r>
        <w:rPr>
          <w:rFonts w:hint="eastAsia" w:ascii="仿宋" w:hAnsi="仿宋" w:eastAsia="仿宋" w:cs="仿宋"/>
          <w:sz w:val="32"/>
          <w:szCs w:val="32"/>
        </w:rPr>
        <w:t>江永县疾控中心</w:t>
      </w:r>
      <w:r>
        <w:rPr>
          <w:rFonts w:ascii="仿宋" w:hAnsi="仿宋" w:eastAsia="仿宋" w:cs="仿宋"/>
          <w:sz w:val="32"/>
          <w:szCs w:val="32"/>
        </w:rPr>
        <w:t>2024</w:t>
      </w:r>
      <w:r>
        <w:rPr>
          <w:rFonts w:hint="eastAsia" w:ascii="仿宋" w:hAnsi="仿宋" w:eastAsia="仿宋" w:cs="仿宋"/>
          <w:sz w:val="32"/>
          <w:szCs w:val="32"/>
        </w:rPr>
        <w:t>年支出决算数为</w:t>
      </w:r>
      <w:r>
        <w:rPr>
          <w:rFonts w:ascii="仿宋" w:hAnsi="仿宋" w:eastAsia="仿宋" w:cs="仿宋"/>
          <w:sz w:val="32"/>
          <w:szCs w:val="32"/>
        </w:rPr>
        <w:t>661.14</w:t>
      </w:r>
      <w:r>
        <w:rPr>
          <w:rFonts w:hint="eastAsia" w:ascii="仿宋" w:hAnsi="仿宋" w:eastAsia="仿宋" w:cs="仿宋"/>
          <w:sz w:val="32"/>
          <w:szCs w:val="32"/>
        </w:rPr>
        <w:t>万元，详细情况如下：</w:t>
      </w:r>
    </w:p>
    <w:p>
      <w:pPr>
        <w:pStyle w:val="13"/>
        <w:spacing w:line="56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（一）基本支出情况</w:t>
      </w:r>
    </w:p>
    <w:p>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江永县疾控中心</w:t>
      </w:r>
      <w:r>
        <w:rPr>
          <w:rFonts w:ascii="仿宋" w:hAnsi="仿宋" w:eastAsia="仿宋" w:cs="仿宋"/>
          <w:bCs/>
          <w:sz w:val="32"/>
          <w:szCs w:val="32"/>
        </w:rPr>
        <w:t>2024</w:t>
      </w:r>
      <w:r>
        <w:rPr>
          <w:rFonts w:hint="eastAsia" w:ascii="仿宋" w:hAnsi="仿宋" w:eastAsia="仿宋" w:cs="仿宋"/>
          <w:bCs/>
          <w:sz w:val="32"/>
          <w:szCs w:val="32"/>
        </w:rPr>
        <w:t>年基本支出</w:t>
      </w:r>
      <w:r>
        <w:rPr>
          <w:rFonts w:ascii="仿宋" w:hAnsi="仿宋" w:eastAsia="仿宋" w:cs="仿宋"/>
          <w:bCs/>
          <w:sz w:val="32"/>
          <w:szCs w:val="32"/>
        </w:rPr>
        <w:t>416.09</w:t>
      </w:r>
      <w:r>
        <w:rPr>
          <w:rFonts w:hint="eastAsia" w:ascii="仿宋" w:hAnsi="仿宋" w:eastAsia="仿宋" w:cs="仿宋"/>
          <w:bCs/>
          <w:sz w:val="32"/>
          <w:szCs w:val="32"/>
        </w:rPr>
        <w:t>万元，主要用于单位人员工资、办公费、差旅费、车辆运行维护费等。</w:t>
      </w:r>
    </w:p>
    <w:p>
      <w:pPr>
        <w:pStyle w:val="13"/>
        <w:numPr>
          <w:ilvl w:val="0"/>
          <w:numId w:val="2"/>
        </w:numPr>
        <w:spacing w:line="56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项目支出情况</w:t>
      </w:r>
    </w:p>
    <w:p>
      <w:pPr>
        <w:pStyle w:val="13"/>
        <w:spacing w:line="560" w:lineRule="exact"/>
        <w:ind w:firstLine="0" w:firstLineChars="0"/>
        <w:rPr>
          <w:rFonts w:ascii="仿宋" w:hAnsi="仿宋" w:eastAsia="仿宋" w:cs="仿宋"/>
          <w:bCs/>
          <w:sz w:val="32"/>
          <w:szCs w:val="32"/>
        </w:rPr>
      </w:pPr>
      <w:r>
        <w:rPr>
          <w:rFonts w:ascii="仿宋" w:hAnsi="仿宋" w:eastAsia="仿宋" w:cs="仿宋"/>
          <w:bCs/>
          <w:sz w:val="32"/>
          <w:szCs w:val="32"/>
        </w:rPr>
        <w:t xml:space="preserve">    </w:t>
      </w:r>
      <w:r>
        <w:rPr>
          <w:rFonts w:hint="eastAsia" w:ascii="仿宋" w:hAnsi="仿宋" w:eastAsia="仿宋" w:cs="仿宋"/>
          <w:bCs/>
          <w:sz w:val="32"/>
          <w:szCs w:val="32"/>
        </w:rPr>
        <w:t>江永县疾控中心</w:t>
      </w:r>
      <w:r>
        <w:rPr>
          <w:rFonts w:ascii="仿宋" w:hAnsi="仿宋" w:eastAsia="仿宋" w:cs="仿宋"/>
          <w:bCs/>
          <w:sz w:val="32"/>
          <w:szCs w:val="32"/>
        </w:rPr>
        <w:t>2024</w:t>
      </w:r>
      <w:r>
        <w:rPr>
          <w:rFonts w:hint="eastAsia" w:ascii="仿宋" w:hAnsi="仿宋" w:eastAsia="仿宋" w:cs="仿宋"/>
          <w:bCs/>
          <w:sz w:val="32"/>
          <w:szCs w:val="32"/>
        </w:rPr>
        <w:t>年项目支出</w:t>
      </w:r>
      <w:r>
        <w:rPr>
          <w:rFonts w:ascii="仿宋" w:hAnsi="仿宋" w:eastAsia="仿宋" w:cs="仿宋"/>
          <w:bCs/>
          <w:sz w:val="32"/>
          <w:szCs w:val="32"/>
        </w:rPr>
        <w:t>245.05</w:t>
      </w:r>
      <w:r>
        <w:rPr>
          <w:rFonts w:hint="eastAsia" w:ascii="仿宋" w:hAnsi="仿宋" w:eastAsia="仿宋" w:cs="仿宋"/>
          <w:bCs/>
          <w:sz w:val="32"/>
          <w:szCs w:val="32"/>
        </w:rPr>
        <w:t>万元，用于开展新冠肺炎病毒防控。</w:t>
      </w:r>
    </w:p>
    <w:p>
      <w:pPr>
        <w:pStyle w:val="13"/>
        <w:spacing w:line="560" w:lineRule="exact"/>
        <w:ind w:firstLine="0" w:firstLineChars="0"/>
        <w:rPr>
          <w:rFonts w:ascii="Times New Roman" w:hAnsi="Times New Roman" w:eastAsia="黑体"/>
          <w:sz w:val="32"/>
          <w:szCs w:val="32"/>
        </w:rPr>
      </w:pPr>
      <w:r>
        <w:rPr>
          <w:rFonts w:ascii="仿宋" w:hAnsi="仿宋" w:eastAsia="仿宋" w:cs="仿宋"/>
          <w:bCs/>
          <w:sz w:val="32"/>
          <w:szCs w:val="32"/>
        </w:rPr>
        <w:t xml:space="preserve">    </w:t>
      </w:r>
      <w:r>
        <w:rPr>
          <w:rFonts w:hint="eastAsia" w:ascii="Times New Roman" w:hAnsi="Times New Roman" w:eastAsia="黑体"/>
          <w:sz w:val="32"/>
          <w:szCs w:val="32"/>
        </w:rPr>
        <w:t>三、政府性基金预算支出情况</w:t>
      </w:r>
    </w:p>
    <w:p>
      <w:pPr>
        <w:pStyle w:val="13"/>
        <w:spacing w:line="560" w:lineRule="exact"/>
        <w:ind w:firstLine="0" w:firstLineChars="0"/>
        <w:rPr>
          <w:rFonts w:ascii="仿宋" w:hAnsi="仿宋" w:eastAsia="仿宋" w:cs="仿宋"/>
          <w:bCs/>
          <w:sz w:val="32"/>
          <w:szCs w:val="32"/>
        </w:rPr>
      </w:pPr>
      <w:r>
        <w:rPr>
          <w:rFonts w:ascii="Times New Roman" w:hAnsi="Times New Roman" w:eastAsia="黑体"/>
          <w:sz w:val="32"/>
          <w:szCs w:val="32"/>
        </w:rPr>
        <w:t xml:space="preserve">    </w:t>
      </w:r>
      <w:r>
        <w:rPr>
          <w:rFonts w:hint="eastAsia" w:ascii="仿宋" w:hAnsi="仿宋" w:eastAsia="仿宋" w:cs="仿宋"/>
          <w:sz w:val="32"/>
          <w:szCs w:val="32"/>
        </w:rPr>
        <w:t>我单位</w:t>
      </w:r>
      <w:r>
        <w:rPr>
          <w:rFonts w:ascii="仿宋" w:hAnsi="仿宋" w:eastAsia="仿宋" w:cs="仿宋"/>
          <w:sz w:val="32"/>
          <w:szCs w:val="32"/>
        </w:rPr>
        <w:t>2024</w:t>
      </w:r>
      <w:r>
        <w:rPr>
          <w:rFonts w:hint="eastAsia" w:ascii="仿宋" w:hAnsi="仿宋" w:eastAsia="仿宋" w:cs="仿宋"/>
          <w:sz w:val="32"/>
          <w:szCs w:val="32"/>
        </w:rPr>
        <w:t>年度政府性基金预算支出</w:t>
      </w:r>
      <w:r>
        <w:rPr>
          <w:rFonts w:ascii="仿宋" w:hAnsi="仿宋" w:eastAsia="仿宋" w:cs="仿宋"/>
          <w:sz w:val="32"/>
          <w:szCs w:val="32"/>
        </w:rPr>
        <w:t>122.28</w:t>
      </w:r>
      <w:r>
        <w:rPr>
          <w:rFonts w:hint="eastAsia" w:ascii="仿宋" w:hAnsi="仿宋" w:eastAsia="仿宋" w:cs="仿宋"/>
          <w:sz w:val="32"/>
          <w:szCs w:val="32"/>
        </w:rPr>
        <w:t>万元，其中，基本支出</w:t>
      </w:r>
      <w:r>
        <w:rPr>
          <w:rFonts w:ascii="仿宋" w:hAnsi="仿宋" w:eastAsia="仿宋" w:cs="仿宋"/>
          <w:sz w:val="32"/>
          <w:szCs w:val="32"/>
        </w:rPr>
        <w:t>27.98</w:t>
      </w:r>
      <w:r>
        <w:rPr>
          <w:rFonts w:hint="eastAsia" w:ascii="仿宋" w:hAnsi="仿宋" w:eastAsia="仿宋" w:cs="仿宋"/>
          <w:sz w:val="32"/>
          <w:szCs w:val="32"/>
        </w:rPr>
        <w:t>万元，项目支出</w:t>
      </w:r>
      <w:r>
        <w:rPr>
          <w:rFonts w:ascii="仿宋" w:hAnsi="仿宋" w:eastAsia="仿宋" w:cs="仿宋"/>
          <w:sz w:val="32"/>
          <w:szCs w:val="32"/>
        </w:rPr>
        <w:t>94.3</w:t>
      </w:r>
      <w:r>
        <w:rPr>
          <w:rFonts w:hint="eastAsia" w:ascii="仿宋" w:hAnsi="仿宋" w:eastAsia="仿宋" w:cs="仿宋"/>
          <w:sz w:val="32"/>
          <w:szCs w:val="32"/>
        </w:rPr>
        <w:t>万元。</w:t>
      </w:r>
    </w:p>
    <w:p>
      <w:pPr>
        <w:pStyle w:val="13"/>
        <w:spacing w:line="560" w:lineRule="exact"/>
        <w:ind w:left="630" w:firstLine="0" w:firstLineChars="0"/>
        <w:rPr>
          <w:rFonts w:ascii="Times New Roman" w:hAnsi="Times New Roman" w:eastAsia="黑体"/>
          <w:sz w:val="32"/>
          <w:szCs w:val="32"/>
        </w:rPr>
      </w:pPr>
      <w:r>
        <w:rPr>
          <w:rFonts w:hint="eastAsia" w:ascii="Times New Roman" w:hAnsi="Times New Roman" w:eastAsia="黑体"/>
          <w:sz w:val="32"/>
          <w:szCs w:val="32"/>
        </w:rPr>
        <w:t>四、国有资本经营预算支出情况</w:t>
      </w:r>
    </w:p>
    <w:p>
      <w:pPr>
        <w:pStyle w:val="13"/>
        <w:spacing w:line="560" w:lineRule="exact"/>
        <w:ind w:left="630" w:firstLine="0" w:firstLineChars="0"/>
        <w:rPr>
          <w:rFonts w:ascii="仿宋" w:hAnsi="仿宋" w:eastAsia="仿宋" w:cs="仿宋"/>
          <w:sz w:val="32"/>
          <w:szCs w:val="32"/>
        </w:rPr>
      </w:pPr>
      <w:r>
        <w:rPr>
          <w:rFonts w:hint="eastAsia" w:ascii="仿宋" w:hAnsi="仿宋" w:eastAsia="仿宋" w:cs="仿宋"/>
          <w:sz w:val="32"/>
          <w:szCs w:val="32"/>
        </w:rPr>
        <w:t>我单位</w:t>
      </w:r>
      <w:r>
        <w:rPr>
          <w:rFonts w:ascii="仿宋" w:hAnsi="仿宋" w:eastAsia="仿宋" w:cs="仿宋"/>
          <w:sz w:val="32"/>
          <w:szCs w:val="32"/>
        </w:rPr>
        <w:t>2024</w:t>
      </w:r>
      <w:r>
        <w:rPr>
          <w:rFonts w:hint="eastAsia" w:ascii="仿宋" w:hAnsi="仿宋" w:eastAsia="仿宋" w:cs="仿宋"/>
          <w:sz w:val="32"/>
          <w:szCs w:val="32"/>
        </w:rPr>
        <w:t>年度无国有资本经营预算支出。</w:t>
      </w:r>
    </w:p>
    <w:p>
      <w:pPr>
        <w:pStyle w:val="13"/>
        <w:spacing w:line="560" w:lineRule="exact"/>
        <w:ind w:left="630" w:firstLine="0" w:firstLineChars="0"/>
        <w:rPr>
          <w:rFonts w:ascii="Times New Roman" w:hAnsi="Times New Roman" w:eastAsia="黑体"/>
          <w:sz w:val="32"/>
          <w:szCs w:val="32"/>
        </w:rPr>
      </w:pPr>
      <w:r>
        <w:rPr>
          <w:rFonts w:hint="eastAsia" w:ascii="Times New Roman" w:hAnsi="Times New Roman" w:eastAsia="黑体"/>
          <w:sz w:val="32"/>
          <w:szCs w:val="32"/>
        </w:rPr>
        <w:t>五、社会保险基金预算支出情况</w:t>
      </w:r>
    </w:p>
    <w:p>
      <w:pPr>
        <w:pStyle w:val="13"/>
        <w:spacing w:line="560" w:lineRule="exact"/>
        <w:ind w:left="630" w:firstLine="0" w:firstLineChars="0"/>
        <w:rPr>
          <w:rFonts w:ascii="仿宋" w:hAnsi="仿宋" w:eastAsia="仿宋" w:cs="仿宋"/>
          <w:sz w:val="32"/>
          <w:szCs w:val="32"/>
        </w:rPr>
      </w:pPr>
      <w:r>
        <w:rPr>
          <w:rFonts w:hint="eastAsia" w:ascii="仿宋" w:hAnsi="仿宋" w:eastAsia="仿宋" w:cs="仿宋"/>
          <w:sz w:val="32"/>
          <w:szCs w:val="32"/>
        </w:rPr>
        <w:t>我单位</w:t>
      </w:r>
      <w:r>
        <w:rPr>
          <w:rFonts w:ascii="仿宋" w:hAnsi="仿宋" w:eastAsia="仿宋" w:cs="仿宋"/>
          <w:sz w:val="32"/>
          <w:szCs w:val="32"/>
        </w:rPr>
        <w:t>2024</w:t>
      </w:r>
      <w:r>
        <w:rPr>
          <w:rFonts w:hint="eastAsia" w:ascii="仿宋" w:hAnsi="仿宋" w:eastAsia="仿宋" w:cs="仿宋"/>
          <w:sz w:val="32"/>
          <w:szCs w:val="32"/>
        </w:rPr>
        <w:t>年度无社会保险基金预算支出。</w:t>
      </w:r>
    </w:p>
    <w:p>
      <w:pPr>
        <w:spacing w:line="560" w:lineRule="exact"/>
        <w:ind w:firstLine="640" w:firstLineChars="200"/>
        <w:rPr>
          <w:rFonts w:eastAsia="黑体"/>
          <w:sz w:val="32"/>
          <w:szCs w:val="32"/>
        </w:rPr>
      </w:pPr>
      <w:r>
        <w:rPr>
          <w:rFonts w:hint="eastAsia" w:eastAsia="黑体"/>
          <w:sz w:val="32"/>
          <w:szCs w:val="32"/>
        </w:rPr>
        <w:t>六、其他资金支出情况</w:t>
      </w:r>
    </w:p>
    <w:p>
      <w:pPr>
        <w:pStyle w:val="13"/>
        <w:spacing w:line="560" w:lineRule="exact"/>
        <w:ind w:left="630" w:firstLine="0" w:firstLineChars="0"/>
        <w:rPr>
          <w:rFonts w:ascii="仿宋" w:hAnsi="仿宋" w:eastAsia="仿宋" w:cs="仿宋"/>
          <w:sz w:val="32"/>
          <w:szCs w:val="32"/>
        </w:rPr>
      </w:pPr>
      <w:r>
        <w:rPr>
          <w:rFonts w:hint="eastAsia" w:ascii="仿宋" w:hAnsi="仿宋" w:eastAsia="仿宋" w:cs="仿宋"/>
          <w:sz w:val="32"/>
          <w:szCs w:val="32"/>
        </w:rPr>
        <w:t>我单位</w:t>
      </w:r>
      <w:r>
        <w:rPr>
          <w:rFonts w:ascii="仿宋" w:hAnsi="仿宋" w:eastAsia="仿宋" w:cs="仿宋"/>
          <w:sz w:val="32"/>
          <w:szCs w:val="32"/>
        </w:rPr>
        <w:t>2024</w:t>
      </w:r>
      <w:r>
        <w:rPr>
          <w:rFonts w:hint="eastAsia" w:ascii="仿宋" w:hAnsi="仿宋" w:eastAsia="仿宋" w:cs="仿宋"/>
          <w:sz w:val="32"/>
          <w:szCs w:val="32"/>
        </w:rPr>
        <w:t>年度其他资金支出</w:t>
      </w:r>
      <w:r>
        <w:rPr>
          <w:rFonts w:ascii="仿宋" w:hAnsi="仿宋" w:eastAsia="仿宋" w:cs="仿宋"/>
          <w:sz w:val="32"/>
          <w:szCs w:val="32"/>
        </w:rPr>
        <w:t>873.5</w:t>
      </w:r>
      <w:r>
        <w:rPr>
          <w:rFonts w:hint="eastAsia" w:ascii="仿宋" w:hAnsi="仿宋" w:eastAsia="仿宋" w:cs="仿宋"/>
          <w:sz w:val="32"/>
          <w:szCs w:val="32"/>
        </w:rPr>
        <w:t>万元。</w:t>
      </w:r>
    </w:p>
    <w:p>
      <w:pPr>
        <w:spacing w:line="560" w:lineRule="exact"/>
        <w:ind w:firstLine="640" w:firstLineChars="200"/>
        <w:rPr>
          <w:rFonts w:eastAsia="黑体"/>
          <w:sz w:val="32"/>
          <w:szCs w:val="32"/>
        </w:rPr>
      </w:pPr>
      <w:r>
        <w:rPr>
          <w:rFonts w:hint="eastAsia" w:eastAsia="黑体"/>
          <w:sz w:val="32"/>
          <w:szCs w:val="32"/>
        </w:rPr>
        <w:t>七、部门整体支出绩效情况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（一）运行成本方面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我单位严格按照财政批复的预算支出，无超预算项目支出。</w:t>
      </w:r>
    </w:p>
    <w:p>
      <w:pPr>
        <w:numPr>
          <w:ilvl w:val="0"/>
          <w:numId w:val="2"/>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管理效率方面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我单位按照县财政批复的用款计划支付报账资金，积极与县财政国库协调资金支付业务，极力优先保障单位重点资金支付。</w:t>
      </w:r>
    </w:p>
    <w:p>
      <w:pPr>
        <w:numPr>
          <w:ilvl w:val="0"/>
          <w:numId w:val="2"/>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履职效能方面</w:t>
      </w:r>
    </w:p>
    <w:p>
      <w:pPr>
        <w:spacing w:line="560" w:lineRule="exact"/>
        <w:ind w:firstLine="643" w:firstLineChars="200"/>
        <w:rPr>
          <w:rFonts w:ascii="仿宋" w:hAnsi="仿宋" w:eastAsia="仿宋" w:cs="仿宋"/>
          <w:sz w:val="32"/>
          <w:szCs w:val="32"/>
        </w:rPr>
      </w:pPr>
      <w:r>
        <w:rPr>
          <w:rFonts w:ascii="仿宋" w:hAnsi="仿宋" w:eastAsia="仿宋" w:cs="仿宋"/>
          <w:b/>
          <w:sz w:val="32"/>
          <w:szCs w:val="32"/>
        </w:rPr>
        <w:t>1</w:t>
      </w:r>
      <w:r>
        <w:rPr>
          <w:rFonts w:hint="eastAsia" w:ascii="仿宋" w:hAnsi="仿宋" w:eastAsia="仿宋" w:cs="仿宋"/>
          <w:b/>
          <w:sz w:val="32"/>
          <w:szCs w:val="32"/>
        </w:rPr>
        <w:t>、免疫规划：</w:t>
      </w:r>
      <w:r>
        <w:rPr>
          <w:rFonts w:hint="eastAsia" w:ascii="仿宋" w:hAnsi="仿宋" w:eastAsia="仿宋" w:cs="仿宋"/>
          <w:sz w:val="32"/>
          <w:szCs w:val="32"/>
        </w:rPr>
        <w:t>我县组织各接种单位相关工作人员在县疾控中心通过现场培训的方式开展了</w:t>
      </w:r>
      <w:r>
        <w:rPr>
          <w:rFonts w:ascii="仿宋" w:hAnsi="仿宋" w:eastAsia="仿宋" w:cs="仿宋"/>
          <w:sz w:val="32"/>
          <w:szCs w:val="32"/>
        </w:rPr>
        <w:t>4</w:t>
      </w:r>
      <w:r>
        <w:rPr>
          <w:rFonts w:hint="eastAsia" w:ascii="仿宋" w:hAnsi="仿宋" w:eastAsia="仿宋" w:cs="仿宋"/>
          <w:sz w:val="32"/>
          <w:szCs w:val="32"/>
        </w:rPr>
        <w:t>次培训；积极开展了</w:t>
      </w:r>
      <w:r>
        <w:rPr>
          <w:rFonts w:ascii="仿宋" w:hAnsi="仿宋" w:eastAsia="仿宋" w:cs="仿宋"/>
          <w:sz w:val="32"/>
          <w:szCs w:val="32"/>
        </w:rPr>
        <w:t>4.25</w:t>
      </w:r>
      <w:r>
        <w:rPr>
          <w:rFonts w:hint="eastAsia" w:ascii="仿宋" w:hAnsi="仿宋" w:eastAsia="仿宋" w:cs="仿宋"/>
          <w:sz w:val="32"/>
          <w:szCs w:val="32"/>
        </w:rPr>
        <w:t>宣传活动，提高群众对预防接种工作的知晓程度，为顺利展开工作创造有益条件。每个季度都对乡镇的免疫规划工作进行了督导，所有接种门诊均严格按照预防接种工作规范执行，全县安全注射率达</w:t>
      </w:r>
      <w:r>
        <w:rPr>
          <w:rFonts w:ascii="仿宋" w:hAnsi="仿宋" w:eastAsia="仿宋" w:cs="仿宋"/>
          <w:sz w:val="32"/>
          <w:szCs w:val="32"/>
        </w:rPr>
        <w:t>100%</w:t>
      </w:r>
      <w:r>
        <w:rPr>
          <w:rFonts w:hint="eastAsia" w:ascii="仿宋" w:hAnsi="仿宋" w:eastAsia="仿宋" w:cs="仿宋"/>
          <w:sz w:val="32"/>
          <w:szCs w:val="32"/>
        </w:rPr>
        <w:t>。生物制品进购渠道及冷链管理工作均按省市要求开展，县疾控中心和各接种单位疫苗储存管理规范。适龄儿童建卡建证率、免疫规划疫苗全程接种率</w:t>
      </w:r>
      <w:bookmarkStart w:id="0" w:name="_GoBack"/>
      <w:bookmarkEnd w:id="0"/>
      <w:r>
        <w:rPr>
          <w:rFonts w:hint="eastAsia" w:ascii="仿宋" w:hAnsi="仿宋" w:eastAsia="仿宋" w:cs="仿宋"/>
          <w:sz w:val="32"/>
          <w:szCs w:val="32"/>
        </w:rPr>
        <w:t>及产科乙肝疫苗首针及时接种率均在</w:t>
      </w:r>
      <w:r>
        <w:rPr>
          <w:rFonts w:ascii="仿宋" w:hAnsi="仿宋" w:eastAsia="仿宋" w:cs="仿宋"/>
          <w:sz w:val="32"/>
          <w:szCs w:val="32"/>
        </w:rPr>
        <w:t>95%</w:t>
      </w:r>
      <w:r>
        <w:rPr>
          <w:rFonts w:hint="eastAsia" w:ascii="仿宋" w:hAnsi="仿宋" w:eastAsia="仿宋" w:cs="仿宋"/>
          <w:sz w:val="32"/>
          <w:szCs w:val="32"/>
        </w:rPr>
        <w:t>以上，全县常规免疫报告应种</w:t>
      </w:r>
      <w:r>
        <w:rPr>
          <w:rFonts w:ascii="仿宋" w:hAnsi="仿宋" w:eastAsia="仿宋" w:cs="仿宋"/>
          <w:sz w:val="32"/>
          <w:szCs w:val="32"/>
        </w:rPr>
        <w:t>35261</w:t>
      </w:r>
      <w:r>
        <w:rPr>
          <w:rFonts w:hint="eastAsia" w:ascii="仿宋" w:hAnsi="仿宋" w:eastAsia="仿宋" w:cs="仿宋"/>
          <w:sz w:val="32"/>
          <w:szCs w:val="32"/>
        </w:rPr>
        <w:t>人次，实种</w:t>
      </w:r>
      <w:r>
        <w:rPr>
          <w:rFonts w:ascii="仿宋" w:hAnsi="仿宋" w:eastAsia="仿宋" w:cs="仿宋"/>
          <w:sz w:val="32"/>
          <w:szCs w:val="32"/>
        </w:rPr>
        <w:t>35254</w:t>
      </w:r>
      <w:r>
        <w:rPr>
          <w:rFonts w:hint="eastAsia" w:ascii="仿宋" w:hAnsi="仿宋" w:eastAsia="仿宋" w:cs="仿宋"/>
          <w:sz w:val="32"/>
          <w:szCs w:val="32"/>
        </w:rPr>
        <w:t>人次，接种率</w:t>
      </w:r>
      <w:r>
        <w:rPr>
          <w:rFonts w:ascii="仿宋" w:hAnsi="仿宋" w:eastAsia="仿宋" w:cs="仿宋"/>
          <w:sz w:val="32"/>
          <w:szCs w:val="32"/>
        </w:rPr>
        <w:t>99.98%</w:t>
      </w:r>
      <w:r>
        <w:rPr>
          <w:rFonts w:hint="eastAsia" w:ascii="仿宋" w:hAnsi="仿宋" w:eastAsia="仿宋" w:cs="仿宋"/>
          <w:sz w:val="32"/>
          <w:szCs w:val="32"/>
        </w:rPr>
        <w:t>。认真开展了麻疹监测工作，期间上报</w:t>
      </w:r>
      <w:r>
        <w:rPr>
          <w:rFonts w:ascii="仿宋" w:hAnsi="仿宋" w:eastAsia="仿宋" w:cs="仿宋"/>
          <w:sz w:val="32"/>
          <w:szCs w:val="32"/>
        </w:rPr>
        <w:t>6</w:t>
      </w:r>
      <w:r>
        <w:rPr>
          <w:rFonts w:hint="eastAsia" w:ascii="仿宋" w:hAnsi="仿宋" w:eastAsia="仿宋" w:cs="仿宋"/>
          <w:sz w:val="32"/>
          <w:szCs w:val="32"/>
        </w:rPr>
        <w:t>例排除病例。持续进行了疑似预防接种异常反应监测，上报疑似预防接种异常反应</w:t>
      </w:r>
      <w:r>
        <w:rPr>
          <w:rFonts w:ascii="仿宋" w:hAnsi="仿宋" w:eastAsia="仿宋" w:cs="仿宋"/>
          <w:sz w:val="32"/>
          <w:szCs w:val="32"/>
        </w:rPr>
        <w:t>28</w:t>
      </w:r>
      <w:r>
        <w:rPr>
          <w:rFonts w:hint="eastAsia" w:ascii="仿宋" w:hAnsi="仿宋" w:eastAsia="仿宋" w:cs="仿宋"/>
          <w:sz w:val="32"/>
          <w:szCs w:val="32"/>
        </w:rPr>
        <w:t>例，其中</w:t>
      </w:r>
      <w:r>
        <w:rPr>
          <w:rFonts w:ascii="仿宋" w:hAnsi="仿宋" w:eastAsia="仿宋" w:cs="仿宋"/>
          <w:sz w:val="32"/>
          <w:szCs w:val="32"/>
        </w:rPr>
        <w:t>27</w:t>
      </w:r>
      <w:r>
        <w:rPr>
          <w:rFonts w:hint="eastAsia" w:ascii="仿宋" w:hAnsi="仿宋" w:eastAsia="仿宋" w:cs="仿宋"/>
          <w:sz w:val="32"/>
          <w:szCs w:val="32"/>
        </w:rPr>
        <w:t>例均为一般反应，其余一例为异常反应。各乡镇需补种人数为</w:t>
      </w:r>
      <w:r>
        <w:rPr>
          <w:rFonts w:ascii="仿宋" w:hAnsi="仿宋" w:eastAsia="仿宋" w:cs="仿宋"/>
          <w:sz w:val="32"/>
          <w:szCs w:val="32"/>
        </w:rPr>
        <w:t>1904</w:t>
      </w:r>
      <w:r>
        <w:rPr>
          <w:rFonts w:hint="eastAsia" w:ascii="仿宋" w:hAnsi="仿宋" w:eastAsia="仿宋" w:cs="仿宋"/>
          <w:sz w:val="32"/>
          <w:szCs w:val="32"/>
        </w:rPr>
        <w:t>，实补种人数为</w:t>
      </w:r>
      <w:r>
        <w:rPr>
          <w:rFonts w:ascii="仿宋" w:hAnsi="仿宋" w:eastAsia="仿宋" w:cs="仿宋"/>
          <w:sz w:val="32"/>
          <w:szCs w:val="32"/>
        </w:rPr>
        <w:t>1903</w:t>
      </w:r>
      <w:r>
        <w:rPr>
          <w:rFonts w:hint="eastAsia" w:ascii="仿宋" w:hAnsi="仿宋" w:eastAsia="仿宋" w:cs="仿宋"/>
          <w:sz w:val="32"/>
          <w:szCs w:val="32"/>
        </w:rPr>
        <w:t>，补种率为</w:t>
      </w:r>
      <w:r>
        <w:rPr>
          <w:rFonts w:ascii="仿宋" w:hAnsi="仿宋" w:eastAsia="仿宋" w:cs="仿宋"/>
          <w:sz w:val="32"/>
          <w:szCs w:val="32"/>
        </w:rPr>
        <w:t>99.95%</w:t>
      </w:r>
      <w:r>
        <w:rPr>
          <w:rFonts w:hint="eastAsia" w:ascii="仿宋" w:hAnsi="仿宋" w:eastAsia="仿宋" w:cs="仿宋"/>
          <w:sz w:val="32"/>
          <w:szCs w:val="32"/>
        </w:rPr>
        <w:t>，提高了适龄儿童国家免疫规划疫苗接种率。</w:t>
      </w:r>
    </w:p>
    <w:p>
      <w:pPr>
        <w:spacing w:line="560" w:lineRule="exact"/>
        <w:ind w:firstLine="643" w:firstLineChars="200"/>
        <w:rPr>
          <w:rFonts w:ascii="仿宋" w:hAnsi="仿宋" w:eastAsia="仿宋" w:cs="仿宋"/>
          <w:sz w:val="32"/>
          <w:szCs w:val="32"/>
        </w:rPr>
      </w:pPr>
      <w:r>
        <w:rPr>
          <w:rFonts w:ascii="仿宋" w:hAnsi="仿宋" w:eastAsia="仿宋" w:cs="仿宋"/>
          <w:b/>
          <w:sz w:val="32"/>
          <w:szCs w:val="32"/>
        </w:rPr>
        <w:t>2</w:t>
      </w:r>
      <w:r>
        <w:rPr>
          <w:rFonts w:hint="eastAsia" w:ascii="仿宋" w:hAnsi="仿宋" w:eastAsia="仿宋" w:cs="仿宋"/>
          <w:b/>
          <w:sz w:val="32"/>
          <w:szCs w:val="32"/>
        </w:rPr>
        <w:t>、结核病防治：</w:t>
      </w:r>
      <w:r>
        <w:rPr>
          <w:rFonts w:hint="eastAsia" w:ascii="仿宋" w:hAnsi="仿宋" w:eastAsia="仿宋" w:cs="仿宋"/>
          <w:sz w:val="32"/>
          <w:szCs w:val="32"/>
        </w:rPr>
        <w:t>报告结核病患者和疑似结核病患者总体到位率</w:t>
      </w:r>
      <w:r>
        <w:rPr>
          <w:rFonts w:ascii="仿宋" w:hAnsi="仿宋" w:eastAsia="仿宋" w:cs="仿宋"/>
          <w:sz w:val="32"/>
          <w:szCs w:val="32"/>
        </w:rPr>
        <w:t>100%</w:t>
      </w:r>
      <w:r>
        <w:rPr>
          <w:rFonts w:hint="eastAsia" w:ascii="仿宋" w:hAnsi="仿宋" w:eastAsia="仿宋" w:cs="仿宋"/>
          <w:sz w:val="32"/>
          <w:szCs w:val="32"/>
        </w:rPr>
        <w:t>，病原学阳性率</w:t>
      </w:r>
      <w:r>
        <w:rPr>
          <w:rFonts w:ascii="仿宋" w:hAnsi="仿宋" w:eastAsia="仿宋" w:cs="仿宋"/>
          <w:sz w:val="32"/>
          <w:szCs w:val="32"/>
        </w:rPr>
        <w:t>71.74%</w:t>
      </w:r>
      <w:r>
        <w:rPr>
          <w:rFonts w:hint="eastAsia" w:ascii="仿宋" w:hAnsi="仿宋" w:eastAsia="仿宋" w:cs="仿宋"/>
          <w:sz w:val="32"/>
          <w:szCs w:val="32"/>
        </w:rPr>
        <w:t>，活动性肺结核患者成功治愈率</w:t>
      </w:r>
      <w:r>
        <w:rPr>
          <w:rFonts w:ascii="仿宋" w:hAnsi="仿宋" w:eastAsia="仿宋" w:cs="仿宋"/>
          <w:sz w:val="32"/>
          <w:szCs w:val="32"/>
        </w:rPr>
        <w:t>96.7%</w:t>
      </w:r>
      <w:r>
        <w:rPr>
          <w:rFonts w:hint="eastAsia" w:ascii="仿宋" w:hAnsi="仿宋" w:eastAsia="仿宋" w:cs="仿宋"/>
          <w:sz w:val="32"/>
          <w:szCs w:val="32"/>
        </w:rPr>
        <w:t>，病原学肺结核阳性耐药筛查率</w:t>
      </w:r>
      <w:r>
        <w:rPr>
          <w:rFonts w:ascii="仿宋" w:hAnsi="仿宋" w:eastAsia="仿宋" w:cs="仿宋"/>
          <w:sz w:val="32"/>
          <w:szCs w:val="32"/>
        </w:rPr>
        <w:t>97.3%</w:t>
      </w:r>
      <w:r>
        <w:rPr>
          <w:rFonts w:hint="eastAsia" w:ascii="仿宋" w:hAnsi="仿宋" w:eastAsia="仿宋" w:cs="仿宋"/>
          <w:sz w:val="32"/>
          <w:szCs w:val="32"/>
        </w:rPr>
        <w:t>，耐多药肺结核可疑者耐药筛查率</w:t>
      </w:r>
      <w:r>
        <w:rPr>
          <w:rFonts w:ascii="仿宋" w:hAnsi="仿宋" w:eastAsia="仿宋" w:cs="仿宋"/>
          <w:sz w:val="32"/>
          <w:szCs w:val="32"/>
        </w:rPr>
        <w:t>100%</w:t>
      </w:r>
      <w:r>
        <w:rPr>
          <w:rFonts w:hint="eastAsia" w:ascii="仿宋" w:hAnsi="仿宋" w:eastAsia="仿宋" w:cs="仿宋"/>
          <w:sz w:val="32"/>
          <w:szCs w:val="32"/>
        </w:rPr>
        <w:t>，新病原学阳性肺结核耐药筛查率</w:t>
      </w:r>
      <w:r>
        <w:rPr>
          <w:rFonts w:ascii="仿宋" w:hAnsi="仿宋" w:eastAsia="仿宋" w:cs="仿宋"/>
          <w:sz w:val="32"/>
          <w:szCs w:val="32"/>
        </w:rPr>
        <w:t>97.06%</w:t>
      </w:r>
      <w:r>
        <w:rPr>
          <w:rFonts w:hint="eastAsia" w:ascii="仿宋" w:hAnsi="仿宋" w:eastAsia="仿宋" w:cs="仿宋"/>
          <w:sz w:val="32"/>
          <w:szCs w:val="32"/>
        </w:rPr>
        <w:t>，耐利福平患者纳入治疗率</w:t>
      </w:r>
      <w:r>
        <w:rPr>
          <w:rFonts w:ascii="仿宋" w:hAnsi="仿宋" w:eastAsia="仿宋" w:cs="仿宋"/>
          <w:sz w:val="32"/>
          <w:szCs w:val="32"/>
        </w:rPr>
        <w:t>100%</w:t>
      </w:r>
      <w:r>
        <w:rPr>
          <w:rFonts w:hint="eastAsia" w:ascii="仿宋" w:hAnsi="仿宋" w:eastAsia="仿宋" w:cs="仿宋"/>
          <w:sz w:val="32"/>
          <w:szCs w:val="32"/>
        </w:rPr>
        <w:t>。在定点医院成立肺结核患者诊断小组，对就诊的疑似患者或可疑症状者，免费进行胸片、痰涂片和痰培养检查，影像学和病原学检查率达到</w:t>
      </w:r>
      <w:r>
        <w:rPr>
          <w:rFonts w:ascii="仿宋" w:hAnsi="仿宋" w:eastAsia="仿宋" w:cs="仿宋"/>
          <w:sz w:val="32"/>
          <w:szCs w:val="32"/>
        </w:rPr>
        <w:t>100%</w:t>
      </w:r>
      <w:r>
        <w:rPr>
          <w:rFonts w:hint="eastAsia" w:ascii="仿宋" w:hAnsi="仿宋" w:eastAsia="仿宋" w:cs="仿宋"/>
          <w:sz w:val="32"/>
          <w:szCs w:val="32"/>
        </w:rPr>
        <w:t>。对病原学阴性肺结核患者，需经诊断小组讨论后方可定诊，避免过诊和误诊，病原学阴性肺结核诊断依据符合率达到</w:t>
      </w:r>
      <w:r>
        <w:rPr>
          <w:rFonts w:ascii="仿宋" w:hAnsi="仿宋" w:eastAsia="仿宋" w:cs="仿宋"/>
          <w:sz w:val="32"/>
          <w:szCs w:val="32"/>
        </w:rPr>
        <w:t>90%</w:t>
      </w:r>
      <w:r>
        <w:rPr>
          <w:rFonts w:hint="eastAsia" w:ascii="仿宋" w:hAnsi="仿宋" w:eastAsia="仿宋" w:cs="仿宋"/>
          <w:sz w:val="32"/>
          <w:szCs w:val="32"/>
        </w:rPr>
        <w:t>以上。</w:t>
      </w:r>
    </w:p>
    <w:p>
      <w:pPr>
        <w:spacing w:line="560" w:lineRule="exact"/>
        <w:ind w:firstLine="643" w:firstLineChars="200"/>
        <w:rPr>
          <w:rFonts w:ascii="FangSong_GB2312" w:hAnsi="FangSong_GB2312" w:eastAsia="FangSong_GB2312" w:cs="FangSong_GB2312"/>
          <w:b/>
          <w:sz w:val="32"/>
          <w:szCs w:val="32"/>
        </w:rPr>
      </w:pPr>
      <w:r>
        <w:rPr>
          <w:rFonts w:ascii="FangSong_GB2312" w:hAnsi="FangSong_GB2312" w:eastAsia="FangSong_GB2312" w:cs="FangSong_GB2312"/>
          <w:b/>
          <w:sz w:val="32"/>
          <w:szCs w:val="32"/>
        </w:rPr>
        <w:t>3.</w:t>
      </w:r>
      <w:r>
        <w:rPr>
          <w:rFonts w:hint="eastAsia" w:ascii="FangSong_GB2312" w:hAnsi="FangSong_GB2312" w:eastAsia="FangSong_GB2312" w:cs="FangSong_GB2312"/>
          <w:b/>
          <w:sz w:val="32"/>
          <w:szCs w:val="32"/>
        </w:rPr>
        <w:t>艾滋病防治工作：</w:t>
      </w:r>
      <w:r>
        <w:rPr>
          <w:rFonts w:hint="eastAsia" w:ascii="仿宋" w:hAnsi="仿宋" w:eastAsia="仿宋" w:cs="仿宋"/>
          <w:sz w:val="32"/>
          <w:szCs w:val="32"/>
        </w:rPr>
        <w:t>累计对本地管理的</w:t>
      </w:r>
      <w:r>
        <w:rPr>
          <w:rFonts w:ascii="仿宋" w:hAnsi="仿宋" w:eastAsia="仿宋" w:cs="仿宋"/>
          <w:sz w:val="32"/>
          <w:szCs w:val="32"/>
        </w:rPr>
        <w:t>271</w:t>
      </w:r>
      <w:r>
        <w:rPr>
          <w:rFonts w:hint="eastAsia" w:ascii="仿宋" w:hAnsi="仿宋" w:eastAsia="仿宋" w:cs="仿宋"/>
          <w:sz w:val="32"/>
          <w:szCs w:val="32"/>
        </w:rPr>
        <w:t>名艾滋病感染者和病人进行了免费抗病毒治疗，目前正在治疗</w:t>
      </w:r>
      <w:r>
        <w:rPr>
          <w:rFonts w:ascii="仿宋" w:hAnsi="仿宋" w:eastAsia="仿宋" w:cs="仿宋"/>
          <w:sz w:val="32"/>
          <w:szCs w:val="32"/>
        </w:rPr>
        <w:t>264</w:t>
      </w:r>
      <w:r>
        <w:rPr>
          <w:rFonts w:hint="eastAsia" w:ascii="仿宋" w:hAnsi="仿宋" w:eastAsia="仿宋" w:cs="仿宋"/>
          <w:sz w:val="32"/>
          <w:szCs w:val="32"/>
        </w:rPr>
        <w:t>人，今年新增治疗</w:t>
      </w:r>
      <w:r>
        <w:rPr>
          <w:rFonts w:ascii="仿宋" w:hAnsi="仿宋" w:eastAsia="仿宋" w:cs="仿宋"/>
          <w:sz w:val="32"/>
          <w:szCs w:val="32"/>
        </w:rPr>
        <w:t>30</w:t>
      </w:r>
      <w:r>
        <w:rPr>
          <w:rFonts w:hint="eastAsia" w:ascii="仿宋" w:hAnsi="仿宋" w:eastAsia="仿宋" w:cs="仿宋"/>
          <w:sz w:val="32"/>
          <w:szCs w:val="32"/>
        </w:rPr>
        <w:t>人。</w:t>
      </w:r>
      <w:r>
        <w:rPr>
          <w:rFonts w:ascii="仿宋" w:hAnsi="仿宋" w:eastAsia="仿宋" w:cs="仿宋"/>
          <w:sz w:val="32"/>
          <w:szCs w:val="32"/>
        </w:rPr>
        <w:t>CD4</w:t>
      </w:r>
      <w:r>
        <w:rPr>
          <w:rFonts w:hint="eastAsia" w:ascii="仿宋" w:hAnsi="仿宋" w:eastAsia="仿宋" w:cs="仿宋"/>
          <w:sz w:val="32"/>
          <w:szCs w:val="32"/>
        </w:rPr>
        <w:t>检测</w:t>
      </w:r>
      <w:r>
        <w:rPr>
          <w:rFonts w:ascii="仿宋" w:hAnsi="仿宋" w:eastAsia="仿宋" w:cs="仿宋"/>
          <w:sz w:val="32"/>
          <w:szCs w:val="32"/>
        </w:rPr>
        <w:t>269</w:t>
      </w:r>
      <w:r>
        <w:rPr>
          <w:rFonts w:hint="eastAsia" w:ascii="仿宋" w:hAnsi="仿宋" w:eastAsia="仿宋" w:cs="仿宋"/>
          <w:sz w:val="32"/>
          <w:szCs w:val="32"/>
        </w:rPr>
        <w:t>人，病毒载量送样</w:t>
      </w:r>
      <w:r>
        <w:rPr>
          <w:rFonts w:ascii="仿宋" w:hAnsi="仿宋" w:eastAsia="仿宋" w:cs="仿宋"/>
          <w:sz w:val="32"/>
          <w:szCs w:val="32"/>
        </w:rPr>
        <w:t>234</w:t>
      </w:r>
      <w:r>
        <w:rPr>
          <w:rFonts w:hint="eastAsia" w:ascii="仿宋" w:hAnsi="仿宋" w:eastAsia="仿宋" w:cs="仿宋"/>
          <w:sz w:val="32"/>
          <w:szCs w:val="32"/>
        </w:rPr>
        <w:t>人。今年全县性病艾滋病咨询检测</w:t>
      </w:r>
      <w:r>
        <w:rPr>
          <w:rFonts w:ascii="仿宋" w:hAnsi="仿宋" w:eastAsia="仿宋" w:cs="仿宋"/>
          <w:sz w:val="32"/>
          <w:szCs w:val="32"/>
        </w:rPr>
        <w:t>605</w:t>
      </w:r>
      <w:r>
        <w:rPr>
          <w:rFonts w:hint="eastAsia" w:ascii="仿宋" w:hAnsi="仿宋" w:eastAsia="仿宋" w:cs="仿宋"/>
          <w:sz w:val="32"/>
          <w:szCs w:val="32"/>
        </w:rPr>
        <w:t>人次，未发现</w:t>
      </w:r>
      <w:r>
        <w:rPr>
          <w:rFonts w:ascii="仿宋" w:hAnsi="仿宋" w:eastAsia="仿宋" w:cs="仿宋"/>
          <w:sz w:val="32"/>
          <w:szCs w:val="32"/>
        </w:rPr>
        <w:t>HIV</w:t>
      </w:r>
      <w:r>
        <w:rPr>
          <w:rFonts w:hint="eastAsia" w:ascii="仿宋" w:hAnsi="仿宋" w:eastAsia="仿宋" w:cs="仿宋"/>
          <w:sz w:val="32"/>
          <w:szCs w:val="32"/>
        </w:rPr>
        <w:t>待复检病例。到县看守所对被监管人员进行了采样，共检测</w:t>
      </w:r>
      <w:r>
        <w:rPr>
          <w:rFonts w:ascii="仿宋" w:hAnsi="仿宋" w:eastAsia="仿宋" w:cs="仿宋"/>
          <w:sz w:val="32"/>
          <w:szCs w:val="32"/>
        </w:rPr>
        <w:t>378</w:t>
      </w:r>
      <w:r>
        <w:rPr>
          <w:rFonts w:hint="eastAsia" w:ascii="仿宋" w:hAnsi="仿宋" w:eastAsia="仿宋" w:cs="仿宋"/>
          <w:sz w:val="32"/>
          <w:szCs w:val="32"/>
        </w:rPr>
        <w:t>人次，其中吸毒人员</w:t>
      </w:r>
      <w:r>
        <w:rPr>
          <w:rFonts w:ascii="仿宋" w:hAnsi="仿宋" w:eastAsia="仿宋" w:cs="仿宋"/>
          <w:sz w:val="32"/>
          <w:szCs w:val="32"/>
        </w:rPr>
        <w:t>30</w:t>
      </w:r>
      <w:r>
        <w:rPr>
          <w:rFonts w:hint="eastAsia" w:ascii="仿宋" w:hAnsi="仿宋" w:eastAsia="仿宋" w:cs="仿宋"/>
          <w:sz w:val="32"/>
          <w:szCs w:val="32"/>
        </w:rPr>
        <w:t>人；</w:t>
      </w:r>
      <w:r>
        <w:rPr>
          <w:rFonts w:ascii="仿宋" w:hAnsi="仿宋" w:eastAsia="仿宋" w:cs="仿宋"/>
          <w:sz w:val="32"/>
          <w:szCs w:val="32"/>
        </w:rPr>
        <w:t>HIV</w:t>
      </w:r>
      <w:r>
        <w:rPr>
          <w:rFonts w:hint="eastAsia" w:ascii="仿宋" w:hAnsi="仿宋" w:eastAsia="仿宋" w:cs="仿宋"/>
          <w:sz w:val="32"/>
          <w:szCs w:val="32"/>
        </w:rPr>
        <w:t>初筛阳性</w:t>
      </w:r>
      <w:r>
        <w:rPr>
          <w:rFonts w:ascii="仿宋" w:hAnsi="仿宋" w:eastAsia="仿宋" w:cs="仿宋"/>
          <w:sz w:val="32"/>
          <w:szCs w:val="32"/>
        </w:rPr>
        <w:t>1</w:t>
      </w:r>
      <w:r>
        <w:rPr>
          <w:rFonts w:hint="eastAsia" w:ascii="仿宋" w:hAnsi="仿宋" w:eastAsia="仿宋" w:cs="仿宋"/>
          <w:sz w:val="32"/>
          <w:szCs w:val="32"/>
        </w:rPr>
        <w:t>人，第二次确证为阴性。深入各娱乐场所开展性病艾滋病防治知识宣传工作，共宣传人次数</w:t>
      </w:r>
      <w:r>
        <w:rPr>
          <w:rFonts w:ascii="仿宋" w:hAnsi="仿宋" w:eastAsia="仿宋" w:cs="仿宋"/>
          <w:sz w:val="32"/>
          <w:szCs w:val="32"/>
        </w:rPr>
        <w:t>570</w:t>
      </w:r>
      <w:r>
        <w:rPr>
          <w:rFonts w:hint="eastAsia" w:ascii="仿宋" w:hAnsi="仿宋" w:eastAsia="仿宋" w:cs="仿宋"/>
          <w:sz w:val="32"/>
          <w:szCs w:val="32"/>
        </w:rPr>
        <w:t>人次，发放宣传资料共</w:t>
      </w:r>
      <w:r>
        <w:rPr>
          <w:rFonts w:ascii="仿宋" w:hAnsi="仿宋" w:eastAsia="仿宋" w:cs="仿宋"/>
          <w:sz w:val="32"/>
          <w:szCs w:val="32"/>
        </w:rPr>
        <w:t>2083</w:t>
      </w:r>
      <w:r>
        <w:rPr>
          <w:rFonts w:hint="eastAsia" w:ascii="仿宋" w:hAnsi="仿宋" w:eastAsia="仿宋" w:cs="仿宋"/>
          <w:sz w:val="32"/>
          <w:szCs w:val="32"/>
        </w:rPr>
        <w:t>份，安全套</w:t>
      </w:r>
      <w:r>
        <w:rPr>
          <w:rFonts w:ascii="仿宋" w:hAnsi="仿宋" w:eastAsia="仿宋" w:cs="仿宋"/>
          <w:sz w:val="32"/>
          <w:szCs w:val="32"/>
        </w:rPr>
        <w:t>3650</w:t>
      </w:r>
      <w:r>
        <w:rPr>
          <w:rFonts w:hint="eastAsia" w:ascii="仿宋" w:hAnsi="仿宋" w:eastAsia="仿宋" w:cs="仿宋"/>
          <w:sz w:val="32"/>
          <w:szCs w:val="32"/>
        </w:rPr>
        <w:t>个，接受</w:t>
      </w:r>
      <w:r>
        <w:rPr>
          <w:rFonts w:ascii="仿宋" w:hAnsi="仿宋" w:eastAsia="仿宋" w:cs="仿宋"/>
          <w:sz w:val="32"/>
          <w:szCs w:val="32"/>
        </w:rPr>
        <w:t>HIV</w:t>
      </w:r>
      <w:r>
        <w:rPr>
          <w:rFonts w:hint="eastAsia" w:ascii="仿宋" w:hAnsi="仿宋" w:eastAsia="仿宋" w:cs="仿宋"/>
          <w:sz w:val="32"/>
          <w:szCs w:val="32"/>
        </w:rPr>
        <w:t>咨询检测</w:t>
      </w:r>
      <w:r>
        <w:rPr>
          <w:rFonts w:ascii="仿宋" w:hAnsi="仿宋" w:eastAsia="仿宋" w:cs="仿宋"/>
          <w:sz w:val="32"/>
          <w:szCs w:val="32"/>
        </w:rPr>
        <w:t>333</w:t>
      </w:r>
      <w:r>
        <w:rPr>
          <w:rFonts w:hint="eastAsia" w:ascii="仿宋" w:hAnsi="仿宋" w:eastAsia="仿宋" w:cs="仿宋"/>
          <w:sz w:val="32"/>
          <w:szCs w:val="32"/>
        </w:rPr>
        <w:t>人次，结果均为阴性。性病就诊者共计干预</w:t>
      </w:r>
      <w:r>
        <w:rPr>
          <w:rFonts w:ascii="仿宋" w:hAnsi="仿宋" w:eastAsia="仿宋" w:cs="仿宋"/>
          <w:sz w:val="32"/>
          <w:szCs w:val="32"/>
        </w:rPr>
        <w:t>701</w:t>
      </w:r>
      <w:r>
        <w:rPr>
          <w:rFonts w:hint="eastAsia" w:ascii="仿宋" w:hAnsi="仿宋" w:eastAsia="仿宋" w:cs="仿宋"/>
          <w:sz w:val="32"/>
          <w:szCs w:val="32"/>
        </w:rPr>
        <w:t>人，</w:t>
      </w:r>
      <w:r>
        <w:rPr>
          <w:rFonts w:ascii="仿宋" w:hAnsi="仿宋" w:eastAsia="仿宋" w:cs="仿宋"/>
          <w:sz w:val="32"/>
          <w:szCs w:val="32"/>
        </w:rPr>
        <w:t>HIV</w:t>
      </w:r>
      <w:r>
        <w:rPr>
          <w:rFonts w:hint="eastAsia" w:ascii="仿宋" w:hAnsi="仿宋" w:eastAsia="仿宋" w:cs="仿宋"/>
          <w:sz w:val="32"/>
          <w:szCs w:val="32"/>
        </w:rPr>
        <w:t>检测</w:t>
      </w:r>
      <w:r>
        <w:rPr>
          <w:rFonts w:ascii="仿宋" w:hAnsi="仿宋" w:eastAsia="仿宋" w:cs="仿宋"/>
          <w:sz w:val="32"/>
          <w:szCs w:val="32"/>
        </w:rPr>
        <w:t>701</w:t>
      </w:r>
      <w:r>
        <w:rPr>
          <w:rFonts w:hint="eastAsia" w:ascii="仿宋" w:hAnsi="仿宋" w:eastAsia="仿宋" w:cs="仿宋"/>
          <w:sz w:val="32"/>
          <w:szCs w:val="32"/>
        </w:rPr>
        <w:t>人，检测率为</w:t>
      </w:r>
      <w:r>
        <w:rPr>
          <w:rFonts w:ascii="仿宋" w:hAnsi="仿宋" w:eastAsia="仿宋" w:cs="仿宋"/>
          <w:sz w:val="32"/>
          <w:szCs w:val="32"/>
        </w:rPr>
        <w:t>100%</w:t>
      </w:r>
      <w:r>
        <w:rPr>
          <w:rFonts w:hint="eastAsia" w:ascii="仿宋" w:hAnsi="仿宋" w:eastAsia="仿宋" w:cs="仿宋"/>
          <w:sz w:val="32"/>
          <w:szCs w:val="32"/>
        </w:rPr>
        <w:t>。全县开展</w:t>
      </w:r>
      <w:r>
        <w:rPr>
          <w:rFonts w:ascii="仿宋" w:hAnsi="仿宋" w:eastAsia="仿宋" w:cs="仿宋"/>
          <w:sz w:val="32"/>
          <w:szCs w:val="32"/>
        </w:rPr>
        <w:t>HIV</w:t>
      </w:r>
      <w:r>
        <w:rPr>
          <w:rFonts w:hint="eastAsia" w:ascii="仿宋" w:hAnsi="仿宋" w:eastAsia="仿宋" w:cs="仿宋"/>
          <w:sz w:val="32"/>
          <w:szCs w:val="32"/>
        </w:rPr>
        <w:t>快速检测共</w:t>
      </w:r>
      <w:r>
        <w:rPr>
          <w:rFonts w:ascii="仿宋" w:hAnsi="仿宋" w:eastAsia="仿宋" w:cs="仿宋"/>
          <w:sz w:val="32"/>
          <w:szCs w:val="32"/>
        </w:rPr>
        <w:t>38784</w:t>
      </w:r>
      <w:r>
        <w:rPr>
          <w:rFonts w:hint="eastAsia" w:ascii="仿宋" w:hAnsi="仿宋" w:eastAsia="仿宋" w:cs="仿宋"/>
          <w:sz w:val="32"/>
          <w:szCs w:val="32"/>
        </w:rPr>
        <w:t>人次，检测发现</w:t>
      </w:r>
      <w:r>
        <w:rPr>
          <w:rFonts w:ascii="仿宋" w:hAnsi="仿宋" w:eastAsia="仿宋" w:cs="仿宋"/>
          <w:sz w:val="32"/>
          <w:szCs w:val="32"/>
        </w:rPr>
        <w:t>61</w:t>
      </w:r>
      <w:r>
        <w:rPr>
          <w:rFonts w:hint="eastAsia" w:ascii="仿宋" w:hAnsi="仿宋" w:eastAsia="仿宋" w:cs="仿宋"/>
          <w:sz w:val="32"/>
          <w:szCs w:val="32"/>
        </w:rPr>
        <w:t>例</w:t>
      </w:r>
      <w:r>
        <w:rPr>
          <w:rFonts w:ascii="仿宋" w:hAnsi="仿宋" w:eastAsia="仿宋" w:cs="仿宋"/>
          <w:sz w:val="32"/>
          <w:szCs w:val="32"/>
        </w:rPr>
        <w:t>HIV</w:t>
      </w:r>
      <w:r>
        <w:rPr>
          <w:rFonts w:hint="eastAsia" w:ascii="仿宋" w:hAnsi="仿宋" w:eastAsia="仿宋" w:cs="仿宋"/>
          <w:sz w:val="32"/>
          <w:szCs w:val="32"/>
        </w:rPr>
        <w:t>快检阳性，其中</w:t>
      </w:r>
      <w:r>
        <w:rPr>
          <w:rFonts w:ascii="仿宋" w:hAnsi="仿宋" w:eastAsia="仿宋" w:cs="仿宋"/>
          <w:sz w:val="32"/>
          <w:szCs w:val="32"/>
        </w:rPr>
        <w:t>49</w:t>
      </w:r>
      <w:r>
        <w:rPr>
          <w:rFonts w:hint="eastAsia" w:ascii="仿宋" w:hAnsi="仿宋" w:eastAsia="仿宋" w:cs="仿宋"/>
          <w:sz w:val="32"/>
          <w:szCs w:val="32"/>
        </w:rPr>
        <w:t>例为既往阳性，</w:t>
      </w:r>
      <w:r>
        <w:rPr>
          <w:rFonts w:ascii="仿宋" w:hAnsi="仿宋" w:eastAsia="仿宋" w:cs="仿宋"/>
          <w:sz w:val="32"/>
          <w:szCs w:val="32"/>
        </w:rPr>
        <w:t>3</w:t>
      </w:r>
      <w:r>
        <w:rPr>
          <w:rFonts w:hint="eastAsia" w:ascii="仿宋" w:hAnsi="仿宋" w:eastAsia="仿宋" w:cs="仿宋"/>
          <w:sz w:val="32"/>
          <w:szCs w:val="32"/>
        </w:rPr>
        <w:t>例初筛阴性，</w:t>
      </w:r>
      <w:r>
        <w:rPr>
          <w:rFonts w:ascii="仿宋" w:hAnsi="仿宋" w:eastAsia="仿宋" w:cs="仿宋"/>
          <w:sz w:val="32"/>
          <w:szCs w:val="32"/>
        </w:rPr>
        <w:t>2</w:t>
      </w:r>
      <w:r>
        <w:rPr>
          <w:rFonts w:hint="eastAsia" w:ascii="仿宋" w:hAnsi="仿宋" w:eastAsia="仿宋" w:cs="仿宋"/>
          <w:sz w:val="32"/>
          <w:szCs w:val="32"/>
        </w:rPr>
        <w:t>例确证阴性，</w:t>
      </w:r>
      <w:r>
        <w:rPr>
          <w:rFonts w:ascii="仿宋" w:hAnsi="仿宋" w:eastAsia="仿宋" w:cs="仿宋"/>
          <w:sz w:val="32"/>
          <w:szCs w:val="32"/>
        </w:rPr>
        <w:t>7</w:t>
      </w:r>
      <w:r>
        <w:rPr>
          <w:rFonts w:hint="eastAsia" w:ascii="仿宋" w:hAnsi="仿宋" w:eastAsia="仿宋" w:cs="仿宋"/>
          <w:sz w:val="32"/>
          <w:szCs w:val="32"/>
        </w:rPr>
        <w:t>例已确证阳性。</w:t>
      </w:r>
    </w:p>
    <w:p>
      <w:pPr>
        <w:spacing w:line="560" w:lineRule="exact"/>
        <w:ind w:firstLine="643" w:firstLineChars="200"/>
        <w:rPr>
          <w:rFonts w:ascii="仿宋" w:hAnsi="仿宋" w:eastAsia="仿宋" w:cs="仿宋"/>
          <w:b/>
          <w:sz w:val="32"/>
          <w:szCs w:val="32"/>
        </w:rPr>
      </w:pPr>
      <w:r>
        <w:rPr>
          <w:rFonts w:ascii="仿宋" w:hAnsi="仿宋" w:eastAsia="仿宋" w:cs="仿宋"/>
          <w:b/>
          <w:sz w:val="32"/>
          <w:szCs w:val="32"/>
        </w:rPr>
        <w:t>4.</w:t>
      </w:r>
      <w:r>
        <w:rPr>
          <w:rFonts w:hint="eastAsia" w:ascii="仿宋" w:hAnsi="仿宋" w:eastAsia="仿宋" w:cs="仿宋"/>
          <w:b/>
          <w:sz w:val="32"/>
          <w:szCs w:val="32"/>
        </w:rPr>
        <w:t>丙肝防控工作：</w:t>
      </w:r>
      <w:r>
        <w:rPr>
          <w:rFonts w:hint="eastAsia" w:ascii="仿宋" w:hAnsi="仿宋" w:eastAsia="仿宋" w:cs="仿宋"/>
          <w:sz w:val="32"/>
          <w:szCs w:val="32"/>
        </w:rPr>
        <w:t>上报丙肝病例共有</w:t>
      </w:r>
      <w:r>
        <w:rPr>
          <w:rFonts w:ascii="仿宋" w:hAnsi="仿宋" w:eastAsia="仿宋" w:cs="仿宋"/>
          <w:sz w:val="32"/>
          <w:szCs w:val="32"/>
        </w:rPr>
        <w:t>24</w:t>
      </w:r>
      <w:r>
        <w:rPr>
          <w:rFonts w:hint="eastAsia" w:ascii="仿宋" w:hAnsi="仿宋" w:eastAsia="仿宋" w:cs="仿宋"/>
          <w:sz w:val="32"/>
          <w:szCs w:val="32"/>
        </w:rPr>
        <w:t>例（其中确诊病例</w:t>
      </w:r>
      <w:r>
        <w:rPr>
          <w:rFonts w:ascii="仿宋" w:hAnsi="仿宋" w:eastAsia="仿宋" w:cs="仿宋"/>
          <w:sz w:val="32"/>
          <w:szCs w:val="32"/>
        </w:rPr>
        <w:t>22</w:t>
      </w:r>
      <w:r>
        <w:rPr>
          <w:rFonts w:hint="eastAsia" w:ascii="仿宋" w:hAnsi="仿宋" w:eastAsia="仿宋" w:cs="仿宋"/>
          <w:sz w:val="32"/>
          <w:szCs w:val="32"/>
        </w:rPr>
        <w:t>例，临床诊断病例</w:t>
      </w:r>
      <w:r>
        <w:rPr>
          <w:rFonts w:ascii="仿宋" w:hAnsi="仿宋" w:eastAsia="仿宋" w:cs="仿宋"/>
          <w:sz w:val="32"/>
          <w:szCs w:val="32"/>
        </w:rPr>
        <w:t>2</w:t>
      </w:r>
      <w:r>
        <w:rPr>
          <w:rFonts w:hint="eastAsia" w:ascii="仿宋" w:hAnsi="仿宋" w:eastAsia="仿宋" w:cs="仿宋"/>
          <w:sz w:val="32"/>
          <w:szCs w:val="32"/>
        </w:rPr>
        <w:t>例），丙肝核酸检测</w:t>
      </w:r>
      <w:r>
        <w:rPr>
          <w:rFonts w:ascii="仿宋" w:hAnsi="仿宋" w:eastAsia="仿宋" w:cs="仿宋"/>
          <w:sz w:val="32"/>
          <w:szCs w:val="32"/>
        </w:rPr>
        <w:t>22</w:t>
      </w:r>
      <w:r>
        <w:rPr>
          <w:rFonts w:hint="eastAsia" w:ascii="仿宋" w:hAnsi="仿宋" w:eastAsia="仿宋" w:cs="仿宋"/>
          <w:sz w:val="32"/>
          <w:szCs w:val="32"/>
        </w:rPr>
        <w:t>例，核酸检测率为</w:t>
      </w:r>
      <w:r>
        <w:rPr>
          <w:rFonts w:ascii="仿宋" w:hAnsi="仿宋" w:eastAsia="仿宋" w:cs="仿宋"/>
          <w:sz w:val="32"/>
          <w:szCs w:val="32"/>
        </w:rPr>
        <w:t>91.67%</w:t>
      </w:r>
      <w:r>
        <w:rPr>
          <w:rFonts w:hint="eastAsia" w:ascii="仿宋" w:hAnsi="仿宋" w:eastAsia="仿宋" w:cs="仿宋"/>
          <w:sz w:val="32"/>
          <w:szCs w:val="32"/>
        </w:rPr>
        <w:t>（</w:t>
      </w:r>
      <w:r>
        <w:rPr>
          <w:rFonts w:ascii="仿宋" w:hAnsi="仿宋" w:eastAsia="仿宋" w:cs="仿宋"/>
          <w:sz w:val="32"/>
          <w:szCs w:val="32"/>
        </w:rPr>
        <w:t>22/24</w:t>
      </w:r>
      <w:r>
        <w:rPr>
          <w:rFonts w:hint="eastAsia" w:ascii="仿宋" w:hAnsi="仿宋" w:eastAsia="仿宋" w:cs="仿宋"/>
          <w:sz w:val="32"/>
          <w:szCs w:val="32"/>
        </w:rPr>
        <w:t>），治疗病例</w:t>
      </w:r>
      <w:r>
        <w:rPr>
          <w:rFonts w:ascii="仿宋" w:hAnsi="仿宋" w:eastAsia="仿宋" w:cs="仿宋"/>
          <w:sz w:val="32"/>
          <w:szCs w:val="32"/>
        </w:rPr>
        <w:t>17</w:t>
      </w:r>
      <w:r>
        <w:rPr>
          <w:rFonts w:hint="eastAsia" w:ascii="仿宋" w:hAnsi="仿宋" w:eastAsia="仿宋" w:cs="仿宋"/>
          <w:sz w:val="32"/>
          <w:szCs w:val="32"/>
        </w:rPr>
        <w:t>例，抗病毒治疗率为</w:t>
      </w:r>
      <w:r>
        <w:rPr>
          <w:rFonts w:ascii="仿宋" w:hAnsi="仿宋" w:eastAsia="仿宋" w:cs="仿宋"/>
          <w:sz w:val="32"/>
          <w:szCs w:val="32"/>
        </w:rPr>
        <w:t>77.27%</w:t>
      </w:r>
      <w:r>
        <w:rPr>
          <w:rFonts w:hint="eastAsia" w:ascii="仿宋" w:hAnsi="仿宋" w:eastAsia="仿宋" w:cs="仿宋"/>
          <w:sz w:val="32"/>
          <w:szCs w:val="32"/>
        </w:rPr>
        <w:t>（</w:t>
      </w:r>
      <w:r>
        <w:rPr>
          <w:rFonts w:ascii="仿宋" w:hAnsi="仿宋" w:eastAsia="仿宋" w:cs="仿宋"/>
          <w:sz w:val="32"/>
          <w:szCs w:val="32"/>
        </w:rPr>
        <w:t>17/22</w:t>
      </w:r>
      <w:r>
        <w:rPr>
          <w:rFonts w:hint="eastAsia" w:ascii="仿宋" w:hAnsi="仿宋" w:eastAsia="仿宋" w:cs="仿宋"/>
          <w:sz w:val="32"/>
          <w:szCs w:val="32"/>
        </w:rPr>
        <w:t>）。</w:t>
      </w:r>
    </w:p>
    <w:p>
      <w:pPr>
        <w:widowControl/>
        <w:adjustRightInd w:val="0"/>
        <w:snapToGrid w:val="0"/>
        <w:spacing w:line="560" w:lineRule="exact"/>
        <w:ind w:firstLine="643" w:firstLineChars="200"/>
        <w:jc w:val="left"/>
        <w:rPr>
          <w:rFonts w:ascii="仿宋" w:hAnsi="仿宋" w:eastAsia="仿宋" w:cs="仿宋"/>
          <w:sz w:val="32"/>
          <w:szCs w:val="32"/>
        </w:rPr>
      </w:pPr>
      <w:r>
        <w:rPr>
          <w:rFonts w:ascii="仿宋" w:hAnsi="仿宋" w:eastAsia="仿宋" w:cs="仿宋"/>
          <w:b/>
          <w:sz w:val="32"/>
          <w:szCs w:val="32"/>
        </w:rPr>
        <w:t>5</w:t>
      </w:r>
      <w:r>
        <w:rPr>
          <w:rFonts w:hint="eastAsia" w:ascii="仿宋" w:hAnsi="仿宋" w:eastAsia="仿宋" w:cs="仿宋"/>
          <w:b/>
          <w:sz w:val="32"/>
          <w:szCs w:val="32"/>
        </w:rPr>
        <w:t>、人感染</w:t>
      </w:r>
      <w:r>
        <w:rPr>
          <w:rFonts w:ascii="仿宋" w:hAnsi="仿宋" w:eastAsia="仿宋" w:cs="仿宋"/>
          <w:b/>
          <w:sz w:val="32"/>
          <w:szCs w:val="32"/>
        </w:rPr>
        <w:t>H7N9</w:t>
      </w:r>
      <w:r>
        <w:rPr>
          <w:rFonts w:hint="eastAsia" w:ascii="仿宋" w:hAnsi="仿宋" w:eastAsia="仿宋" w:cs="仿宋"/>
          <w:b/>
          <w:sz w:val="32"/>
          <w:szCs w:val="32"/>
        </w:rPr>
        <w:t>禽流感监测</w:t>
      </w:r>
      <w:r>
        <w:rPr>
          <w:rFonts w:hint="eastAsia" w:ascii="仿宋" w:hAnsi="仿宋" w:eastAsia="仿宋" w:cs="仿宋"/>
          <w:sz w:val="32"/>
          <w:szCs w:val="32"/>
        </w:rPr>
        <w:t>：</w:t>
      </w:r>
      <w:r>
        <w:rPr>
          <w:rFonts w:ascii="仿宋" w:hAnsi="仿宋" w:eastAsia="仿宋" w:cs="仿宋"/>
          <w:sz w:val="32"/>
          <w:szCs w:val="32"/>
        </w:rPr>
        <w:t>2024</w:t>
      </w:r>
      <w:r>
        <w:rPr>
          <w:rFonts w:hint="eastAsia" w:ascii="仿宋" w:hAnsi="仿宋" w:eastAsia="仿宋" w:cs="仿宋"/>
          <w:sz w:val="32"/>
          <w:szCs w:val="32"/>
        </w:rPr>
        <w:t>年度我县无高致病性人感染禽流感病例报告。制定了</w:t>
      </w:r>
      <w:r>
        <w:rPr>
          <w:rFonts w:ascii="仿宋" w:hAnsi="仿宋" w:eastAsia="仿宋" w:cs="仿宋"/>
          <w:sz w:val="32"/>
          <w:szCs w:val="32"/>
        </w:rPr>
        <w:t xml:space="preserve"> 2024</w:t>
      </w:r>
      <w:r>
        <w:rPr>
          <w:rFonts w:hint="eastAsia" w:ascii="仿宋" w:hAnsi="仿宋" w:eastAsia="仿宋" w:cs="仿宋"/>
          <w:sz w:val="32"/>
          <w:szCs w:val="32"/>
        </w:rPr>
        <w:t>年不明原因肺炎与人感染禽流感监测防控实施方案；城中农贸市场</w:t>
      </w:r>
      <w:r>
        <w:rPr>
          <w:rFonts w:ascii="仿宋" w:hAnsi="仿宋" w:eastAsia="仿宋" w:cs="仿宋"/>
          <w:sz w:val="32"/>
          <w:szCs w:val="32"/>
        </w:rPr>
        <w:t>3</w:t>
      </w:r>
      <w:r>
        <w:rPr>
          <w:rFonts w:hint="eastAsia" w:ascii="仿宋" w:hAnsi="仿宋" w:eastAsia="仿宋" w:cs="仿宋"/>
          <w:sz w:val="32"/>
          <w:szCs w:val="32"/>
        </w:rPr>
        <w:t>名活禽从业人员进行了血清流行病学监测（包刮调查问卷、血清标本的采集）；对辖区各级各类医疗机构就落实预检分诊、规范发热门诊、加强人禽流感培训宣传、物资储备等防控情况进行了一次全面督查；冬春季对县级所有医疗机构督导</w:t>
      </w:r>
      <w:r>
        <w:rPr>
          <w:rFonts w:ascii="仿宋" w:hAnsi="仿宋" w:eastAsia="仿宋" w:cs="仿宋"/>
          <w:sz w:val="32"/>
          <w:szCs w:val="32"/>
        </w:rPr>
        <w:t>2</w:t>
      </w:r>
      <w:r>
        <w:rPr>
          <w:rFonts w:hint="eastAsia" w:ascii="仿宋" w:hAnsi="仿宋" w:eastAsia="仿宋" w:cs="仿宋"/>
          <w:sz w:val="32"/>
          <w:szCs w:val="32"/>
        </w:rPr>
        <w:t>次，对乡镇所有医疗机构督导</w:t>
      </w:r>
      <w:r>
        <w:rPr>
          <w:rFonts w:ascii="仿宋" w:hAnsi="仿宋" w:eastAsia="仿宋" w:cs="仿宋"/>
          <w:sz w:val="32"/>
          <w:szCs w:val="32"/>
        </w:rPr>
        <w:t>1</w:t>
      </w:r>
      <w:r>
        <w:rPr>
          <w:rFonts w:hint="eastAsia" w:ascii="仿宋" w:hAnsi="仿宋" w:eastAsia="仿宋" w:cs="仿宋"/>
          <w:sz w:val="32"/>
          <w:szCs w:val="32"/>
        </w:rPr>
        <w:t>次。督导内容为：发热门诊的设置和开展情况；发热病人的登记和检测情况；医务人员人禽流感等重点传染病的培训情况；人禽流感等重点传染病防治知识的宣传情况；与畜牧水产局保持每月至少</w:t>
      </w:r>
      <w:r>
        <w:rPr>
          <w:rFonts w:ascii="仿宋" w:hAnsi="仿宋" w:eastAsia="仿宋" w:cs="仿宋"/>
          <w:sz w:val="32"/>
          <w:szCs w:val="32"/>
        </w:rPr>
        <w:t>2</w:t>
      </w:r>
      <w:r>
        <w:rPr>
          <w:rFonts w:hint="eastAsia" w:ascii="仿宋" w:hAnsi="仿宋" w:eastAsia="仿宋" w:cs="仿宋"/>
          <w:sz w:val="32"/>
          <w:szCs w:val="32"/>
        </w:rPr>
        <w:t>次电话联系，沟通人畜共患病情况。</w:t>
      </w:r>
    </w:p>
    <w:p>
      <w:pPr>
        <w:widowControl/>
        <w:adjustRightInd w:val="0"/>
        <w:snapToGrid w:val="0"/>
        <w:spacing w:line="560" w:lineRule="exact"/>
        <w:ind w:firstLine="643" w:firstLineChars="200"/>
        <w:jc w:val="left"/>
        <w:rPr>
          <w:rFonts w:ascii="仿宋" w:hAnsi="仿宋" w:eastAsia="仿宋" w:cs="仿宋"/>
          <w:sz w:val="32"/>
          <w:szCs w:val="32"/>
        </w:rPr>
      </w:pPr>
      <w:r>
        <w:rPr>
          <w:rFonts w:ascii="仿宋" w:hAnsi="仿宋" w:eastAsia="仿宋" w:cs="仿宋"/>
          <w:b/>
          <w:sz w:val="32"/>
          <w:szCs w:val="32"/>
        </w:rPr>
        <w:t>6</w:t>
      </w:r>
      <w:r>
        <w:rPr>
          <w:rFonts w:hint="eastAsia" w:ascii="仿宋" w:hAnsi="仿宋" w:eastAsia="仿宋" w:cs="仿宋"/>
          <w:b/>
          <w:sz w:val="32"/>
          <w:szCs w:val="32"/>
        </w:rPr>
        <w:t>、手足口病监测</w:t>
      </w:r>
      <w:r>
        <w:rPr>
          <w:rFonts w:hint="eastAsia" w:ascii="仿宋" w:hAnsi="仿宋" w:eastAsia="仿宋" w:cs="仿宋"/>
          <w:sz w:val="32"/>
          <w:szCs w:val="32"/>
        </w:rPr>
        <w:t>：</w:t>
      </w:r>
      <w:r>
        <w:rPr>
          <w:rFonts w:ascii="仿宋" w:hAnsi="仿宋" w:eastAsia="仿宋" w:cs="仿宋"/>
          <w:sz w:val="32"/>
          <w:szCs w:val="32"/>
        </w:rPr>
        <w:t>2024</w:t>
      </w:r>
      <w:r>
        <w:rPr>
          <w:rFonts w:hint="eastAsia" w:ascii="仿宋" w:hAnsi="仿宋" w:eastAsia="仿宋" w:cs="仿宋"/>
          <w:sz w:val="32"/>
          <w:szCs w:val="32"/>
        </w:rPr>
        <w:t>年报告手足口病例</w:t>
      </w:r>
      <w:r>
        <w:rPr>
          <w:rFonts w:ascii="仿宋" w:hAnsi="仿宋" w:eastAsia="仿宋" w:cs="仿宋"/>
          <w:sz w:val="32"/>
          <w:szCs w:val="32"/>
        </w:rPr>
        <w:t>462</w:t>
      </w:r>
      <w:r>
        <w:rPr>
          <w:rFonts w:hint="eastAsia" w:ascii="仿宋" w:hAnsi="仿宋" w:eastAsia="仿宋" w:cs="仿宋"/>
          <w:sz w:val="32"/>
          <w:szCs w:val="32"/>
        </w:rPr>
        <w:t>例，无重症及死亡病例。每月对手足口病常规监测采样，共采集手足口病病例样品</w:t>
      </w:r>
      <w:r>
        <w:rPr>
          <w:rFonts w:ascii="仿宋" w:hAnsi="仿宋" w:eastAsia="仿宋" w:cs="仿宋"/>
          <w:sz w:val="32"/>
          <w:szCs w:val="32"/>
        </w:rPr>
        <w:t>42</w:t>
      </w:r>
      <w:r>
        <w:rPr>
          <w:rFonts w:hint="eastAsia" w:ascii="仿宋" w:hAnsi="仿宋" w:eastAsia="仿宋" w:cs="仿宋"/>
          <w:sz w:val="32"/>
          <w:szCs w:val="32"/>
        </w:rPr>
        <w:t>份及环境样</w:t>
      </w:r>
      <w:r>
        <w:rPr>
          <w:rFonts w:ascii="仿宋" w:hAnsi="仿宋" w:eastAsia="仿宋" w:cs="仿宋"/>
          <w:sz w:val="32"/>
          <w:szCs w:val="32"/>
        </w:rPr>
        <w:t>2</w:t>
      </w:r>
      <w:r>
        <w:rPr>
          <w:rFonts w:hint="eastAsia" w:ascii="仿宋" w:hAnsi="仿宋" w:eastAsia="仿宋" w:cs="仿宋"/>
          <w:sz w:val="32"/>
          <w:szCs w:val="32"/>
        </w:rPr>
        <w:t>份进行了检测；阳性</w:t>
      </w:r>
      <w:r>
        <w:rPr>
          <w:rFonts w:ascii="仿宋" w:hAnsi="仿宋" w:eastAsia="仿宋" w:cs="仿宋"/>
          <w:sz w:val="32"/>
          <w:szCs w:val="32"/>
        </w:rPr>
        <w:t xml:space="preserve">26 </w:t>
      </w:r>
      <w:r>
        <w:rPr>
          <w:rFonts w:hint="eastAsia" w:ascii="仿宋" w:hAnsi="仿宋" w:eastAsia="仿宋" w:cs="仿宋"/>
          <w:sz w:val="32"/>
          <w:szCs w:val="32"/>
        </w:rPr>
        <w:t>例，其中</w:t>
      </w:r>
      <w:r>
        <w:rPr>
          <w:rFonts w:ascii="仿宋" w:hAnsi="仿宋" w:eastAsia="仿宋" w:cs="仿宋"/>
          <w:sz w:val="32"/>
          <w:szCs w:val="32"/>
        </w:rPr>
        <w:t>COA16</w:t>
      </w:r>
      <w:r>
        <w:rPr>
          <w:rFonts w:hint="eastAsia" w:ascii="仿宋" w:hAnsi="仿宋" w:eastAsia="仿宋" w:cs="仿宋"/>
          <w:sz w:val="32"/>
          <w:szCs w:val="32"/>
        </w:rPr>
        <w:t>型</w:t>
      </w:r>
      <w:r>
        <w:rPr>
          <w:rFonts w:ascii="仿宋" w:hAnsi="仿宋" w:eastAsia="仿宋" w:cs="仿宋"/>
          <w:sz w:val="32"/>
          <w:szCs w:val="32"/>
        </w:rPr>
        <w:t>9</w:t>
      </w:r>
      <w:r>
        <w:rPr>
          <w:rFonts w:hint="eastAsia" w:ascii="仿宋" w:hAnsi="仿宋" w:eastAsia="仿宋" w:cs="仿宋"/>
          <w:sz w:val="32"/>
          <w:szCs w:val="32"/>
        </w:rPr>
        <w:t>例、其他肠道病毒</w:t>
      </w:r>
      <w:r>
        <w:rPr>
          <w:rFonts w:ascii="仿宋" w:hAnsi="仿宋" w:eastAsia="仿宋" w:cs="仿宋"/>
          <w:sz w:val="32"/>
          <w:szCs w:val="32"/>
        </w:rPr>
        <w:t>17</w:t>
      </w:r>
      <w:r>
        <w:rPr>
          <w:rFonts w:hint="eastAsia" w:ascii="仿宋" w:hAnsi="仿宋" w:eastAsia="仿宋" w:cs="仿宋"/>
          <w:sz w:val="32"/>
          <w:szCs w:val="32"/>
        </w:rPr>
        <w:t>例；</w:t>
      </w:r>
      <w:r>
        <w:rPr>
          <w:rFonts w:ascii="仿宋" w:hAnsi="仿宋" w:eastAsia="仿宋" w:cs="仿宋"/>
          <w:sz w:val="32"/>
          <w:szCs w:val="32"/>
        </w:rPr>
        <w:t>2</w:t>
      </w:r>
      <w:r>
        <w:rPr>
          <w:rFonts w:hint="eastAsia" w:ascii="仿宋" w:hAnsi="仿宋" w:eastAsia="仿宋" w:cs="仿宋"/>
          <w:sz w:val="32"/>
          <w:szCs w:val="32"/>
        </w:rPr>
        <w:t>份环境样均为阴性。</w:t>
      </w:r>
    </w:p>
    <w:p>
      <w:pPr>
        <w:widowControl/>
        <w:adjustRightInd w:val="0"/>
        <w:snapToGrid w:val="0"/>
        <w:spacing w:line="560" w:lineRule="exact"/>
        <w:ind w:firstLine="643" w:firstLineChars="200"/>
        <w:jc w:val="left"/>
        <w:rPr>
          <w:rFonts w:ascii="仿宋" w:hAnsi="仿宋" w:eastAsia="仿宋" w:cs="仿宋"/>
          <w:sz w:val="32"/>
          <w:szCs w:val="32"/>
        </w:rPr>
      </w:pPr>
      <w:r>
        <w:rPr>
          <w:rFonts w:ascii="仿宋" w:hAnsi="仿宋" w:eastAsia="仿宋" w:cs="仿宋"/>
          <w:b/>
          <w:sz w:val="32"/>
          <w:szCs w:val="32"/>
        </w:rPr>
        <w:t>7</w:t>
      </w:r>
      <w:r>
        <w:rPr>
          <w:rFonts w:hint="eastAsia" w:ascii="仿宋" w:hAnsi="仿宋" w:eastAsia="仿宋" w:cs="仿宋"/>
          <w:b/>
          <w:sz w:val="32"/>
          <w:szCs w:val="32"/>
        </w:rPr>
        <w:t>、狂犬病监测</w:t>
      </w:r>
      <w:r>
        <w:rPr>
          <w:rFonts w:hint="eastAsia" w:ascii="仿宋" w:hAnsi="仿宋" w:eastAsia="仿宋" w:cs="仿宋"/>
          <w:sz w:val="32"/>
          <w:szCs w:val="32"/>
        </w:rPr>
        <w:t>：全县</w:t>
      </w:r>
      <w:r>
        <w:rPr>
          <w:rFonts w:ascii="仿宋" w:hAnsi="仿宋" w:eastAsia="仿宋" w:cs="仿宋"/>
          <w:sz w:val="32"/>
          <w:szCs w:val="32"/>
        </w:rPr>
        <w:t>2024</w:t>
      </w:r>
      <w:r>
        <w:rPr>
          <w:rFonts w:hint="eastAsia" w:ascii="仿宋" w:hAnsi="仿宋" w:eastAsia="仿宋" w:cs="仿宋"/>
          <w:sz w:val="32"/>
          <w:szCs w:val="32"/>
        </w:rPr>
        <w:t>年度无狂犬病病例报告。在全县</w:t>
      </w:r>
      <w:r>
        <w:rPr>
          <w:rFonts w:ascii="仿宋" w:hAnsi="仿宋" w:eastAsia="仿宋" w:cs="仿宋"/>
          <w:sz w:val="32"/>
          <w:szCs w:val="32"/>
        </w:rPr>
        <w:t>11</w:t>
      </w:r>
      <w:r>
        <w:rPr>
          <w:rFonts w:hint="eastAsia" w:ascii="仿宋" w:hAnsi="仿宋" w:eastAsia="仿宋" w:cs="仿宋"/>
          <w:sz w:val="32"/>
          <w:szCs w:val="32"/>
        </w:rPr>
        <w:t>所乡镇卫生院内均设置了狂犬预防接种门诊，安排了人员</w:t>
      </w:r>
      <w:r>
        <w:rPr>
          <w:rFonts w:ascii="仿宋" w:hAnsi="仿宋" w:eastAsia="仿宋" w:cs="仿宋"/>
          <w:sz w:val="32"/>
          <w:szCs w:val="32"/>
        </w:rPr>
        <w:t>24</w:t>
      </w:r>
      <w:r>
        <w:rPr>
          <w:rFonts w:hint="eastAsia" w:ascii="仿宋" w:hAnsi="仿宋" w:eastAsia="仿宋" w:cs="仿宋"/>
          <w:sz w:val="32"/>
          <w:szCs w:val="32"/>
        </w:rPr>
        <w:t>小时轮流值班。登记狂犬病暴露者</w:t>
      </w:r>
      <w:r>
        <w:rPr>
          <w:rFonts w:ascii="仿宋" w:hAnsi="仿宋" w:eastAsia="仿宋" w:cs="仿宋"/>
          <w:sz w:val="32"/>
          <w:szCs w:val="32"/>
        </w:rPr>
        <w:t>4435</w:t>
      </w:r>
      <w:r>
        <w:rPr>
          <w:rFonts w:hint="eastAsia" w:ascii="仿宋" w:hAnsi="仿宋" w:eastAsia="仿宋" w:cs="仿宋"/>
          <w:sz w:val="32"/>
          <w:szCs w:val="32"/>
        </w:rPr>
        <w:t>人，进行狂犬免疫球蛋白接种的</w:t>
      </w:r>
      <w:r>
        <w:rPr>
          <w:rFonts w:ascii="仿宋" w:hAnsi="仿宋" w:eastAsia="仿宋" w:cs="仿宋"/>
          <w:sz w:val="32"/>
          <w:szCs w:val="32"/>
        </w:rPr>
        <w:t>707</w:t>
      </w:r>
      <w:r>
        <w:rPr>
          <w:rFonts w:hint="eastAsia" w:ascii="仿宋" w:hAnsi="仿宋" w:eastAsia="仿宋" w:cs="仿宋"/>
          <w:sz w:val="32"/>
          <w:szCs w:val="32"/>
        </w:rPr>
        <w:t>人，对</w:t>
      </w:r>
      <w:r>
        <w:rPr>
          <w:rFonts w:ascii="仿宋" w:hAnsi="仿宋" w:eastAsia="仿宋" w:cs="仿宋"/>
          <w:sz w:val="32"/>
          <w:szCs w:val="32"/>
        </w:rPr>
        <w:t>2435</w:t>
      </w:r>
      <w:r>
        <w:rPr>
          <w:rFonts w:hint="eastAsia" w:ascii="仿宋" w:hAnsi="仿宋" w:eastAsia="仿宋" w:cs="仿宋"/>
          <w:sz w:val="32"/>
          <w:szCs w:val="32"/>
        </w:rPr>
        <w:t>人进行狂苗注射后抗体检测，抗体阳性人数</w:t>
      </w:r>
      <w:r>
        <w:rPr>
          <w:rFonts w:ascii="仿宋" w:hAnsi="仿宋" w:eastAsia="仿宋" w:cs="仿宋"/>
          <w:sz w:val="32"/>
          <w:szCs w:val="32"/>
        </w:rPr>
        <w:t>2435</w:t>
      </w:r>
      <w:r>
        <w:rPr>
          <w:rFonts w:hint="eastAsia" w:ascii="仿宋" w:hAnsi="仿宋" w:eastAsia="仿宋" w:cs="仿宋"/>
          <w:sz w:val="32"/>
          <w:szCs w:val="32"/>
        </w:rPr>
        <w:t>人，阳性率</w:t>
      </w:r>
      <w:r>
        <w:rPr>
          <w:rFonts w:ascii="仿宋" w:hAnsi="仿宋" w:eastAsia="仿宋" w:cs="仿宋"/>
          <w:sz w:val="32"/>
          <w:szCs w:val="32"/>
        </w:rPr>
        <w:t>100.0%</w:t>
      </w:r>
      <w:r>
        <w:rPr>
          <w:rFonts w:hint="eastAsia" w:ascii="仿宋" w:hAnsi="仿宋" w:eastAsia="仿宋" w:cs="仿宋"/>
          <w:sz w:val="32"/>
          <w:szCs w:val="32"/>
        </w:rPr>
        <w:t>。一年来，凡接种过狂犬疫苗的狂犬病暴露者均未发病。</w:t>
      </w:r>
    </w:p>
    <w:p>
      <w:pPr>
        <w:widowControl/>
        <w:adjustRightInd w:val="0"/>
        <w:snapToGrid w:val="0"/>
        <w:spacing w:line="560" w:lineRule="exact"/>
        <w:ind w:firstLine="643" w:firstLineChars="200"/>
        <w:jc w:val="left"/>
        <w:rPr>
          <w:rFonts w:ascii="仿宋" w:hAnsi="仿宋" w:eastAsia="仿宋" w:cs="仿宋"/>
          <w:sz w:val="32"/>
          <w:szCs w:val="32"/>
        </w:rPr>
      </w:pPr>
      <w:r>
        <w:rPr>
          <w:rFonts w:ascii="仿宋" w:hAnsi="仿宋" w:eastAsia="仿宋" w:cs="仿宋"/>
          <w:b/>
          <w:sz w:val="32"/>
          <w:szCs w:val="32"/>
        </w:rPr>
        <w:t>8</w:t>
      </w:r>
      <w:r>
        <w:rPr>
          <w:rFonts w:hint="eastAsia" w:ascii="仿宋" w:hAnsi="仿宋" w:eastAsia="仿宋" w:cs="仿宋"/>
          <w:b/>
          <w:sz w:val="32"/>
          <w:szCs w:val="32"/>
        </w:rPr>
        <w:t>、霍乱监测</w:t>
      </w:r>
      <w:r>
        <w:rPr>
          <w:rFonts w:hint="eastAsia" w:ascii="仿宋" w:hAnsi="仿宋" w:eastAsia="仿宋" w:cs="仿宋"/>
          <w:sz w:val="32"/>
          <w:szCs w:val="32"/>
        </w:rPr>
        <w:t>：</w:t>
      </w:r>
      <w:r>
        <w:rPr>
          <w:rFonts w:ascii="仿宋" w:hAnsi="仿宋" w:eastAsia="仿宋" w:cs="仿宋"/>
          <w:sz w:val="32"/>
          <w:szCs w:val="32"/>
        </w:rPr>
        <w:t>5-10</w:t>
      </w:r>
      <w:r>
        <w:rPr>
          <w:rFonts w:hint="eastAsia" w:ascii="仿宋" w:hAnsi="仿宋" w:eastAsia="仿宋" w:cs="仿宋"/>
          <w:sz w:val="32"/>
          <w:szCs w:val="32"/>
        </w:rPr>
        <w:t>月份进行了“二号病”监测，为各医疗机构腹泻病人登记数</w:t>
      </w:r>
      <w:r>
        <w:rPr>
          <w:rFonts w:ascii="仿宋" w:hAnsi="仿宋" w:eastAsia="仿宋" w:cs="仿宋"/>
          <w:sz w:val="32"/>
          <w:szCs w:val="32"/>
        </w:rPr>
        <w:t>377</w:t>
      </w:r>
      <w:r>
        <w:rPr>
          <w:rFonts w:hint="eastAsia" w:ascii="仿宋" w:hAnsi="仿宋" w:eastAsia="仿宋" w:cs="仿宋"/>
          <w:sz w:val="32"/>
          <w:szCs w:val="32"/>
        </w:rPr>
        <w:t>人，检索数</w:t>
      </w:r>
      <w:r>
        <w:rPr>
          <w:rFonts w:ascii="仿宋" w:hAnsi="仿宋" w:eastAsia="仿宋" w:cs="仿宋"/>
          <w:sz w:val="32"/>
          <w:szCs w:val="32"/>
        </w:rPr>
        <w:t>126</w:t>
      </w:r>
      <w:r>
        <w:rPr>
          <w:rFonts w:hint="eastAsia" w:ascii="仿宋" w:hAnsi="仿宋" w:eastAsia="仿宋" w:cs="仿宋"/>
          <w:sz w:val="32"/>
          <w:szCs w:val="32"/>
        </w:rPr>
        <w:t>人，检索率</w:t>
      </w:r>
      <w:r>
        <w:rPr>
          <w:rFonts w:ascii="仿宋" w:hAnsi="仿宋" w:eastAsia="仿宋" w:cs="仿宋"/>
          <w:sz w:val="32"/>
          <w:szCs w:val="32"/>
        </w:rPr>
        <w:t>32.42%</w:t>
      </w:r>
      <w:r>
        <w:rPr>
          <w:rFonts w:hint="eastAsia" w:ascii="仿宋" w:hAnsi="仿宋" w:eastAsia="仿宋" w:cs="仿宋"/>
          <w:sz w:val="32"/>
          <w:szCs w:val="32"/>
        </w:rPr>
        <w:t>，水产品监测霍乱弧菌</w:t>
      </w:r>
      <w:r>
        <w:rPr>
          <w:rFonts w:ascii="仿宋" w:hAnsi="仿宋" w:eastAsia="仿宋" w:cs="仿宋"/>
          <w:sz w:val="32"/>
          <w:szCs w:val="32"/>
        </w:rPr>
        <w:t>60</w:t>
      </w:r>
      <w:r>
        <w:rPr>
          <w:rFonts w:hint="eastAsia" w:ascii="仿宋" w:hAnsi="仿宋" w:eastAsia="仿宋" w:cs="仿宋"/>
          <w:sz w:val="32"/>
          <w:szCs w:val="32"/>
        </w:rPr>
        <w:t>份及水系监测</w:t>
      </w:r>
      <w:r>
        <w:rPr>
          <w:rFonts w:ascii="仿宋" w:hAnsi="仿宋" w:eastAsia="仿宋" w:cs="仿宋"/>
          <w:sz w:val="32"/>
          <w:szCs w:val="32"/>
        </w:rPr>
        <w:t>30</w:t>
      </w:r>
      <w:r>
        <w:rPr>
          <w:rFonts w:hint="eastAsia" w:ascii="仿宋" w:hAnsi="仿宋" w:eastAsia="仿宋" w:cs="仿宋"/>
          <w:sz w:val="32"/>
          <w:szCs w:val="32"/>
        </w:rPr>
        <w:t>份，共监测霍乱弧菌环境和食品监测共</w:t>
      </w:r>
      <w:r>
        <w:rPr>
          <w:rFonts w:ascii="仿宋" w:hAnsi="仿宋" w:eastAsia="仿宋" w:cs="仿宋"/>
          <w:sz w:val="32"/>
          <w:szCs w:val="32"/>
        </w:rPr>
        <w:t>90</w:t>
      </w:r>
      <w:r>
        <w:rPr>
          <w:rFonts w:hint="eastAsia" w:ascii="仿宋" w:hAnsi="仿宋" w:eastAsia="仿宋" w:cs="仿宋"/>
          <w:sz w:val="32"/>
          <w:szCs w:val="32"/>
        </w:rPr>
        <w:t>份，结果均为阴性。</w:t>
      </w:r>
    </w:p>
    <w:p>
      <w:pPr>
        <w:widowControl/>
        <w:adjustRightInd w:val="0"/>
        <w:snapToGrid w:val="0"/>
        <w:spacing w:line="560" w:lineRule="exact"/>
        <w:ind w:firstLine="643" w:firstLineChars="200"/>
        <w:jc w:val="left"/>
        <w:rPr>
          <w:rFonts w:ascii="仿宋" w:hAnsi="仿宋" w:eastAsia="仿宋" w:cs="仿宋"/>
          <w:sz w:val="32"/>
          <w:szCs w:val="32"/>
        </w:rPr>
      </w:pPr>
      <w:r>
        <w:rPr>
          <w:rFonts w:ascii="仿宋" w:hAnsi="仿宋" w:eastAsia="仿宋" w:cs="仿宋"/>
          <w:b/>
          <w:sz w:val="32"/>
          <w:szCs w:val="32"/>
        </w:rPr>
        <w:t>9</w:t>
      </w:r>
      <w:r>
        <w:rPr>
          <w:rFonts w:hint="eastAsia" w:ascii="仿宋" w:hAnsi="仿宋" w:eastAsia="仿宋" w:cs="仿宋"/>
          <w:b/>
          <w:sz w:val="32"/>
          <w:szCs w:val="32"/>
        </w:rPr>
        <w:t>、登革热监测工作</w:t>
      </w:r>
      <w:r>
        <w:rPr>
          <w:rFonts w:hint="eastAsia" w:ascii="仿宋" w:hAnsi="仿宋" w:eastAsia="仿宋" w:cs="仿宋"/>
          <w:sz w:val="32"/>
          <w:szCs w:val="32"/>
        </w:rPr>
        <w:t>：</w:t>
      </w:r>
      <w:r>
        <w:rPr>
          <w:rFonts w:ascii="仿宋" w:hAnsi="仿宋" w:eastAsia="仿宋" w:cs="仿宋"/>
          <w:sz w:val="32"/>
          <w:szCs w:val="32"/>
        </w:rPr>
        <w:t>1-12</w:t>
      </w:r>
      <w:r>
        <w:rPr>
          <w:rFonts w:hint="eastAsia" w:ascii="仿宋" w:hAnsi="仿宋" w:eastAsia="仿宋" w:cs="仿宋"/>
          <w:sz w:val="32"/>
          <w:szCs w:val="32"/>
        </w:rPr>
        <w:t>月份无登革热病例报告。在县城东南西北四个方向开展了一次蚊媒应急监测，共监测</w:t>
      </w:r>
      <w:r>
        <w:rPr>
          <w:rFonts w:ascii="仿宋" w:hAnsi="仿宋" w:eastAsia="仿宋" w:cs="仿宋"/>
          <w:sz w:val="32"/>
          <w:szCs w:val="32"/>
        </w:rPr>
        <w:t>100</w:t>
      </w:r>
      <w:r>
        <w:rPr>
          <w:rFonts w:hint="eastAsia" w:ascii="仿宋" w:hAnsi="仿宋" w:eastAsia="仿宋" w:cs="仿宋"/>
          <w:sz w:val="32"/>
          <w:szCs w:val="32"/>
        </w:rPr>
        <w:t>户，布雷图指数为</w:t>
      </w:r>
      <w:r>
        <w:rPr>
          <w:rFonts w:ascii="仿宋" w:hAnsi="仿宋" w:eastAsia="仿宋" w:cs="仿宋"/>
          <w:sz w:val="32"/>
          <w:szCs w:val="32"/>
        </w:rPr>
        <w:t>52</w:t>
      </w:r>
      <w:r>
        <w:rPr>
          <w:rFonts w:hint="eastAsia" w:ascii="仿宋" w:hAnsi="仿宋" w:eastAsia="仿宋" w:cs="仿宋"/>
          <w:sz w:val="32"/>
          <w:szCs w:val="32"/>
        </w:rPr>
        <w:t>；深入社区开展登革热防治宣传和在县城人群聚集的场所通过挂横幅、现场咨询等方式宣传登革热防控知识，共向现场群众发放各类登革热防治知识宣传折页</w:t>
      </w:r>
      <w:r>
        <w:rPr>
          <w:rFonts w:ascii="仿宋" w:hAnsi="仿宋" w:eastAsia="仿宋" w:cs="仿宋"/>
          <w:sz w:val="32"/>
          <w:szCs w:val="32"/>
        </w:rPr>
        <w:t>600</w:t>
      </w:r>
      <w:r>
        <w:rPr>
          <w:rFonts w:hint="eastAsia" w:ascii="仿宋" w:hAnsi="仿宋" w:eastAsia="仿宋" w:cs="仿宋"/>
          <w:sz w:val="32"/>
          <w:szCs w:val="32"/>
        </w:rPr>
        <w:t>余份、登革热防控知识咨询</w:t>
      </w:r>
      <w:r>
        <w:rPr>
          <w:rFonts w:ascii="仿宋" w:hAnsi="仿宋" w:eastAsia="仿宋" w:cs="仿宋"/>
          <w:sz w:val="32"/>
          <w:szCs w:val="32"/>
        </w:rPr>
        <w:t>100</w:t>
      </w:r>
      <w:r>
        <w:rPr>
          <w:rFonts w:hint="eastAsia" w:ascii="仿宋" w:hAnsi="仿宋" w:eastAsia="仿宋" w:cs="仿宋"/>
          <w:sz w:val="32"/>
          <w:szCs w:val="32"/>
        </w:rPr>
        <w:t>多人次。</w:t>
      </w:r>
      <w:r>
        <w:rPr>
          <w:rFonts w:ascii="仿宋" w:hAnsi="仿宋" w:eastAsia="仿宋" w:cs="仿宋"/>
          <w:sz w:val="32"/>
          <w:szCs w:val="32"/>
        </w:rPr>
        <w:t xml:space="preserve">   </w:t>
      </w:r>
    </w:p>
    <w:p>
      <w:pPr>
        <w:numPr>
          <w:ilvl w:val="0"/>
          <w:numId w:val="2"/>
        </w:numPr>
        <w:spacing w:line="560" w:lineRule="exact"/>
        <w:rPr>
          <w:rFonts w:eastAsia="Times New Roman"/>
        </w:rPr>
      </w:pP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（五）社会效应方面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我单位工作人员本着高度负责的精神，积极开展重大疾病防控工作，为保障全县人民身体健康做出了应有的贡献，社会反响良好。</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（六）可持续发展能力方面</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2024</w:t>
      </w:r>
      <w:r>
        <w:rPr>
          <w:rFonts w:hint="eastAsia" w:ascii="仿宋" w:hAnsi="仿宋" w:eastAsia="仿宋" w:cs="仿宋"/>
          <w:sz w:val="32"/>
          <w:szCs w:val="32"/>
        </w:rPr>
        <w:t>年，我单位采购检测设备一批，可长期发挥检测作用，为我县今后开展疫情防控提供坚实的技术保障。</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（六）服务对象满意度方面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我单位工作人员对待来办事的群众认真负责，态度谦和，服务周到，群众对我单位工作认可度高，社会各界人士满意率达</w:t>
      </w:r>
      <w:r>
        <w:rPr>
          <w:rFonts w:ascii="仿宋" w:hAnsi="仿宋" w:eastAsia="仿宋" w:cs="仿宋"/>
          <w:sz w:val="32"/>
          <w:szCs w:val="32"/>
        </w:rPr>
        <w:t>100%</w:t>
      </w:r>
      <w:r>
        <w:rPr>
          <w:rFonts w:hint="eastAsia" w:ascii="仿宋" w:hAnsi="仿宋" w:eastAsia="仿宋" w:cs="仿宋"/>
          <w:sz w:val="32"/>
          <w:szCs w:val="32"/>
        </w:rPr>
        <w:t>。</w:t>
      </w:r>
    </w:p>
    <w:p>
      <w:pPr>
        <w:pStyle w:val="13"/>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七、存在的问题及原因分析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由于县财力有限，对重大公共卫生基础设施建设投入也有限，一些重大疾病的防控体系建设还显得滞后。</w:t>
      </w:r>
    </w:p>
    <w:p>
      <w:pPr>
        <w:spacing w:line="560" w:lineRule="exact"/>
        <w:ind w:firstLine="640" w:firstLineChars="200"/>
        <w:rPr>
          <w:rFonts w:ascii="仿宋" w:hAnsi="仿宋" w:eastAsia="仿宋" w:cs="仿宋"/>
          <w:sz w:val="32"/>
          <w:szCs w:val="32"/>
        </w:rPr>
      </w:pPr>
      <w:r>
        <w:rPr>
          <w:rFonts w:hint="eastAsia" w:eastAsia="黑体"/>
          <w:sz w:val="32"/>
          <w:szCs w:val="32"/>
        </w:rPr>
        <w:t>八、下一步改进措施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建议县财政加大对疾控事业的投入，改善我县疾控基础设施建设滞后的状况。</w:t>
      </w:r>
    </w:p>
    <w:p>
      <w:pPr>
        <w:spacing w:line="560" w:lineRule="exact"/>
        <w:ind w:left="420" w:leftChars="200" w:firstLine="320" w:firstLineChars="100"/>
        <w:rPr>
          <w:rFonts w:eastAsia="黑体"/>
          <w:sz w:val="32"/>
          <w:szCs w:val="32"/>
        </w:rPr>
      </w:pPr>
      <w:r>
        <w:rPr>
          <w:rFonts w:hint="eastAsia" w:eastAsia="黑体"/>
          <w:sz w:val="32"/>
          <w:szCs w:val="32"/>
        </w:rPr>
        <w:t>九、绩效自评结果拟应用和公开情况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w:t>
      </w:r>
      <w:r>
        <w:rPr>
          <w:rFonts w:ascii="仿宋" w:hAnsi="仿宋" w:eastAsia="仿宋" w:cs="仿宋"/>
          <w:sz w:val="32"/>
          <w:szCs w:val="32"/>
        </w:rPr>
        <w:t>2024</w:t>
      </w:r>
      <w:r>
        <w:rPr>
          <w:rFonts w:hint="eastAsia" w:ascii="仿宋" w:hAnsi="仿宋" w:eastAsia="仿宋" w:cs="仿宋"/>
          <w:sz w:val="32"/>
          <w:szCs w:val="32"/>
        </w:rPr>
        <w:t>年财政资金使用绩效情况，我单位将向县财政继续申请有关项目资金。根据财政规定，我单位将在江永县政府网公开</w:t>
      </w:r>
      <w:r>
        <w:rPr>
          <w:rFonts w:ascii="仿宋" w:hAnsi="仿宋" w:eastAsia="仿宋" w:cs="仿宋"/>
          <w:sz w:val="32"/>
          <w:szCs w:val="32"/>
        </w:rPr>
        <w:t>2024</w:t>
      </w:r>
      <w:r>
        <w:rPr>
          <w:rFonts w:hint="eastAsia" w:ascii="仿宋" w:hAnsi="仿宋" w:eastAsia="仿宋" w:cs="仿宋"/>
          <w:sz w:val="32"/>
          <w:szCs w:val="32"/>
        </w:rPr>
        <w:t>年度预算绩效评价报告。</w:t>
      </w:r>
    </w:p>
    <w:p>
      <w:pPr>
        <w:spacing w:line="560" w:lineRule="exact"/>
        <w:ind w:firstLine="640" w:firstLineChars="200"/>
        <w:rPr>
          <w:rFonts w:eastAsia="黑体"/>
          <w:sz w:val="32"/>
          <w:szCs w:val="32"/>
        </w:rPr>
      </w:pPr>
      <w:r>
        <w:rPr>
          <w:rFonts w:hint="eastAsia" w:eastAsia="黑体"/>
          <w:sz w:val="32"/>
          <w:szCs w:val="32"/>
        </w:rPr>
        <w:t>十、其他需要说明的情况</w:t>
      </w:r>
    </w:p>
    <w:p>
      <w:pPr>
        <w:spacing w:line="560" w:lineRule="exact"/>
        <w:ind w:left="420" w:leftChars="20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无。</w:t>
      </w:r>
    </w:p>
    <w:p>
      <w:pPr>
        <w:pStyle w:val="2"/>
        <w:jc w:val="both"/>
      </w:pPr>
    </w:p>
    <w:p>
      <w:pPr>
        <w:pStyle w:val="2"/>
        <w:jc w:val="both"/>
      </w:pPr>
    </w:p>
    <w:p>
      <w:pPr>
        <w:pStyle w:val="2"/>
        <w:jc w:val="both"/>
      </w:pPr>
    </w:p>
    <w:p>
      <w:pPr>
        <w:spacing w:line="560" w:lineRule="exact"/>
        <w:jc w:val="center"/>
        <w:rPr>
          <w:rFonts w:ascii="宋体" w:cs="宋体"/>
          <w:kern w:val="0"/>
          <w:sz w:val="32"/>
          <w:szCs w:val="32"/>
        </w:rPr>
      </w:pPr>
      <w:r>
        <w:rPr>
          <w:rFonts w:hint="eastAsia" w:ascii="宋体" w:hAnsi="宋体" w:cs="宋体"/>
          <w:kern w:val="0"/>
          <w:sz w:val="32"/>
          <w:szCs w:val="32"/>
        </w:rPr>
        <w:t>江永县疾病预防控制中心整体支出绩效评价基础数据表</w:t>
      </w:r>
    </w:p>
    <w:p>
      <w:pPr>
        <w:widowControl/>
        <w:tabs>
          <w:tab w:val="left" w:pos="3611"/>
          <w:tab w:val="left" w:pos="4791"/>
          <w:tab w:val="left" w:pos="5951"/>
          <w:tab w:val="left" w:pos="7071"/>
          <w:tab w:val="left" w:pos="7444"/>
          <w:tab w:val="left" w:pos="8191"/>
          <w:tab w:val="left" w:pos="9311"/>
        </w:tabs>
        <w:ind w:left="91"/>
        <w:jc w:val="left"/>
        <w:rPr>
          <w:rFonts w:eastAsia="Times New Roman"/>
          <w:kern w:val="0"/>
          <w:sz w:val="24"/>
        </w:rPr>
      </w:pPr>
      <w:r>
        <w:rPr>
          <w:rFonts w:eastAsia="Times New Roman"/>
          <w:kern w:val="0"/>
          <w:sz w:val="24"/>
        </w:rPr>
        <w:tab/>
      </w:r>
      <w:r>
        <w:rPr>
          <w:rFonts w:eastAsia="Times New Roman"/>
          <w:kern w:val="0"/>
          <w:sz w:val="24"/>
        </w:rPr>
        <w:tab/>
      </w:r>
      <w:r>
        <w:rPr>
          <w:rFonts w:hint="eastAsia" w:ascii="宋体" w:hAnsi="宋体" w:cs="宋体"/>
          <w:kern w:val="0"/>
          <w:sz w:val="24"/>
        </w:rPr>
        <w:t>金额单位：万元</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pPr>
              <w:widowControl/>
              <w:jc w:val="center"/>
              <w:rPr>
                <w:rFonts w:eastAsia="Times New Roman"/>
                <w:kern w:val="0"/>
                <w:szCs w:val="21"/>
              </w:rPr>
            </w:pPr>
            <w:r>
              <w:rPr>
                <w:rFonts w:hint="eastAsia" w:ascii="宋体" w:hAnsi="宋体" w:cs="宋体"/>
                <w:kern w:val="0"/>
                <w:szCs w:val="21"/>
              </w:rPr>
              <w:t>财政供养人员情况</w:t>
            </w:r>
          </w:p>
        </w:tc>
        <w:tc>
          <w:tcPr>
            <w:tcW w:w="2038" w:type="dxa"/>
            <w:gridSpan w:val="2"/>
            <w:vAlign w:val="center"/>
          </w:tcPr>
          <w:p>
            <w:pPr>
              <w:widowControl/>
              <w:jc w:val="center"/>
              <w:rPr>
                <w:rFonts w:eastAsia="Times New Roman"/>
                <w:b/>
                <w:bCs/>
                <w:kern w:val="0"/>
                <w:szCs w:val="21"/>
              </w:rPr>
            </w:pPr>
            <w:r>
              <w:rPr>
                <w:rFonts w:hint="eastAsia" w:ascii="宋体" w:hAnsi="宋体" w:cs="宋体"/>
                <w:b/>
                <w:bCs/>
                <w:kern w:val="0"/>
                <w:szCs w:val="21"/>
              </w:rPr>
              <w:t>编制数</w:t>
            </w:r>
          </w:p>
        </w:tc>
        <w:tc>
          <w:tcPr>
            <w:tcW w:w="2240" w:type="dxa"/>
            <w:gridSpan w:val="2"/>
            <w:vAlign w:val="center"/>
          </w:tcPr>
          <w:p>
            <w:pPr>
              <w:widowControl/>
              <w:jc w:val="center"/>
              <w:rPr>
                <w:rFonts w:eastAsia="Times New Roman"/>
                <w:b/>
                <w:bCs/>
                <w:kern w:val="0"/>
                <w:szCs w:val="21"/>
              </w:rPr>
            </w:pPr>
            <w:r>
              <w:rPr>
                <w:rFonts w:eastAsia="Times New Roman"/>
                <w:b/>
                <w:bCs/>
                <w:kern w:val="0"/>
                <w:szCs w:val="21"/>
              </w:rPr>
              <w:t>2024</w:t>
            </w:r>
            <w:r>
              <w:rPr>
                <w:rFonts w:hint="eastAsia" w:ascii="宋体" w:hAnsi="宋体" w:cs="宋体"/>
                <w:b/>
                <w:bCs/>
                <w:kern w:val="0"/>
                <w:szCs w:val="21"/>
              </w:rPr>
              <w:t>年实际在职人数</w:t>
            </w:r>
          </w:p>
        </w:tc>
        <w:tc>
          <w:tcPr>
            <w:tcW w:w="1832" w:type="dxa"/>
            <w:gridSpan w:val="2"/>
            <w:vAlign w:val="center"/>
          </w:tcPr>
          <w:p>
            <w:pPr>
              <w:widowControl/>
              <w:jc w:val="center"/>
              <w:rPr>
                <w:rFonts w:eastAsia="Times New Roman"/>
                <w:b/>
                <w:bCs/>
                <w:kern w:val="0"/>
                <w:szCs w:val="21"/>
              </w:rPr>
            </w:pPr>
            <w:r>
              <w:rPr>
                <w:rFonts w:hint="eastAsia" w:ascii="宋体" w:hAnsi="宋体" w:cs="宋体"/>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vAlign w:val="center"/>
          </w:tcPr>
          <w:p>
            <w:pPr>
              <w:widowControl/>
              <w:jc w:val="left"/>
              <w:rPr>
                <w:rFonts w:eastAsia="Times New Roman"/>
                <w:kern w:val="0"/>
                <w:szCs w:val="21"/>
              </w:rPr>
            </w:pPr>
          </w:p>
        </w:tc>
        <w:tc>
          <w:tcPr>
            <w:tcW w:w="2038" w:type="dxa"/>
            <w:gridSpan w:val="2"/>
            <w:vAlign w:val="center"/>
          </w:tcPr>
          <w:p>
            <w:pPr>
              <w:widowControl/>
              <w:jc w:val="center"/>
              <w:rPr>
                <w:rFonts w:eastAsia="Times New Roman"/>
                <w:kern w:val="0"/>
                <w:szCs w:val="21"/>
              </w:rPr>
            </w:pPr>
            <w:r>
              <w:rPr>
                <w:rFonts w:eastAsia="Times New Roman"/>
                <w:kern w:val="0"/>
                <w:szCs w:val="21"/>
              </w:rPr>
              <w:t>3</w:t>
            </w:r>
            <w:r>
              <w:rPr>
                <w:rFonts w:ascii="宋体" w:hAnsi="宋体"/>
                <w:kern w:val="0"/>
                <w:szCs w:val="21"/>
              </w:rPr>
              <w:t>2</w:t>
            </w:r>
          </w:p>
        </w:tc>
        <w:tc>
          <w:tcPr>
            <w:tcW w:w="2240" w:type="dxa"/>
            <w:gridSpan w:val="2"/>
            <w:vAlign w:val="center"/>
          </w:tcPr>
          <w:p>
            <w:pPr>
              <w:widowControl/>
              <w:jc w:val="center"/>
              <w:rPr>
                <w:rFonts w:eastAsia="Times New Roman"/>
                <w:kern w:val="0"/>
                <w:szCs w:val="21"/>
              </w:rPr>
            </w:pPr>
            <w:r>
              <w:rPr>
                <w:rFonts w:eastAsia="Times New Roman"/>
                <w:kern w:val="0"/>
                <w:szCs w:val="21"/>
              </w:rPr>
              <w:t>3</w:t>
            </w:r>
            <w:r>
              <w:rPr>
                <w:rFonts w:ascii="宋体" w:hAnsi="宋体"/>
                <w:kern w:val="0"/>
                <w:szCs w:val="21"/>
              </w:rPr>
              <w:t>2</w:t>
            </w:r>
          </w:p>
        </w:tc>
        <w:tc>
          <w:tcPr>
            <w:tcW w:w="1832" w:type="dxa"/>
            <w:gridSpan w:val="2"/>
            <w:vAlign w:val="center"/>
          </w:tcPr>
          <w:p>
            <w:pPr>
              <w:widowControl/>
              <w:jc w:val="center"/>
              <w:rPr>
                <w:rFonts w:eastAsia="Times New Roman"/>
                <w:kern w:val="0"/>
                <w:szCs w:val="21"/>
              </w:rPr>
            </w:pPr>
            <w:r>
              <w:rPr>
                <w:rFonts w:ascii="宋体" w:hAnsi="宋体"/>
                <w:kern w:val="0"/>
                <w:szCs w:val="21"/>
              </w:rPr>
              <w:t>100</w:t>
            </w:r>
            <w:r>
              <w:rPr>
                <w:rFonts w:eastAsia="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center"/>
              <w:rPr>
                <w:rFonts w:eastAsia="Times New Roman"/>
                <w:kern w:val="0"/>
                <w:szCs w:val="21"/>
              </w:rPr>
            </w:pPr>
            <w:r>
              <w:rPr>
                <w:rFonts w:hint="eastAsia" w:ascii="宋体" w:hAnsi="宋体" w:cs="宋体"/>
                <w:kern w:val="0"/>
                <w:szCs w:val="21"/>
              </w:rPr>
              <w:t>经费控制情况</w:t>
            </w:r>
          </w:p>
        </w:tc>
        <w:tc>
          <w:tcPr>
            <w:tcW w:w="2038" w:type="dxa"/>
            <w:gridSpan w:val="2"/>
            <w:vAlign w:val="center"/>
          </w:tcPr>
          <w:p>
            <w:pPr>
              <w:widowControl/>
              <w:jc w:val="center"/>
              <w:rPr>
                <w:rFonts w:eastAsia="Times New Roman"/>
                <w:b/>
                <w:bCs/>
                <w:kern w:val="0"/>
                <w:szCs w:val="21"/>
              </w:rPr>
            </w:pPr>
            <w:r>
              <w:rPr>
                <w:rFonts w:eastAsia="Times New Roman"/>
                <w:b/>
                <w:bCs/>
                <w:kern w:val="0"/>
                <w:szCs w:val="21"/>
              </w:rPr>
              <w:t>202</w:t>
            </w:r>
            <w:r>
              <w:rPr>
                <w:rFonts w:ascii="宋体" w:hAnsi="宋体"/>
                <w:b/>
                <w:bCs/>
                <w:kern w:val="0"/>
                <w:szCs w:val="21"/>
              </w:rPr>
              <w:t>3</w:t>
            </w:r>
            <w:r>
              <w:rPr>
                <w:rFonts w:hint="eastAsia" w:ascii="宋体" w:hAnsi="宋体" w:cs="宋体"/>
                <w:b/>
                <w:bCs/>
                <w:kern w:val="0"/>
                <w:szCs w:val="21"/>
              </w:rPr>
              <w:t>年决算数</w:t>
            </w:r>
          </w:p>
        </w:tc>
        <w:tc>
          <w:tcPr>
            <w:tcW w:w="2240" w:type="dxa"/>
            <w:gridSpan w:val="2"/>
            <w:vAlign w:val="center"/>
          </w:tcPr>
          <w:p>
            <w:pPr>
              <w:widowControl/>
              <w:jc w:val="center"/>
              <w:rPr>
                <w:rFonts w:eastAsia="Times New Roman"/>
                <w:b/>
                <w:bCs/>
                <w:kern w:val="0"/>
                <w:szCs w:val="21"/>
              </w:rPr>
            </w:pPr>
            <w:r>
              <w:rPr>
                <w:rFonts w:eastAsia="Times New Roman"/>
                <w:b/>
                <w:bCs/>
                <w:kern w:val="0"/>
                <w:szCs w:val="21"/>
              </w:rPr>
              <w:t>2024</w:t>
            </w:r>
            <w:r>
              <w:rPr>
                <w:rFonts w:hint="eastAsia" w:ascii="宋体" w:hAnsi="宋体" w:cs="宋体"/>
                <w:b/>
                <w:bCs/>
                <w:kern w:val="0"/>
                <w:szCs w:val="21"/>
              </w:rPr>
              <w:t>年预算数</w:t>
            </w:r>
          </w:p>
        </w:tc>
        <w:tc>
          <w:tcPr>
            <w:tcW w:w="1832" w:type="dxa"/>
            <w:gridSpan w:val="2"/>
            <w:vAlign w:val="center"/>
          </w:tcPr>
          <w:p>
            <w:pPr>
              <w:widowControl/>
              <w:jc w:val="center"/>
              <w:rPr>
                <w:rFonts w:eastAsia="Times New Roman"/>
                <w:b/>
                <w:bCs/>
                <w:kern w:val="0"/>
                <w:szCs w:val="21"/>
              </w:rPr>
            </w:pPr>
            <w:r>
              <w:rPr>
                <w:rFonts w:eastAsia="Times New Roman"/>
                <w:b/>
                <w:bCs/>
                <w:kern w:val="0"/>
                <w:szCs w:val="21"/>
              </w:rPr>
              <w:t>2024</w:t>
            </w:r>
            <w:r>
              <w:rPr>
                <w:rFonts w:hint="eastAsia" w:ascii="宋体" w:hAnsi="宋体" w:cs="宋体"/>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三公经费</w:t>
            </w:r>
          </w:p>
        </w:tc>
        <w:tc>
          <w:tcPr>
            <w:tcW w:w="2038" w:type="dxa"/>
            <w:gridSpan w:val="2"/>
            <w:vAlign w:val="center"/>
          </w:tcPr>
          <w:p>
            <w:pPr>
              <w:widowControl/>
              <w:jc w:val="center"/>
              <w:rPr>
                <w:rFonts w:eastAsia="Times New Roman"/>
                <w:kern w:val="0"/>
                <w:szCs w:val="21"/>
              </w:rPr>
            </w:pPr>
            <w:r>
              <w:rPr>
                <w:rFonts w:eastAsia="Times New Roman"/>
                <w:kern w:val="0"/>
                <w:szCs w:val="21"/>
              </w:rPr>
              <w:t>14.8</w:t>
            </w:r>
          </w:p>
        </w:tc>
        <w:tc>
          <w:tcPr>
            <w:tcW w:w="2240" w:type="dxa"/>
            <w:gridSpan w:val="2"/>
            <w:vAlign w:val="center"/>
          </w:tcPr>
          <w:p>
            <w:pPr>
              <w:widowControl/>
              <w:jc w:val="center"/>
              <w:rPr>
                <w:rFonts w:eastAsia="Times New Roman"/>
                <w:kern w:val="0"/>
                <w:szCs w:val="21"/>
              </w:rPr>
            </w:pPr>
            <w:r>
              <w:rPr>
                <w:rFonts w:ascii="宋体" w:hAnsi="宋体"/>
                <w:kern w:val="0"/>
                <w:szCs w:val="21"/>
              </w:rPr>
              <w:t>15.92</w:t>
            </w:r>
          </w:p>
        </w:tc>
        <w:tc>
          <w:tcPr>
            <w:tcW w:w="1832" w:type="dxa"/>
            <w:gridSpan w:val="2"/>
            <w:vAlign w:val="center"/>
          </w:tcPr>
          <w:p>
            <w:pPr>
              <w:widowControl/>
              <w:jc w:val="center"/>
              <w:rPr>
                <w:rFonts w:eastAsia="Times New Roman"/>
                <w:kern w:val="0"/>
                <w:szCs w:val="21"/>
              </w:rPr>
            </w:pPr>
            <w:r>
              <w:rPr>
                <w:rFonts w:ascii="宋体" w:hAnsi="宋体"/>
                <w:kern w:val="0"/>
                <w:szCs w:val="21"/>
              </w:rPr>
              <w:t>14.91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、公务用车购置和维护经费</w:t>
            </w:r>
          </w:p>
        </w:tc>
        <w:tc>
          <w:tcPr>
            <w:tcW w:w="2038" w:type="dxa"/>
            <w:gridSpan w:val="2"/>
            <w:vAlign w:val="center"/>
          </w:tcPr>
          <w:p>
            <w:pPr>
              <w:widowControl/>
              <w:jc w:val="center"/>
              <w:rPr>
                <w:rFonts w:eastAsia="Times New Roman"/>
                <w:kern w:val="0"/>
                <w:szCs w:val="21"/>
              </w:rPr>
            </w:pPr>
            <w:r>
              <w:rPr>
                <w:rFonts w:eastAsia="Times New Roman"/>
                <w:kern w:val="0"/>
                <w:szCs w:val="21"/>
              </w:rPr>
              <w:t>8.42</w:t>
            </w:r>
          </w:p>
        </w:tc>
        <w:tc>
          <w:tcPr>
            <w:tcW w:w="2240" w:type="dxa"/>
            <w:gridSpan w:val="2"/>
            <w:vAlign w:val="center"/>
          </w:tcPr>
          <w:p>
            <w:pPr>
              <w:widowControl/>
              <w:jc w:val="center"/>
              <w:rPr>
                <w:rFonts w:eastAsia="Times New Roman"/>
                <w:kern w:val="0"/>
                <w:szCs w:val="21"/>
              </w:rPr>
            </w:pPr>
            <w:r>
              <w:rPr>
                <w:rFonts w:ascii="宋体" w:hAnsi="宋体"/>
                <w:kern w:val="0"/>
                <w:szCs w:val="21"/>
              </w:rPr>
              <w:t>8.72</w:t>
            </w:r>
          </w:p>
        </w:tc>
        <w:tc>
          <w:tcPr>
            <w:tcW w:w="1832" w:type="dxa"/>
            <w:gridSpan w:val="2"/>
            <w:vAlign w:val="center"/>
          </w:tcPr>
          <w:p>
            <w:pPr>
              <w:widowControl/>
              <w:jc w:val="center"/>
              <w:rPr>
                <w:rFonts w:eastAsia="Times New Roman"/>
                <w:kern w:val="0"/>
                <w:szCs w:val="21"/>
              </w:rPr>
            </w:pPr>
            <w:r>
              <w:rPr>
                <w:rFonts w:ascii="宋体" w:hAnsi="宋体"/>
                <w:kern w:val="0"/>
                <w:szCs w:val="21"/>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其中：公车购置</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公车运行维护</w:t>
            </w:r>
          </w:p>
        </w:tc>
        <w:tc>
          <w:tcPr>
            <w:tcW w:w="2038" w:type="dxa"/>
            <w:gridSpan w:val="2"/>
            <w:vAlign w:val="center"/>
          </w:tcPr>
          <w:p>
            <w:pPr>
              <w:widowControl/>
              <w:jc w:val="center"/>
              <w:rPr>
                <w:rFonts w:eastAsia="Times New Roman"/>
                <w:kern w:val="0"/>
                <w:szCs w:val="21"/>
              </w:rPr>
            </w:pPr>
            <w:r>
              <w:rPr>
                <w:rFonts w:eastAsia="Times New Roman"/>
                <w:kern w:val="0"/>
                <w:szCs w:val="21"/>
              </w:rPr>
              <w:t>8.42</w:t>
            </w:r>
          </w:p>
        </w:tc>
        <w:tc>
          <w:tcPr>
            <w:tcW w:w="2240" w:type="dxa"/>
            <w:gridSpan w:val="2"/>
            <w:vAlign w:val="center"/>
          </w:tcPr>
          <w:p>
            <w:pPr>
              <w:widowControl/>
              <w:jc w:val="center"/>
              <w:rPr>
                <w:rFonts w:eastAsia="Times New Roman"/>
                <w:kern w:val="0"/>
                <w:szCs w:val="21"/>
              </w:rPr>
            </w:pPr>
            <w:r>
              <w:rPr>
                <w:rFonts w:ascii="宋体" w:hAnsi="宋体"/>
                <w:kern w:val="0"/>
                <w:szCs w:val="21"/>
              </w:rPr>
              <w:t>8.72</w:t>
            </w:r>
          </w:p>
        </w:tc>
        <w:tc>
          <w:tcPr>
            <w:tcW w:w="1832" w:type="dxa"/>
            <w:gridSpan w:val="2"/>
            <w:vAlign w:val="center"/>
          </w:tcPr>
          <w:p>
            <w:pPr>
              <w:widowControl/>
              <w:jc w:val="center"/>
              <w:rPr>
                <w:rFonts w:eastAsia="Times New Roman"/>
                <w:kern w:val="0"/>
                <w:szCs w:val="21"/>
              </w:rPr>
            </w:pPr>
            <w:r>
              <w:rPr>
                <w:rFonts w:ascii="宋体" w:hAnsi="宋体"/>
                <w:kern w:val="0"/>
                <w:szCs w:val="21"/>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、出国经费</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3</w:t>
            </w:r>
            <w:r>
              <w:rPr>
                <w:rFonts w:hint="eastAsia" w:ascii="宋体" w:hAnsi="宋体" w:cs="宋体"/>
                <w:kern w:val="0"/>
                <w:szCs w:val="21"/>
              </w:rPr>
              <w:t>、公务接待</w:t>
            </w:r>
          </w:p>
        </w:tc>
        <w:tc>
          <w:tcPr>
            <w:tcW w:w="2038" w:type="dxa"/>
            <w:gridSpan w:val="2"/>
            <w:vAlign w:val="center"/>
          </w:tcPr>
          <w:p>
            <w:pPr>
              <w:widowControl/>
              <w:jc w:val="center"/>
              <w:rPr>
                <w:rFonts w:eastAsia="Times New Roman"/>
                <w:kern w:val="0"/>
                <w:szCs w:val="21"/>
              </w:rPr>
            </w:pPr>
            <w:r>
              <w:rPr>
                <w:rFonts w:eastAsia="Times New Roman"/>
                <w:kern w:val="0"/>
                <w:szCs w:val="21"/>
              </w:rPr>
              <w:t>6.38</w:t>
            </w:r>
          </w:p>
        </w:tc>
        <w:tc>
          <w:tcPr>
            <w:tcW w:w="2240" w:type="dxa"/>
            <w:gridSpan w:val="2"/>
            <w:vAlign w:val="center"/>
          </w:tcPr>
          <w:p>
            <w:pPr>
              <w:widowControl/>
              <w:jc w:val="center"/>
              <w:rPr>
                <w:rFonts w:eastAsia="Times New Roman"/>
                <w:kern w:val="0"/>
                <w:szCs w:val="21"/>
              </w:rPr>
            </w:pPr>
            <w:r>
              <w:rPr>
                <w:rFonts w:ascii="宋体" w:hAnsi="宋体"/>
                <w:kern w:val="0"/>
                <w:szCs w:val="21"/>
              </w:rPr>
              <w:t>7.2</w:t>
            </w:r>
          </w:p>
        </w:tc>
        <w:tc>
          <w:tcPr>
            <w:tcW w:w="1832" w:type="dxa"/>
            <w:gridSpan w:val="2"/>
            <w:vAlign w:val="center"/>
          </w:tcPr>
          <w:p>
            <w:pPr>
              <w:widowControl/>
              <w:jc w:val="center"/>
              <w:rPr>
                <w:rFonts w:eastAsia="Times New Roman"/>
                <w:kern w:val="0"/>
                <w:szCs w:val="21"/>
              </w:rPr>
            </w:pPr>
            <w:r>
              <w:rPr>
                <w:rFonts w:ascii="宋体" w:hAnsi="宋体"/>
                <w:kern w:val="0"/>
                <w:szCs w:val="21"/>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项目支出：</w:t>
            </w:r>
          </w:p>
        </w:tc>
        <w:tc>
          <w:tcPr>
            <w:tcW w:w="2038" w:type="dxa"/>
            <w:gridSpan w:val="2"/>
            <w:vAlign w:val="center"/>
          </w:tcPr>
          <w:p>
            <w:pPr>
              <w:widowControl/>
              <w:jc w:val="center"/>
              <w:rPr>
                <w:rFonts w:eastAsia="Times New Roman"/>
                <w:kern w:val="0"/>
                <w:szCs w:val="21"/>
              </w:rPr>
            </w:pPr>
            <w:r>
              <w:rPr>
                <w:rFonts w:eastAsia="Times New Roman"/>
                <w:kern w:val="0"/>
                <w:szCs w:val="21"/>
              </w:rPr>
              <w:t>263.56</w:t>
            </w: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、业务工作经费</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、运行维护经费</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rPr>
                <w:rFonts w:eastAsia="Times New Roman"/>
                <w:kern w:val="0"/>
                <w:szCs w:val="21"/>
              </w:rPr>
            </w:pPr>
            <w:r>
              <w:rPr>
                <w:rFonts w:eastAsia="Times New Roman"/>
                <w:kern w:val="0"/>
                <w:szCs w:val="21"/>
              </w:rPr>
              <w:t xml:space="preserve">    3</w:t>
            </w:r>
            <w:r>
              <w:rPr>
                <w:rFonts w:hint="eastAsia" w:ascii="宋体" w:hAnsi="宋体" w:cs="宋体"/>
                <w:kern w:val="0"/>
                <w:szCs w:val="21"/>
              </w:rPr>
              <w:t>、项目支出：</w:t>
            </w:r>
          </w:p>
        </w:tc>
        <w:tc>
          <w:tcPr>
            <w:tcW w:w="2038" w:type="dxa"/>
            <w:gridSpan w:val="2"/>
            <w:vAlign w:val="center"/>
          </w:tcPr>
          <w:p>
            <w:pPr>
              <w:widowControl/>
              <w:jc w:val="center"/>
              <w:rPr>
                <w:rFonts w:eastAsia="Times New Roman"/>
                <w:kern w:val="0"/>
                <w:szCs w:val="21"/>
              </w:rPr>
            </w:pPr>
            <w:r>
              <w:rPr>
                <w:rFonts w:eastAsia="Times New Roman"/>
                <w:kern w:val="0"/>
                <w:szCs w:val="21"/>
              </w:rPr>
              <w:t>263.56</w:t>
            </w: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w:t>
            </w:r>
            <w:r>
              <w:rPr>
                <w:rFonts w:eastAsia="Times New Roman"/>
                <w:kern w:val="0"/>
                <w:szCs w:val="21"/>
              </w:rPr>
              <w:t>1</w:t>
            </w:r>
            <w:r>
              <w:rPr>
                <w:rFonts w:hint="eastAsia" w:ascii="宋体" w:hAnsi="宋体" w:cs="宋体"/>
                <w:kern w:val="0"/>
                <w:szCs w:val="21"/>
              </w:rPr>
              <w:t>）公共卫生专项资金</w:t>
            </w:r>
          </w:p>
        </w:tc>
        <w:tc>
          <w:tcPr>
            <w:tcW w:w="2038" w:type="dxa"/>
            <w:gridSpan w:val="2"/>
            <w:vAlign w:val="center"/>
          </w:tcPr>
          <w:p>
            <w:pPr>
              <w:widowControl/>
              <w:jc w:val="center"/>
              <w:rPr>
                <w:rFonts w:eastAsia="Times New Roman"/>
                <w:kern w:val="0"/>
                <w:szCs w:val="21"/>
              </w:rPr>
            </w:pPr>
          </w:p>
        </w:tc>
        <w:tc>
          <w:tcPr>
            <w:tcW w:w="2240" w:type="dxa"/>
            <w:gridSpan w:val="2"/>
            <w:vAlign w:val="center"/>
          </w:tcPr>
          <w:p>
            <w:pPr>
              <w:widowControl/>
              <w:jc w:val="center"/>
              <w:rPr>
                <w:kern w:val="0"/>
                <w:szCs w:val="21"/>
              </w:rPr>
            </w:pPr>
            <w:r>
              <w:rPr>
                <w:kern w:val="0"/>
                <w:szCs w:val="21"/>
              </w:rPr>
              <w:t>353.51</w:t>
            </w:r>
          </w:p>
        </w:tc>
        <w:tc>
          <w:tcPr>
            <w:tcW w:w="1832" w:type="dxa"/>
            <w:gridSpan w:val="2"/>
            <w:vAlign w:val="center"/>
          </w:tcPr>
          <w:p>
            <w:pPr>
              <w:widowControl/>
              <w:jc w:val="center"/>
              <w:rPr>
                <w:kern w:val="0"/>
                <w:szCs w:val="21"/>
              </w:rPr>
            </w:pPr>
            <w:r>
              <w:rPr>
                <w:kern w:val="0"/>
                <w:szCs w:val="21"/>
              </w:rPr>
              <w:t>353.51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w:t>
            </w:r>
            <w:r>
              <w:rPr>
                <w:rFonts w:eastAsia="Times New Roman"/>
                <w:kern w:val="0"/>
                <w:szCs w:val="21"/>
              </w:rPr>
              <w:t>2</w:t>
            </w:r>
            <w:r>
              <w:rPr>
                <w:rFonts w:hint="eastAsia" w:ascii="宋体" w:hAnsi="宋体" w:cs="宋体"/>
                <w:kern w:val="0"/>
                <w:szCs w:val="21"/>
              </w:rPr>
              <w:t>）新冠病毒核酸检测经费</w:t>
            </w:r>
          </w:p>
        </w:tc>
        <w:tc>
          <w:tcPr>
            <w:tcW w:w="2038" w:type="dxa"/>
            <w:gridSpan w:val="2"/>
            <w:vAlign w:val="center"/>
          </w:tcPr>
          <w:p>
            <w:pPr>
              <w:widowControl/>
              <w:jc w:val="center"/>
              <w:rPr>
                <w:rFonts w:eastAsia="Times New Roman"/>
                <w:kern w:val="0"/>
                <w:szCs w:val="21"/>
              </w:rPr>
            </w:pPr>
            <w:r>
              <w:rPr>
                <w:rFonts w:eastAsia="Times New Roman"/>
                <w:kern w:val="0"/>
                <w:szCs w:val="21"/>
              </w:rPr>
              <w:t>263.56</w:t>
            </w: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公用经费</w:t>
            </w:r>
          </w:p>
        </w:tc>
        <w:tc>
          <w:tcPr>
            <w:tcW w:w="2038" w:type="dxa"/>
            <w:gridSpan w:val="2"/>
            <w:vAlign w:val="center"/>
          </w:tcPr>
          <w:p>
            <w:pPr>
              <w:widowControl/>
              <w:jc w:val="center"/>
              <w:rPr>
                <w:rFonts w:eastAsia="Times New Roman"/>
                <w:kern w:val="0"/>
                <w:szCs w:val="21"/>
              </w:rPr>
            </w:pPr>
            <w:r>
              <w:rPr>
                <w:rFonts w:eastAsia="Times New Roman"/>
                <w:kern w:val="0"/>
                <w:szCs w:val="21"/>
              </w:rPr>
              <w:t>1356.72</w:t>
            </w:r>
          </w:p>
        </w:tc>
        <w:tc>
          <w:tcPr>
            <w:tcW w:w="2240" w:type="dxa"/>
            <w:gridSpan w:val="2"/>
            <w:vAlign w:val="center"/>
          </w:tcPr>
          <w:p>
            <w:pPr>
              <w:widowControl/>
              <w:jc w:val="center"/>
              <w:rPr>
                <w:kern w:val="0"/>
                <w:szCs w:val="21"/>
              </w:rPr>
            </w:pPr>
            <w:r>
              <w:rPr>
                <w:kern w:val="0"/>
                <w:szCs w:val="21"/>
              </w:rPr>
              <w:t>808.3</w:t>
            </w:r>
          </w:p>
        </w:tc>
        <w:tc>
          <w:tcPr>
            <w:tcW w:w="1832" w:type="dxa"/>
            <w:gridSpan w:val="2"/>
            <w:vAlign w:val="center"/>
          </w:tcPr>
          <w:p>
            <w:pPr>
              <w:widowControl/>
              <w:jc w:val="center"/>
              <w:rPr>
                <w:kern w:val="0"/>
                <w:szCs w:val="21"/>
              </w:rPr>
            </w:pPr>
            <w:r>
              <w:rPr>
                <w:kern w:val="0"/>
                <w:szCs w:val="21"/>
              </w:rPr>
              <w:t>808.3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其中：办公费</w:t>
            </w:r>
          </w:p>
        </w:tc>
        <w:tc>
          <w:tcPr>
            <w:tcW w:w="2038" w:type="dxa"/>
            <w:gridSpan w:val="2"/>
            <w:vAlign w:val="center"/>
          </w:tcPr>
          <w:p>
            <w:pPr>
              <w:widowControl/>
              <w:jc w:val="center"/>
              <w:rPr>
                <w:rFonts w:eastAsia="Times New Roman"/>
                <w:color w:val="000000"/>
                <w:kern w:val="0"/>
                <w:szCs w:val="21"/>
              </w:rPr>
            </w:pPr>
            <w:r>
              <w:rPr>
                <w:rFonts w:eastAsia="Times New Roman"/>
                <w:color w:val="000000"/>
                <w:kern w:val="0"/>
                <w:szCs w:val="21"/>
              </w:rPr>
              <w:t>6</w:t>
            </w:r>
          </w:p>
        </w:tc>
        <w:tc>
          <w:tcPr>
            <w:tcW w:w="2240" w:type="dxa"/>
            <w:gridSpan w:val="2"/>
            <w:vAlign w:val="center"/>
          </w:tcPr>
          <w:p>
            <w:pPr>
              <w:widowControl/>
              <w:jc w:val="center"/>
              <w:rPr>
                <w:color w:val="000000"/>
                <w:kern w:val="0"/>
                <w:szCs w:val="21"/>
              </w:rPr>
            </w:pPr>
            <w:r>
              <w:rPr>
                <w:color w:val="000000"/>
                <w:kern w:val="0"/>
                <w:szCs w:val="21"/>
              </w:rPr>
              <w:t>3.52</w:t>
            </w:r>
          </w:p>
        </w:tc>
        <w:tc>
          <w:tcPr>
            <w:tcW w:w="1832" w:type="dxa"/>
            <w:gridSpan w:val="2"/>
            <w:vAlign w:val="center"/>
          </w:tcPr>
          <w:p>
            <w:pPr>
              <w:widowControl/>
              <w:jc w:val="center"/>
              <w:rPr>
                <w:color w:val="000000"/>
                <w:kern w:val="0"/>
                <w:szCs w:val="21"/>
              </w:rPr>
            </w:pPr>
            <w:r>
              <w:rPr>
                <w:color w:val="000000"/>
                <w:kern w:val="0"/>
                <w:szCs w:val="21"/>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水费、电费、差旅费</w:t>
            </w:r>
          </w:p>
        </w:tc>
        <w:tc>
          <w:tcPr>
            <w:tcW w:w="2038" w:type="dxa"/>
            <w:gridSpan w:val="2"/>
            <w:vAlign w:val="center"/>
          </w:tcPr>
          <w:p>
            <w:pPr>
              <w:widowControl/>
              <w:jc w:val="center"/>
              <w:rPr>
                <w:rFonts w:eastAsia="Times New Roman"/>
                <w:color w:val="000000"/>
                <w:kern w:val="0"/>
                <w:szCs w:val="21"/>
              </w:rPr>
            </w:pPr>
            <w:r>
              <w:rPr>
                <w:rFonts w:eastAsia="Times New Roman"/>
                <w:color w:val="000000"/>
                <w:kern w:val="0"/>
                <w:szCs w:val="21"/>
              </w:rPr>
              <w:t>2.63</w:t>
            </w:r>
          </w:p>
        </w:tc>
        <w:tc>
          <w:tcPr>
            <w:tcW w:w="2240" w:type="dxa"/>
            <w:gridSpan w:val="2"/>
            <w:vAlign w:val="center"/>
          </w:tcPr>
          <w:p>
            <w:pPr>
              <w:widowControl/>
              <w:jc w:val="center"/>
              <w:rPr>
                <w:color w:val="000000"/>
                <w:kern w:val="0"/>
                <w:szCs w:val="21"/>
              </w:rPr>
            </w:pPr>
            <w:r>
              <w:rPr>
                <w:color w:val="000000"/>
                <w:kern w:val="0"/>
                <w:szCs w:val="21"/>
              </w:rPr>
              <w:t>2.36</w:t>
            </w:r>
          </w:p>
        </w:tc>
        <w:tc>
          <w:tcPr>
            <w:tcW w:w="1832" w:type="dxa"/>
            <w:gridSpan w:val="2"/>
            <w:vAlign w:val="center"/>
          </w:tcPr>
          <w:p>
            <w:pPr>
              <w:widowControl/>
              <w:jc w:val="center"/>
              <w:rPr>
                <w:color w:val="000000"/>
                <w:kern w:val="0"/>
                <w:szCs w:val="21"/>
              </w:rPr>
            </w:pPr>
            <w:r>
              <w:rPr>
                <w:color w:val="000000"/>
                <w:kern w:val="0"/>
                <w:szCs w:val="21"/>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会议费、培训费</w:t>
            </w:r>
          </w:p>
        </w:tc>
        <w:tc>
          <w:tcPr>
            <w:tcW w:w="2038" w:type="dxa"/>
            <w:gridSpan w:val="2"/>
            <w:vAlign w:val="center"/>
          </w:tcPr>
          <w:p>
            <w:pPr>
              <w:widowControl/>
              <w:jc w:val="center"/>
              <w:rPr>
                <w:rFonts w:eastAsia="Times New Roman"/>
                <w:color w:val="000000"/>
                <w:kern w:val="0"/>
                <w:szCs w:val="21"/>
              </w:rPr>
            </w:pPr>
            <w:r>
              <w:rPr>
                <w:rFonts w:eastAsia="Times New Roman"/>
                <w:color w:val="000000"/>
                <w:kern w:val="0"/>
                <w:szCs w:val="21"/>
              </w:rPr>
              <w:t>1.49</w:t>
            </w:r>
            <w:r>
              <w:rPr>
                <w:rFonts w:hint="eastAsia" w:ascii="宋体" w:hAnsi="宋体" w:cs="宋体"/>
                <w:color w:val="000000"/>
                <w:kern w:val="0"/>
                <w:szCs w:val="21"/>
              </w:rPr>
              <w:t>　</w:t>
            </w:r>
          </w:p>
        </w:tc>
        <w:tc>
          <w:tcPr>
            <w:tcW w:w="2240" w:type="dxa"/>
            <w:gridSpan w:val="2"/>
            <w:vAlign w:val="center"/>
          </w:tcPr>
          <w:p>
            <w:pPr>
              <w:widowControl/>
              <w:jc w:val="center"/>
              <w:rPr>
                <w:rFonts w:eastAsia="Times New Roman"/>
                <w:color w:val="000000"/>
                <w:kern w:val="0"/>
                <w:szCs w:val="21"/>
              </w:rPr>
            </w:pPr>
          </w:p>
        </w:tc>
        <w:tc>
          <w:tcPr>
            <w:tcW w:w="1832" w:type="dxa"/>
            <w:gridSpan w:val="2"/>
            <w:vAlign w:val="center"/>
          </w:tcPr>
          <w:p>
            <w:pPr>
              <w:widowControl/>
              <w:jc w:val="center"/>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政府采购金额</w:t>
            </w:r>
          </w:p>
        </w:tc>
        <w:tc>
          <w:tcPr>
            <w:tcW w:w="2038" w:type="dxa"/>
            <w:gridSpan w:val="2"/>
            <w:vAlign w:val="center"/>
          </w:tcPr>
          <w:p>
            <w:pPr>
              <w:widowControl/>
              <w:jc w:val="center"/>
              <w:rPr>
                <w:rFonts w:eastAsia="Times New Roman"/>
                <w:kern w:val="0"/>
                <w:szCs w:val="21"/>
              </w:rPr>
            </w:pPr>
            <w:r>
              <w:rPr>
                <w:rFonts w:eastAsia="Times New Roman"/>
                <w:kern w:val="0"/>
                <w:szCs w:val="21"/>
              </w:rPr>
              <w:t>——</w:t>
            </w: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部门基本支出预算调整</w:t>
            </w:r>
          </w:p>
        </w:tc>
        <w:tc>
          <w:tcPr>
            <w:tcW w:w="2038" w:type="dxa"/>
            <w:gridSpan w:val="2"/>
            <w:vAlign w:val="center"/>
          </w:tcPr>
          <w:p>
            <w:pPr>
              <w:widowControl/>
              <w:jc w:val="center"/>
              <w:rPr>
                <w:rFonts w:eastAsia="Times New Roman"/>
                <w:kern w:val="0"/>
                <w:szCs w:val="21"/>
              </w:rPr>
            </w:pPr>
            <w:r>
              <w:rPr>
                <w:rFonts w:eastAsia="Times New Roman"/>
                <w:kern w:val="0"/>
                <w:szCs w:val="21"/>
              </w:rPr>
              <w:t>——</w:t>
            </w:r>
          </w:p>
        </w:tc>
        <w:tc>
          <w:tcPr>
            <w:tcW w:w="2240" w:type="dxa"/>
            <w:gridSpan w:val="2"/>
            <w:vAlign w:val="center"/>
          </w:tcPr>
          <w:p>
            <w:pPr>
              <w:widowControl/>
              <w:jc w:val="center"/>
              <w:rPr>
                <w:rFonts w:eastAsia="Times New Roman"/>
                <w:kern w:val="0"/>
                <w:szCs w:val="21"/>
              </w:rPr>
            </w:pPr>
          </w:p>
        </w:tc>
        <w:tc>
          <w:tcPr>
            <w:tcW w:w="1832" w:type="dxa"/>
            <w:gridSpan w:val="2"/>
            <w:vAlign w:val="center"/>
          </w:tcPr>
          <w:p>
            <w:pPr>
              <w:widowControl/>
              <w:jc w:val="center"/>
              <w:rPr>
                <w:rFonts w:eastAsia="Times New Roman"/>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pPr>
              <w:widowControl/>
              <w:jc w:val="center"/>
              <w:rPr>
                <w:rFonts w:eastAsia="Times New Roman"/>
                <w:kern w:val="0"/>
                <w:szCs w:val="21"/>
              </w:rPr>
            </w:pPr>
            <w:r>
              <w:rPr>
                <w:rFonts w:hint="eastAsia" w:ascii="宋体" w:hAnsi="宋体" w:cs="宋体"/>
                <w:kern w:val="0"/>
                <w:szCs w:val="21"/>
              </w:rPr>
              <w:t>楼堂馆所控制情况</w:t>
            </w:r>
          </w:p>
          <w:p>
            <w:pPr>
              <w:widowControl/>
              <w:jc w:val="center"/>
              <w:rPr>
                <w:rFonts w:eastAsia="Times New Roman"/>
                <w:kern w:val="0"/>
                <w:szCs w:val="21"/>
              </w:rPr>
            </w:pPr>
            <w:r>
              <w:rPr>
                <w:rFonts w:hint="eastAsia" w:ascii="宋体" w:hAnsi="宋体" w:cs="宋体"/>
                <w:kern w:val="0"/>
                <w:szCs w:val="21"/>
              </w:rPr>
              <w:t>（</w:t>
            </w:r>
            <w:r>
              <w:rPr>
                <w:rFonts w:eastAsia="Times New Roman"/>
                <w:kern w:val="0"/>
                <w:szCs w:val="21"/>
              </w:rPr>
              <w:t>2024</w:t>
            </w:r>
            <w:r>
              <w:rPr>
                <w:rFonts w:hint="eastAsia" w:ascii="宋体" w:hAnsi="宋体" w:cs="宋体"/>
                <w:kern w:val="0"/>
                <w:szCs w:val="21"/>
              </w:rPr>
              <w:t>年完工项目）</w:t>
            </w:r>
          </w:p>
        </w:tc>
        <w:tc>
          <w:tcPr>
            <w:tcW w:w="118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批复规模</w:t>
            </w:r>
          </w:p>
          <w:p>
            <w:pPr>
              <w:widowControl/>
              <w:spacing w:line="240" w:lineRule="exact"/>
              <w:jc w:val="center"/>
              <w:rPr>
                <w:rFonts w:eastAsia="Times New Roman"/>
                <w:bCs/>
                <w:kern w:val="0"/>
                <w:szCs w:val="21"/>
              </w:rPr>
            </w:pPr>
            <w:r>
              <w:rPr>
                <w:rFonts w:hint="eastAsia" w:ascii="宋体" w:hAnsi="宋体" w:cs="宋体"/>
                <w:bCs/>
                <w:kern w:val="0"/>
                <w:szCs w:val="21"/>
              </w:rPr>
              <w:t>（</w:t>
            </w:r>
            <w:r>
              <w:rPr>
                <w:rFonts w:hint="eastAsia" w:eastAsia="Batang"/>
                <w:bCs/>
                <w:kern w:val="0"/>
                <w:szCs w:val="21"/>
              </w:rPr>
              <w:t>㎡</w:t>
            </w:r>
            <w:r>
              <w:rPr>
                <w:rFonts w:hint="eastAsia" w:ascii="宋体" w:hAnsi="宋体" w:cs="宋体"/>
                <w:bCs/>
                <w:kern w:val="0"/>
                <w:szCs w:val="21"/>
              </w:rPr>
              <w:t>）</w:t>
            </w:r>
          </w:p>
        </w:tc>
        <w:tc>
          <w:tcPr>
            <w:tcW w:w="84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实际规模（</w:t>
            </w:r>
            <w:r>
              <w:rPr>
                <w:rFonts w:hint="eastAsia" w:eastAsia="Batang"/>
                <w:bCs/>
                <w:kern w:val="0"/>
                <w:szCs w:val="21"/>
              </w:rPr>
              <w:t>㎡</w:t>
            </w:r>
            <w:r>
              <w:rPr>
                <w:rFonts w:hint="eastAsia" w:ascii="宋体" w:hAnsi="宋体" w:cs="宋体"/>
                <w:bCs/>
                <w:kern w:val="0"/>
                <w:szCs w:val="21"/>
              </w:rPr>
              <w:t>）</w:t>
            </w:r>
          </w:p>
        </w:tc>
        <w:tc>
          <w:tcPr>
            <w:tcW w:w="112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规模控制率</w:t>
            </w:r>
          </w:p>
        </w:tc>
        <w:tc>
          <w:tcPr>
            <w:tcW w:w="1111"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预算投资（万元）</w:t>
            </w:r>
          </w:p>
        </w:tc>
        <w:tc>
          <w:tcPr>
            <w:tcW w:w="96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实际投资（万元）</w:t>
            </w:r>
          </w:p>
        </w:tc>
        <w:tc>
          <w:tcPr>
            <w:tcW w:w="863"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pPr>
              <w:widowControl/>
              <w:jc w:val="left"/>
              <w:rPr>
                <w:rFonts w:eastAsia="Times New Roman"/>
                <w:kern w:val="0"/>
                <w:szCs w:val="21"/>
              </w:rPr>
            </w:pPr>
          </w:p>
        </w:tc>
        <w:tc>
          <w:tcPr>
            <w:tcW w:w="1189" w:type="dxa"/>
            <w:vAlign w:val="center"/>
          </w:tcPr>
          <w:p>
            <w:pPr>
              <w:widowControl/>
              <w:jc w:val="center"/>
              <w:rPr>
                <w:rFonts w:eastAsia="Times New Roman"/>
                <w:kern w:val="0"/>
                <w:szCs w:val="21"/>
              </w:rPr>
            </w:pPr>
            <w:r>
              <w:rPr>
                <w:rFonts w:eastAsia="Times New Roman"/>
                <w:kern w:val="0"/>
                <w:szCs w:val="21"/>
              </w:rPr>
              <w:t>0</w:t>
            </w:r>
          </w:p>
        </w:tc>
        <w:tc>
          <w:tcPr>
            <w:tcW w:w="849" w:type="dxa"/>
            <w:vAlign w:val="center"/>
          </w:tcPr>
          <w:p>
            <w:pPr>
              <w:widowControl/>
              <w:jc w:val="center"/>
              <w:rPr>
                <w:rFonts w:eastAsia="Times New Roman"/>
                <w:kern w:val="0"/>
                <w:szCs w:val="21"/>
              </w:rPr>
            </w:pPr>
            <w:r>
              <w:rPr>
                <w:rFonts w:eastAsia="Times New Roman"/>
                <w:kern w:val="0"/>
                <w:szCs w:val="21"/>
              </w:rPr>
              <w:t>0</w:t>
            </w:r>
          </w:p>
        </w:tc>
        <w:tc>
          <w:tcPr>
            <w:tcW w:w="1129" w:type="dxa"/>
            <w:vAlign w:val="center"/>
          </w:tcPr>
          <w:p>
            <w:pPr>
              <w:widowControl/>
              <w:jc w:val="center"/>
              <w:rPr>
                <w:rFonts w:eastAsia="Times New Roman"/>
                <w:kern w:val="0"/>
                <w:szCs w:val="21"/>
              </w:rPr>
            </w:pPr>
            <w:r>
              <w:rPr>
                <w:rFonts w:eastAsia="Times New Roman"/>
                <w:kern w:val="0"/>
                <w:szCs w:val="21"/>
              </w:rPr>
              <w:t>0</w:t>
            </w:r>
          </w:p>
        </w:tc>
        <w:tc>
          <w:tcPr>
            <w:tcW w:w="1111" w:type="dxa"/>
            <w:vAlign w:val="center"/>
          </w:tcPr>
          <w:p>
            <w:pPr>
              <w:widowControl/>
              <w:jc w:val="center"/>
              <w:rPr>
                <w:rFonts w:eastAsia="Times New Roman"/>
                <w:kern w:val="0"/>
                <w:szCs w:val="21"/>
              </w:rPr>
            </w:pPr>
            <w:r>
              <w:rPr>
                <w:rFonts w:eastAsia="Times New Roman"/>
                <w:kern w:val="0"/>
                <w:szCs w:val="21"/>
              </w:rPr>
              <w:t>0</w:t>
            </w:r>
          </w:p>
        </w:tc>
        <w:tc>
          <w:tcPr>
            <w:tcW w:w="969" w:type="dxa"/>
            <w:vAlign w:val="center"/>
          </w:tcPr>
          <w:p>
            <w:pPr>
              <w:widowControl/>
              <w:jc w:val="center"/>
              <w:rPr>
                <w:rFonts w:eastAsia="Times New Roman"/>
                <w:kern w:val="0"/>
                <w:szCs w:val="21"/>
              </w:rPr>
            </w:pPr>
            <w:r>
              <w:rPr>
                <w:rFonts w:eastAsia="Times New Roman"/>
                <w:kern w:val="0"/>
                <w:szCs w:val="21"/>
              </w:rPr>
              <w:t>0</w:t>
            </w:r>
          </w:p>
        </w:tc>
        <w:tc>
          <w:tcPr>
            <w:tcW w:w="863" w:type="dxa"/>
            <w:vAlign w:val="center"/>
          </w:tcPr>
          <w:p>
            <w:pPr>
              <w:widowControl/>
              <w:jc w:val="center"/>
              <w:rPr>
                <w:rFonts w:eastAsia="Times New Roman"/>
                <w:kern w:val="0"/>
                <w:szCs w:val="21"/>
              </w:rPr>
            </w:pPr>
            <w:r>
              <w:rPr>
                <w:rFonts w:eastAsia="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vAlign w:val="center"/>
          </w:tcPr>
          <w:p>
            <w:pPr>
              <w:widowControl/>
              <w:jc w:val="center"/>
              <w:rPr>
                <w:rFonts w:eastAsia="Times New Roman"/>
                <w:kern w:val="0"/>
                <w:szCs w:val="21"/>
              </w:rPr>
            </w:pPr>
            <w:r>
              <w:rPr>
                <w:rFonts w:hint="eastAsia" w:ascii="宋体" w:hAnsi="宋体" w:cs="宋体"/>
                <w:kern w:val="0"/>
                <w:szCs w:val="21"/>
              </w:rPr>
              <w:t>厉行节约保障措施</w:t>
            </w:r>
          </w:p>
        </w:tc>
        <w:tc>
          <w:tcPr>
            <w:tcW w:w="6110" w:type="dxa"/>
            <w:gridSpan w:val="6"/>
            <w:vAlign w:val="center"/>
          </w:tcPr>
          <w:p>
            <w:pPr>
              <w:widowControl/>
              <w:rPr>
                <w:rFonts w:eastAsia="Times New Roman"/>
                <w:kern w:val="0"/>
                <w:szCs w:val="21"/>
              </w:rPr>
            </w:pPr>
            <w:r>
              <w:rPr>
                <w:rFonts w:hint="eastAsia" w:ascii="宋体" w:hAnsi="宋体" w:cs="宋体"/>
                <w:kern w:val="0"/>
                <w:szCs w:val="21"/>
                <w:lang w:eastAsia="zh-CN"/>
              </w:rPr>
              <w:t>建立健全</w:t>
            </w:r>
            <w:r>
              <w:rPr>
                <w:rFonts w:hint="eastAsia" w:ascii="宋体" w:hAnsi="宋体" w:cs="宋体"/>
                <w:kern w:val="0"/>
                <w:szCs w:val="21"/>
              </w:rPr>
              <w:t>财务制度，严格遵守国家财政规章，加强财务审批。　</w:t>
            </w:r>
          </w:p>
        </w:tc>
      </w:tr>
    </w:tbl>
    <w:p>
      <w:pPr>
        <w:spacing w:line="360" w:lineRule="exact"/>
        <w:rPr>
          <w:rFonts w:ascii="宋体" w:cs="宋体"/>
          <w:kern w:val="0"/>
          <w:sz w:val="22"/>
        </w:rPr>
      </w:pPr>
      <w:r>
        <w:rPr>
          <w:rFonts w:hint="eastAsia" w:ascii="宋体" w:hAnsi="宋体" w:cs="宋体"/>
          <w:kern w:val="0"/>
          <w:sz w:val="22"/>
        </w:rPr>
        <w:t>说明：</w:t>
      </w:r>
      <w:r>
        <w:rPr>
          <w:rFonts w:eastAsia="Times New Roman"/>
          <w:kern w:val="0"/>
          <w:sz w:val="22"/>
        </w:rPr>
        <w:t>“</w:t>
      </w:r>
      <w:r>
        <w:rPr>
          <w:rFonts w:hint="eastAsia" w:ascii="宋体" w:hAnsi="宋体" w:cs="宋体"/>
          <w:kern w:val="0"/>
          <w:sz w:val="22"/>
        </w:rPr>
        <w:t>项目支出</w:t>
      </w:r>
      <w:r>
        <w:rPr>
          <w:rFonts w:eastAsia="Times New Roman"/>
          <w:kern w:val="0"/>
          <w:sz w:val="22"/>
        </w:rPr>
        <w:t>”</w:t>
      </w:r>
      <w:r>
        <w:rPr>
          <w:rFonts w:hint="eastAsia" w:ascii="宋体" w:hAnsi="宋体" w:cs="宋体"/>
          <w:kern w:val="0"/>
          <w:sz w:val="22"/>
        </w:rPr>
        <w:t>需要填报基本支出以外的所有项目支出情况，</w:t>
      </w:r>
      <w:r>
        <w:rPr>
          <w:rFonts w:eastAsia="Times New Roman"/>
          <w:kern w:val="0"/>
          <w:sz w:val="22"/>
        </w:rPr>
        <w:t>“</w:t>
      </w:r>
      <w:r>
        <w:rPr>
          <w:rFonts w:hint="eastAsia" w:ascii="宋体" w:hAnsi="宋体" w:cs="宋体"/>
          <w:kern w:val="0"/>
          <w:sz w:val="22"/>
        </w:rPr>
        <w:t>公用经费</w:t>
      </w:r>
      <w:r>
        <w:rPr>
          <w:rFonts w:eastAsia="Times New Roman"/>
          <w:kern w:val="0"/>
          <w:sz w:val="22"/>
        </w:rPr>
        <w:t>”</w:t>
      </w:r>
      <w:r>
        <w:rPr>
          <w:rFonts w:hint="eastAsia" w:ascii="宋体" w:hAnsi="宋体" w:cs="宋体"/>
          <w:kern w:val="0"/>
          <w:sz w:val="22"/>
        </w:rPr>
        <w:t>填报基本支出中的一般商品和服务支出。</w:t>
      </w:r>
    </w:p>
    <w:p>
      <w:pPr>
        <w:spacing w:line="360" w:lineRule="exact"/>
        <w:rPr>
          <w:rFonts w:eastAsia="黑体"/>
          <w:sz w:val="32"/>
          <w:szCs w:val="32"/>
        </w:rPr>
      </w:pPr>
    </w:p>
    <w:p>
      <w:pPr>
        <w:spacing w:line="360" w:lineRule="exact"/>
        <w:rPr>
          <w:rFonts w:eastAsia="黑体"/>
          <w:sz w:val="32"/>
          <w:szCs w:val="32"/>
        </w:rPr>
      </w:pPr>
    </w:p>
    <w:p>
      <w:pPr>
        <w:spacing w:line="360" w:lineRule="exact"/>
        <w:rPr>
          <w:rFonts w:eastAsia="黑体"/>
          <w:sz w:val="32"/>
          <w:szCs w:val="32"/>
        </w:rPr>
      </w:pPr>
    </w:p>
    <w:p>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2024</w:t>
      </w:r>
      <w:r>
        <w:rPr>
          <w:rFonts w:hint="eastAsia" w:ascii="宋体" w:hAnsi="宋体" w:cs="宋体"/>
          <w:color w:val="000000"/>
          <w:kern w:val="0"/>
          <w:szCs w:val="21"/>
        </w:rPr>
        <w:t>年度）</w:t>
      </w:r>
    </w:p>
    <w:tbl>
      <w:tblPr>
        <w:tblStyle w:val="8"/>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384"/>
        <w:gridCol w:w="1236"/>
        <w:gridCol w:w="1108"/>
        <w:gridCol w:w="413"/>
        <w:gridCol w:w="951"/>
        <w:gridCol w:w="1131"/>
        <w:gridCol w:w="708"/>
        <w:gridCol w:w="894"/>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Times New Roman"/>
                <w:color w:val="000000"/>
                <w:kern w:val="0"/>
                <w:szCs w:val="21"/>
              </w:rPr>
            </w:pPr>
            <w:r>
              <w:rPr>
                <w:rFonts w:hint="eastAsia" w:ascii="宋体" w:hAnsi="宋体" w:cs="宋体"/>
                <w:color w:val="000000"/>
                <w:kern w:val="0"/>
                <w:szCs w:val="21"/>
              </w:rPr>
              <w:t>县级预算部门名称</w:t>
            </w:r>
          </w:p>
        </w:tc>
        <w:tc>
          <w:tcPr>
            <w:tcW w:w="9243" w:type="dxa"/>
            <w:gridSpan w:val="9"/>
            <w:vAlign w:val="center"/>
          </w:tcPr>
          <w:p>
            <w:pPr>
              <w:widowControl/>
              <w:jc w:val="center"/>
              <w:rPr>
                <w:rFonts w:eastAsia="Times New Roman"/>
                <w:color w:val="000000"/>
                <w:kern w:val="0"/>
                <w:szCs w:val="21"/>
              </w:rPr>
            </w:pPr>
            <w:r>
              <w:rPr>
                <w:rFonts w:hint="eastAsia" w:ascii="宋体" w:hAnsi="宋体" w:cs="宋体"/>
                <w:color w:val="000000"/>
                <w:kern w:val="0"/>
                <w:szCs w:val="21"/>
              </w:rPr>
              <w:t>江永县疾病预防控制中心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年度预</w:t>
            </w:r>
          </w:p>
          <w:p>
            <w:pPr>
              <w:widowControl/>
              <w:jc w:val="center"/>
              <w:rPr>
                <w:rFonts w:eastAsia="Times New Roman"/>
                <w:color w:val="000000"/>
                <w:kern w:val="0"/>
                <w:szCs w:val="21"/>
              </w:rPr>
            </w:pPr>
            <w:r>
              <w:rPr>
                <w:rFonts w:hint="eastAsia" w:ascii="宋体" w:hAnsi="宋体" w:cs="宋体"/>
                <w:color w:val="000000"/>
                <w:kern w:val="0"/>
                <w:szCs w:val="21"/>
              </w:rPr>
              <w:t>算申请</w:t>
            </w:r>
          </w:p>
          <w:p>
            <w:pPr>
              <w:widowControl/>
              <w:jc w:val="center"/>
              <w:rPr>
                <w:rFonts w:eastAsia="Times New Roman"/>
                <w:color w:val="000000"/>
                <w:kern w:val="0"/>
                <w:szCs w:val="21"/>
              </w:rPr>
            </w:pPr>
            <w:r>
              <w:rPr>
                <w:rFonts w:hint="eastAsia" w:ascii="宋体" w:hAnsi="宋体" w:cs="宋体"/>
                <w:color w:val="000000"/>
                <w:kern w:val="0"/>
                <w:szCs w:val="21"/>
              </w:rPr>
              <w:t>（万元）</w:t>
            </w:r>
          </w:p>
        </w:tc>
        <w:tc>
          <w:tcPr>
            <w:tcW w:w="2647" w:type="dxa"/>
            <w:gridSpan w:val="2"/>
            <w:vAlign w:val="center"/>
          </w:tcPr>
          <w:p>
            <w:pPr>
              <w:jc w:val="center"/>
              <w:rPr>
                <w:rFonts w:eastAsia="Times New Roman"/>
                <w:szCs w:val="21"/>
              </w:rPr>
            </w:pPr>
          </w:p>
        </w:tc>
        <w:tc>
          <w:tcPr>
            <w:tcW w:w="1114" w:type="dxa"/>
            <w:vAlign w:val="center"/>
          </w:tcPr>
          <w:p>
            <w:pPr>
              <w:jc w:val="center"/>
              <w:rPr>
                <w:rFonts w:eastAsia="Times New Roman"/>
                <w:szCs w:val="21"/>
              </w:rPr>
            </w:pPr>
            <w:r>
              <w:rPr>
                <w:rFonts w:hint="eastAsia" w:ascii="宋体" w:hAnsi="宋体" w:cs="宋体"/>
                <w:szCs w:val="21"/>
              </w:rPr>
              <w:t>年初</w:t>
            </w:r>
          </w:p>
          <w:p>
            <w:pPr>
              <w:jc w:val="center"/>
              <w:rPr>
                <w:rFonts w:eastAsia="Times New Roman"/>
                <w:szCs w:val="21"/>
              </w:rPr>
            </w:pPr>
            <w:r>
              <w:rPr>
                <w:rFonts w:hint="eastAsia" w:ascii="宋体" w:hAnsi="宋体" w:cs="宋体"/>
                <w:szCs w:val="21"/>
              </w:rPr>
              <w:t>预算数</w:t>
            </w:r>
          </w:p>
        </w:tc>
        <w:tc>
          <w:tcPr>
            <w:tcW w:w="1295" w:type="dxa"/>
            <w:gridSpan w:val="2"/>
            <w:vAlign w:val="center"/>
          </w:tcPr>
          <w:p>
            <w:pPr>
              <w:jc w:val="center"/>
              <w:rPr>
                <w:rFonts w:eastAsia="Times New Roman"/>
                <w:szCs w:val="21"/>
              </w:rPr>
            </w:pPr>
            <w:r>
              <w:rPr>
                <w:rFonts w:hint="eastAsia" w:ascii="宋体" w:hAnsi="宋体" w:cs="宋体"/>
                <w:szCs w:val="21"/>
              </w:rPr>
              <w:t>全年预算数</w:t>
            </w:r>
          </w:p>
        </w:tc>
        <w:tc>
          <w:tcPr>
            <w:tcW w:w="1134" w:type="dxa"/>
            <w:vAlign w:val="center"/>
          </w:tcPr>
          <w:p>
            <w:pPr>
              <w:jc w:val="center"/>
              <w:rPr>
                <w:rFonts w:eastAsia="Times New Roman"/>
                <w:szCs w:val="21"/>
              </w:rPr>
            </w:pPr>
            <w:r>
              <w:rPr>
                <w:rFonts w:hint="eastAsia" w:ascii="宋体" w:hAnsi="宋体" w:cs="宋体"/>
                <w:szCs w:val="21"/>
              </w:rPr>
              <w:t>全年</w:t>
            </w:r>
          </w:p>
          <w:p>
            <w:pPr>
              <w:jc w:val="center"/>
              <w:rPr>
                <w:rFonts w:eastAsia="Times New Roman"/>
                <w:szCs w:val="21"/>
              </w:rPr>
            </w:pPr>
            <w:r>
              <w:rPr>
                <w:rFonts w:hint="eastAsia" w:ascii="宋体" w:hAnsi="宋体" w:cs="宋体"/>
                <w:szCs w:val="21"/>
              </w:rPr>
              <w:t>执行数</w:t>
            </w:r>
          </w:p>
        </w:tc>
        <w:tc>
          <w:tcPr>
            <w:tcW w:w="709" w:type="dxa"/>
            <w:vAlign w:val="center"/>
          </w:tcPr>
          <w:p>
            <w:pPr>
              <w:jc w:val="center"/>
              <w:rPr>
                <w:rFonts w:eastAsia="Times New Roman"/>
                <w:szCs w:val="21"/>
              </w:rPr>
            </w:pPr>
            <w:r>
              <w:rPr>
                <w:rFonts w:hint="eastAsia" w:ascii="宋体" w:hAnsi="宋体" w:cs="宋体"/>
                <w:szCs w:val="21"/>
              </w:rPr>
              <w:t>分值</w:t>
            </w:r>
          </w:p>
        </w:tc>
        <w:tc>
          <w:tcPr>
            <w:tcW w:w="898" w:type="dxa"/>
            <w:vAlign w:val="center"/>
          </w:tcPr>
          <w:p>
            <w:pPr>
              <w:jc w:val="center"/>
              <w:rPr>
                <w:rFonts w:eastAsia="Times New Roman"/>
                <w:szCs w:val="21"/>
              </w:rPr>
            </w:pPr>
            <w:r>
              <w:rPr>
                <w:rFonts w:hint="eastAsia" w:ascii="宋体" w:hAnsi="宋体" w:cs="宋体"/>
                <w:szCs w:val="21"/>
              </w:rPr>
              <w:t>执行率</w:t>
            </w:r>
          </w:p>
        </w:tc>
        <w:tc>
          <w:tcPr>
            <w:tcW w:w="1446" w:type="dxa"/>
            <w:vAlign w:val="center"/>
          </w:tcPr>
          <w:p>
            <w:pPr>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Times New Roman"/>
                <w:color w:val="000000"/>
                <w:kern w:val="0"/>
                <w:szCs w:val="21"/>
              </w:rPr>
            </w:pPr>
          </w:p>
        </w:tc>
        <w:tc>
          <w:tcPr>
            <w:tcW w:w="2647" w:type="dxa"/>
            <w:gridSpan w:val="2"/>
            <w:vAlign w:val="center"/>
          </w:tcPr>
          <w:p>
            <w:pPr>
              <w:jc w:val="center"/>
              <w:rPr>
                <w:rFonts w:eastAsia="Times New Roman"/>
                <w:szCs w:val="21"/>
              </w:rPr>
            </w:pPr>
            <w:r>
              <w:rPr>
                <w:rFonts w:hint="eastAsia" w:ascii="宋体" w:hAnsi="宋体" w:cs="宋体"/>
                <w:color w:val="000000"/>
                <w:kern w:val="0"/>
                <w:szCs w:val="21"/>
              </w:rPr>
              <w:t>年度资金总额</w:t>
            </w:r>
          </w:p>
        </w:tc>
        <w:tc>
          <w:tcPr>
            <w:tcW w:w="1114" w:type="dxa"/>
            <w:vAlign w:val="center"/>
          </w:tcPr>
          <w:p>
            <w:pPr>
              <w:jc w:val="center"/>
              <w:rPr>
                <w:szCs w:val="21"/>
              </w:rPr>
            </w:pPr>
            <w:r>
              <w:rPr>
                <w:szCs w:val="21"/>
              </w:rPr>
              <w:t>408.39</w:t>
            </w:r>
          </w:p>
        </w:tc>
        <w:tc>
          <w:tcPr>
            <w:tcW w:w="1295" w:type="dxa"/>
            <w:gridSpan w:val="2"/>
            <w:vAlign w:val="center"/>
          </w:tcPr>
          <w:p>
            <w:pPr>
              <w:jc w:val="center"/>
              <w:rPr>
                <w:szCs w:val="21"/>
              </w:rPr>
            </w:pPr>
            <w:r>
              <w:rPr>
                <w:szCs w:val="21"/>
              </w:rPr>
              <w:t>1656.92</w:t>
            </w:r>
          </w:p>
        </w:tc>
        <w:tc>
          <w:tcPr>
            <w:tcW w:w="1134" w:type="dxa"/>
            <w:vAlign w:val="center"/>
          </w:tcPr>
          <w:p>
            <w:pPr>
              <w:jc w:val="center"/>
              <w:rPr>
                <w:szCs w:val="21"/>
              </w:rPr>
            </w:pPr>
            <w:r>
              <w:rPr>
                <w:szCs w:val="21"/>
              </w:rPr>
              <w:t>1656.92</w:t>
            </w:r>
          </w:p>
        </w:tc>
        <w:tc>
          <w:tcPr>
            <w:tcW w:w="709" w:type="dxa"/>
            <w:vAlign w:val="center"/>
          </w:tcPr>
          <w:p>
            <w:pPr>
              <w:jc w:val="center"/>
              <w:rPr>
                <w:rFonts w:eastAsia="Times New Roman"/>
                <w:szCs w:val="21"/>
              </w:rPr>
            </w:pPr>
            <w:r>
              <w:rPr>
                <w:rFonts w:eastAsia="Times New Roman"/>
                <w:szCs w:val="21"/>
              </w:rPr>
              <w:t>10</w:t>
            </w:r>
          </w:p>
        </w:tc>
        <w:tc>
          <w:tcPr>
            <w:tcW w:w="898" w:type="dxa"/>
            <w:vAlign w:val="center"/>
          </w:tcPr>
          <w:p>
            <w:pPr>
              <w:jc w:val="center"/>
              <w:rPr>
                <w:rFonts w:eastAsia="Times New Roman"/>
                <w:szCs w:val="21"/>
              </w:rPr>
            </w:pPr>
            <w:r>
              <w:rPr>
                <w:rFonts w:eastAsia="Times New Roman"/>
                <w:szCs w:val="21"/>
              </w:rPr>
              <w:t>100%</w:t>
            </w:r>
          </w:p>
        </w:tc>
        <w:tc>
          <w:tcPr>
            <w:tcW w:w="1446" w:type="dxa"/>
            <w:vAlign w:val="center"/>
          </w:tcPr>
          <w:p>
            <w:pPr>
              <w:jc w:val="center"/>
              <w:rPr>
                <w:rFonts w:eastAsia="Times New Roman"/>
                <w:szCs w:val="21"/>
              </w:rPr>
            </w:pPr>
            <w:r>
              <w:rPr>
                <w:rFonts w:eastAsia="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056" w:type="dxa"/>
            <w:gridSpan w:val="5"/>
            <w:vAlign w:val="center"/>
          </w:tcPr>
          <w:p>
            <w:pPr>
              <w:widowControl/>
              <w:jc w:val="left"/>
              <w:rPr>
                <w:color w:val="000000"/>
                <w:kern w:val="0"/>
                <w:szCs w:val="21"/>
              </w:rPr>
            </w:pPr>
            <w:r>
              <w:rPr>
                <w:rFonts w:hint="eastAsia" w:ascii="宋体" w:hAnsi="宋体" w:cs="宋体"/>
                <w:color w:val="000000"/>
                <w:kern w:val="0"/>
                <w:szCs w:val="21"/>
              </w:rPr>
              <w:t>按收入性质分：</w:t>
            </w:r>
            <w:r>
              <w:rPr>
                <w:rFonts w:ascii="宋体" w:hAnsi="宋体" w:cs="宋体"/>
                <w:color w:val="000000"/>
                <w:kern w:val="0"/>
                <w:szCs w:val="21"/>
              </w:rPr>
              <w:t>1656.92</w:t>
            </w:r>
          </w:p>
        </w:tc>
        <w:tc>
          <w:tcPr>
            <w:tcW w:w="4187" w:type="dxa"/>
            <w:gridSpan w:val="4"/>
            <w:vAlign w:val="center"/>
          </w:tcPr>
          <w:p>
            <w:pPr>
              <w:widowControl/>
              <w:jc w:val="left"/>
              <w:rPr>
                <w:color w:val="000000"/>
                <w:kern w:val="0"/>
                <w:szCs w:val="21"/>
              </w:rPr>
            </w:pPr>
            <w:r>
              <w:rPr>
                <w:rFonts w:hint="eastAsia" w:ascii="宋体" w:hAnsi="宋体" w:cs="宋体"/>
                <w:color w:val="000000"/>
                <w:kern w:val="0"/>
                <w:szCs w:val="21"/>
              </w:rPr>
              <w:t>按支出性质分：</w:t>
            </w:r>
            <w:r>
              <w:rPr>
                <w:rFonts w:ascii="宋体" w:hAnsi="宋体" w:cs="宋体"/>
                <w:color w:val="000000"/>
                <w:kern w:val="0"/>
                <w:szCs w:val="21"/>
              </w:rPr>
              <w:t>1656.92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056" w:type="dxa"/>
            <w:gridSpan w:val="5"/>
            <w:vAlign w:val="center"/>
          </w:tcPr>
          <w:p>
            <w:pPr>
              <w:widowControl/>
              <w:jc w:val="left"/>
              <w:rPr>
                <w:color w:val="000000"/>
                <w:kern w:val="0"/>
                <w:szCs w:val="21"/>
              </w:rPr>
            </w:pPr>
            <w:r>
              <w:rPr>
                <w:rFonts w:hint="eastAsia" w:ascii="宋体" w:hAnsi="宋体" w:cs="宋体"/>
                <w:color w:val="000000"/>
                <w:kern w:val="0"/>
                <w:szCs w:val="21"/>
              </w:rPr>
              <w:t>其中：一般公共预算：</w:t>
            </w:r>
            <w:r>
              <w:rPr>
                <w:rFonts w:ascii="宋体" w:hAnsi="宋体" w:cs="宋体"/>
                <w:color w:val="000000"/>
                <w:kern w:val="0"/>
                <w:szCs w:val="21"/>
              </w:rPr>
              <w:t>661.14</w:t>
            </w:r>
          </w:p>
        </w:tc>
        <w:tc>
          <w:tcPr>
            <w:tcW w:w="4187" w:type="dxa"/>
            <w:gridSpan w:val="4"/>
            <w:vAlign w:val="center"/>
          </w:tcPr>
          <w:p>
            <w:pPr>
              <w:widowControl/>
              <w:jc w:val="left"/>
              <w:rPr>
                <w:color w:val="000000"/>
                <w:kern w:val="0"/>
                <w:szCs w:val="21"/>
              </w:rPr>
            </w:pPr>
            <w:r>
              <w:rPr>
                <w:rFonts w:hint="eastAsia" w:ascii="宋体" w:hAnsi="宋体" w:cs="宋体"/>
                <w:color w:val="000000"/>
                <w:kern w:val="0"/>
                <w:szCs w:val="21"/>
              </w:rPr>
              <w:t>其中：基本支出：</w:t>
            </w:r>
            <w:r>
              <w:rPr>
                <w:rFonts w:ascii="宋体" w:hAnsi="宋体" w:cs="宋体"/>
                <w:color w:val="000000"/>
                <w:kern w:val="0"/>
                <w:szCs w:val="21"/>
              </w:rPr>
              <w:t>1303.41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056" w:type="dxa"/>
            <w:gridSpan w:val="5"/>
            <w:vAlign w:val="center"/>
          </w:tcPr>
          <w:p>
            <w:pPr>
              <w:widowControl/>
              <w:ind w:firstLine="840" w:firstLineChars="400"/>
              <w:jc w:val="left"/>
              <w:rPr>
                <w:rFonts w:eastAsia="Times New Roman"/>
                <w:color w:val="000000"/>
                <w:kern w:val="0"/>
                <w:szCs w:val="21"/>
              </w:rPr>
            </w:pPr>
            <w:r>
              <w:rPr>
                <w:rFonts w:hint="eastAsia" w:ascii="宋体" w:hAnsi="宋体" w:cs="宋体"/>
                <w:color w:val="000000"/>
                <w:kern w:val="0"/>
                <w:szCs w:val="21"/>
              </w:rPr>
              <w:t>政府性基金拨款：</w:t>
            </w:r>
            <w:r>
              <w:rPr>
                <w:rFonts w:ascii="宋体" w:hAnsi="宋体" w:cs="宋体"/>
                <w:color w:val="000000"/>
                <w:kern w:val="0"/>
                <w:szCs w:val="21"/>
              </w:rPr>
              <w:t>122.28</w:t>
            </w:r>
          </w:p>
        </w:tc>
        <w:tc>
          <w:tcPr>
            <w:tcW w:w="4187" w:type="dxa"/>
            <w:gridSpan w:val="4"/>
            <w:vAlign w:val="center"/>
          </w:tcPr>
          <w:p>
            <w:pPr>
              <w:widowControl/>
              <w:ind w:firstLine="630" w:firstLineChars="300"/>
              <w:jc w:val="left"/>
              <w:rPr>
                <w:color w:val="000000"/>
                <w:kern w:val="0"/>
                <w:szCs w:val="21"/>
              </w:rPr>
            </w:pPr>
            <w:r>
              <w:rPr>
                <w:rFonts w:hint="eastAsia" w:ascii="宋体" w:hAnsi="宋体" w:cs="宋体"/>
                <w:color w:val="000000"/>
                <w:kern w:val="0"/>
                <w:szCs w:val="21"/>
              </w:rPr>
              <w:t>项目支出：</w:t>
            </w:r>
            <w:r>
              <w:rPr>
                <w:rFonts w:ascii="宋体" w:hAnsi="宋体" w:cs="宋体"/>
                <w:color w:val="000000"/>
                <w:kern w:val="0"/>
                <w:szCs w:val="21"/>
              </w:rPr>
              <w:t>353.51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056" w:type="dxa"/>
            <w:gridSpan w:val="5"/>
            <w:vAlign w:val="center"/>
          </w:tcPr>
          <w:p>
            <w:pPr>
              <w:widowControl/>
              <w:jc w:val="left"/>
              <w:rPr>
                <w:rFonts w:eastAsia="Times New Roman"/>
                <w:color w:val="000000"/>
                <w:kern w:val="0"/>
                <w:szCs w:val="21"/>
              </w:rPr>
            </w:pPr>
            <w:r>
              <w:rPr>
                <w:rFonts w:hint="eastAsia" w:ascii="宋体" w:hAnsi="宋体" w:cs="宋体"/>
                <w:color w:val="000000"/>
                <w:kern w:val="0"/>
                <w:szCs w:val="21"/>
              </w:rPr>
              <w:t>纳入专户管理的非税收入拨款：</w:t>
            </w:r>
          </w:p>
        </w:tc>
        <w:tc>
          <w:tcPr>
            <w:tcW w:w="4187" w:type="dxa"/>
            <w:gridSpan w:val="4"/>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5056" w:type="dxa"/>
            <w:gridSpan w:val="5"/>
            <w:vAlign w:val="center"/>
          </w:tcPr>
          <w:p>
            <w:pPr>
              <w:widowControl/>
              <w:ind w:firstLine="1470" w:firstLineChars="700"/>
              <w:jc w:val="left"/>
              <w:rPr>
                <w:color w:val="000000"/>
                <w:kern w:val="0"/>
                <w:szCs w:val="21"/>
              </w:rPr>
            </w:pPr>
            <w:r>
              <w:rPr>
                <w:rFonts w:hint="eastAsia" w:ascii="宋体" w:hAnsi="宋体" w:cs="宋体"/>
                <w:color w:val="000000"/>
                <w:kern w:val="0"/>
                <w:szCs w:val="21"/>
              </w:rPr>
              <w:t>其他资金：</w:t>
            </w:r>
            <w:r>
              <w:rPr>
                <w:rFonts w:ascii="宋体" w:hAnsi="宋体" w:cs="宋体"/>
                <w:color w:val="000000"/>
                <w:kern w:val="0"/>
                <w:szCs w:val="21"/>
              </w:rPr>
              <w:t>873.5</w:t>
            </w:r>
          </w:p>
        </w:tc>
        <w:tc>
          <w:tcPr>
            <w:tcW w:w="4187" w:type="dxa"/>
            <w:gridSpan w:val="4"/>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5056" w:type="dxa"/>
            <w:gridSpan w:val="5"/>
            <w:vAlign w:val="center"/>
          </w:tcPr>
          <w:p>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187"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0" w:type="dxa"/>
            <w:vMerge w:val="continue"/>
            <w:vAlign w:val="center"/>
          </w:tcPr>
          <w:p>
            <w:pPr>
              <w:widowControl/>
              <w:jc w:val="left"/>
              <w:rPr>
                <w:rFonts w:eastAsia="Times New Roman"/>
                <w:color w:val="000000"/>
                <w:kern w:val="0"/>
                <w:szCs w:val="21"/>
              </w:rPr>
            </w:pPr>
          </w:p>
        </w:tc>
        <w:tc>
          <w:tcPr>
            <w:tcW w:w="5056" w:type="dxa"/>
            <w:gridSpan w:val="5"/>
            <w:vAlign w:val="center"/>
          </w:tcPr>
          <w:p>
            <w:pPr>
              <w:widowControl/>
              <w:jc w:val="left"/>
              <w:rPr>
                <w:rFonts w:eastAsia="Times New Roman"/>
                <w:color w:val="000000"/>
                <w:kern w:val="0"/>
                <w:szCs w:val="21"/>
              </w:rPr>
            </w:pPr>
            <w:r>
              <w:rPr>
                <w:rFonts w:hint="eastAsia" w:ascii="宋体" w:hAnsi="宋体" w:cs="宋体"/>
                <w:color w:val="000000"/>
                <w:kern w:val="0"/>
                <w:szCs w:val="21"/>
              </w:rPr>
              <w:t>加强重大疾病监测，严控重大疫情大面积流行，保障人民群众身体健康。　　</w:t>
            </w:r>
          </w:p>
        </w:tc>
        <w:tc>
          <w:tcPr>
            <w:tcW w:w="4187"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加强重大疾病监测，严控重大疫情大面积流行，保障人民群众身体健康，成效明显。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绩</w:t>
            </w:r>
          </w:p>
          <w:p>
            <w:pPr>
              <w:widowControl/>
              <w:jc w:val="center"/>
              <w:rPr>
                <w:rFonts w:eastAsia="Times New Roman"/>
                <w:color w:val="000000"/>
                <w:kern w:val="0"/>
                <w:szCs w:val="21"/>
              </w:rPr>
            </w:pPr>
            <w:r>
              <w:rPr>
                <w:rFonts w:hint="eastAsia" w:ascii="宋体" w:hAnsi="宋体" w:cs="宋体"/>
                <w:color w:val="000000"/>
                <w:kern w:val="0"/>
                <w:szCs w:val="21"/>
              </w:rPr>
              <w:t>效</w:t>
            </w:r>
          </w:p>
          <w:p>
            <w:pPr>
              <w:widowControl/>
              <w:jc w:val="center"/>
              <w:rPr>
                <w:rFonts w:eastAsia="Times New Roman"/>
                <w:color w:val="000000"/>
                <w:kern w:val="0"/>
                <w:szCs w:val="21"/>
              </w:rPr>
            </w:pPr>
            <w:r>
              <w:rPr>
                <w:rFonts w:hint="eastAsia" w:ascii="宋体" w:hAnsi="宋体" w:cs="宋体"/>
                <w:color w:val="000000"/>
                <w:kern w:val="0"/>
                <w:szCs w:val="21"/>
              </w:rPr>
              <w:t>指</w:t>
            </w:r>
          </w:p>
          <w:p>
            <w:pPr>
              <w:widowControl/>
              <w:jc w:val="center"/>
              <w:rPr>
                <w:rFonts w:eastAsia="Times New Roman"/>
                <w:color w:val="000000"/>
                <w:kern w:val="0"/>
                <w:szCs w:val="21"/>
              </w:rPr>
            </w:pPr>
            <w:r>
              <w:rPr>
                <w:rFonts w:hint="eastAsia" w:ascii="宋体" w:hAnsi="宋体" w:cs="宋体"/>
                <w:color w:val="000000"/>
                <w:kern w:val="0"/>
                <w:szCs w:val="21"/>
              </w:rPr>
              <w:t>标</w:t>
            </w:r>
          </w:p>
        </w:tc>
        <w:tc>
          <w:tcPr>
            <w:tcW w:w="1395"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25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535" w:type="dxa"/>
            <w:gridSpan w:val="2"/>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874"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4"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0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9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46" w:type="dxa"/>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产出指标</w:t>
            </w:r>
          </w:p>
          <w:p>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数量</w:t>
            </w:r>
          </w:p>
          <w:p>
            <w:pPr>
              <w:widowControl/>
              <w:jc w:val="center"/>
              <w:rPr>
                <w:rFonts w:eastAsia="Times New Roman"/>
                <w:color w:val="000000"/>
                <w:kern w:val="0"/>
                <w:szCs w:val="21"/>
              </w:rPr>
            </w:pPr>
            <w:r>
              <w:rPr>
                <w:rFonts w:hint="eastAsia" w:ascii="宋体" w:hAnsi="宋体" w:cs="宋体"/>
                <w:color w:val="000000"/>
                <w:kern w:val="0"/>
                <w:szCs w:val="21"/>
              </w:rPr>
              <w:t>指标</w:t>
            </w:r>
          </w:p>
        </w:tc>
        <w:tc>
          <w:tcPr>
            <w:tcW w:w="1535" w:type="dxa"/>
            <w:gridSpan w:val="2"/>
            <w:vAlign w:val="center"/>
          </w:tcPr>
          <w:p>
            <w:pPr>
              <w:widowControl/>
              <w:jc w:val="left"/>
              <w:rPr>
                <w:color w:val="000000"/>
                <w:kern w:val="0"/>
                <w:szCs w:val="21"/>
              </w:rPr>
            </w:pPr>
            <w:r>
              <w:rPr>
                <w:rFonts w:hint="eastAsia"/>
                <w:color w:val="000000"/>
                <w:kern w:val="0"/>
                <w:szCs w:val="21"/>
              </w:rPr>
              <w:t>单位考核人数</w:t>
            </w:r>
          </w:p>
        </w:tc>
        <w:tc>
          <w:tcPr>
            <w:tcW w:w="874" w:type="dxa"/>
            <w:vAlign w:val="center"/>
          </w:tcPr>
          <w:p>
            <w:pPr>
              <w:widowControl/>
              <w:jc w:val="left"/>
              <w:rPr>
                <w:color w:val="000000"/>
                <w:kern w:val="0"/>
                <w:szCs w:val="21"/>
              </w:rPr>
            </w:pPr>
            <w:r>
              <w:rPr>
                <w:color w:val="000000"/>
                <w:kern w:val="0"/>
                <w:szCs w:val="21"/>
              </w:rPr>
              <w:t xml:space="preserve">   32</w:t>
            </w:r>
            <w:r>
              <w:rPr>
                <w:rFonts w:hint="eastAsia"/>
                <w:color w:val="000000"/>
                <w:kern w:val="0"/>
                <w:szCs w:val="21"/>
              </w:rPr>
              <w:t>人</w:t>
            </w:r>
          </w:p>
        </w:tc>
        <w:tc>
          <w:tcPr>
            <w:tcW w:w="1134" w:type="dxa"/>
            <w:vAlign w:val="center"/>
          </w:tcPr>
          <w:p>
            <w:pPr>
              <w:widowControl/>
              <w:jc w:val="left"/>
              <w:rPr>
                <w:color w:val="000000"/>
                <w:kern w:val="0"/>
                <w:szCs w:val="21"/>
              </w:rPr>
            </w:pPr>
            <w:r>
              <w:rPr>
                <w:color w:val="000000"/>
                <w:kern w:val="0"/>
                <w:szCs w:val="21"/>
              </w:rPr>
              <w:t xml:space="preserve">   32</w:t>
            </w:r>
            <w:r>
              <w:rPr>
                <w:rFonts w:hint="eastAsia"/>
                <w:color w:val="000000"/>
                <w:kern w:val="0"/>
                <w:szCs w:val="21"/>
              </w:rPr>
              <w:t>人</w:t>
            </w:r>
          </w:p>
        </w:tc>
        <w:tc>
          <w:tcPr>
            <w:tcW w:w="709" w:type="dxa"/>
            <w:vAlign w:val="center"/>
          </w:tcPr>
          <w:p>
            <w:pPr>
              <w:widowControl/>
              <w:jc w:val="left"/>
              <w:rPr>
                <w:color w:val="000000"/>
                <w:kern w:val="0"/>
                <w:szCs w:val="21"/>
              </w:rPr>
            </w:pPr>
            <w:r>
              <w:rPr>
                <w:color w:val="000000"/>
                <w:kern w:val="0"/>
                <w:szCs w:val="21"/>
              </w:rPr>
              <w:t xml:space="preserve">  10</w:t>
            </w:r>
          </w:p>
        </w:tc>
        <w:tc>
          <w:tcPr>
            <w:tcW w:w="898" w:type="dxa"/>
            <w:vAlign w:val="center"/>
          </w:tcPr>
          <w:p>
            <w:pPr>
              <w:widowControl/>
              <w:jc w:val="left"/>
              <w:rPr>
                <w:color w:val="000000"/>
                <w:kern w:val="0"/>
                <w:szCs w:val="21"/>
              </w:rPr>
            </w:pPr>
            <w:r>
              <w:rPr>
                <w:color w:val="000000"/>
                <w:kern w:val="0"/>
                <w:szCs w:val="21"/>
              </w:rPr>
              <w:t xml:space="preserve">  10</w:t>
            </w:r>
          </w:p>
        </w:tc>
        <w:tc>
          <w:tcPr>
            <w:tcW w:w="1446" w:type="dxa"/>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免疫规划接种人次</w:t>
            </w:r>
          </w:p>
        </w:tc>
        <w:tc>
          <w:tcPr>
            <w:tcW w:w="874" w:type="dxa"/>
            <w:vAlign w:val="center"/>
          </w:tcPr>
          <w:p>
            <w:pPr>
              <w:widowControl/>
              <w:jc w:val="left"/>
              <w:rPr>
                <w:rFonts w:eastAsia="Times New Roman"/>
                <w:color w:val="000000"/>
                <w:kern w:val="0"/>
                <w:szCs w:val="21"/>
              </w:rPr>
            </w:pPr>
            <w:r>
              <w:rPr>
                <w:rFonts w:ascii="宋体" w:hAnsi="宋体" w:cs="宋体"/>
                <w:color w:val="000000"/>
                <w:kern w:val="0"/>
                <w:szCs w:val="21"/>
              </w:rPr>
              <w:t>35000</w:t>
            </w:r>
            <w:r>
              <w:rPr>
                <w:rFonts w:hint="eastAsia" w:ascii="宋体" w:hAnsi="宋体" w:cs="宋体"/>
                <w:color w:val="000000"/>
                <w:kern w:val="0"/>
                <w:szCs w:val="21"/>
              </w:rPr>
              <w:t>人次</w:t>
            </w:r>
          </w:p>
        </w:tc>
        <w:tc>
          <w:tcPr>
            <w:tcW w:w="1134" w:type="dxa"/>
            <w:vAlign w:val="center"/>
          </w:tcPr>
          <w:p>
            <w:pPr>
              <w:widowControl/>
              <w:jc w:val="left"/>
              <w:rPr>
                <w:rFonts w:eastAsia="Times New Roman"/>
                <w:color w:val="000000"/>
                <w:kern w:val="0"/>
                <w:szCs w:val="21"/>
              </w:rPr>
            </w:pPr>
            <w:r>
              <w:rPr>
                <w:rFonts w:ascii="宋体" w:hAnsi="宋体" w:cs="宋体"/>
                <w:color w:val="000000"/>
                <w:kern w:val="0"/>
                <w:szCs w:val="21"/>
              </w:rPr>
              <w:t>35254</w:t>
            </w:r>
            <w:r>
              <w:rPr>
                <w:rFonts w:hint="eastAsia" w:ascii="宋体" w:hAnsi="宋体" w:cs="宋体"/>
                <w:color w:val="000000"/>
                <w:kern w:val="0"/>
                <w:szCs w:val="21"/>
              </w:rPr>
              <w:t>人次</w:t>
            </w: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免疫规划接种率</w:t>
            </w:r>
          </w:p>
        </w:tc>
        <w:tc>
          <w:tcPr>
            <w:tcW w:w="874" w:type="dxa"/>
            <w:vAlign w:val="center"/>
          </w:tcPr>
          <w:p>
            <w:pPr>
              <w:widowControl/>
              <w:ind w:firstLine="105" w:firstLineChars="50"/>
              <w:jc w:val="left"/>
              <w:rPr>
                <w:rFonts w:eastAsia="Times New Roman"/>
                <w:color w:val="000000"/>
                <w:kern w:val="0"/>
                <w:szCs w:val="21"/>
              </w:rPr>
            </w:pPr>
            <w:r>
              <w:rPr>
                <w:rFonts w:ascii="宋体" w:hAnsi="宋体" w:cs="宋体"/>
                <w:color w:val="000000"/>
                <w:kern w:val="0"/>
                <w:szCs w:val="21"/>
              </w:rPr>
              <w:t>95%</w:t>
            </w:r>
          </w:p>
        </w:tc>
        <w:tc>
          <w:tcPr>
            <w:tcW w:w="1134" w:type="dxa"/>
            <w:vAlign w:val="center"/>
          </w:tcPr>
          <w:p>
            <w:pPr>
              <w:widowControl/>
              <w:jc w:val="left"/>
              <w:rPr>
                <w:color w:val="000000"/>
                <w:kern w:val="0"/>
                <w:szCs w:val="21"/>
              </w:rPr>
            </w:pPr>
            <w:r>
              <w:rPr>
                <w:color w:val="000000"/>
                <w:kern w:val="0"/>
                <w:szCs w:val="21"/>
              </w:rPr>
              <w:t>99.98%</w:t>
            </w:r>
          </w:p>
        </w:tc>
        <w:tc>
          <w:tcPr>
            <w:tcW w:w="709" w:type="dxa"/>
            <w:vAlign w:val="center"/>
          </w:tcPr>
          <w:p>
            <w:pPr>
              <w:widowControl/>
              <w:ind w:firstLine="210" w:firstLineChars="100"/>
              <w:jc w:val="left"/>
              <w:rPr>
                <w:rFonts w:eastAsia="Times New Roman"/>
                <w:color w:val="000000"/>
                <w:kern w:val="0"/>
                <w:szCs w:val="21"/>
              </w:rPr>
            </w:pPr>
            <w:r>
              <w:rPr>
                <w:rFonts w:eastAsia="Times New Roman"/>
                <w:color w:val="000000"/>
                <w:kern w:val="0"/>
                <w:szCs w:val="21"/>
              </w:rPr>
              <w:t>10</w:t>
            </w:r>
          </w:p>
        </w:tc>
        <w:tc>
          <w:tcPr>
            <w:tcW w:w="898" w:type="dxa"/>
            <w:vAlign w:val="center"/>
          </w:tcPr>
          <w:p>
            <w:pPr>
              <w:widowControl/>
              <w:ind w:firstLine="210" w:firstLineChars="100"/>
              <w:jc w:val="left"/>
              <w:rPr>
                <w:rFonts w:eastAsia="Times New Roman"/>
                <w:color w:val="000000"/>
                <w:kern w:val="0"/>
                <w:szCs w:val="21"/>
              </w:rPr>
            </w:pP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质量</w:t>
            </w:r>
          </w:p>
          <w:p>
            <w:pPr>
              <w:widowControl/>
              <w:jc w:val="center"/>
              <w:rPr>
                <w:rFonts w:eastAsia="Times New Roman"/>
                <w:color w:val="000000"/>
                <w:kern w:val="0"/>
                <w:szCs w:val="21"/>
              </w:rPr>
            </w:pPr>
            <w:r>
              <w:rPr>
                <w:rFonts w:hint="eastAsia" w:ascii="宋体" w:hAnsi="宋体" w:cs="宋体"/>
                <w:color w:val="000000"/>
                <w:kern w:val="0"/>
                <w:szCs w:val="21"/>
              </w:rPr>
              <w:t>指标</w:t>
            </w:r>
          </w:p>
        </w:tc>
        <w:tc>
          <w:tcPr>
            <w:tcW w:w="15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免疫规划安全注射率</w:t>
            </w:r>
          </w:p>
        </w:tc>
        <w:tc>
          <w:tcPr>
            <w:tcW w:w="874" w:type="dxa"/>
            <w:vAlign w:val="center"/>
          </w:tcPr>
          <w:p>
            <w:pPr>
              <w:widowControl/>
              <w:ind w:firstLine="105" w:firstLineChars="50"/>
              <w:jc w:val="left"/>
              <w:rPr>
                <w:rFonts w:eastAsia="Times New Roman"/>
                <w:color w:val="000000"/>
                <w:kern w:val="0"/>
                <w:szCs w:val="21"/>
              </w:rPr>
            </w:pPr>
            <w:r>
              <w:rPr>
                <w:color w:val="000000"/>
                <w:kern w:val="0"/>
                <w:szCs w:val="21"/>
              </w:rPr>
              <w:t>100</w:t>
            </w:r>
            <w:r>
              <w:rPr>
                <w:rFonts w:eastAsia="Times New Roman"/>
                <w:color w:val="000000"/>
                <w:kern w:val="0"/>
                <w:szCs w:val="21"/>
              </w:rPr>
              <w:t>%</w:t>
            </w:r>
          </w:p>
        </w:tc>
        <w:tc>
          <w:tcPr>
            <w:tcW w:w="1134" w:type="dxa"/>
            <w:vAlign w:val="center"/>
          </w:tcPr>
          <w:p>
            <w:pPr>
              <w:widowControl/>
              <w:jc w:val="left"/>
              <w:rPr>
                <w:rFonts w:eastAsia="Times New Roman"/>
                <w:color w:val="000000"/>
                <w:kern w:val="0"/>
                <w:szCs w:val="21"/>
              </w:rPr>
            </w:pPr>
            <w:r>
              <w:rPr>
                <w:color w:val="000000"/>
                <w:kern w:val="0"/>
                <w:szCs w:val="21"/>
              </w:rPr>
              <w:t>100</w:t>
            </w:r>
            <w:r>
              <w:rPr>
                <w:rFonts w:eastAsia="Times New Roman"/>
                <w:color w:val="000000"/>
                <w:kern w:val="0"/>
                <w:szCs w:val="21"/>
              </w:rPr>
              <w:t>%</w:t>
            </w: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突发公共卫生事件相关信息报告率</w:t>
            </w:r>
          </w:p>
        </w:tc>
        <w:tc>
          <w:tcPr>
            <w:tcW w:w="874" w:type="dxa"/>
            <w:vAlign w:val="center"/>
          </w:tcPr>
          <w:p>
            <w:pPr>
              <w:widowControl/>
              <w:jc w:val="left"/>
              <w:rPr>
                <w:rFonts w:eastAsia="Times New Roman"/>
                <w:color w:val="000000"/>
                <w:kern w:val="0"/>
                <w:szCs w:val="21"/>
              </w:rPr>
            </w:pPr>
            <w:r>
              <w:rPr>
                <w:color w:val="000000"/>
                <w:kern w:val="0"/>
                <w:szCs w:val="21"/>
              </w:rPr>
              <w:t xml:space="preserve"> 100</w:t>
            </w:r>
            <w:r>
              <w:rPr>
                <w:rFonts w:eastAsia="Times New Roman"/>
                <w:color w:val="000000"/>
                <w:kern w:val="0"/>
                <w:szCs w:val="21"/>
              </w:rPr>
              <w:t>%</w:t>
            </w:r>
          </w:p>
        </w:tc>
        <w:tc>
          <w:tcPr>
            <w:tcW w:w="1134" w:type="dxa"/>
            <w:vAlign w:val="center"/>
          </w:tcPr>
          <w:p>
            <w:pPr>
              <w:widowControl/>
              <w:jc w:val="left"/>
              <w:rPr>
                <w:rFonts w:eastAsia="Times New Roman"/>
                <w:color w:val="000000"/>
                <w:kern w:val="0"/>
                <w:szCs w:val="21"/>
              </w:rPr>
            </w:pPr>
            <w:r>
              <w:rPr>
                <w:color w:val="000000"/>
                <w:kern w:val="0"/>
                <w:szCs w:val="21"/>
              </w:rPr>
              <w:t>100</w:t>
            </w:r>
            <w:r>
              <w:rPr>
                <w:rFonts w:eastAsia="Times New Roman"/>
                <w:color w:val="000000"/>
                <w:kern w:val="0"/>
                <w:szCs w:val="21"/>
              </w:rPr>
              <w:t>%</w:t>
            </w: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时效</w:t>
            </w:r>
          </w:p>
          <w:p>
            <w:pPr>
              <w:widowControl/>
              <w:jc w:val="center"/>
              <w:rPr>
                <w:rFonts w:eastAsia="Times New Roman"/>
                <w:color w:val="000000"/>
                <w:kern w:val="0"/>
                <w:szCs w:val="21"/>
              </w:rPr>
            </w:pPr>
            <w:r>
              <w:rPr>
                <w:rFonts w:hint="eastAsia" w:ascii="宋体" w:hAnsi="宋体" w:cs="宋体"/>
                <w:color w:val="000000"/>
                <w:kern w:val="0"/>
                <w:szCs w:val="21"/>
              </w:rPr>
              <w:t>指标</w:t>
            </w:r>
          </w:p>
        </w:tc>
        <w:tc>
          <w:tcPr>
            <w:tcW w:w="15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874" w:type="dxa"/>
            <w:vAlign w:val="center"/>
          </w:tcPr>
          <w:p>
            <w:pPr>
              <w:widowControl/>
              <w:jc w:val="left"/>
              <w:rPr>
                <w:rFonts w:eastAsia="Times New Roman"/>
                <w:color w:val="000000"/>
                <w:kern w:val="0"/>
                <w:szCs w:val="21"/>
              </w:rPr>
            </w:pPr>
            <w:r>
              <w:rPr>
                <w:rFonts w:eastAsia="Times New Roman"/>
                <w:color w:val="000000"/>
                <w:kern w:val="0"/>
                <w:szCs w:val="21"/>
              </w:rPr>
              <w:t>2024</w:t>
            </w:r>
            <w:r>
              <w:rPr>
                <w:rFonts w:hint="eastAsia" w:ascii="宋体" w:hAnsi="宋体" w:cs="宋体"/>
                <w:color w:val="000000"/>
                <w:kern w:val="0"/>
                <w:szCs w:val="21"/>
              </w:rPr>
              <w:t>年</w:t>
            </w:r>
          </w:p>
        </w:tc>
        <w:tc>
          <w:tcPr>
            <w:tcW w:w="1134" w:type="dxa"/>
            <w:vAlign w:val="center"/>
          </w:tcPr>
          <w:p>
            <w:pPr>
              <w:widowControl/>
              <w:jc w:val="left"/>
              <w:rPr>
                <w:rFonts w:eastAsia="Times New Roman"/>
                <w:color w:val="000000"/>
                <w:kern w:val="0"/>
                <w:szCs w:val="21"/>
              </w:rPr>
            </w:pPr>
            <w:r>
              <w:rPr>
                <w:rFonts w:eastAsia="Times New Roman"/>
                <w:color w:val="000000"/>
                <w:kern w:val="0"/>
                <w:szCs w:val="21"/>
              </w:rPr>
              <w:t>2024</w:t>
            </w:r>
            <w:r>
              <w:rPr>
                <w:rFonts w:hint="eastAsia" w:ascii="宋体" w:hAnsi="宋体" w:cs="宋体"/>
                <w:color w:val="000000"/>
                <w:kern w:val="0"/>
                <w:szCs w:val="21"/>
              </w:rPr>
              <w:t>年</w:t>
            </w:r>
          </w:p>
        </w:tc>
        <w:tc>
          <w:tcPr>
            <w:tcW w:w="709"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10</w:t>
            </w:r>
          </w:p>
        </w:tc>
        <w:tc>
          <w:tcPr>
            <w:tcW w:w="898"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p>
        </w:tc>
        <w:tc>
          <w:tcPr>
            <w:tcW w:w="874"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成本</w:t>
            </w:r>
          </w:p>
          <w:p>
            <w:pPr>
              <w:widowControl/>
              <w:jc w:val="center"/>
              <w:rPr>
                <w:rFonts w:eastAsia="Times New Roman"/>
                <w:color w:val="000000"/>
                <w:kern w:val="0"/>
                <w:szCs w:val="21"/>
              </w:rPr>
            </w:pPr>
            <w:r>
              <w:rPr>
                <w:rFonts w:hint="eastAsia" w:ascii="宋体" w:hAnsi="宋体" w:cs="宋体"/>
                <w:color w:val="000000"/>
                <w:kern w:val="0"/>
                <w:szCs w:val="21"/>
              </w:rPr>
              <w:t>指标</w:t>
            </w:r>
          </w:p>
        </w:tc>
        <w:tc>
          <w:tcPr>
            <w:tcW w:w="15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基本支出</w:t>
            </w:r>
          </w:p>
        </w:tc>
        <w:tc>
          <w:tcPr>
            <w:tcW w:w="874" w:type="dxa"/>
            <w:vAlign w:val="center"/>
          </w:tcPr>
          <w:p>
            <w:pPr>
              <w:widowControl/>
              <w:jc w:val="center"/>
              <w:rPr>
                <w:rFonts w:eastAsia="Times New Roman"/>
                <w:color w:val="000000"/>
                <w:kern w:val="0"/>
                <w:szCs w:val="21"/>
              </w:rPr>
            </w:pPr>
            <w:r>
              <w:rPr>
                <w:rFonts w:ascii="宋体" w:hAnsi="宋体" w:cs="宋体"/>
                <w:color w:val="000000"/>
                <w:kern w:val="0"/>
                <w:szCs w:val="21"/>
              </w:rPr>
              <w:t>1303.41</w:t>
            </w:r>
            <w:r>
              <w:rPr>
                <w:rFonts w:hint="eastAsia" w:ascii="宋体" w:hAnsi="宋体" w:cs="宋体"/>
                <w:color w:val="000000"/>
                <w:kern w:val="0"/>
                <w:szCs w:val="21"/>
              </w:rPr>
              <w:t>万元</w:t>
            </w:r>
          </w:p>
        </w:tc>
        <w:tc>
          <w:tcPr>
            <w:tcW w:w="1134" w:type="dxa"/>
            <w:vAlign w:val="center"/>
          </w:tcPr>
          <w:p>
            <w:pPr>
              <w:widowControl/>
              <w:jc w:val="left"/>
              <w:rPr>
                <w:rFonts w:eastAsia="Times New Roman"/>
                <w:color w:val="000000"/>
                <w:kern w:val="0"/>
                <w:szCs w:val="21"/>
              </w:rPr>
            </w:pPr>
            <w:r>
              <w:rPr>
                <w:rFonts w:ascii="宋体" w:hAnsi="宋体" w:cs="宋体"/>
                <w:color w:val="000000"/>
                <w:kern w:val="0"/>
                <w:szCs w:val="21"/>
              </w:rPr>
              <w:t>1303.41</w:t>
            </w:r>
            <w:r>
              <w:rPr>
                <w:rFonts w:hint="eastAsia" w:ascii="宋体" w:hAnsi="宋体" w:cs="宋体"/>
                <w:color w:val="000000"/>
                <w:kern w:val="0"/>
                <w:szCs w:val="21"/>
              </w:rPr>
              <w:t>万元</w:t>
            </w:r>
          </w:p>
        </w:tc>
        <w:tc>
          <w:tcPr>
            <w:tcW w:w="709" w:type="dxa"/>
            <w:vAlign w:val="center"/>
          </w:tcPr>
          <w:p>
            <w:pPr>
              <w:widowControl/>
              <w:jc w:val="left"/>
              <w:rPr>
                <w:color w:val="000000"/>
                <w:kern w:val="0"/>
                <w:szCs w:val="21"/>
              </w:rPr>
            </w:pPr>
            <w:r>
              <w:rPr>
                <w:color w:val="000000"/>
                <w:kern w:val="0"/>
                <w:szCs w:val="21"/>
              </w:rPr>
              <w:t xml:space="preserve">  5</w:t>
            </w:r>
          </w:p>
        </w:tc>
        <w:tc>
          <w:tcPr>
            <w:tcW w:w="898"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5</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widowControl/>
              <w:jc w:val="left"/>
              <w:rPr>
                <w:rFonts w:eastAsia="Times New Roman"/>
                <w:color w:val="000000"/>
                <w:kern w:val="0"/>
                <w:szCs w:val="21"/>
              </w:rPr>
            </w:pPr>
          </w:p>
        </w:tc>
        <w:tc>
          <w:tcPr>
            <w:tcW w:w="1252" w:type="dxa"/>
            <w:vMerge w:val="continue"/>
            <w:vAlign w:val="center"/>
          </w:tcPr>
          <w:p>
            <w:pPr>
              <w:widowControl/>
              <w:jc w:val="left"/>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项目支出</w:t>
            </w:r>
          </w:p>
        </w:tc>
        <w:tc>
          <w:tcPr>
            <w:tcW w:w="874" w:type="dxa"/>
            <w:vAlign w:val="center"/>
          </w:tcPr>
          <w:p>
            <w:pPr>
              <w:widowControl/>
              <w:jc w:val="left"/>
              <w:rPr>
                <w:rFonts w:eastAsia="Times New Roman"/>
                <w:color w:val="000000"/>
                <w:kern w:val="0"/>
                <w:szCs w:val="21"/>
              </w:rPr>
            </w:pPr>
            <w:r>
              <w:rPr>
                <w:rFonts w:ascii="宋体" w:hAnsi="宋体" w:cs="宋体"/>
                <w:color w:val="000000"/>
                <w:kern w:val="0"/>
                <w:szCs w:val="21"/>
              </w:rPr>
              <w:t>353.51</w:t>
            </w:r>
            <w:r>
              <w:rPr>
                <w:rFonts w:hint="eastAsia" w:ascii="宋体" w:hAnsi="宋体" w:cs="宋体"/>
                <w:color w:val="000000"/>
                <w:kern w:val="0"/>
                <w:szCs w:val="21"/>
              </w:rPr>
              <w:t>万元</w:t>
            </w:r>
          </w:p>
        </w:tc>
        <w:tc>
          <w:tcPr>
            <w:tcW w:w="1134" w:type="dxa"/>
            <w:vAlign w:val="center"/>
          </w:tcPr>
          <w:p>
            <w:pPr>
              <w:widowControl/>
              <w:jc w:val="left"/>
              <w:rPr>
                <w:rFonts w:eastAsia="Times New Roman"/>
                <w:color w:val="000000"/>
                <w:kern w:val="0"/>
                <w:szCs w:val="21"/>
              </w:rPr>
            </w:pPr>
            <w:r>
              <w:rPr>
                <w:rFonts w:ascii="宋体" w:hAnsi="宋体" w:cs="宋体"/>
                <w:color w:val="000000"/>
                <w:kern w:val="0"/>
                <w:szCs w:val="21"/>
              </w:rPr>
              <w:t>353.51</w:t>
            </w:r>
            <w:r>
              <w:rPr>
                <w:rFonts w:hint="eastAsia" w:ascii="宋体" w:hAnsi="宋体" w:cs="宋体"/>
                <w:color w:val="000000"/>
                <w:kern w:val="0"/>
                <w:szCs w:val="21"/>
              </w:rPr>
              <w:t>万元</w:t>
            </w:r>
          </w:p>
        </w:tc>
        <w:tc>
          <w:tcPr>
            <w:tcW w:w="709"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5</w:t>
            </w:r>
          </w:p>
        </w:tc>
        <w:tc>
          <w:tcPr>
            <w:tcW w:w="898"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5</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效益指标</w:t>
            </w:r>
          </w:p>
          <w:p>
            <w:pPr>
              <w:widowControl/>
              <w:ind w:firstLine="210" w:firstLineChars="100"/>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　</w:t>
            </w:r>
          </w:p>
        </w:tc>
        <w:tc>
          <w:tcPr>
            <w:tcW w:w="1252" w:type="dxa"/>
            <w:vAlign w:val="center"/>
          </w:tcPr>
          <w:p>
            <w:pPr>
              <w:widowControl/>
              <w:jc w:val="center"/>
              <w:rPr>
                <w:rFonts w:eastAsia="Times New Roman"/>
                <w:color w:val="000000"/>
                <w:kern w:val="0"/>
                <w:szCs w:val="21"/>
              </w:rPr>
            </w:pPr>
            <w:r>
              <w:rPr>
                <w:rFonts w:hint="eastAsia" w:ascii="宋体" w:hAnsi="宋体" w:cs="宋体"/>
                <w:color w:val="000000"/>
                <w:kern w:val="0"/>
                <w:szCs w:val="21"/>
              </w:rPr>
              <w:t>经济效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535" w:type="dxa"/>
            <w:gridSpan w:val="2"/>
            <w:vAlign w:val="center"/>
          </w:tcPr>
          <w:p>
            <w:pPr>
              <w:widowControl/>
              <w:jc w:val="left"/>
              <w:rPr>
                <w:rFonts w:eastAsia="Times New Roman"/>
                <w:color w:val="000000"/>
                <w:kern w:val="0"/>
                <w:szCs w:val="21"/>
              </w:rPr>
            </w:pPr>
          </w:p>
        </w:tc>
        <w:tc>
          <w:tcPr>
            <w:tcW w:w="874"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社会效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535" w:type="dxa"/>
            <w:gridSpan w:val="2"/>
            <w:vAlign w:val="center"/>
          </w:tcPr>
          <w:p>
            <w:pPr>
              <w:widowControl/>
              <w:jc w:val="left"/>
              <w:rPr>
                <w:rFonts w:ascii="宋体" w:cs="宋体"/>
                <w:color w:val="000000"/>
                <w:kern w:val="0"/>
                <w:szCs w:val="21"/>
              </w:rPr>
            </w:pPr>
            <w:r>
              <w:rPr>
                <w:rFonts w:hint="eastAsia" w:ascii="宋体" w:hAnsi="宋体" w:cs="宋体"/>
                <w:color w:val="000000"/>
                <w:kern w:val="0"/>
                <w:szCs w:val="21"/>
              </w:rPr>
              <w:t>确保无疫苗相关疾病爆发流行</w:t>
            </w:r>
          </w:p>
        </w:tc>
        <w:tc>
          <w:tcPr>
            <w:tcW w:w="874" w:type="dxa"/>
            <w:vAlign w:val="center"/>
          </w:tcPr>
          <w:p>
            <w:pPr>
              <w:widowControl/>
              <w:jc w:val="left"/>
              <w:rPr>
                <w:rFonts w:eastAsia="Times New Roman"/>
                <w:color w:val="000000"/>
                <w:kern w:val="0"/>
                <w:szCs w:val="21"/>
              </w:rPr>
            </w:pPr>
            <w:r>
              <w:rPr>
                <w:rFonts w:hint="eastAsia" w:ascii="宋体" w:hAnsi="宋体" w:cs="宋体"/>
                <w:color w:val="000000"/>
                <w:kern w:val="0"/>
                <w:szCs w:val="21"/>
              </w:rPr>
              <w:t>无发生</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无发生</w:t>
            </w: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center"/>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p>
        </w:tc>
        <w:tc>
          <w:tcPr>
            <w:tcW w:w="874"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生态效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535" w:type="dxa"/>
            <w:gridSpan w:val="2"/>
            <w:vAlign w:val="center"/>
          </w:tcPr>
          <w:p>
            <w:pPr>
              <w:widowControl/>
              <w:jc w:val="left"/>
              <w:rPr>
                <w:rFonts w:eastAsia="Times New Roman"/>
                <w:color w:val="000000"/>
                <w:kern w:val="0"/>
                <w:szCs w:val="21"/>
              </w:rPr>
            </w:pPr>
          </w:p>
        </w:tc>
        <w:tc>
          <w:tcPr>
            <w:tcW w:w="874"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709" w:type="dxa"/>
            <w:vAlign w:val="center"/>
          </w:tcPr>
          <w:p>
            <w:pPr>
              <w:widowControl/>
              <w:jc w:val="left"/>
              <w:rPr>
                <w:rFonts w:eastAsia="Times New Roman"/>
                <w:color w:val="000000"/>
                <w:kern w:val="0"/>
                <w:szCs w:val="21"/>
              </w:rPr>
            </w:pPr>
          </w:p>
        </w:tc>
        <w:tc>
          <w:tcPr>
            <w:tcW w:w="898" w:type="dxa"/>
            <w:vAlign w:val="center"/>
          </w:tcPr>
          <w:p>
            <w:pPr>
              <w:widowControl/>
              <w:jc w:val="left"/>
              <w:rPr>
                <w:rFonts w:eastAsia="Times New Roman"/>
                <w:color w:val="000000"/>
                <w:kern w:val="0"/>
                <w:szCs w:val="21"/>
              </w:rPr>
            </w:pP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Times New Roman"/>
                <w:color w:val="000000"/>
                <w:kern w:val="0"/>
                <w:szCs w:val="21"/>
              </w:rPr>
            </w:pPr>
          </w:p>
        </w:tc>
        <w:tc>
          <w:tcPr>
            <w:tcW w:w="1395" w:type="dxa"/>
            <w:vMerge w:val="continue"/>
            <w:vAlign w:val="center"/>
          </w:tcPr>
          <w:p>
            <w:pPr>
              <w:jc w:val="left"/>
              <w:rPr>
                <w:rFonts w:eastAsia="Times New Roman"/>
                <w:color w:val="000000"/>
                <w:kern w:val="0"/>
                <w:szCs w:val="21"/>
              </w:rPr>
            </w:pPr>
          </w:p>
        </w:tc>
        <w:tc>
          <w:tcPr>
            <w:tcW w:w="1252" w:type="dxa"/>
            <w:vMerge w:val="continue"/>
            <w:vAlign w:val="center"/>
          </w:tcPr>
          <w:p>
            <w:pPr>
              <w:widowControl/>
              <w:jc w:val="left"/>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p>
        </w:tc>
        <w:tc>
          <w:tcPr>
            <w:tcW w:w="874"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709" w:type="dxa"/>
            <w:vAlign w:val="center"/>
          </w:tcPr>
          <w:p>
            <w:pPr>
              <w:widowControl/>
              <w:jc w:val="left"/>
              <w:rPr>
                <w:rFonts w:eastAsia="Times New Roman"/>
                <w:color w:val="000000"/>
                <w:kern w:val="0"/>
                <w:szCs w:val="21"/>
              </w:rPr>
            </w:pPr>
          </w:p>
        </w:tc>
        <w:tc>
          <w:tcPr>
            <w:tcW w:w="898" w:type="dxa"/>
            <w:vAlign w:val="center"/>
          </w:tcPr>
          <w:p>
            <w:pPr>
              <w:widowControl/>
              <w:jc w:val="left"/>
              <w:rPr>
                <w:rFonts w:eastAsia="Times New Roman"/>
                <w:color w:val="000000"/>
                <w:kern w:val="0"/>
                <w:szCs w:val="21"/>
              </w:rPr>
            </w:pP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Times New Roman"/>
                <w:color w:val="000000"/>
                <w:kern w:val="0"/>
                <w:szCs w:val="21"/>
              </w:rPr>
            </w:pPr>
          </w:p>
        </w:tc>
        <w:tc>
          <w:tcPr>
            <w:tcW w:w="1395" w:type="dxa"/>
            <w:vMerge w:val="continue"/>
            <w:vAlign w:val="center"/>
          </w:tcPr>
          <w:p>
            <w:pPr>
              <w:widowControl/>
              <w:jc w:val="left"/>
              <w:rPr>
                <w:rFonts w:eastAsia="Times New Roman"/>
                <w:color w:val="000000"/>
                <w:kern w:val="0"/>
                <w:szCs w:val="21"/>
              </w:rPr>
            </w:pP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535" w:type="dxa"/>
            <w:gridSpan w:val="2"/>
            <w:vAlign w:val="center"/>
          </w:tcPr>
          <w:p>
            <w:pPr>
              <w:widowControl/>
              <w:jc w:val="left"/>
              <w:rPr>
                <w:rFonts w:eastAsia="Times New Roman"/>
                <w:color w:val="000000"/>
                <w:kern w:val="0"/>
                <w:szCs w:val="21"/>
              </w:rPr>
            </w:pPr>
          </w:p>
        </w:tc>
        <w:tc>
          <w:tcPr>
            <w:tcW w:w="874"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709" w:type="dxa"/>
            <w:vAlign w:val="center"/>
          </w:tcPr>
          <w:p>
            <w:pPr>
              <w:widowControl/>
              <w:jc w:val="left"/>
              <w:rPr>
                <w:rFonts w:eastAsia="Times New Roman"/>
                <w:color w:val="000000"/>
                <w:kern w:val="0"/>
                <w:szCs w:val="21"/>
              </w:rPr>
            </w:pPr>
          </w:p>
        </w:tc>
        <w:tc>
          <w:tcPr>
            <w:tcW w:w="898" w:type="dxa"/>
            <w:vAlign w:val="center"/>
          </w:tcPr>
          <w:p>
            <w:pPr>
              <w:widowControl/>
              <w:jc w:val="left"/>
              <w:rPr>
                <w:rFonts w:eastAsia="Times New Roman"/>
                <w:color w:val="000000"/>
                <w:kern w:val="0"/>
                <w:szCs w:val="21"/>
              </w:rPr>
            </w:pP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395" w:type="dxa"/>
            <w:vMerge w:val="continue"/>
            <w:vAlign w:val="center"/>
          </w:tcPr>
          <w:p>
            <w:pPr>
              <w:widowControl/>
              <w:jc w:val="left"/>
              <w:rPr>
                <w:rFonts w:eastAsia="Times New Roman"/>
                <w:color w:val="000000"/>
                <w:kern w:val="0"/>
                <w:szCs w:val="21"/>
              </w:rPr>
            </w:pPr>
          </w:p>
        </w:tc>
        <w:tc>
          <w:tcPr>
            <w:tcW w:w="1252" w:type="dxa"/>
            <w:vMerge w:val="continue"/>
            <w:vAlign w:val="center"/>
          </w:tcPr>
          <w:p>
            <w:pPr>
              <w:widowControl/>
              <w:jc w:val="left"/>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p>
        </w:tc>
        <w:tc>
          <w:tcPr>
            <w:tcW w:w="874" w:type="dxa"/>
            <w:vAlign w:val="center"/>
          </w:tcPr>
          <w:p>
            <w:pPr>
              <w:widowControl/>
              <w:jc w:val="left"/>
              <w:rPr>
                <w:rFonts w:eastAsia="Times New Roman"/>
                <w:color w:val="000000"/>
                <w:kern w:val="0"/>
                <w:szCs w:val="21"/>
              </w:rPr>
            </w:pPr>
          </w:p>
        </w:tc>
        <w:tc>
          <w:tcPr>
            <w:tcW w:w="1134" w:type="dxa"/>
            <w:vAlign w:val="center"/>
          </w:tcPr>
          <w:p>
            <w:pPr>
              <w:widowControl/>
              <w:jc w:val="left"/>
              <w:rPr>
                <w:rFonts w:eastAsia="Times New Roman"/>
                <w:color w:val="000000"/>
                <w:kern w:val="0"/>
                <w:szCs w:val="21"/>
              </w:rPr>
            </w:pP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395"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满意度</w:t>
            </w:r>
          </w:p>
          <w:p>
            <w:pPr>
              <w:widowControl/>
              <w:jc w:val="center"/>
              <w:rPr>
                <w:rFonts w:eastAsia="Times New Roman"/>
                <w:color w:val="000000"/>
                <w:kern w:val="0"/>
                <w:szCs w:val="21"/>
              </w:rPr>
            </w:pPr>
            <w:r>
              <w:rPr>
                <w:rFonts w:hint="eastAsia" w:ascii="宋体" w:hAnsi="宋体" w:cs="宋体"/>
                <w:color w:val="000000"/>
                <w:kern w:val="0"/>
                <w:szCs w:val="21"/>
              </w:rPr>
              <w:t>指标</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252"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535"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874" w:type="dxa"/>
            <w:vAlign w:val="center"/>
          </w:tcPr>
          <w:p>
            <w:pPr>
              <w:widowControl/>
              <w:jc w:val="left"/>
              <w:rPr>
                <w:rFonts w:eastAsia="Times New Roman"/>
                <w:color w:val="000000"/>
                <w:kern w:val="0"/>
                <w:szCs w:val="21"/>
              </w:rPr>
            </w:pPr>
            <w:r>
              <w:rPr>
                <w:rFonts w:eastAsia="Times New Roman"/>
                <w:color w:val="000000"/>
                <w:kern w:val="0"/>
                <w:szCs w:val="21"/>
              </w:rPr>
              <w:t>95%</w:t>
            </w:r>
          </w:p>
        </w:tc>
        <w:tc>
          <w:tcPr>
            <w:tcW w:w="1134"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1395" w:type="dxa"/>
            <w:vMerge w:val="continue"/>
            <w:vAlign w:val="center"/>
          </w:tcPr>
          <w:p>
            <w:pPr>
              <w:widowControl/>
              <w:jc w:val="left"/>
              <w:rPr>
                <w:rFonts w:eastAsia="Times New Roman"/>
                <w:color w:val="000000"/>
                <w:kern w:val="0"/>
                <w:szCs w:val="21"/>
              </w:rPr>
            </w:pPr>
          </w:p>
        </w:tc>
        <w:tc>
          <w:tcPr>
            <w:tcW w:w="1252" w:type="dxa"/>
            <w:vMerge w:val="continue"/>
            <w:vAlign w:val="center"/>
          </w:tcPr>
          <w:p>
            <w:pPr>
              <w:widowControl/>
              <w:jc w:val="left"/>
              <w:rPr>
                <w:rFonts w:eastAsia="Times New Roman"/>
                <w:color w:val="000000"/>
                <w:kern w:val="0"/>
                <w:szCs w:val="21"/>
              </w:rPr>
            </w:pPr>
          </w:p>
        </w:tc>
        <w:tc>
          <w:tcPr>
            <w:tcW w:w="1535" w:type="dxa"/>
            <w:gridSpan w:val="2"/>
            <w:vAlign w:val="center"/>
          </w:tcPr>
          <w:p>
            <w:pPr>
              <w:widowControl/>
              <w:jc w:val="left"/>
              <w:rPr>
                <w:rFonts w:eastAsia="Times New Roman"/>
                <w:color w:val="000000"/>
                <w:kern w:val="0"/>
                <w:szCs w:val="21"/>
              </w:rPr>
            </w:pPr>
            <w:r>
              <w:rPr>
                <w:rFonts w:eastAsia="Times New Roman"/>
                <w:color w:val="000000"/>
                <w:kern w:val="0"/>
                <w:szCs w:val="21"/>
              </w:rPr>
              <w:t>……</w:t>
            </w:r>
          </w:p>
        </w:tc>
        <w:tc>
          <w:tcPr>
            <w:tcW w:w="87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7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vAlign w:val="center"/>
          </w:tcPr>
          <w:p>
            <w:pPr>
              <w:widowControl/>
              <w:jc w:val="center"/>
              <w:rPr>
                <w:rFonts w:eastAsia="Times New Roman"/>
                <w:color w:val="000000"/>
                <w:kern w:val="0"/>
                <w:szCs w:val="21"/>
              </w:rPr>
            </w:pPr>
            <w:r>
              <w:rPr>
                <w:rFonts w:hint="eastAsia" w:ascii="宋体" w:hAnsi="宋体" w:cs="宋体"/>
                <w:color w:val="000000"/>
                <w:kern w:val="0"/>
                <w:szCs w:val="21"/>
              </w:rPr>
              <w:t>总分</w:t>
            </w:r>
          </w:p>
        </w:tc>
        <w:tc>
          <w:tcPr>
            <w:tcW w:w="709"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89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100</w:t>
            </w:r>
          </w:p>
        </w:tc>
        <w:tc>
          <w:tcPr>
            <w:tcW w:w="1446"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bl>
    <w:p>
      <w:pPr>
        <w:widowControl/>
        <w:jc w:val="left"/>
        <w:rPr>
          <w:rFonts w:eastAsia="黑体"/>
          <w:sz w:val="32"/>
          <w:szCs w:val="32"/>
        </w:rPr>
      </w:pPr>
    </w:p>
    <w:p>
      <w:pPr>
        <w:widowControl/>
        <w:jc w:val="left"/>
        <w:rPr>
          <w:rFonts w:eastAsia="黑体"/>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60" w:lineRule="exact"/>
        <w:jc w:val="center"/>
        <w:rPr>
          <w:rFonts w:ascii="宋体"/>
          <w:kern w:val="0"/>
          <w:sz w:val="32"/>
          <w:szCs w:val="32"/>
        </w:rPr>
      </w:pPr>
      <w:r>
        <w:rPr>
          <w:rFonts w:hint="eastAsia" w:ascii="宋体" w:hAnsi="宋体"/>
          <w:kern w:val="0"/>
          <w:sz w:val="32"/>
          <w:szCs w:val="32"/>
        </w:rPr>
        <w:t>江永县疾病预防控制中心</w:t>
      </w:r>
      <w:r>
        <w:rPr>
          <w:rFonts w:ascii="宋体" w:hAnsi="宋体"/>
          <w:kern w:val="0"/>
          <w:sz w:val="32"/>
          <w:szCs w:val="32"/>
        </w:rPr>
        <w:t>2024</w:t>
      </w:r>
      <w:r>
        <w:rPr>
          <w:rFonts w:hint="eastAsia" w:ascii="宋体" w:hAnsi="宋体"/>
          <w:kern w:val="0"/>
          <w:sz w:val="32"/>
          <w:szCs w:val="32"/>
        </w:rPr>
        <w:t>年整体支出绩效评价表</w:t>
      </w:r>
    </w:p>
    <w:tbl>
      <w:tblPr>
        <w:tblStyle w:val="8"/>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一级指标</w:t>
            </w: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二级指标</w:t>
            </w: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分值</w:t>
            </w:r>
          </w:p>
        </w:tc>
        <w:tc>
          <w:tcPr>
            <w:tcW w:w="1194"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三级</w:t>
            </w:r>
          </w:p>
          <w:p>
            <w:pPr>
              <w:widowControl/>
              <w:jc w:val="center"/>
              <w:rPr>
                <w:rFonts w:eastAsia="FangSong_GB2312"/>
                <w:kern w:val="0"/>
                <w:sz w:val="20"/>
                <w:szCs w:val="20"/>
              </w:rPr>
            </w:pPr>
            <w:r>
              <w:rPr>
                <w:rFonts w:hint="eastAsia" w:ascii="FangSong_GB2312" w:hAnsi="FangSong_GB2312" w:eastAsia="FangSong_GB2312"/>
                <w:kern w:val="0"/>
                <w:sz w:val="20"/>
                <w:szCs w:val="20"/>
              </w:rPr>
              <w:t>指标</w:t>
            </w:r>
          </w:p>
        </w:tc>
        <w:tc>
          <w:tcPr>
            <w:tcW w:w="478"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分值</w:t>
            </w:r>
          </w:p>
        </w:tc>
        <w:tc>
          <w:tcPr>
            <w:tcW w:w="2977"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指标说明</w:t>
            </w:r>
          </w:p>
        </w:tc>
        <w:tc>
          <w:tcPr>
            <w:tcW w:w="522"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投入</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10</w:t>
            </w:r>
          </w:p>
        </w:tc>
        <w:tc>
          <w:tcPr>
            <w:tcW w:w="677" w:type="dxa"/>
            <w:gridSpan w:val="2"/>
            <w:vMerge w:val="restart"/>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预算配置</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10</w:t>
            </w: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在职人员控制率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nil"/>
              <w:right w:val="nil"/>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以</w:t>
            </w:r>
            <w:r>
              <w:rPr>
                <w:rFonts w:eastAsia="FangSong_GB2312"/>
                <w:kern w:val="0"/>
                <w:sz w:val="20"/>
                <w:szCs w:val="20"/>
              </w:rPr>
              <w:t>100%</w:t>
            </w:r>
            <w:r>
              <w:rPr>
                <w:rFonts w:hint="eastAsia" w:ascii="FangSong_GB2312" w:hAnsi="FangSong_GB2312" w:eastAsia="FangSong_GB2312"/>
                <w:kern w:val="0"/>
                <w:sz w:val="20"/>
                <w:szCs w:val="20"/>
              </w:rPr>
              <w:t>为标准。在职人员控制率</w:t>
            </w:r>
            <w:r>
              <w:rPr>
                <w:rFonts w:hint="eastAsia" w:ascii="宋体" w:hAnsi="宋体"/>
                <w:kern w:val="0"/>
                <w:sz w:val="20"/>
                <w:szCs w:val="20"/>
              </w:rPr>
              <w:t>≦</w:t>
            </w:r>
            <w:r>
              <w:rPr>
                <w:rFonts w:eastAsia="FangSong_GB2312"/>
                <w:kern w:val="0"/>
                <w:sz w:val="20"/>
                <w:szCs w:val="20"/>
              </w:rPr>
              <w:t>100%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分；每超过一个百分点扣</w:t>
            </w:r>
            <w:r>
              <w:rPr>
                <w:rFonts w:eastAsia="FangSong_GB2312"/>
                <w:kern w:val="0"/>
                <w:sz w:val="20"/>
                <w:szCs w:val="20"/>
              </w:rPr>
              <w:t>0.5</w:t>
            </w:r>
            <w:r>
              <w:rPr>
                <w:rFonts w:hint="eastAsia" w:ascii="FangSong_GB2312" w:hAnsi="FangSong_GB2312" w:eastAsia="FangSong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在职人员控制率</w:t>
            </w:r>
            <w:r>
              <w:rPr>
                <w:rFonts w:eastAsia="FangSong_GB2312"/>
                <w:kern w:val="0"/>
                <w:sz w:val="20"/>
                <w:szCs w:val="20"/>
              </w:rPr>
              <w:t>=</w:t>
            </w:r>
            <w:r>
              <w:rPr>
                <w:rFonts w:hint="eastAsia" w:ascii="FangSong_GB2312" w:hAnsi="FangSong_GB2312" w:eastAsia="FangSong_GB2312"/>
                <w:kern w:val="0"/>
                <w:sz w:val="20"/>
                <w:szCs w:val="20"/>
              </w:rPr>
              <w:t>（在职人员数</w:t>
            </w:r>
            <w:r>
              <w:rPr>
                <w:rFonts w:eastAsia="FangSong_GB2312"/>
                <w:kern w:val="0"/>
                <w:sz w:val="20"/>
                <w:szCs w:val="20"/>
              </w:rPr>
              <w:t>/</w:t>
            </w:r>
            <w:r>
              <w:rPr>
                <w:rFonts w:hint="eastAsia" w:ascii="FangSong_GB2312" w:hAnsi="FangSong_GB2312" w:eastAsia="FangSong_GB2312"/>
                <w:kern w:val="0"/>
                <w:sz w:val="20"/>
                <w:szCs w:val="20"/>
              </w:rPr>
              <w:t>编制数）</w:t>
            </w:r>
            <w:r>
              <w:rPr>
                <w:rFonts w:eastAsia="FangSong_GB2312"/>
                <w:kern w:val="0"/>
                <w:sz w:val="20"/>
                <w:szCs w:val="20"/>
              </w:rPr>
              <w:t>×100%</w:t>
            </w:r>
            <w:r>
              <w:rPr>
                <w:rFonts w:hint="eastAsia" w:ascii="FangSong_GB2312" w:hAnsi="FangSong_GB2312" w:eastAsia="FangSong_GB2312"/>
                <w:kern w:val="0"/>
                <w:sz w:val="20"/>
                <w:szCs w:val="20"/>
              </w:rPr>
              <w:t>，在职人员数：部门（单位）实际在职人数，以</w:t>
            </w:r>
            <w:r>
              <w:rPr>
                <w:rFonts w:hint="eastAsia" w:ascii="宋体" w:hAnsi="宋体"/>
                <w:kern w:val="0"/>
                <w:sz w:val="20"/>
                <w:szCs w:val="20"/>
              </w:rPr>
              <w:t>市</w:t>
            </w:r>
            <w:r>
              <w:rPr>
                <w:rFonts w:hint="eastAsia" w:ascii="FangSong_GB2312" w:hAnsi="FangSong_GB2312" w:eastAsia="FangSong_GB2312"/>
                <w:kern w:val="0"/>
                <w:sz w:val="20"/>
                <w:szCs w:val="20"/>
              </w:rPr>
              <w:t>财政</w:t>
            </w:r>
            <w:r>
              <w:rPr>
                <w:rFonts w:hint="eastAsia" w:ascii="宋体" w:hAnsi="宋体"/>
                <w:kern w:val="0"/>
                <w:sz w:val="20"/>
                <w:szCs w:val="20"/>
              </w:rPr>
              <w:t>局</w:t>
            </w:r>
            <w:r>
              <w:rPr>
                <w:rFonts w:hint="eastAsia" w:ascii="FangSong_GB2312" w:hAnsi="FangSong_GB2312" w:eastAsia="FangSong_GB2312"/>
                <w:kern w:val="0"/>
                <w:sz w:val="20"/>
                <w:szCs w:val="20"/>
              </w:rPr>
              <w:t>确定的部门决算编制口径为准。</w:t>
            </w:r>
          </w:p>
          <w:p>
            <w:pPr>
              <w:widowControl/>
              <w:jc w:val="left"/>
              <w:rPr>
                <w:rFonts w:eastAsia="FangSong_GB2312"/>
                <w:kern w:val="0"/>
                <w:sz w:val="20"/>
                <w:szCs w:val="20"/>
              </w:rPr>
            </w:pPr>
            <w:r>
              <w:rPr>
                <w:rFonts w:hint="eastAsia" w:ascii="FangSong_GB2312" w:hAnsi="FangSong_GB2312" w:eastAsia="FangSong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single" w:color="auto" w:sz="4" w:space="0"/>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hint="eastAsia" w:ascii="宋体" w:hAnsi="宋体"/>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计</w:t>
            </w:r>
            <w:r>
              <w:rPr>
                <w:kern w:val="0"/>
                <w:sz w:val="20"/>
                <w:szCs w:val="20"/>
              </w:rPr>
              <w:t>5</w:t>
            </w:r>
            <w:r>
              <w:rPr>
                <w:rFonts w:hint="eastAsia" w:ascii="FangSong_GB2312" w:hAnsi="FangSong_GB2312" w:eastAsia="FangSong_GB2312"/>
                <w:kern w:val="0"/>
                <w:sz w:val="20"/>
                <w:szCs w:val="20"/>
              </w:rPr>
              <w:t>分；</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，每超过一个百分点扣</w:t>
            </w:r>
            <w:r>
              <w:rPr>
                <w:rFonts w:eastAsia="FangSong_GB2312"/>
                <w:kern w:val="0"/>
                <w:sz w:val="20"/>
                <w:szCs w:val="20"/>
              </w:rPr>
              <w:t>0.8</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eastAsia="FangSong_GB2312"/>
                <w:kern w:val="0"/>
                <w:sz w:val="20"/>
                <w:szCs w:val="20"/>
              </w:rPr>
              <w:t>=[</w:t>
            </w:r>
            <w:r>
              <w:rPr>
                <w:rFonts w:hint="eastAsia" w:ascii="FangSong_GB2312" w:hAnsi="FangSong_GB2312" w:eastAsia="FangSong_GB2312"/>
                <w:kern w:val="0"/>
                <w:sz w:val="20"/>
                <w:szCs w:val="20"/>
              </w:rPr>
              <w:t>（本年度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预算执行</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20</w:t>
            </w: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预算完成率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计满分，每低于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预算完成率</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年末结余）</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预算控制率</w:t>
            </w:r>
            <w:r>
              <w:rPr>
                <w:rFonts w:eastAsia="FangSong_GB2312"/>
                <w:kern w:val="0"/>
                <w:sz w:val="20"/>
                <w:szCs w:val="20"/>
              </w:rPr>
              <w:t>=0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w:t>
            </w:r>
            <w:r>
              <w:rPr>
                <w:rFonts w:eastAsia="FangSong_GB2312"/>
                <w:kern w:val="0"/>
                <w:sz w:val="20"/>
                <w:szCs w:val="20"/>
              </w:rPr>
              <w:t>0-10%</w:t>
            </w:r>
            <w:r>
              <w:rPr>
                <w:rFonts w:hint="eastAsia" w:ascii="FangSong_GB2312" w:hAnsi="FangSong_GB2312" w:eastAsia="FangSong_GB2312"/>
                <w:kern w:val="0"/>
                <w:sz w:val="20"/>
                <w:szCs w:val="20"/>
              </w:rPr>
              <w:t>（含），计</w:t>
            </w:r>
            <w:r>
              <w:rPr>
                <w:rFonts w:eastAsia="FangSong_GB2312"/>
                <w:kern w:val="0"/>
                <w:sz w:val="20"/>
                <w:szCs w:val="20"/>
              </w:rPr>
              <w:t>4</w:t>
            </w:r>
            <w:r>
              <w:rPr>
                <w:rFonts w:hint="eastAsia" w:ascii="FangSong_GB2312" w:hAnsi="FangSong_GB2312" w:eastAsia="FangSong_GB2312"/>
                <w:kern w:val="0"/>
                <w:sz w:val="20"/>
                <w:szCs w:val="20"/>
              </w:rPr>
              <w:t>分；</w:t>
            </w:r>
            <w:r>
              <w:rPr>
                <w:rFonts w:eastAsia="FangSong_GB2312"/>
                <w:kern w:val="0"/>
                <w:sz w:val="20"/>
                <w:szCs w:val="20"/>
              </w:rPr>
              <w:t>10-20%</w:t>
            </w:r>
            <w:r>
              <w:rPr>
                <w:rFonts w:hint="eastAsia" w:ascii="FangSong_GB2312" w:hAnsi="FangSong_GB2312" w:eastAsia="FangSong_GB2312"/>
                <w:kern w:val="0"/>
                <w:sz w:val="20"/>
                <w:szCs w:val="20"/>
              </w:rPr>
              <w:t>（含），计</w:t>
            </w:r>
            <w:r>
              <w:rPr>
                <w:rFonts w:eastAsia="FangSong_GB2312"/>
                <w:kern w:val="0"/>
                <w:sz w:val="20"/>
                <w:szCs w:val="20"/>
              </w:rPr>
              <w:t>3</w:t>
            </w:r>
            <w:r>
              <w:rPr>
                <w:rFonts w:hint="eastAsia" w:ascii="FangSong_GB2312" w:hAnsi="FangSong_GB2312" w:eastAsia="FangSong_GB2312"/>
                <w:kern w:val="0"/>
                <w:sz w:val="20"/>
                <w:szCs w:val="20"/>
              </w:rPr>
              <w:t>分；</w:t>
            </w:r>
            <w:r>
              <w:rPr>
                <w:rFonts w:eastAsia="FangSong_GB2312"/>
                <w:kern w:val="0"/>
                <w:sz w:val="20"/>
                <w:szCs w:val="20"/>
              </w:rPr>
              <w:t>20-30%</w:t>
            </w:r>
            <w:r>
              <w:rPr>
                <w:rFonts w:hint="eastAsia" w:ascii="FangSong_GB2312" w:hAnsi="FangSong_GB2312" w:eastAsia="FangSong_GB2312"/>
                <w:kern w:val="0"/>
                <w:sz w:val="20"/>
                <w:szCs w:val="20"/>
              </w:rPr>
              <w:t>（含），计</w:t>
            </w:r>
            <w:r>
              <w:rPr>
                <w:rFonts w:eastAsia="FangSong_GB2312"/>
                <w:kern w:val="0"/>
                <w:sz w:val="20"/>
                <w:szCs w:val="20"/>
              </w:rPr>
              <w:t>2</w:t>
            </w:r>
            <w:r>
              <w:rPr>
                <w:rFonts w:hint="eastAsia" w:ascii="FangSong_GB2312" w:hAnsi="FangSong_GB2312" w:eastAsia="FangSong_GB2312"/>
                <w:kern w:val="0"/>
                <w:sz w:val="20"/>
                <w:szCs w:val="20"/>
              </w:rPr>
              <w:t>分；大于</w:t>
            </w:r>
            <w:r>
              <w:rPr>
                <w:rFonts w:eastAsia="FangSong_GB2312"/>
                <w:kern w:val="0"/>
                <w:sz w:val="20"/>
                <w:szCs w:val="20"/>
              </w:rPr>
              <w:t>30%</w:t>
            </w:r>
            <w:r>
              <w:rPr>
                <w:rFonts w:hint="eastAsia" w:ascii="FangSong_GB2312" w:hAnsi="FangSong_GB2312" w:eastAsia="FangSong_GB2312"/>
                <w:kern w:val="0"/>
                <w:sz w:val="20"/>
                <w:szCs w:val="20"/>
              </w:rPr>
              <w:t>不得分。</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预算控制率</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新建楼堂馆所面积控制率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FangSong_GB2312" w:hAnsi="FangSong_GB2312" w:eastAsia="FangSong_GB2312"/>
                <w:kern w:val="0"/>
                <w:sz w:val="20"/>
                <w:szCs w:val="20"/>
              </w:rPr>
              <w:t>楼堂馆所面积控制率</w:t>
            </w:r>
            <w:r>
              <w:rPr>
                <w:rFonts w:eastAsia="FangSong_GB2312"/>
                <w:kern w:val="0"/>
                <w:sz w:val="20"/>
                <w:szCs w:val="20"/>
              </w:rPr>
              <w:t>=</w:t>
            </w:r>
            <w:r>
              <w:rPr>
                <w:rFonts w:hint="eastAsia" w:ascii="FangSong_GB2312" w:hAnsi="FangSong_GB2312" w:eastAsia="FangSong_GB2312"/>
                <w:kern w:val="0"/>
                <w:sz w:val="20"/>
                <w:szCs w:val="20"/>
              </w:rPr>
              <w:t>实际建设面积</w:t>
            </w:r>
            <w:r>
              <w:rPr>
                <w:rFonts w:eastAsia="FangSong_GB2312"/>
                <w:kern w:val="0"/>
                <w:sz w:val="20"/>
                <w:szCs w:val="20"/>
              </w:rPr>
              <w:t>/</w:t>
            </w:r>
            <w:r>
              <w:rPr>
                <w:rFonts w:hint="eastAsia" w:ascii="FangSong_GB2312" w:hAnsi="FangSong_GB2312" w:eastAsia="FangSong_GB2312"/>
                <w:kern w:val="0"/>
                <w:sz w:val="20"/>
                <w:szCs w:val="20"/>
              </w:rPr>
              <w:t>批准建设面积</w:t>
            </w:r>
            <w:r>
              <w:rPr>
                <w:rFonts w:eastAsia="FangSong_GB2312"/>
                <w:kern w:val="0"/>
                <w:sz w:val="20"/>
                <w:szCs w:val="20"/>
              </w:rPr>
              <w:t xml:space="preserve">×100% </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ascii="FangSong_GB2312" w:hAnsi="FangSong_GB2312" w:eastAsia="FangSong_GB2312"/>
                <w:kern w:val="0"/>
                <w:sz w:val="20"/>
                <w:szCs w:val="20"/>
              </w:rPr>
              <w:t>该指标以</w:t>
            </w:r>
            <w:r>
              <w:rPr>
                <w:rFonts w:eastAsia="FangSong_GB2312"/>
                <w:kern w:val="0"/>
                <w:sz w:val="20"/>
                <w:szCs w:val="20"/>
              </w:rPr>
              <w:t>2020</w:t>
            </w:r>
            <w:r>
              <w:rPr>
                <w:rFonts w:hint="eastAsia" w:ascii="FangSong_GB2312" w:hAnsi="FangSong_GB2312"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新建楼堂馆所投资概算控制率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FangSong_GB2312" w:hAnsi="FangSong_GB2312" w:eastAsia="FangSong_GB2312"/>
                <w:kern w:val="0"/>
                <w:sz w:val="20"/>
                <w:szCs w:val="20"/>
              </w:rPr>
              <w:t>楼堂馆所投资预算控制率</w:t>
            </w:r>
            <w:r>
              <w:rPr>
                <w:rFonts w:eastAsia="FangSong_GB2312"/>
                <w:kern w:val="0"/>
                <w:sz w:val="20"/>
                <w:szCs w:val="20"/>
              </w:rPr>
              <w:t>=</w:t>
            </w:r>
            <w:r>
              <w:rPr>
                <w:rFonts w:hint="eastAsia" w:ascii="FangSong_GB2312" w:hAnsi="FangSong_GB2312" w:eastAsia="FangSong_GB2312"/>
                <w:kern w:val="0"/>
                <w:sz w:val="20"/>
                <w:szCs w:val="20"/>
              </w:rPr>
              <w:t>实际投资金额</w:t>
            </w:r>
            <w:r>
              <w:rPr>
                <w:rFonts w:eastAsia="FangSong_GB2312"/>
                <w:kern w:val="0"/>
                <w:sz w:val="20"/>
                <w:szCs w:val="20"/>
              </w:rPr>
              <w:t>/</w:t>
            </w:r>
            <w:r>
              <w:rPr>
                <w:rFonts w:hint="eastAsia" w:ascii="FangSong_GB2312" w:hAnsi="FangSong_GB2312" w:eastAsia="FangSong_GB2312"/>
                <w:kern w:val="0"/>
                <w:sz w:val="20"/>
                <w:szCs w:val="20"/>
              </w:rPr>
              <w:t>批准投资金额</w:t>
            </w:r>
            <w:r>
              <w:rPr>
                <w:rFonts w:eastAsia="FangSong_GB2312"/>
                <w:kern w:val="0"/>
                <w:sz w:val="20"/>
                <w:szCs w:val="20"/>
              </w:rPr>
              <w:t xml:space="preserve">×100% </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ascii="FangSong_GB2312" w:hAnsi="FangSong_GB2312" w:eastAsia="FangSong_GB2312"/>
                <w:kern w:val="0"/>
                <w:sz w:val="20"/>
                <w:szCs w:val="20"/>
              </w:rPr>
              <w:t>该指标以</w:t>
            </w:r>
            <w:r>
              <w:rPr>
                <w:rFonts w:eastAsia="FangSong_GB2312"/>
                <w:kern w:val="0"/>
                <w:sz w:val="20"/>
                <w:szCs w:val="20"/>
              </w:rPr>
              <w:t>2020</w:t>
            </w:r>
            <w:r>
              <w:rPr>
                <w:rFonts w:hint="eastAsia" w:ascii="FangSong_GB2312" w:hAnsi="FangSong_GB2312"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预算管理</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40</w:t>
            </w: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公用经费控制率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FangSong_GB2312" w:hAnsi="FangSong_GB2312" w:eastAsia="FangSong_GB2312"/>
                <w:kern w:val="0"/>
                <w:sz w:val="20"/>
                <w:szCs w:val="20"/>
              </w:rPr>
              <w:t>公用经费控制率</w:t>
            </w:r>
            <w:r>
              <w:rPr>
                <w:rFonts w:eastAsia="FangSong_GB2312"/>
                <w:kern w:val="0"/>
                <w:sz w:val="20"/>
                <w:szCs w:val="20"/>
              </w:rPr>
              <w:t>=</w:t>
            </w:r>
            <w:r>
              <w:rPr>
                <w:rFonts w:hint="eastAsia" w:ascii="FangSong_GB2312" w:hAnsi="FangSong_GB2312" w:eastAsia="FangSong_GB2312"/>
                <w:kern w:val="0"/>
                <w:sz w:val="20"/>
                <w:szCs w:val="20"/>
              </w:rPr>
              <w:t>（实际支出公用经费总额</w:t>
            </w:r>
            <w:r>
              <w:rPr>
                <w:rFonts w:eastAsia="FangSong_GB2312"/>
                <w:kern w:val="0"/>
                <w:sz w:val="20"/>
                <w:szCs w:val="20"/>
              </w:rPr>
              <w:t>/</w:t>
            </w:r>
            <w:r>
              <w:rPr>
                <w:rFonts w:hint="eastAsia" w:ascii="FangSong_GB2312" w:hAnsi="FangSong_GB2312" w:eastAsia="FangSong_GB2312"/>
                <w:kern w:val="0"/>
                <w:sz w:val="20"/>
                <w:szCs w:val="20"/>
              </w:rPr>
              <w:t>预算安排公用经费总额）</w:t>
            </w:r>
            <w:r>
              <w:rPr>
                <w:rFonts w:eastAsia="FangSong_GB2312"/>
                <w:kern w:val="0"/>
                <w:sz w:val="20"/>
                <w:szCs w:val="20"/>
              </w:rPr>
              <w:t>×100%</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ascii="FangSong_GB2312" w:hAnsi="FangSong_GB2312" w:eastAsia="FangSong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7</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控制率</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实际支出数</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预算安排数）</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政府采购执行率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计满分，每超过（降低）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政府采购执行率</w:t>
            </w:r>
            <w:r>
              <w:rPr>
                <w:rFonts w:eastAsia="FangSong_GB2312"/>
                <w:kern w:val="0"/>
                <w:sz w:val="20"/>
                <w:szCs w:val="20"/>
              </w:rPr>
              <w:t>=</w:t>
            </w:r>
            <w:r>
              <w:rPr>
                <w:rFonts w:hint="eastAsia" w:ascii="FangSong_GB2312" w:hAnsi="FangSong_GB2312" w:eastAsia="FangSong_GB2312"/>
                <w:kern w:val="0"/>
                <w:sz w:val="20"/>
                <w:szCs w:val="20"/>
              </w:rPr>
              <w:t>（实际政府采购金额</w:t>
            </w:r>
            <w:r>
              <w:rPr>
                <w:rFonts w:eastAsia="FangSong_GB2312"/>
                <w:kern w:val="0"/>
                <w:sz w:val="20"/>
                <w:szCs w:val="20"/>
              </w:rPr>
              <w:t>/</w:t>
            </w:r>
            <w:r>
              <w:rPr>
                <w:rFonts w:hint="eastAsia" w:ascii="FangSong_GB2312" w:hAnsi="FangSong_GB2312" w:eastAsia="FangSong_GB2312"/>
                <w:kern w:val="0"/>
                <w:sz w:val="20"/>
                <w:szCs w:val="20"/>
              </w:rPr>
              <w:t>政府采购预算数）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jc w:val="left"/>
              <w:rPr>
                <w:rFonts w:eastAsia="FangSong_GB2312"/>
                <w:kern w:val="0"/>
                <w:sz w:val="20"/>
                <w:szCs w:val="20"/>
              </w:rPr>
            </w:pPr>
            <w:r>
              <w:rPr>
                <w:rFonts w:hint="eastAsia" w:ascii="FangSong_GB2312" w:hAnsi="FangSong_GB2312" w:eastAsia="FangSong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pPr>
              <w:jc w:val="left"/>
              <w:rPr>
                <w:rFonts w:eastAsia="FangSong_GB2312"/>
                <w:kern w:val="0"/>
                <w:sz w:val="20"/>
                <w:szCs w:val="20"/>
              </w:rPr>
            </w:pPr>
          </w:p>
        </w:tc>
        <w:tc>
          <w:tcPr>
            <w:tcW w:w="677" w:type="dxa"/>
            <w:gridSpan w:val="2"/>
            <w:vMerge w:val="restart"/>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管理制度健全性</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8</w:t>
            </w:r>
          </w:p>
        </w:tc>
        <w:tc>
          <w:tcPr>
            <w:tcW w:w="6379" w:type="dxa"/>
            <w:gridSpan w:val="2"/>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有内部财务管理制度、会计核算制度等管理制度，</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hint="eastAsia" w:ascii="宋体" w:hAnsi="宋体"/>
                <w:kern w:val="0"/>
                <w:sz w:val="20"/>
                <w:szCs w:val="20"/>
              </w:rPr>
              <w:t>②</w:t>
            </w:r>
            <w:r>
              <w:rPr>
                <w:rFonts w:hint="eastAsia" w:ascii="FangSong_GB2312" w:hAnsi="FangSong_GB2312" w:eastAsia="FangSong_GB2312"/>
                <w:kern w:val="0"/>
                <w:sz w:val="20"/>
                <w:szCs w:val="20"/>
              </w:rPr>
              <w:t>有本部门厉行节约制度</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ascii="宋体" w:hAnsi="宋体"/>
                <w:kern w:val="0"/>
                <w:sz w:val="20"/>
                <w:szCs w:val="20"/>
              </w:rPr>
              <w:t>③</w:t>
            </w:r>
            <w:r>
              <w:rPr>
                <w:rFonts w:hint="eastAsia" w:ascii="FangSong_GB2312" w:hAnsi="FangSong_GB2312" w:eastAsia="FangSong_GB2312"/>
                <w:kern w:val="0"/>
                <w:sz w:val="20"/>
                <w:szCs w:val="20"/>
              </w:rPr>
              <w:t>相关管理制度合法、合规、完整，</w:t>
            </w:r>
            <w:r>
              <w:rPr>
                <w:rFonts w:eastAsia="FangSong_GB2312"/>
                <w:kern w:val="0"/>
                <w:sz w:val="20"/>
                <w:szCs w:val="20"/>
              </w:rPr>
              <w:t>2</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相关管理制度得到有效执行，</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ascii="FangSong_GB2312" w:hAnsi="FangSong_GB2312"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8</w:t>
            </w:r>
            <w:r>
              <w:rPr>
                <w:rFonts w:hint="eastAsia" w:ascii="宋体" w:hAnsi="宋体"/>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资金使用合规性</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w:t>
            </w:r>
          </w:p>
        </w:tc>
        <w:tc>
          <w:tcPr>
            <w:tcW w:w="6379" w:type="dxa"/>
            <w:gridSpan w:val="2"/>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FangSong_GB2312" w:hAnsi="FangSong_GB2312" w:eastAsia="FangSong_GB2312"/>
                <w:kern w:val="0"/>
                <w:sz w:val="20"/>
                <w:szCs w:val="20"/>
              </w:rPr>
              <w:t>资金拨付有完整的审批程序和手续；</w:t>
            </w:r>
            <w:r>
              <w:rPr>
                <w:rFonts w:hint="eastAsia" w:ascii="宋体" w:hAnsi="宋体"/>
                <w:kern w:val="0"/>
                <w:sz w:val="20"/>
                <w:szCs w:val="20"/>
              </w:rPr>
              <w:t>③</w:t>
            </w:r>
            <w:r>
              <w:rPr>
                <w:rFonts w:hint="eastAsia" w:ascii="FangSong_GB2312" w:hAnsi="FangSong_GB2312" w:eastAsia="FangSong_GB2312"/>
                <w:kern w:val="0"/>
                <w:sz w:val="20"/>
                <w:szCs w:val="20"/>
              </w:rPr>
              <w:t>项目支出按规定经过评估论证；</w:t>
            </w:r>
            <w:r>
              <w:rPr>
                <w:rFonts w:hint="eastAsia" w:ascii="宋体" w:hAnsi="宋体"/>
                <w:kern w:val="0"/>
                <w:sz w:val="20"/>
                <w:szCs w:val="20"/>
              </w:rPr>
              <w:t>④</w:t>
            </w:r>
            <w:r>
              <w:rPr>
                <w:rFonts w:hint="eastAsia" w:ascii="FangSong_GB2312" w:hAnsi="FangSong_GB2312" w:eastAsia="FangSong_GB2312"/>
                <w:kern w:val="0"/>
                <w:sz w:val="20"/>
                <w:szCs w:val="20"/>
              </w:rPr>
              <w:t>支出符合部门预算批复的用途；</w:t>
            </w:r>
            <w:r>
              <w:rPr>
                <w:rFonts w:hint="eastAsia" w:ascii="宋体" w:hAnsi="宋体"/>
                <w:kern w:val="0"/>
                <w:sz w:val="20"/>
                <w:szCs w:val="20"/>
              </w:rPr>
              <w:t>⑤</w:t>
            </w:r>
            <w:r>
              <w:rPr>
                <w:rFonts w:hint="eastAsia" w:ascii="FangSong_GB2312" w:hAnsi="FangSong_GB2312" w:eastAsia="FangSong_GB2312"/>
                <w:kern w:val="0"/>
                <w:sz w:val="20"/>
                <w:szCs w:val="20"/>
              </w:rPr>
              <w:t>资金使用无截留、挤占、挪用、虚列支出等情况。</w:t>
            </w:r>
          </w:p>
          <w:p>
            <w:pPr>
              <w:widowControl/>
              <w:jc w:val="left"/>
              <w:rPr>
                <w:rFonts w:eastAsia="FangSong_GB2312"/>
                <w:kern w:val="0"/>
                <w:sz w:val="20"/>
                <w:szCs w:val="20"/>
              </w:rPr>
            </w:pPr>
            <w:r>
              <w:rPr>
                <w:rFonts w:hint="eastAsia" w:ascii="FangSong_GB2312" w:hAnsi="FangSong_GB2312" w:eastAsia="FangSong_GB2312"/>
                <w:kern w:val="0"/>
                <w:sz w:val="20"/>
                <w:szCs w:val="20"/>
              </w:rPr>
              <w:t>以上情况每出现一例不符合要求的扣</w:t>
            </w:r>
            <w:r>
              <w:rPr>
                <w:rFonts w:eastAsia="FangSong_GB2312"/>
                <w:kern w:val="0"/>
                <w:sz w:val="20"/>
                <w:szCs w:val="20"/>
              </w:rPr>
              <w:t>1</w:t>
            </w:r>
            <w:r>
              <w:rPr>
                <w:rFonts w:hint="eastAsia" w:ascii="FangSong_GB2312" w:hAnsi="FangSong_GB2312" w:eastAsia="FangSong_GB2312"/>
                <w:kern w:val="0"/>
                <w:sz w:val="20"/>
                <w:szCs w:val="20"/>
              </w:rPr>
              <w:t>分，扣完为止。</w:t>
            </w:r>
          </w:p>
          <w:p>
            <w:pPr>
              <w:widowControl/>
              <w:jc w:val="left"/>
              <w:rPr>
                <w:rFonts w:eastAsia="FangSong_GB2312"/>
                <w:kern w:val="0"/>
                <w:sz w:val="20"/>
                <w:szCs w:val="20"/>
              </w:rPr>
            </w:pPr>
            <w:r>
              <w:rPr>
                <w:rFonts w:hint="eastAsia" w:ascii="FangSong_GB2312" w:hAnsi="FangSong_GB2312"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6</w:t>
            </w:r>
            <w:r>
              <w:rPr>
                <w:rFonts w:hint="eastAsia" w:ascii="宋体" w:hAnsi="宋体"/>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预决算信息公开性</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按规定内容公开预决算信息，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②</w:t>
            </w:r>
            <w:r>
              <w:rPr>
                <w:rFonts w:hint="eastAsia" w:ascii="FangSong_GB2312" w:hAnsi="FangSong_GB2312" w:eastAsia="FangSong_GB2312"/>
                <w:kern w:val="0"/>
                <w:sz w:val="20"/>
                <w:szCs w:val="20"/>
              </w:rPr>
              <w:t>按规定时限公开预决算信息，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③</w:t>
            </w:r>
            <w:r>
              <w:rPr>
                <w:rFonts w:hint="eastAsia" w:ascii="FangSong_GB2312" w:hAnsi="FangSong_GB2312" w:eastAsia="FangSong_GB2312"/>
                <w:kern w:val="0"/>
                <w:sz w:val="20"/>
                <w:szCs w:val="20"/>
              </w:rPr>
              <w:t>基础数据信息和会计信息资料真实，</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基础数据信息和会计信息资料完整，</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⑤</w:t>
            </w:r>
            <w:r>
              <w:rPr>
                <w:rFonts w:hint="eastAsia" w:ascii="FangSong_GB2312" w:hAnsi="FangSong_GB2312" w:eastAsia="FangSong_GB2312"/>
                <w:kern w:val="0"/>
                <w:sz w:val="20"/>
                <w:szCs w:val="20"/>
              </w:rPr>
              <w:t>基础数据信息和汇集信息资料准确，</w:t>
            </w:r>
            <w:r>
              <w:rPr>
                <w:rFonts w:eastAsia="FangSong_GB2312"/>
                <w:kern w:val="0"/>
                <w:sz w:val="20"/>
                <w:szCs w:val="20"/>
              </w:rPr>
              <w:t>1</w:t>
            </w:r>
            <w:r>
              <w:rPr>
                <w:rFonts w:hint="eastAsia" w:ascii="FangSong_GB2312" w:hAnsi="FangSong_GB2312" w:eastAsia="FangSong_GB2312"/>
                <w:kern w:val="0"/>
                <w:sz w:val="20"/>
                <w:szCs w:val="20"/>
              </w:rPr>
              <w:t>分。</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产出及效率</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30</w:t>
            </w:r>
          </w:p>
        </w:tc>
        <w:tc>
          <w:tcPr>
            <w:tcW w:w="677" w:type="dxa"/>
            <w:gridSpan w:val="2"/>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职责履行</w:t>
            </w:r>
          </w:p>
        </w:tc>
        <w:tc>
          <w:tcPr>
            <w:tcW w:w="416"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8</w:t>
            </w:r>
          </w:p>
        </w:tc>
        <w:tc>
          <w:tcPr>
            <w:tcW w:w="1194" w:type="dxa"/>
            <w:tcBorders>
              <w:top w:val="nil"/>
              <w:left w:val="nil"/>
              <w:bottom w:val="nil"/>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重点工作实际完成率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根据绩效办</w:t>
            </w:r>
            <w:r>
              <w:rPr>
                <w:rFonts w:eastAsia="FangSong_GB2312"/>
                <w:kern w:val="0"/>
                <w:sz w:val="20"/>
                <w:szCs w:val="20"/>
              </w:rPr>
              <w:t>2020</w:t>
            </w:r>
            <w:r>
              <w:rPr>
                <w:rFonts w:hint="eastAsia" w:ascii="FangSong_GB2312" w:hAnsi="FangSong_GB2312" w:eastAsia="FangSong_GB2312"/>
                <w:kern w:val="0"/>
                <w:sz w:val="20"/>
                <w:szCs w:val="20"/>
              </w:rPr>
              <w:t>年对各部门为民办实事和部门重点工程与重点工作考核分数折算。</w:t>
            </w:r>
          </w:p>
          <w:p>
            <w:pPr>
              <w:widowControl/>
              <w:jc w:val="left"/>
              <w:rPr>
                <w:rFonts w:eastAsia="FangSong_GB2312"/>
                <w:kern w:val="0"/>
                <w:sz w:val="20"/>
                <w:szCs w:val="20"/>
              </w:rPr>
            </w:pPr>
            <w:r>
              <w:rPr>
                <w:rFonts w:hint="eastAsia" w:ascii="FangSong_GB2312" w:hAnsi="FangSong_GB2312" w:eastAsia="FangSong_GB2312"/>
                <w:kern w:val="0"/>
                <w:sz w:val="20"/>
                <w:szCs w:val="20"/>
              </w:rPr>
              <w:t>该项得分</w:t>
            </w:r>
            <w:r>
              <w:rPr>
                <w:rFonts w:eastAsia="FangSong_GB2312"/>
                <w:kern w:val="0"/>
                <w:sz w:val="20"/>
                <w:szCs w:val="20"/>
              </w:rPr>
              <w:t>=</w:t>
            </w:r>
            <w:r>
              <w:rPr>
                <w:rFonts w:hint="eastAsia" w:ascii="FangSong_GB2312" w:hAnsi="FangSong_GB2312" w:eastAsia="FangSong_GB2312"/>
                <w:kern w:val="0"/>
                <w:sz w:val="20"/>
                <w:szCs w:val="20"/>
              </w:rPr>
              <w:t>（绩效办对应部分考核得分</w:t>
            </w:r>
            <w:r>
              <w:rPr>
                <w:rFonts w:eastAsia="FangSong_GB2312"/>
                <w:kern w:val="0"/>
                <w:sz w:val="20"/>
                <w:szCs w:val="20"/>
              </w:rPr>
              <w:t>/350</w:t>
            </w:r>
            <w:r>
              <w:rPr>
                <w:rFonts w:hint="eastAsia" w:ascii="FangSong_GB2312" w:hAnsi="FangSong_GB2312" w:eastAsia="FangSong_GB2312"/>
                <w:kern w:val="0"/>
                <w:sz w:val="20"/>
                <w:szCs w:val="20"/>
              </w:rPr>
              <w:t>）</w:t>
            </w:r>
            <w:r>
              <w:rPr>
                <w:rFonts w:eastAsia="FangSong_GB2312"/>
                <w:kern w:val="0"/>
                <w:sz w:val="20"/>
                <w:szCs w:val="20"/>
              </w:rPr>
              <w:t>*8</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8</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履职效益</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10</w:t>
            </w:r>
          </w:p>
        </w:tc>
        <w:tc>
          <w:tcPr>
            <w:tcW w:w="1194"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经济效益</w:t>
            </w:r>
          </w:p>
        </w:tc>
        <w:tc>
          <w:tcPr>
            <w:tcW w:w="478" w:type="dxa"/>
            <w:vMerge w:val="restart"/>
            <w:tcBorders>
              <w:top w:val="nil"/>
              <w:left w:val="nil"/>
              <w:bottom w:val="nil"/>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10</w:t>
            </w:r>
          </w:p>
        </w:tc>
        <w:tc>
          <w:tcPr>
            <w:tcW w:w="6379" w:type="dxa"/>
            <w:gridSpan w:val="2"/>
            <w:vMerge w:val="restart"/>
            <w:tcBorders>
              <w:top w:val="nil"/>
              <w:left w:val="nil"/>
              <w:bottom w:val="nil"/>
              <w:right w:val="single" w:color="000000"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10</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社会效益</w:t>
            </w:r>
          </w:p>
        </w:tc>
        <w:tc>
          <w:tcPr>
            <w:tcW w:w="478" w:type="dxa"/>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6379" w:type="dxa"/>
            <w:gridSpan w:val="2"/>
            <w:vMerge w:val="continue"/>
            <w:tcBorders>
              <w:top w:val="nil"/>
              <w:left w:val="nil"/>
              <w:bottom w:val="nil"/>
              <w:right w:val="single" w:color="000000" w:sz="4" w:space="0"/>
            </w:tcBorders>
            <w:vAlign w:val="center"/>
          </w:tcPr>
          <w:p>
            <w:pPr>
              <w:widowControl/>
              <w:jc w:val="left"/>
              <w:rPr>
                <w:rFonts w:eastAsia="FangSong_GB2312"/>
                <w:kern w:val="0"/>
                <w:sz w:val="20"/>
                <w:szCs w:val="20"/>
              </w:rPr>
            </w:pP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ascii="宋体" w:hAnsi="宋体"/>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12</w:t>
            </w: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行政效能</w:t>
            </w:r>
          </w:p>
        </w:tc>
        <w:tc>
          <w:tcPr>
            <w:tcW w:w="478"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single" w:color="auto" w:sz="4" w:space="0"/>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促进部门改进文风会风，加强经费及资产管理，推动网上办事，提高行政效率，降低行政成本效果较好的计</w:t>
            </w:r>
            <w:r>
              <w:rPr>
                <w:rFonts w:eastAsia="FangSong_GB2312"/>
                <w:kern w:val="0"/>
                <w:sz w:val="20"/>
                <w:szCs w:val="20"/>
              </w:rPr>
              <w:t>6</w:t>
            </w:r>
            <w:r>
              <w:rPr>
                <w:rFonts w:hint="eastAsia" w:ascii="FangSong_GB2312" w:hAnsi="FangSong_GB2312" w:eastAsia="FangSong_GB2312"/>
                <w:kern w:val="0"/>
                <w:sz w:val="20"/>
                <w:szCs w:val="20"/>
              </w:rPr>
              <w:t>分；一般</w:t>
            </w:r>
            <w:r>
              <w:rPr>
                <w:rFonts w:eastAsia="FangSong_GB2312"/>
                <w:kern w:val="0"/>
                <w:sz w:val="20"/>
                <w:szCs w:val="20"/>
              </w:rPr>
              <w:t>3</w:t>
            </w:r>
            <w:r>
              <w:rPr>
                <w:rFonts w:hint="eastAsia" w:ascii="FangSong_GB2312" w:hAnsi="FangSong_GB2312" w:eastAsia="FangSong_GB2312"/>
                <w:kern w:val="0"/>
                <w:sz w:val="20"/>
                <w:szCs w:val="20"/>
              </w:rPr>
              <w:t>分；无效果或者效果不明显</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single" w:color="auto" w:sz="4" w:space="0"/>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6</w:t>
            </w:r>
            <w:r>
              <w:rPr>
                <w:rFonts w:hint="eastAsia" w:ascii="宋体" w:hAnsi="宋体"/>
                <w:kern w:val="0"/>
                <w:sz w:val="24"/>
              </w:rPr>
              <w:t>　</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nil"/>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社会公众或服务对象满意度</w:t>
            </w:r>
          </w:p>
        </w:tc>
        <w:tc>
          <w:tcPr>
            <w:tcW w:w="478" w:type="dxa"/>
            <w:tcBorders>
              <w:top w:val="nil"/>
              <w:left w:val="nil"/>
              <w:bottom w:val="nil"/>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nil"/>
              <w:right w:val="single" w:color="auto" w:sz="4" w:space="0"/>
            </w:tcBorders>
            <w:noWrap/>
            <w:vAlign w:val="center"/>
          </w:tcPr>
          <w:p>
            <w:pPr>
              <w:widowControl/>
              <w:jc w:val="left"/>
              <w:rPr>
                <w:rFonts w:ascii="FangSong_GB2312" w:hAnsi="FangSong_GB2312" w:eastAsia="FangSong_GB2312"/>
                <w:kern w:val="0"/>
                <w:sz w:val="20"/>
                <w:szCs w:val="20"/>
              </w:rPr>
            </w:pPr>
            <w:r>
              <w:rPr>
                <w:rFonts w:eastAsia="FangSong_GB2312"/>
                <w:kern w:val="0"/>
                <w:sz w:val="20"/>
                <w:szCs w:val="20"/>
              </w:rPr>
              <w:t>90%</w:t>
            </w:r>
            <w:r>
              <w:rPr>
                <w:rFonts w:hint="eastAsia" w:ascii="FangSong_GB2312" w:hAnsi="FangSong_GB2312" w:eastAsia="FangSong_GB2312"/>
                <w:kern w:val="0"/>
                <w:sz w:val="20"/>
                <w:szCs w:val="20"/>
              </w:rPr>
              <w:t>（含）以上计</w:t>
            </w:r>
            <w:r>
              <w:rPr>
                <w:rFonts w:eastAsia="FangSong_GB2312"/>
                <w:kern w:val="0"/>
                <w:sz w:val="20"/>
                <w:szCs w:val="20"/>
              </w:rPr>
              <w:t>6</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eastAsia="FangSong_GB2312"/>
                <w:kern w:val="0"/>
                <w:sz w:val="20"/>
                <w:szCs w:val="20"/>
              </w:rPr>
              <w:t>80%</w:t>
            </w:r>
            <w:r>
              <w:rPr>
                <w:rFonts w:hint="eastAsia" w:ascii="FangSong_GB2312" w:hAnsi="FangSong_GB2312" w:eastAsia="FangSong_GB2312"/>
                <w:kern w:val="0"/>
                <w:sz w:val="20"/>
                <w:szCs w:val="20"/>
              </w:rPr>
              <w:t>（含）</w:t>
            </w:r>
            <w:r>
              <w:rPr>
                <w:rFonts w:eastAsia="FangSong_GB2312"/>
                <w:kern w:val="0"/>
                <w:sz w:val="20"/>
                <w:szCs w:val="20"/>
              </w:rPr>
              <w:t>-90%</w:t>
            </w:r>
            <w:r>
              <w:rPr>
                <w:rFonts w:hint="eastAsia" w:ascii="FangSong_GB2312" w:hAnsi="FangSong_GB2312" w:eastAsia="FangSong_GB2312"/>
                <w:kern w:val="0"/>
                <w:sz w:val="20"/>
                <w:szCs w:val="20"/>
              </w:rPr>
              <w:t>，计</w:t>
            </w:r>
            <w:r>
              <w:rPr>
                <w:rFonts w:eastAsia="FangSong_GB2312"/>
                <w:kern w:val="0"/>
                <w:sz w:val="20"/>
                <w:szCs w:val="20"/>
              </w:rPr>
              <w:t>4</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eastAsia="FangSong_GB2312"/>
                <w:kern w:val="0"/>
                <w:sz w:val="20"/>
                <w:szCs w:val="20"/>
              </w:rPr>
              <w:t>70%</w:t>
            </w:r>
            <w:r>
              <w:rPr>
                <w:rFonts w:hint="eastAsia" w:ascii="FangSong_GB2312" w:hAnsi="FangSong_GB2312" w:eastAsia="FangSong_GB2312"/>
                <w:kern w:val="0"/>
                <w:sz w:val="20"/>
                <w:szCs w:val="20"/>
              </w:rPr>
              <w:t>（含）</w:t>
            </w:r>
            <w:r>
              <w:rPr>
                <w:rFonts w:eastAsia="FangSong_GB2312"/>
                <w:kern w:val="0"/>
                <w:sz w:val="20"/>
                <w:szCs w:val="20"/>
              </w:rPr>
              <w:t>-80%</w:t>
            </w:r>
            <w:r>
              <w:rPr>
                <w:rFonts w:hint="eastAsia" w:ascii="FangSong_GB2312" w:hAnsi="FangSong_GB2312" w:eastAsia="FangSong_GB2312"/>
                <w:kern w:val="0"/>
                <w:sz w:val="20"/>
                <w:szCs w:val="20"/>
              </w:rPr>
              <w:t>，计</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ascii="FangSong_GB2312" w:hAnsi="FangSong_GB2312" w:eastAsia="FangSong_GB2312"/>
                <w:kern w:val="0"/>
                <w:sz w:val="20"/>
                <w:szCs w:val="20"/>
              </w:rPr>
              <w:t>低于</w:t>
            </w:r>
            <w:r>
              <w:rPr>
                <w:rFonts w:eastAsia="FangSong_GB2312"/>
                <w:kern w:val="0"/>
                <w:sz w:val="20"/>
                <w:szCs w:val="20"/>
              </w:rPr>
              <w:t>70%</w:t>
            </w:r>
            <w:r>
              <w:rPr>
                <w:rFonts w:hint="eastAsia" w:ascii="FangSong_GB2312" w:hAnsi="FangSong_GB2312" w:eastAsia="FangSong_GB2312"/>
                <w:kern w:val="0"/>
                <w:sz w:val="20"/>
                <w:szCs w:val="20"/>
              </w:rPr>
              <w:t>计</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nil"/>
              <w:left w:val="nil"/>
              <w:bottom w:val="nil"/>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tcPr>
          <w:p>
            <w:pPr>
              <w:widowControl/>
              <w:jc w:val="left"/>
              <w:rPr>
                <w:rFonts w:ascii="FangSong_GB2312" w:hAnsi="宋体"/>
                <w:color w:val="000000"/>
                <w:kern w:val="0"/>
                <w:sz w:val="20"/>
                <w:szCs w:val="20"/>
              </w:rPr>
            </w:pPr>
            <w:r>
              <w:rPr>
                <w:rFonts w:hint="eastAsia" w:ascii="宋体" w:hAnsi="宋体"/>
                <w:color w:val="000000"/>
                <w:kern w:val="0"/>
                <w:sz w:val="20"/>
                <w:szCs w:val="20"/>
              </w:rPr>
              <w:t>合计</w:t>
            </w:r>
            <w:r>
              <w:rPr>
                <w:rFonts w:ascii="FangSong_GB2312" w:hAnsi="FangSong_GB2312" w:eastAsia="FangSong_GB2312"/>
                <w:color w:val="000000"/>
                <w:kern w:val="0"/>
                <w:sz w:val="20"/>
                <w:szCs w:val="20"/>
              </w:rPr>
              <w:t>(</w:t>
            </w:r>
            <w:r>
              <w:rPr>
                <w:rFonts w:hint="eastAsia" w:ascii="宋体" w:hAnsi="宋体"/>
                <w:color w:val="000000"/>
                <w:kern w:val="0"/>
                <w:sz w:val="20"/>
                <w:szCs w:val="20"/>
              </w:rPr>
              <w:t>分</w:t>
            </w:r>
            <w:r>
              <w:rPr>
                <w:rFonts w:ascii="FangSong_GB2312" w:hAnsi="FangSong_GB2312" w:eastAsia="FangSong_GB2312"/>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noWrap/>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Pr>
        <w:spacing w:line="600" w:lineRule="exact"/>
        <w:rPr>
          <w:rFonts w:eastAsia="黑体"/>
          <w:kern w:val="0"/>
          <w:sz w:val="32"/>
          <w:szCs w:val="32"/>
        </w:rPr>
      </w:pPr>
    </w:p>
    <w:p>
      <w:pPr>
        <w:spacing w:line="360" w:lineRule="exact"/>
        <w:rPr>
          <w:sz w:val="30"/>
          <w:szCs w:val="30"/>
        </w:rPr>
      </w:pPr>
    </w:p>
    <w:p>
      <w:pPr>
        <w:pStyle w:val="2"/>
      </w:pPr>
    </w:p>
    <w:p>
      <w:pPr>
        <w:rPr>
          <w:sz w:val="30"/>
          <w:szCs w:val="30"/>
        </w:rPr>
      </w:pPr>
    </w:p>
    <w:p/>
    <w:p>
      <w:pPr>
        <w:widowControl/>
      </w:pPr>
    </w:p>
    <w:p>
      <w:pPr>
        <w:rPr>
          <w:rFonts w:ascii="黑体" w:hAnsi="黑体" w:eastAsia="黑体"/>
          <w:kern w:val="0"/>
          <w:sz w:val="32"/>
          <w:szCs w:val="32"/>
        </w:rPr>
      </w:pPr>
    </w:p>
    <w:p>
      <w:pPr>
        <w:jc w:val="center"/>
        <w:rPr>
          <w:rFonts w:ascii="宋体"/>
          <w:b/>
          <w:bCs/>
          <w:sz w:val="36"/>
          <w:szCs w:val="36"/>
        </w:rPr>
      </w:pPr>
      <w:r>
        <w:rPr>
          <w:rFonts w:hint="eastAsia" w:ascii="宋体" w:hAnsi="宋体" w:cs="Arial"/>
          <w:b/>
          <w:bCs/>
          <w:sz w:val="36"/>
          <w:szCs w:val="36"/>
        </w:rPr>
        <w:t>江永县疾病预防控制中心</w:t>
      </w:r>
      <w:r>
        <w:rPr>
          <w:rFonts w:ascii="宋体" w:hAnsi="宋体" w:cs="Arial"/>
          <w:b/>
          <w:bCs/>
          <w:sz w:val="36"/>
          <w:szCs w:val="36"/>
        </w:rPr>
        <w:t>2024</w:t>
      </w:r>
      <w:r>
        <w:rPr>
          <w:rFonts w:hint="eastAsia" w:ascii="宋体" w:hAnsi="宋体"/>
          <w:b/>
          <w:bCs/>
          <w:sz w:val="36"/>
          <w:szCs w:val="36"/>
        </w:rPr>
        <w:t>年度项目支出</w:t>
      </w:r>
    </w:p>
    <w:p>
      <w:pPr>
        <w:jc w:val="center"/>
        <w:rPr>
          <w:rFonts w:ascii="宋体"/>
          <w:b/>
          <w:bCs/>
          <w:sz w:val="36"/>
          <w:szCs w:val="36"/>
        </w:rPr>
      </w:pPr>
      <w:r>
        <w:rPr>
          <w:rFonts w:hint="eastAsia" w:ascii="宋体" w:hAnsi="宋体"/>
          <w:b/>
          <w:bCs/>
          <w:sz w:val="36"/>
          <w:szCs w:val="36"/>
        </w:rPr>
        <w:t>（公共卫生专项资金）绩效自评报告</w:t>
      </w:r>
    </w:p>
    <w:p>
      <w:pPr>
        <w:spacing w:line="560" w:lineRule="exact"/>
        <w:jc w:val="center"/>
        <w:rPr>
          <w:rFonts w:ascii="宋体"/>
          <w:b/>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（一）项目单位基本情况</w:t>
      </w:r>
    </w:p>
    <w:p>
      <w:pPr>
        <w:spacing w:line="560" w:lineRule="exact"/>
        <w:ind w:firstLine="643" w:firstLineChars="200"/>
        <w:rPr>
          <w:rFonts w:ascii="仿宋" w:hAnsi="仿宋" w:eastAsia="仿宋" w:cs="仿宋"/>
          <w:color w:val="000000"/>
          <w:sz w:val="32"/>
          <w:szCs w:val="32"/>
        </w:rPr>
      </w:pPr>
      <w:r>
        <w:rPr>
          <w:rFonts w:ascii="仿宋" w:hAnsi="仿宋" w:eastAsia="仿宋" w:cs="仿宋"/>
          <w:b/>
          <w:sz w:val="32"/>
          <w:szCs w:val="32"/>
        </w:rPr>
        <w:t>1</w:t>
      </w:r>
      <w:r>
        <w:rPr>
          <w:rFonts w:hint="eastAsia" w:ascii="仿宋" w:hAnsi="仿宋" w:eastAsia="仿宋" w:cs="仿宋"/>
          <w:b/>
          <w:sz w:val="32"/>
          <w:szCs w:val="32"/>
        </w:rPr>
        <w:t>、主要职能。</w:t>
      </w:r>
      <w:r>
        <w:rPr>
          <w:rFonts w:hint="eastAsia" w:ascii="仿宋" w:hAnsi="仿宋" w:eastAsia="仿宋" w:cs="仿宋"/>
          <w:color w:val="000000"/>
          <w:sz w:val="32"/>
          <w:szCs w:val="32"/>
        </w:rPr>
        <w:t>拟订并实施本县重大疾病预防控制和重点公共卫生服务工作计划和实施方案并对全县实施情况进行质量检查和效果评价；指导建立本县公共卫生监测系统，对影响人群生活、学习、工作等生存环境质量及生命质量的危险因素，进行食品、劳动、环境、学校卫生等公共卫生的监测；对传染病、地方病、寄生虫病、慢性非传染性疾病、职业病、学生常见病、中毒等重大疾病发生和分布的规律进行流行病学监测，并提出预防控制对策；参与和指导地方处理重大疫情、突发公共卫生事件，建立本县重大疾病、中毒、卫生污染、救灾防病等重大公共卫生问题的应急反应系统。配合并参与省、市及国家组织对重大国际突发公共卫生事件的调查处理；开展疫苗应用效果评价和免疫规划策略研究，并对本县免疫策略的实施进行技术指导与评价；推广先进的检测、检验方法，建立质量控制体系，促进本县公共卫生检验工作规范化；开展相关产品的卫生质量检测、检验，安全性评价和危险性分析；做好本中心的质量体系管理及评审与外审工作，制定并落实本县</w:t>
      </w:r>
      <w:r>
        <w:rPr>
          <w:rFonts w:ascii="仿宋" w:hAnsi="仿宋" w:eastAsia="仿宋" w:cs="仿宋"/>
          <w:color w:val="000000"/>
          <w:sz w:val="32"/>
          <w:szCs w:val="32"/>
        </w:rPr>
        <w:t>2020</w:t>
      </w:r>
      <w:r>
        <w:rPr>
          <w:rFonts w:hint="eastAsia" w:ascii="仿宋" w:hAnsi="仿宋" w:eastAsia="仿宋" w:cs="仿宋"/>
          <w:color w:val="000000"/>
          <w:sz w:val="32"/>
          <w:szCs w:val="32"/>
        </w:rPr>
        <w:t>健康教育规划：各重点人群进行健康知识培训；指导全县城乡各行业部门开展健康教育活动及监测；开展调查研讨、效果评价、理论研讨等工作；参加上级业务部门组织的各项专业培训，对所辖地区健康教育专兼职人员进行业务技能培训；落实《全国计划免疫管理条例》、《疫苗流通和预防接种管理条例》等法规；开展免疫接种率的监测与调查；开展免疫效果的监测与评价；开展免疫副反应的监测、调查和处理；做好疫苗的冷链、使用计划、分发、采购、储存、保管及供方质量保证。指导乡镇建好信息平台，利用免疫规划信息管理系统，加强适龄儿童管理和儿童接种信息的录入工作。继续做好</w:t>
      </w:r>
      <w:r>
        <w:rPr>
          <w:rFonts w:ascii="仿宋" w:hAnsi="仿宋" w:eastAsia="仿宋" w:cs="仿宋"/>
          <w:color w:val="000000"/>
          <w:sz w:val="32"/>
          <w:szCs w:val="32"/>
        </w:rPr>
        <w:t>AFP</w:t>
      </w:r>
      <w:r>
        <w:rPr>
          <w:rFonts w:hint="eastAsia" w:ascii="仿宋" w:hAnsi="仿宋" w:eastAsia="仿宋" w:cs="仿宋"/>
          <w:color w:val="000000"/>
          <w:sz w:val="32"/>
          <w:szCs w:val="32"/>
        </w:rPr>
        <w:t>病例监测工作，保持无脊灰状态。做好全县结核病人的发现，归口管理和统计报告，督导各医疗机构做好结核病人的转诊和结核病人的治疗与登记，管好免费药品和专用设备的使用，组织好全县初治涂阴病人的免费治疗的实施工作；开展慢病患病情况变化趋势以及与慢病相关行为危险因素的专题调查研究，收集慢病防治有关信息，拟定防治方案。加大艾滋病检测干预和治疗跟踪管理及病人发现工作力度，切实提高病人治疗率，努力遏制艾滋病发病与上升势头。完成上级交给的各项地方病，寄生虫病防治任务；完成碘缺乏病监测任务；完成丝虫病防治达标后的后期监测管理工作；完成疟疾病防治达标考核及监测工作；完成地方病防治监测和相关指令性任务；及时准确地上报全县地方病、寄生虫病等相关信息。根据全县的实际需要，结合疫情情况，严格按《疫苗流通与预防接种管理条例》实施疫苗采购计划，为全县的免疫接种及时提供、安全的生物制品。</w:t>
      </w:r>
    </w:p>
    <w:p>
      <w:pPr>
        <w:spacing w:line="560" w:lineRule="exact"/>
        <w:ind w:firstLine="643" w:firstLineChars="200"/>
        <w:rPr>
          <w:rFonts w:ascii="楷体" w:hAnsi="楷体" w:eastAsia="楷体" w:cs="楷体"/>
          <w:b/>
          <w:bCs/>
          <w:sz w:val="32"/>
          <w:szCs w:val="32"/>
        </w:rPr>
      </w:pPr>
      <w:r>
        <w:rPr>
          <w:rFonts w:ascii="仿宋" w:hAnsi="仿宋" w:eastAsia="仿宋" w:cs="仿宋"/>
          <w:b/>
          <w:sz w:val="32"/>
          <w:szCs w:val="32"/>
        </w:rPr>
        <w:t>2</w:t>
      </w:r>
      <w:r>
        <w:rPr>
          <w:rFonts w:hint="eastAsia" w:ascii="仿宋" w:hAnsi="仿宋" w:eastAsia="仿宋" w:cs="仿宋"/>
          <w:b/>
          <w:sz w:val="32"/>
          <w:szCs w:val="32"/>
        </w:rPr>
        <w:t>、机构和人员情况。</w:t>
      </w:r>
      <w:r>
        <w:rPr>
          <w:rFonts w:hint="eastAsia" w:ascii="仿宋" w:hAnsi="仿宋" w:eastAsia="仿宋" w:cs="仿宋"/>
          <w:color w:val="000000"/>
          <w:sz w:val="32"/>
          <w:szCs w:val="32"/>
          <w:shd w:val="clear" w:color="auto" w:fill="FFFFFF"/>
        </w:rPr>
        <w:t>江永县疾病预防控制中心属财政全额拨款副科级事业单位，为一级预算单位，内设办公室、疾控科、计划免疫科、检测检验科、公共卫生检测科、结防病防治科、健康教育科、质量管理科和财务后勤科等</w:t>
      </w:r>
      <w:r>
        <w:rPr>
          <w:rFonts w:ascii="仿宋" w:hAnsi="仿宋" w:eastAsia="仿宋" w:cs="仿宋"/>
          <w:color w:val="000000"/>
          <w:sz w:val="32"/>
          <w:szCs w:val="32"/>
          <w:shd w:val="clear" w:color="auto" w:fill="FFFFFF"/>
        </w:rPr>
        <w:t>9</w:t>
      </w:r>
      <w:r>
        <w:rPr>
          <w:rFonts w:hint="eastAsia" w:ascii="仿宋" w:hAnsi="仿宋" w:eastAsia="仿宋" w:cs="仿宋"/>
          <w:color w:val="000000"/>
          <w:sz w:val="32"/>
          <w:szCs w:val="32"/>
          <w:shd w:val="clear" w:color="auto" w:fill="FFFFFF"/>
        </w:rPr>
        <w:t>个科室。共有编制</w:t>
      </w:r>
      <w:r>
        <w:rPr>
          <w:rFonts w:ascii="仿宋" w:hAnsi="仿宋" w:eastAsia="仿宋" w:cs="仿宋"/>
          <w:color w:val="000000"/>
          <w:sz w:val="32"/>
          <w:szCs w:val="32"/>
          <w:shd w:val="clear" w:color="auto" w:fill="FFFFFF"/>
        </w:rPr>
        <w:t>32</w:t>
      </w:r>
      <w:r>
        <w:rPr>
          <w:rFonts w:hint="eastAsia" w:ascii="仿宋" w:hAnsi="仿宋" w:eastAsia="仿宋" w:cs="仿宋"/>
          <w:color w:val="000000"/>
          <w:sz w:val="32"/>
          <w:szCs w:val="32"/>
          <w:shd w:val="clear" w:color="auto" w:fill="FFFFFF"/>
        </w:rPr>
        <w:t>人，现有在职人员</w:t>
      </w:r>
      <w:r>
        <w:rPr>
          <w:rFonts w:ascii="仿宋" w:hAnsi="仿宋" w:eastAsia="仿宋" w:cs="仿宋"/>
          <w:color w:val="000000"/>
          <w:sz w:val="32"/>
          <w:szCs w:val="32"/>
          <w:shd w:val="clear" w:color="auto" w:fill="FFFFFF"/>
        </w:rPr>
        <w:t>32</w:t>
      </w:r>
      <w:r>
        <w:rPr>
          <w:rFonts w:hint="eastAsia" w:ascii="仿宋" w:hAnsi="仿宋" w:eastAsia="仿宋" w:cs="仿宋"/>
          <w:color w:val="000000"/>
          <w:sz w:val="32"/>
          <w:szCs w:val="32"/>
          <w:shd w:val="clear" w:color="auto" w:fill="FFFFFF"/>
        </w:rPr>
        <w:t>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pStyle w:val="13"/>
        <w:spacing w:line="560" w:lineRule="exact"/>
        <w:ind w:firstLine="640"/>
        <w:rPr>
          <w:rFonts w:ascii="仿宋" w:hAnsi="仿宋" w:eastAsia="仿宋" w:cs="黑体"/>
          <w:sz w:val="32"/>
          <w:szCs w:val="32"/>
        </w:rPr>
      </w:pPr>
      <w:r>
        <w:rPr>
          <w:rFonts w:hint="eastAsia" w:ascii="仿宋" w:hAnsi="仿宋" w:eastAsia="仿宋"/>
          <w:sz w:val="32"/>
          <w:szCs w:val="32"/>
        </w:rPr>
        <w:t>江永县疾控中心</w:t>
      </w:r>
      <w:r>
        <w:rPr>
          <w:rFonts w:ascii="仿宋" w:hAnsi="仿宋" w:eastAsia="仿宋"/>
          <w:sz w:val="32"/>
          <w:szCs w:val="32"/>
        </w:rPr>
        <w:t>2024</w:t>
      </w:r>
      <w:r>
        <w:rPr>
          <w:rFonts w:hint="eastAsia" w:ascii="仿宋" w:hAnsi="仿宋" w:eastAsia="仿宋"/>
          <w:sz w:val="32"/>
          <w:szCs w:val="32"/>
        </w:rPr>
        <w:t>年项目支出</w:t>
      </w:r>
      <w:r>
        <w:rPr>
          <w:rFonts w:ascii="仿宋" w:hAnsi="仿宋" w:eastAsia="仿宋"/>
          <w:sz w:val="32"/>
          <w:szCs w:val="32"/>
        </w:rPr>
        <w:t>353.51</w:t>
      </w:r>
      <w:r>
        <w:rPr>
          <w:rFonts w:hint="eastAsia" w:ascii="仿宋" w:hAnsi="仿宋" w:eastAsia="仿宋"/>
          <w:sz w:val="32"/>
          <w:szCs w:val="32"/>
        </w:rPr>
        <w:t>万元，用于开展新冠肺炎病毒防控。</w:t>
      </w:r>
    </w:p>
    <w:p>
      <w:pPr>
        <w:numPr>
          <w:ilvl w:val="0"/>
          <w:numId w:val="3"/>
        </w:numPr>
        <w:spacing w:line="560" w:lineRule="exact"/>
        <w:rPr>
          <w:rFonts w:ascii="楷体" w:hAnsi="楷体" w:eastAsia="楷体" w:cs="楷体"/>
          <w:b/>
          <w:bCs/>
          <w:sz w:val="32"/>
          <w:szCs w:val="32"/>
        </w:rPr>
      </w:pPr>
      <w:r>
        <w:rPr>
          <w:rFonts w:hint="eastAsia" w:ascii="楷体" w:hAnsi="楷体" w:eastAsia="楷体" w:cs="楷体"/>
          <w:b/>
          <w:bCs/>
          <w:sz w:val="32"/>
          <w:szCs w:val="32"/>
        </w:rPr>
        <w:t>项目资金情况分析</w:t>
      </w:r>
    </w:p>
    <w:p>
      <w:pPr>
        <w:pStyle w:val="13"/>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江永县疾控中心</w:t>
      </w:r>
      <w:r>
        <w:rPr>
          <w:rFonts w:ascii="仿宋" w:hAnsi="仿宋" w:eastAsia="仿宋" w:cs="仿宋"/>
          <w:bCs/>
          <w:sz w:val="32"/>
          <w:szCs w:val="32"/>
        </w:rPr>
        <w:t>2024</w:t>
      </w:r>
      <w:r>
        <w:rPr>
          <w:rFonts w:hint="eastAsia" w:ascii="仿宋" w:hAnsi="仿宋" w:eastAsia="仿宋" w:cs="仿宋"/>
          <w:bCs/>
          <w:sz w:val="32"/>
          <w:szCs w:val="32"/>
        </w:rPr>
        <w:t>年项目支出</w:t>
      </w:r>
      <w:r>
        <w:rPr>
          <w:rFonts w:ascii="仿宋" w:hAnsi="仿宋" w:eastAsia="仿宋" w:cs="仿宋"/>
          <w:bCs/>
          <w:sz w:val="32"/>
          <w:szCs w:val="32"/>
        </w:rPr>
        <w:t>353.51</w:t>
      </w:r>
      <w:r>
        <w:rPr>
          <w:rFonts w:hint="eastAsia" w:ascii="仿宋" w:hAnsi="仿宋" w:eastAsia="仿宋" w:cs="仿宋"/>
          <w:bCs/>
          <w:sz w:val="32"/>
          <w:szCs w:val="32"/>
        </w:rPr>
        <w:t>万元，资金到位率为</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pStyle w:val="13"/>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江永县疾控中心</w:t>
      </w:r>
      <w:r>
        <w:rPr>
          <w:rFonts w:ascii="仿宋" w:hAnsi="仿宋" w:eastAsia="仿宋" w:cs="仿宋"/>
          <w:bCs/>
          <w:sz w:val="32"/>
          <w:szCs w:val="32"/>
        </w:rPr>
        <w:t>2024</w:t>
      </w:r>
      <w:r>
        <w:rPr>
          <w:rFonts w:hint="eastAsia" w:ascii="仿宋" w:hAnsi="仿宋" w:eastAsia="仿宋" w:cs="仿宋"/>
          <w:bCs/>
          <w:sz w:val="32"/>
          <w:szCs w:val="32"/>
        </w:rPr>
        <w:t>年项目支出</w:t>
      </w:r>
      <w:r>
        <w:rPr>
          <w:rFonts w:ascii="仿宋" w:hAnsi="仿宋" w:eastAsia="仿宋" w:cs="仿宋"/>
          <w:bCs/>
          <w:sz w:val="32"/>
          <w:szCs w:val="32"/>
        </w:rPr>
        <w:t>353.51</w:t>
      </w:r>
      <w:r>
        <w:rPr>
          <w:rFonts w:hint="eastAsia" w:ascii="仿宋" w:hAnsi="仿宋" w:eastAsia="仿宋" w:cs="仿宋"/>
          <w:bCs/>
          <w:sz w:val="32"/>
          <w:szCs w:val="32"/>
        </w:rPr>
        <w:t>万元，预算执行率为</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spacing w:line="560" w:lineRule="exact"/>
        <w:ind w:firstLine="640" w:firstLineChars="200"/>
        <w:rPr>
          <w:rFonts w:ascii="楷体" w:hAnsi="楷体" w:eastAsia="楷体" w:cs="楷体"/>
          <w:b/>
          <w:bCs/>
          <w:color w:val="000000"/>
          <w:sz w:val="32"/>
          <w:szCs w:val="32"/>
        </w:rPr>
      </w:pPr>
      <w:r>
        <w:rPr>
          <w:rFonts w:hint="eastAsia" w:ascii="仿宋" w:hAnsi="仿宋" w:eastAsia="仿宋" w:cs="仿宋"/>
          <w:color w:val="000000"/>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我单位专项资金按财政安排的资金使用计划使用。单位设立资金支出审批领导小组审批，严格按照财政规章制度使用财政资金，无截留、挤占、挪用、虚列支出等情况。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pStyle w:val="7"/>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pPr>
        <w:pStyle w:val="7"/>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pPr>
        <w:pStyle w:val="7"/>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（一）数量指标完成情况。</w:t>
      </w:r>
      <w:r>
        <w:rPr>
          <w:rFonts w:hint="eastAsia" w:ascii="仿宋" w:hAnsi="仿宋" w:eastAsia="仿宋" w:cs="仿宋"/>
          <w:sz w:val="32"/>
          <w:szCs w:val="32"/>
        </w:rPr>
        <w:t>设置监测点</w:t>
      </w:r>
      <w:r>
        <w:rPr>
          <w:rFonts w:ascii="仿宋" w:hAnsi="仿宋" w:eastAsia="仿宋" w:cs="仿宋"/>
          <w:sz w:val="32"/>
          <w:szCs w:val="32"/>
        </w:rPr>
        <w:t>10</w:t>
      </w:r>
      <w:r>
        <w:rPr>
          <w:rFonts w:hint="eastAsia" w:ascii="仿宋" w:hAnsi="仿宋" w:eastAsia="仿宋" w:cs="仿宋"/>
          <w:sz w:val="32"/>
          <w:szCs w:val="32"/>
        </w:rPr>
        <w:t>个，完成目标任务的</w:t>
      </w:r>
      <w:r>
        <w:rPr>
          <w:rFonts w:ascii="仿宋" w:hAnsi="仿宋" w:eastAsia="仿宋" w:cs="仿宋"/>
          <w:sz w:val="32"/>
          <w:szCs w:val="32"/>
        </w:rPr>
        <w:t>100%</w:t>
      </w:r>
      <w:r>
        <w:rPr>
          <w:rFonts w:hint="eastAsia" w:ascii="仿宋" w:hAnsi="仿宋" w:eastAsia="仿宋" w:cs="仿宋"/>
          <w:sz w:val="32"/>
          <w:szCs w:val="32"/>
        </w:rPr>
        <w:t>；性病就诊患者</w:t>
      </w:r>
      <w:r>
        <w:rPr>
          <w:rFonts w:ascii="仿宋" w:hAnsi="仿宋" w:eastAsia="仿宋" w:cs="仿宋"/>
          <w:sz w:val="32"/>
          <w:szCs w:val="32"/>
        </w:rPr>
        <w:t>HIV</w:t>
      </w:r>
      <w:r>
        <w:rPr>
          <w:rFonts w:hint="eastAsia" w:ascii="仿宋" w:hAnsi="仿宋" w:eastAsia="仿宋" w:cs="仿宋"/>
          <w:sz w:val="32"/>
          <w:szCs w:val="32"/>
        </w:rPr>
        <w:t>检测人数</w:t>
      </w:r>
      <w:r>
        <w:rPr>
          <w:rFonts w:ascii="仿宋" w:hAnsi="仿宋" w:eastAsia="仿宋" w:cs="仿宋"/>
          <w:sz w:val="32"/>
          <w:szCs w:val="32"/>
        </w:rPr>
        <w:t>701</w:t>
      </w:r>
      <w:r>
        <w:rPr>
          <w:rFonts w:hint="eastAsia" w:ascii="仿宋" w:hAnsi="仿宋" w:eastAsia="仿宋" w:cs="仿宋"/>
          <w:sz w:val="32"/>
          <w:szCs w:val="32"/>
        </w:rPr>
        <w:t>人，完成目标任务的</w:t>
      </w:r>
      <w:r>
        <w:rPr>
          <w:rFonts w:ascii="仿宋" w:hAnsi="仿宋" w:eastAsia="仿宋" w:cs="仿宋"/>
          <w:sz w:val="32"/>
          <w:szCs w:val="32"/>
        </w:rPr>
        <w:t>100%</w:t>
      </w:r>
      <w:r>
        <w:rPr>
          <w:rFonts w:hint="eastAsia" w:ascii="仿宋" w:hAnsi="仿宋" w:eastAsia="仿宋" w:cs="仿宋"/>
          <w:sz w:val="32"/>
          <w:szCs w:val="32"/>
        </w:rPr>
        <w:t>；狂苗注射抗体检测阳性率</w:t>
      </w:r>
      <w:r>
        <w:rPr>
          <w:rFonts w:ascii="仿宋" w:hAnsi="仿宋" w:eastAsia="仿宋" w:cs="仿宋"/>
          <w:sz w:val="32"/>
          <w:szCs w:val="32"/>
        </w:rPr>
        <w:t>100%</w:t>
      </w:r>
      <w:r>
        <w:rPr>
          <w:rFonts w:hint="eastAsia" w:ascii="仿宋" w:hAnsi="仿宋" w:eastAsia="仿宋" w:cs="仿宋"/>
          <w:sz w:val="32"/>
          <w:szCs w:val="32"/>
        </w:rPr>
        <w:t>；活动性肺结核患者成功治愈率</w:t>
      </w:r>
      <w:r>
        <w:rPr>
          <w:rFonts w:ascii="仿宋" w:hAnsi="仿宋" w:eastAsia="仿宋" w:cs="仿宋"/>
          <w:sz w:val="32"/>
          <w:szCs w:val="32"/>
        </w:rPr>
        <w:t>96.7%</w:t>
      </w:r>
      <w:r>
        <w:rPr>
          <w:rFonts w:hint="eastAsia" w:ascii="仿宋" w:hAnsi="仿宋" w:eastAsia="仿宋" w:cs="仿宋"/>
          <w:sz w:val="32"/>
          <w:szCs w:val="32"/>
        </w:rPr>
        <w:t>，超目标任务</w:t>
      </w:r>
      <w:r>
        <w:rPr>
          <w:rFonts w:ascii="仿宋" w:hAnsi="仿宋" w:eastAsia="仿宋" w:cs="仿宋"/>
          <w:sz w:val="32"/>
          <w:szCs w:val="32"/>
        </w:rPr>
        <w:t>4.7</w:t>
      </w:r>
      <w:r>
        <w:rPr>
          <w:rFonts w:hint="eastAsia" w:ascii="仿宋" w:hAnsi="仿宋" w:eastAsia="仿宋" w:cs="仿宋"/>
          <w:sz w:val="32"/>
          <w:szCs w:val="32"/>
        </w:rPr>
        <w:t>个百分点；艾滋病感染者和患者治疗率</w:t>
      </w:r>
      <w:r>
        <w:rPr>
          <w:rFonts w:ascii="仿宋" w:hAnsi="仿宋" w:eastAsia="仿宋" w:cs="仿宋"/>
          <w:sz w:val="32"/>
          <w:szCs w:val="32"/>
        </w:rPr>
        <w:t>97.42%</w:t>
      </w:r>
      <w:r>
        <w:rPr>
          <w:rFonts w:hint="eastAsia" w:ascii="仿宋" w:hAnsi="仿宋" w:eastAsia="仿宋" w:cs="仿宋"/>
          <w:sz w:val="32"/>
          <w:szCs w:val="32"/>
        </w:rPr>
        <w:t>，超目标任务</w:t>
      </w:r>
      <w:r>
        <w:rPr>
          <w:rFonts w:ascii="仿宋" w:hAnsi="仿宋" w:eastAsia="仿宋" w:cs="仿宋"/>
          <w:sz w:val="32"/>
          <w:szCs w:val="32"/>
        </w:rPr>
        <w:t>2.42</w:t>
      </w:r>
      <w:r>
        <w:rPr>
          <w:rFonts w:hint="eastAsia" w:ascii="仿宋" w:hAnsi="仿宋" w:eastAsia="仿宋" w:cs="仿宋"/>
          <w:sz w:val="32"/>
          <w:szCs w:val="32"/>
        </w:rPr>
        <w:t>个百分点。</w:t>
      </w:r>
    </w:p>
    <w:p>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（二）效益指标完成情况。</w:t>
      </w:r>
      <w:r>
        <w:rPr>
          <w:rFonts w:hint="eastAsia" w:ascii="仿宋" w:hAnsi="仿宋" w:eastAsia="仿宋" w:cs="仿宋"/>
          <w:sz w:val="32"/>
          <w:szCs w:val="32"/>
        </w:rPr>
        <w:t>保障人民群众生命健康安全，成效明显。</w:t>
      </w:r>
    </w:p>
    <w:p>
      <w:pPr>
        <w:spacing w:line="560" w:lineRule="exact"/>
        <w:ind w:firstLine="482" w:firstLineChars="150"/>
        <w:rPr>
          <w:rFonts w:ascii="楷体" w:hAnsi="楷体" w:eastAsia="楷体" w:cs="仿宋"/>
          <w:b/>
          <w:sz w:val="32"/>
          <w:szCs w:val="32"/>
        </w:rPr>
      </w:pPr>
      <w:r>
        <w:rPr>
          <w:rFonts w:hint="eastAsia" w:ascii="楷体" w:hAnsi="楷体" w:eastAsia="楷体" w:cs="仿宋"/>
          <w:b/>
          <w:sz w:val="32"/>
          <w:szCs w:val="32"/>
        </w:rPr>
        <w:t>（三）满意率完成情况。</w:t>
      </w:r>
      <w:r>
        <w:rPr>
          <w:rFonts w:hint="eastAsia" w:ascii="仿宋" w:hAnsi="仿宋" w:eastAsia="仿宋" w:cs="仿宋"/>
          <w:sz w:val="32"/>
          <w:szCs w:val="32"/>
        </w:rPr>
        <w:t>社会各界人士满意率</w:t>
      </w:r>
      <w:r>
        <w:rPr>
          <w:rFonts w:ascii="仿宋" w:hAnsi="仿宋" w:eastAsia="仿宋" w:cs="仿宋"/>
          <w:sz w:val="32"/>
          <w:szCs w:val="32"/>
        </w:rPr>
        <w:t>100%</w:t>
      </w:r>
      <w:r>
        <w:rPr>
          <w:rFonts w:hint="eastAsia" w:ascii="仿宋" w:hAnsi="仿宋" w:eastAsia="仿宋" w:cs="仿宋"/>
          <w:sz w:val="32"/>
          <w:szCs w:val="32"/>
        </w:rPr>
        <w:t>。</w:t>
      </w:r>
    </w:p>
    <w:p>
      <w:pPr>
        <w:spacing w:line="560" w:lineRule="exact"/>
        <w:ind w:firstLine="480" w:firstLineChars="150"/>
        <w:rPr>
          <w:rFonts w:ascii="黑体" w:hAnsi="黑体" w:eastAsia="黑体" w:cs="黑体"/>
          <w:sz w:val="32"/>
          <w:szCs w:val="32"/>
        </w:rPr>
      </w:pPr>
      <w:r>
        <w:rPr>
          <w:rFonts w:hint="eastAsia" w:ascii="黑体" w:hAnsi="黑体" w:eastAsia="黑体" w:cs="黑体"/>
          <w:sz w:val="32"/>
          <w:szCs w:val="32"/>
        </w:rPr>
        <w:t>五、其他需要说明的问题</w:t>
      </w:r>
    </w:p>
    <w:p>
      <w:pPr>
        <w:spacing w:line="560" w:lineRule="exact"/>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（一）后续工作计划</w:t>
      </w:r>
    </w:p>
    <w:p>
      <w:pPr>
        <w:spacing w:line="56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我单位项目支出资金使用为一次性的，无后续工作计划。</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pPr>
        <w:pStyle w:val="13"/>
        <w:spacing w:line="560" w:lineRule="exact"/>
        <w:ind w:firstLine="640"/>
        <w:rPr>
          <w:rFonts w:ascii="仿宋" w:hAnsi="仿宋" w:eastAsia="仿宋" w:cs="仿宋"/>
          <w:sz w:val="32"/>
          <w:szCs w:val="32"/>
        </w:rPr>
      </w:pPr>
      <w:r>
        <w:rPr>
          <w:rFonts w:hint="eastAsia" w:ascii="仿宋" w:hAnsi="仿宋" w:eastAsia="仿宋" w:cs="仿宋"/>
          <w:sz w:val="32"/>
          <w:szCs w:val="32"/>
        </w:rPr>
        <w:t>江永县疾控基础设施还不完善，重大疾病监控体系建设滞后，建议县财政加大对疾控事业的投入，进一步提升我县疾控工作水平，为保障全县人民身体健康作出更大的贡献。</w:t>
      </w:r>
    </w:p>
    <w:p>
      <w:pPr>
        <w:spacing w:line="360" w:lineRule="auto"/>
        <w:ind w:left="480"/>
        <w:rPr>
          <w:sz w:val="32"/>
          <w:szCs w:val="32"/>
        </w:rPr>
      </w:pPr>
    </w:p>
    <w:p>
      <w:pPr>
        <w:spacing w:line="360" w:lineRule="auto"/>
        <w:ind w:left="480"/>
        <w:rPr>
          <w:sz w:val="32"/>
          <w:szCs w:val="32"/>
        </w:rPr>
      </w:pPr>
    </w:p>
    <w:p>
      <w:pPr>
        <w:widowControl/>
        <w:rPr>
          <w:rFonts w:ascii="黑体" w:hAnsi="黑体" w:eastAsia="黑体"/>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2024</w:t>
      </w:r>
      <w:r>
        <w:rPr>
          <w:rFonts w:hint="eastAsia" w:ascii="宋体" w:hAnsi="宋体" w:cs="宋体"/>
          <w:color w:val="000000"/>
          <w:kern w:val="0"/>
          <w:szCs w:val="21"/>
        </w:rPr>
        <w:t>年度）</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271"/>
        <w:gridCol w:w="691"/>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pPr>
              <w:widowControl/>
              <w:spacing w:line="260" w:lineRule="exact"/>
              <w:jc w:val="center"/>
              <w:rPr>
                <w:rFonts w:eastAsia="Times New Roman"/>
                <w:color w:val="000000"/>
                <w:kern w:val="0"/>
                <w:szCs w:val="21"/>
              </w:rPr>
            </w:pPr>
            <w:r>
              <w:rPr>
                <w:rFonts w:hint="eastAsia" w:ascii="宋体" w:hAnsi="宋体" w:cs="宋体"/>
                <w:color w:val="000000"/>
                <w:kern w:val="0"/>
                <w:szCs w:val="21"/>
              </w:rPr>
              <w:t>项目支</w:t>
            </w:r>
          </w:p>
          <w:p>
            <w:pPr>
              <w:widowControl/>
              <w:spacing w:line="26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1" w:type="dxa"/>
            <w:gridSpan w:val="8"/>
            <w:vAlign w:val="center"/>
          </w:tcPr>
          <w:p>
            <w:pPr>
              <w:widowControl/>
              <w:jc w:val="center"/>
              <w:rPr>
                <w:rFonts w:eastAsia="Times New Roman"/>
                <w:color w:val="000000"/>
                <w:kern w:val="0"/>
                <w:szCs w:val="21"/>
              </w:rPr>
            </w:pPr>
            <w:r>
              <w:rPr>
                <w:rFonts w:hint="eastAsia" w:ascii="宋体" w:hAnsi="宋体" w:cs="宋体"/>
                <w:color w:val="000000"/>
                <w:kern w:val="0"/>
                <w:szCs w:val="21"/>
              </w:rPr>
              <w:t>公共卫生专项资金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Times New Roman"/>
                <w:color w:val="000000"/>
                <w:kern w:val="0"/>
                <w:szCs w:val="21"/>
              </w:rPr>
            </w:pPr>
            <w:r>
              <w:rPr>
                <w:rFonts w:hint="eastAsia" w:ascii="宋体" w:hAnsi="宋体" w:cs="宋体"/>
                <w:color w:val="000000"/>
                <w:kern w:val="0"/>
                <w:szCs w:val="21"/>
              </w:rPr>
              <w:t>主管部门</w:t>
            </w:r>
          </w:p>
        </w:tc>
        <w:tc>
          <w:tcPr>
            <w:tcW w:w="4518"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　江永县卫生健康局</w:t>
            </w:r>
          </w:p>
        </w:tc>
        <w:tc>
          <w:tcPr>
            <w:tcW w:w="1271"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实施单位</w:t>
            </w:r>
          </w:p>
        </w:tc>
        <w:tc>
          <w:tcPr>
            <w:tcW w:w="2982" w:type="dxa"/>
            <w:gridSpan w:val="3"/>
            <w:vAlign w:val="center"/>
          </w:tcPr>
          <w:p>
            <w:pPr>
              <w:widowControl/>
              <w:jc w:val="left"/>
              <w:rPr>
                <w:rFonts w:eastAsia="Times New Roman"/>
                <w:color w:val="000000"/>
                <w:kern w:val="0"/>
                <w:szCs w:val="21"/>
              </w:rPr>
            </w:pPr>
            <w:r>
              <w:rPr>
                <w:rFonts w:hint="eastAsia" w:ascii="宋体" w:hAnsi="宋体" w:cs="宋体"/>
                <w:color w:val="000000"/>
                <w:kern w:val="0"/>
                <w:szCs w:val="21"/>
              </w:rPr>
              <w:t>　江永县疾控中心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项目资金</w:t>
            </w:r>
          </w:p>
          <w:p>
            <w:pPr>
              <w:widowControl/>
              <w:jc w:val="center"/>
              <w:rPr>
                <w:rFonts w:eastAsia="Times New Roman"/>
                <w:color w:val="000000"/>
                <w:kern w:val="0"/>
                <w:szCs w:val="21"/>
              </w:rPr>
            </w:pPr>
            <w:r>
              <w:rPr>
                <w:rFonts w:hint="eastAsia" w:ascii="宋体" w:hAnsi="宋体" w:cs="宋体"/>
                <w:color w:val="000000"/>
                <w:kern w:val="0"/>
                <w:szCs w:val="21"/>
              </w:rPr>
              <w:t>（万元）</w:t>
            </w: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14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年初</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209" w:type="dxa"/>
            <w:vAlign w:val="center"/>
          </w:tcPr>
          <w:p>
            <w:pPr>
              <w:widowControl/>
              <w:jc w:val="center"/>
              <w:rPr>
                <w:rFonts w:eastAsia="Times New Roman"/>
                <w:color w:val="000000"/>
                <w:kern w:val="0"/>
                <w:szCs w:val="21"/>
              </w:rPr>
            </w:pPr>
            <w:r>
              <w:rPr>
                <w:rFonts w:hint="eastAsia" w:ascii="宋体" w:hAnsi="宋体" w:cs="宋体"/>
                <w:color w:val="000000"/>
                <w:kern w:val="0"/>
                <w:szCs w:val="21"/>
              </w:rPr>
              <w:t>全年</w:t>
            </w:r>
          </w:p>
          <w:p>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271" w:type="dxa"/>
            <w:vAlign w:val="center"/>
          </w:tcPr>
          <w:p>
            <w:pPr>
              <w:jc w:val="center"/>
              <w:rPr>
                <w:rFonts w:eastAsia="Times New Roman"/>
                <w:szCs w:val="21"/>
              </w:rPr>
            </w:pPr>
            <w:r>
              <w:rPr>
                <w:rFonts w:hint="eastAsia" w:ascii="宋体" w:hAnsi="宋体" w:cs="宋体"/>
                <w:szCs w:val="21"/>
              </w:rPr>
              <w:t>全年</w:t>
            </w:r>
          </w:p>
          <w:p>
            <w:pPr>
              <w:jc w:val="center"/>
              <w:rPr>
                <w:rFonts w:eastAsia="Times New Roman"/>
                <w:szCs w:val="21"/>
              </w:rPr>
            </w:pPr>
            <w:r>
              <w:rPr>
                <w:rFonts w:hint="eastAsia" w:ascii="宋体" w:hAnsi="宋体" w:cs="宋体"/>
                <w:szCs w:val="21"/>
              </w:rPr>
              <w:t>执行数</w:t>
            </w:r>
          </w:p>
        </w:tc>
        <w:tc>
          <w:tcPr>
            <w:tcW w:w="691" w:type="dxa"/>
            <w:vAlign w:val="center"/>
          </w:tcPr>
          <w:p>
            <w:pPr>
              <w:jc w:val="center"/>
              <w:rPr>
                <w:rFonts w:eastAsia="Times New Roman"/>
                <w:szCs w:val="21"/>
              </w:rPr>
            </w:pPr>
            <w:r>
              <w:rPr>
                <w:rFonts w:hint="eastAsia" w:ascii="宋体" w:hAnsi="宋体" w:cs="宋体"/>
                <w:szCs w:val="21"/>
              </w:rPr>
              <w:t>分值</w:t>
            </w:r>
          </w:p>
        </w:tc>
        <w:tc>
          <w:tcPr>
            <w:tcW w:w="873" w:type="dxa"/>
            <w:vAlign w:val="center"/>
          </w:tcPr>
          <w:p>
            <w:pPr>
              <w:jc w:val="center"/>
              <w:rPr>
                <w:rFonts w:eastAsia="Times New Roman"/>
                <w:szCs w:val="21"/>
              </w:rPr>
            </w:pPr>
            <w:r>
              <w:rPr>
                <w:rFonts w:hint="eastAsia" w:ascii="宋体" w:hAnsi="宋体" w:cs="宋体"/>
                <w:szCs w:val="21"/>
              </w:rPr>
              <w:t>执行率</w:t>
            </w:r>
          </w:p>
        </w:tc>
        <w:tc>
          <w:tcPr>
            <w:tcW w:w="1418" w:type="dxa"/>
            <w:vAlign w:val="center"/>
          </w:tcPr>
          <w:p>
            <w:pPr>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年度资金总额（万元）　</w:t>
            </w:r>
          </w:p>
        </w:tc>
        <w:tc>
          <w:tcPr>
            <w:tcW w:w="1149" w:type="dxa"/>
            <w:vAlign w:val="center"/>
          </w:tcPr>
          <w:p>
            <w:pPr>
              <w:widowControl/>
              <w:jc w:val="left"/>
              <w:rPr>
                <w:color w:val="000000"/>
                <w:kern w:val="0"/>
                <w:szCs w:val="21"/>
              </w:rPr>
            </w:pPr>
            <w:r>
              <w:rPr>
                <w:color w:val="000000"/>
                <w:kern w:val="0"/>
                <w:szCs w:val="21"/>
              </w:rPr>
              <w:t xml:space="preserve">    53</w:t>
            </w:r>
          </w:p>
        </w:tc>
        <w:tc>
          <w:tcPr>
            <w:tcW w:w="1209"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353.51</w:t>
            </w:r>
          </w:p>
        </w:tc>
        <w:tc>
          <w:tcPr>
            <w:tcW w:w="1271" w:type="dxa"/>
            <w:vAlign w:val="center"/>
          </w:tcPr>
          <w:p>
            <w:pPr>
              <w:widowControl/>
              <w:jc w:val="left"/>
              <w:rPr>
                <w:color w:val="000000"/>
                <w:kern w:val="0"/>
                <w:szCs w:val="21"/>
              </w:rPr>
            </w:pPr>
            <w:r>
              <w:rPr>
                <w:color w:val="000000"/>
                <w:kern w:val="0"/>
                <w:szCs w:val="21"/>
              </w:rPr>
              <w:t xml:space="preserve">  353.51</w:t>
            </w: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jc w:val="left"/>
              <w:rPr>
                <w:rFonts w:eastAsia="Times New Roman"/>
                <w:color w:val="000000"/>
                <w:kern w:val="0"/>
                <w:szCs w:val="21"/>
              </w:rPr>
            </w:pPr>
            <w:r>
              <w:rPr>
                <w:rFonts w:hint="eastAsia" w:ascii="宋体" w:hAnsi="宋体" w:cs="宋体"/>
                <w:color w:val="000000"/>
                <w:kern w:val="0"/>
                <w:szCs w:val="21"/>
              </w:rPr>
              <w:t>其中：当年财政拨款　</w:t>
            </w:r>
          </w:p>
        </w:tc>
        <w:tc>
          <w:tcPr>
            <w:tcW w:w="1149" w:type="dxa"/>
            <w:vAlign w:val="center"/>
          </w:tcPr>
          <w:p>
            <w:pPr>
              <w:widowControl/>
              <w:ind w:firstLine="210" w:firstLineChars="100"/>
              <w:jc w:val="left"/>
              <w:rPr>
                <w:color w:val="000000"/>
                <w:kern w:val="0"/>
                <w:szCs w:val="21"/>
              </w:rPr>
            </w:pPr>
            <w:r>
              <w:rPr>
                <w:rFonts w:hint="eastAsia" w:ascii="宋体" w:hAnsi="宋体" w:cs="宋体"/>
                <w:color w:val="000000"/>
                <w:kern w:val="0"/>
                <w:szCs w:val="21"/>
              </w:rPr>
              <w:t>　</w:t>
            </w:r>
            <w:r>
              <w:rPr>
                <w:rFonts w:ascii="宋体" w:hAnsi="宋体" w:cs="宋体"/>
                <w:color w:val="000000"/>
                <w:kern w:val="0"/>
                <w:szCs w:val="21"/>
              </w:rPr>
              <w:t>53</w:t>
            </w:r>
          </w:p>
        </w:tc>
        <w:tc>
          <w:tcPr>
            <w:tcW w:w="1209" w:type="dxa"/>
            <w:vAlign w:val="center"/>
          </w:tcPr>
          <w:p>
            <w:pPr>
              <w:widowControl/>
              <w:ind w:firstLine="210" w:firstLineChars="100"/>
              <w:jc w:val="left"/>
              <w:rPr>
                <w:color w:val="000000"/>
                <w:kern w:val="0"/>
                <w:szCs w:val="21"/>
              </w:rPr>
            </w:pPr>
            <w:r>
              <w:rPr>
                <w:color w:val="000000"/>
                <w:kern w:val="0"/>
                <w:szCs w:val="21"/>
              </w:rPr>
              <w:t>339.34</w:t>
            </w:r>
          </w:p>
        </w:tc>
        <w:tc>
          <w:tcPr>
            <w:tcW w:w="1271" w:type="dxa"/>
            <w:vAlign w:val="center"/>
          </w:tcPr>
          <w:p>
            <w:pPr>
              <w:widowControl/>
              <w:ind w:firstLine="210" w:firstLineChars="100"/>
              <w:jc w:val="left"/>
              <w:rPr>
                <w:color w:val="000000"/>
                <w:kern w:val="0"/>
                <w:szCs w:val="21"/>
              </w:rPr>
            </w:pPr>
            <w:r>
              <w:rPr>
                <w:color w:val="000000"/>
                <w:kern w:val="0"/>
                <w:szCs w:val="21"/>
              </w:rPr>
              <w:t>339.34</w:t>
            </w: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7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2160" w:type="dxa"/>
            <w:gridSpan w:val="2"/>
            <w:vAlign w:val="center"/>
          </w:tcPr>
          <w:p>
            <w:pPr>
              <w:widowControl/>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pPr>
              <w:widowControl/>
              <w:jc w:val="left"/>
              <w:rPr>
                <w:color w:val="000000"/>
                <w:kern w:val="0"/>
                <w:szCs w:val="21"/>
              </w:rPr>
            </w:pPr>
            <w:r>
              <w:rPr>
                <w:color w:val="000000"/>
                <w:kern w:val="0"/>
                <w:szCs w:val="21"/>
              </w:rPr>
              <w:t xml:space="preserve">   14.17</w:t>
            </w:r>
          </w:p>
        </w:tc>
        <w:tc>
          <w:tcPr>
            <w:tcW w:w="1271" w:type="dxa"/>
            <w:vAlign w:val="center"/>
          </w:tcPr>
          <w:p>
            <w:pPr>
              <w:widowControl/>
              <w:jc w:val="left"/>
              <w:rPr>
                <w:color w:val="000000"/>
                <w:kern w:val="0"/>
                <w:szCs w:val="21"/>
              </w:rPr>
            </w:pPr>
            <w:r>
              <w:rPr>
                <w:color w:val="000000"/>
                <w:kern w:val="0"/>
                <w:szCs w:val="21"/>
              </w:rPr>
              <w:t xml:space="preserve">  14.17</w:t>
            </w:r>
          </w:p>
        </w:tc>
        <w:tc>
          <w:tcPr>
            <w:tcW w:w="691" w:type="dxa"/>
            <w:vAlign w:val="center"/>
          </w:tcPr>
          <w:p>
            <w:pPr>
              <w:widowControl/>
              <w:jc w:val="left"/>
              <w:rPr>
                <w:rFonts w:eastAsia="Times New Roman"/>
                <w:color w:val="000000"/>
                <w:kern w:val="0"/>
                <w:szCs w:val="21"/>
              </w:rPr>
            </w:pPr>
          </w:p>
        </w:tc>
        <w:tc>
          <w:tcPr>
            <w:tcW w:w="873" w:type="dxa"/>
            <w:vAlign w:val="center"/>
          </w:tcPr>
          <w:p>
            <w:pPr>
              <w:widowControl/>
              <w:jc w:val="left"/>
              <w:rPr>
                <w:color w:val="000000"/>
                <w:kern w:val="0"/>
                <w:szCs w:val="21"/>
              </w:rPr>
            </w:pPr>
            <w:r>
              <w:rPr>
                <w:color w:val="000000"/>
                <w:kern w:val="0"/>
                <w:szCs w:val="21"/>
              </w:rPr>
              <w:t xml:space="preserve"> 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4518"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253" w:type="dxa"/>
            <w:gridSpan w:val="4"/>
            <w:vAlign w:val="center"/>
          </w:tcPr>
          <w:p>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80" w:type="dxa"/>
            <w:vMerge w:val="continue"/>
            <w:vAlign w:val="center"/>
          </w:tcPr>
          <w:p>
            <w:pPr>
              <w:widowControl/>
              <w:jc w:val="left"/>
              <w:rPr>
                <w:rFonts w:eastAsia="Times New Roman"/>
                <w:color w:val="000000"/>
                <w:kern w:val="0"/>
                <w:szCs w:val="21"/>
              </w:rPr>
            </w:pPr>
          </w:p>
        </w:tc>
        <w:tc>
          <w:tcPr>
            <w:tcW w:w="4518"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加强重大传染病监测和防控，保健人民群众生命健康安全。</w:t>
            </w:r>
          </w:p>
        </w:tc>
        <w:tc>
          <w:tcPr>
            <w:tcW w:w="4253" w:type="dxa"/>
            <w:gridSpan w:val="4"/>
            <w:vAlign w:val="center"/>
          </w:tcPr>
          <w:p>
            <w:pPr>
              <w:widowControl/>
              <w:jc w:val="left"/>
              <w:rPr>
                <w:rFonts w:eastAsia="Times New Roman"/>
                <w:color w:val="000000"/>
                <w:kern w:val="0"/>
                <w:szCs w:val="21"/>
              </w:rPr>
            </w:pPr>
            <w:r>
              <w:rPr>
                <w:rFonts w:hint="eastAsia" w:ascii="宋体" w:hAnsi="宋体" w:cs="宋体"/>
                <w:color w:val="000000"/>
                <w:kern w:val="0"/>
                <w:szCs w:val="21"/>
              </w:rPr>
              <w:t>　加强重大传染病监测和防控，全年未发生重大传染病大面积流行事件。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绩</w:t>
            </w:r>
          </w:p>
          <w:p>
            <w:pPr>
              <w:widowControl/>
              <w:jc w:val="center"/>
              <w:rPr>
                <w:rFonts w:eastAsia="Times New Roman"/>
                <w:color w:val="000000"/>
                <w:kern w:val="0"/>
                <w:szCs w:val="21"/>
              </w:rPr>
            </w:pPr>
            <w:r>
              <w:rPr>
                <w:rFonts w:hint="eastAsia" w:ascii="宋体" w:hAnsi="宋体" w:cs="宋体"/>
                <w:color w:val="000000"/>
                <w:kern w:val="0"/>
                <w:szCs w:val="21"/>
              </w:rPr>
              <w:t>效</w:t>
            </w:r>
          </w:p>
          <w:p>
            <w:pPr>
              <w:widowControl/>
              <w:jc w:val="center"/>
              <w:rPr>
                <w:rFonts w:eastAsia="Times New Roman"/>
                <w:color w:val="000000"/>
                <w:kern w:val="0"/>
                <w:szCs w:val="21"/>
              </w:rPr>
            </w:pPr>
            <w:r>
              <w:rPr>
                <w:rFonts w:hint="eastAsia" w:ascii="宋体" w:hAnsi="宋体" w:cs="宋体"/>
                <w:color w:val="000000"/>
                <w:kern w:val="0"/>
                <w:szCs w:val="21"/>
              </w:rPr>
              <w:t>指</w:t>
            </w:r>
          </w:p>
          <w:p>
            <w:pPr>
              <w:widowControl/>
              <w:jc w:val="center"/>
              <w:rPr>
                <w:rFonts w:eastAsia="Times New Roman"/>
                <w:color w:val="000000"/>
                <w:kern w:val="0"/>
                <w:szCs w:val="21"/>
              </w:rPr>
            </w:pPr>
            <w:r>
              <w:rPr>
                <w:rFonts w:hint="eastAsia" w:ascii="宋体" w:hAnsi="宋体" w:cs="宋体"/>
                <w:color w:val="000000"/>
                <w:kern w:val="0"/>
                <w:szCs w:val="21"/>
              </w:rPr>
              <w:t>标</w:t>
            </w:r>
          </w:p>
        </w:tc>
        <w:tc>
          <w:tcPr>
            <w:tcW w:w="108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8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14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09"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271"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691"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73"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1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产出指标</w:t>
            </w:r>
          </w:p>
          <w:p>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数量指标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设置监测点</w:t>
            </w:r>
          </w:p>
        </w:tc>
        <w:tc>
          <w:tcPr>
            <w:tcW w:w="1209" w:type="dxa"/>
            <w:vAlign w:val="center"/>
          </w:tcPr>
          <w:p>
            <w:pPr>
              <w:widowControl/>
              <w:jc w:val="left"/>
              <w:rPr>
                <w:rFonts w:eastAsia="Times New Roman"/>
                <w:color w:val="000000"/>
                <w:kern w:val="0"/>
                <w:szCs w:val="21"/>
              </w:rPr>
            </w:pPr>
            <w:r>
              <w:rPr>
                <w:color w:val="000000"/>
                <w:kern w:val="0"/>
                <w:szCs w:val="21"/>
              </w:rPr>
              <w:t xml:space="preserve">  10</w:t>
            </w:r>
            <w:r>
              <w:rPr>
                <w:rFonts w:hint="eastAsia"/>
                <w:color w:val="000000"/>
                <w:kern w:val="0"/>
                <w:szCs w:val="21"/>
              </w:rPr>
              <w:t>个</w:t>
            </w:r>
          </w:p>
        </w:tc>
        <w:tc>
          <w:tcPr>
            <w:tcW w:w="1271" w:type="dxa"/>
            <w:vAlign w:val="center"/>
          </w:tcPr>
          <w:p>
            <w:pPr>
              <w:widowControl/>
              <w:jc w:val="left"/>
              <w:rPr>
                <w:rFonts w:eastAsia="Times New Roman"/>
                <w:color w:val="000000"/>
                <w:kern w:val="0"/>
                <w:szCs w:val="21"/>
              </w:rPr>
            </w:pPr>
            <w:r>
              <w:rPr>
                <w:color w:val="000000"/>
                <w:kern w:val="0"/>
                <w:szCs w:val="21"/>
              </w:rPr>
              <w:t xml:space="preserve">  10</w:t>
            </w:r>
            <w:r>
              <w:rPr>
                <w:rFonts w:hint="eastAsia"/>
                <w:color w:val="000000"/>
                <w:kern w:val="0"/>
                <w:szCs w:val="21"/>
              </w:rPr>
              <w:t>个</w:t>
            </w:r>
          </w:p>
        </w:tc>
        <w:tc>
          <w:tcPr>
            <w:tcW w:w="691"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color w:val="000000"/>
                <w:kern w:val="0"/>
                <w:szCs w:val="21"/>
              </w:rPr>
            </w:pPr>
            <w:r>
              <w:rPr>
                <w:rFonts w:hint="eastAsia"/>
                <w:color w:val="000000"/>
                <w:kern w:val="0"/>
                <w:szCs w:val="21"/>
              </w:rPr>
              <w:t>性病就诊患</w:t>
            </w:r>
            <w:r>
              <w:rPr>
                <w:color w:val="000000"/>
                <w:kern w:val="0"/>
                <w:szCs w:val="21"/>
              </w:rPr>
              <w:t>HIV</w:t>
            </w:r>
            <w:r>
              <w:rPr>
                <w:rFonts w:hint="eastAsia"/>
                <w:color w:val="000000"/>
                <w:kern w:val="0"/>
                <w:szCs w:val="21"/>
              </w:rPr>
              <w:t>检测人数</w:t>
            </w:r>
          </w:p>
        </w:tc>
        <w:tc>
          <w:tcPr>
            <w:tcW w:w="1209" w:type="dxa"/>
            <w:vAlign w:val="center"/>
          </w:tcPr>
          <w:p>
            <w:pPr>
              <w:widowControl/>
              <w:jc w:val="left"/>
              <w:rPr>
                <w:color w:val="000000"/>
                <w:kern w:val="0"/>
                <w:szCs w:val="21"/>
              </w:rPr>
            </w:pPr>
            <w:r>
              <w:rPr>
                <w:color w:val="000000"/>
                <w:kern w:val="0"/>
                <w:szCs w:val="21"/>
              </w:rPr>
              <w:t xml:space="preserve">  701</w:t>
            </w:r>
            <w:r>
              <w:rPr>
                <w:rFonts w:hint="eastAsia"/>
                <w:color w:val="000000"/>
                <w:kern w:val="0"/>
                <w:szCs w:val="21"/>
              </w:rPr>
              <w:t>人</w:t>
            </w:r>
          </w:p>
        </w:tc>
        <w:tc>
          <w:tcPr>
            <w:tcW w:w="1271" w:type="dxa"/>
            <w:vAlign w:val="center"/>
          </w:tcPr>
          <w:p>
            <w:pPr>
              <w:widowControl/>
              <w:jc w:val="left"/>
              <w:rPr>
                <w:color w:val="000000"/>
                <w:kern w:val="0"/>
                <w:szCs w:val="21"/>
              </w:rPr>
            </w:pPr>
            <w:r>
              <w:rPr>
                <w:color w:val="000000"/>
                <w:kern w:val="0"/>
                <w:szCs w:val="21"/>
              </w:rPr>
              <w:t xml:space="preserve">  701</w:t>
            </w:r>
            <w:r>
              <w:rPr>
                <w:rFonts w:hint="eastAsia"/>
                <w:color w:val="000000"/>
                <w:kern w:val="0"/>
                <w:szCs w:val="21"/>
              </w:rPr>
              <w:t>人</w:t>
            </w:r>
          </w:p>
        </w:tc>
        <w:tc>
          <w:tcPr>
            <w:tcW w:w="691" w:type="dxa"/>
            <w:vAlign w:val="center"/>
          </w:tcPr>
          <w:p>
            <w:pPr>
              <w:widowControl/>
              <w:jc w:val="left"/>
              <w:rPr>
                <w:color w:val="000000"/>
                <w:kern w:val="0"/>
                <w:szCs w:val="21"/>
              </w:rPr>
            </w:pPr>
            <w:r>
              <w:rPr>
                <w:color w:val="000000"/>
                <w:kern w:val="0"/>
                <w:szCs w:val="21"/>
              </w:rPr>
              <w:t xml:space="preserve"> 10</w:t>
            </w:r>
          </w:p>
        </w:tc>
        <w:tc>
          <w:tcPr>
            <w:tcW w:w="873" w:type="dxa"/>
            <w:vAlign w:val="center"/>
          </w:tcPr>
          <w:p>
            <w:pPr>
              <w:widowControl/>
              <w:jc w:val="left"/>
              <w:rPr>
                <w:color w:val="000000"/>
                <w:kern w:val="0"/>
                <w:szCs w:val="21"/>
              </w:rPr>
            </w:pPr>
            <w:r>
              <w:rPr>
                <w:color w:val="000000"/>
                <w:kern w:val="0"/>
                <w:szCs w:val="21"/>
              </w:rPr>
              <w:t xml:space="preserve"> 10</w:t>
            </w:r>
          </w:p>
        </w:tc>
        <w:tc>
          <w:tcPr>
            <w:tcW w:w="1418" w:type="dxa"/>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质量指标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狂苗注射抗体检测阳性率</w:t>
            </w:r>
          </w:p>
        </w:tc>
        <w:tc>
          <w:tcPr>
            <w:tcW w:w="1209" w:type="dxa"/>
            <w:vAlign w:val="center"/>
          </w:tcPr>
          <w:p>
            <w:pPr>
              <w:widowControl/>
              <w:jc w:val="left"/>
              <w:rPr>
                <w:rFonts w:eastAsia="Times New Roman"/>
                <w:color w:val="000000"/>
                <w:kern w:val="0"/>
                <w:szCs w:val="21"/>
              </w:rPr>
            </w:pPr>
            <w:r>
              <w:rPr>
                <w:color w:val="000000"/>
                <w:kern w:val="0"/>
                <w:szCs w:val="21"/>
              </w:rPr>
              <w:t xml:space="preserve">  </w:t>
            </w:r>
            <w:r>
              <w:rPr>
                <w:rFonts w:eastAsia="Times New Roman"/>
                <w:color w:val="000000"/>
                <w:kern w:val="0"/>
                <w:szCs w:val="21"/>
              </w:rPr>
              <w:t>100%</w:t>
            </w:r>
          </w:p>
        </w:tc>
        <w:tc>
          <w:tcPr>
            <w:tcW w:w="1271" w:type="dxa"/>
            <w:vAlign w:val="center"/>
          </w:tcPr>
          <w:p>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691"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color w:val="000000"/>
                <w:kern w:val="0"/>
                <w:szCs w:val="21"/>
              </w:rPr>
            </w:pPr>
            <w:r>
              <w:rPr>
                <w:rFonts w:hint="eastAsia"/>
                <w:color w:val="000000"/>
                <w:kern w:val="0"/>
                <w:szCs w:val="21"/>
              </w:rPr>
              <w:t>活动性肺结核患者成功治愈率</w:t>
            </w:r>
          </w:p>
        </w:tc>
        <w:tc>
          <w:tcPr>
            <w:tcW w:w="1209" w:type="dxa"/>
            <w:vAlign w:val="center"/>
          </w:tcPr>
          <w:p>
            <w:pPr>
              <w:widowControl/>
              <w:jc w:val="left"/>
              <w:rPr>
                <w:color w:val="000000"/>
                <w:kern w:val="0"/>
                <w:szCs w:val="21"/>
              </w:rPr>
            </w:pPr>
            <w:r>
              <w:rPr>
                <w:color w:val="000000"/>
                <w:kern w:val="0"/>
                <w:szCs w:val="21"/>
              </w:rPr>
              <w:t xml:space="preserve">  95%</w:t>
            </w:r>
          </w:p>
        </w:tc>
        <w:tc>
          <w:tcPr>
            <w:tcW w:w="1271" w:type="dxa"/>
            <w:vAlign w:val="center"/>
          </w:tcPr>
          <w:p>
            <w:pPr>
              <w:widowControl/>
              <w:ind w:firstLine="210" w:firstLineChars="100"/>
              <w:jc w:val="left"/>
              <w:rPr>
                <w:color w:val="000000"/>
                <w:kern w:val="0"/>
                <w:szCs w:val="21"/>
              </w:rPr>
            </w:pPr>
            <w:r>
              <w:rPr>
                <w:color w:val="000000"/>
                <w:kern w:val="0"/>
                <w:szCs w:val="21"/>
              </w:rPr>
              <w:t xml:space="preserve"> 96.7%</w:t>
            </w:r>
          </w:p>
        </w:tc>
        <w:tc>
          <w:tcPr>
            <w:tcW w:w="691" w:type="dxa"/>
            <w:vAlign w:val="center"/>
          </w:tcPr>
          <w:p>
            <w:pPr>
              <w:widowControl/>
              <w:jc w:val="left"/>
              <w:rPr>
                <w:color w:val="000000"/>
                <w:kern w:val="0"/>
                <w:szCs w:val="21"/>
              </w:rPr>
            </w:pPr>
            <w:r>
              <w:rPr>
                <w:color w:val="000000"/>
                <w:kern w:val="0"/>
                <w:szCs w:val="21"/>
              </w:rPr>
              <w:t xml:space="preserve">  10</w:t>
            </w:r>
          </w:p>
        </w:tc>
        <w:tc>
          <w:tcPr>
            <w:tcW w:w="873" w:type="dxa"/>
            <w:vAlign w:val="center"/>
          </w:tcPr>
          <w:p>
            <w:pPr>
              <w:widowControl/>
              <w:jc w:val="left"/>
              <w:rPr>
                <w:color w:val="000000"/>
                <w:kern w:val="0"/>
                <w:szCs w:val="21"/>
              </w:rPr>
            </w:pPr>
            <w:r>
              <w:rPr>
                <w:color w:val="000000"/>
                <w:kern w:val="0"/>
                <w:szCs w:val="21"/>
              </w:rPr>
              <w:t xml:space="preserve">  10</w:t>
            </w:r>
          </w:p>
        </w:tc>
        <w:tc>
          <w:tcPr>
            <w:tcW w:w="1418" w:type="dxa"/>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color w:val="000000"/>
                <w:kern w:val="0"/>
                <w:szCs w:val="21"/>
              </w:rPr>
            </w:pPr>
            <w:r>
              <w:rPr>
                <w:rFonts w:hint="eastAsia"/>
                <w:color w:val="000000"/>
                <w:kern w:val="0"/>
                <w:szCs w:val="21"/>
              </w:rPr>
              <w:t>艾滋病感染者和患者治疗率</w:t>
            </w:r>
          </w:p>
        </w:tc>
        <w:tc>
          <w:tcPr>
            <w:tcW w:w="1209" w:type="dxa"/>
            <w:vAlign w:val="center"/>
          </w:tcPr>
          <w:p>
            <w:pPr>
              <w:widowControl/>
              <w:jc w:val="left"/>
              <w:rPr>
                <w:color w:val="000000"/>
                <w:kern w:val="0"/>
                <w:szCs w:val="21"/>
              </w:rPr>
            </w:pPr>
            <w:r>
              <w:rPr>
                <w:color w:val="000000"/>
                <w:kern w:val="0"/>
                <w:szCs w:val="21"/>
              </w:rPr>
              <w:t xml:space="preserve">   95%</w:t>
            </w:r>
          </w:p>
        </w:tc>
        <w:tc>
          <w:tcPr>
            <w:tcW w:w="1271" w:type="dxa"/>
            <w:vAlign w:val="center"/>
          </w:tcPr>
          <w:p>
            <w:pPr>
              <w:widowControl/>
              <w:ind w:firstLine="210" w:firstLineChars="100"/>
              <w:jc w:val="left"/>
              <w:rPr>
                <w:color w:val="000000"/>
                <w:kern w:val="0"/>
                <w:szCs w:val="21"/>
              </w:rPr>
            </w:pPr>
            <w:r>
              <w:rPr>
                <w:color w:val="000000"/>
                <w:kern w:val="0"/>
                <w:szCs w:val="21"/>
              </w:rPr>
              <w:t>97.42%</w:t>
            </w:r>
          </w:p>
        </w:tc>
        <w:tc>
          <w:tcPr>
            <w:tcW w:w="691" w:type="dxa"/>
            <w:vAlign w:val="center"/>
          </w:tcPr>
          <w:p>
            <w:pPr>
              <w:widowControl/>
              <w:jc w:val="left"/>
              <w:rPr>
                <w:color w:val="000000"/>
                <w:kern w:val="0"/>
                <w:szCs w:val="21"/>
              </w:rPr>
            </w:pPr>
            <w:r>
              <w:rPr>
                <w:color w:val="000000"/>
                <w:kern w:val="0"/>
                <w:szCs w:val="21"/>
              </w:rPr>
              <w:t xml:space="preserve">  10</w:t>
            </w:r>
          </w:p>
        </w:tc>
        <w:tc>
          <w:tcPr>
            <w:tcW w:w="873" w:type="dxa"/>
            <w:vAlign w:val="center"/>
          </w:tcPr>
          <w:p>
            <w:pPr>
              <w:widowControl/>
              <w:jc w:val="left"/>
              <w:rPr>
                <w:color w:val="000000"/>
                <w:kern w:val="0"/>
                <w:szCs w:val="21"/>
              </w:rPr>
            </w:pPr>
            <w:r>
              <w:rPr>
                <w:color w:val="000000"/>
                <w:kern w:val="0"/>
                <w:szCs w:val="21"/>
              </w:rPr>
              <w:t xml:space="preserve">  10</w:t>
            </w:r>
          </w:p>
        </w:tc>
        <w:tc>
          <w:tcPr>
            <w:tcW w:w="1418" w:type="dxa"/>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时效指标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1209" w:type="dxa"/>
            <w:vAlign w:val="center"/>
          </w:tcPr>
          <w:p>
            <w:pPr>
              <w:widowControl/>
              <w:jc w:val="left"/>
              <w:rPr>
                <w:rFonts w:eastAsia="Times New Roman"/>
                <w:color w:val="000000"/>
                <w:kern w:val="0"/>
                <w:szCs w:val="21"/>
              </w:rPr>
            </w:pPr>
            <w:r>
              <w:rPr>
                <w:rFonts w:eastAsia="Times New Roman"/>
                <w:color w:val="000000"/>
                <w:kern w:val="0"/>
                <w:szCs w:val="21"/>
              </w:rPr>
              <w:t>2024</w:t>
            </w:r>
            <w:r>
              <w:rPr>
                <w:rFonts w:hint="eastAsia" w:ascii="宋体" w:hAnsi="宋体" w:cs="宋体"/>
                <w:color w:val="000000"/>
                <w:kern w:val="0"/>
                <w:szCs w:val="21"/>
              </w:rPr>
              <w:t>年</w:t>
            </w:r>
          </w:p>
        </w:tc>
        <w:tc>
          <w:tcPr>
            <w:tcW w:w="1271" w:type="dxa"/>
            <w:vAlign w:val="center"/>
          </w:tcPr>
          <w:p>
            <w:pPr>
              <w:widowControl/>
              <w:jc w:val="left"/>
              <w:rPr>
                <w:rFonts w:eastAsia="Times New Roman"/>
                <w:color w:val="000000"/>
                <w:kern w:val="0"/>
                <w:szCs w:val="21"/>
              </w:rPr>
            </w:pPr>
            <w:r>
              <w:rPr>
                <w:rFonts w:eastAsia="Times New Roman"/>
                <w:color w:val="000000"/>
                <w:kern w:val="0"/>
                <w:szCs w:val="21"/>
              </w:rPr>
              <w:t>2024</w:t>
            </w:r>
            <w:r>
              <w:rPr>
                <w:rFonts w:hint="eastAsia" w:ascii="宋体" w:hAnsi="宋体" w:cs="宋体"/>
                <w:color w:val="000000"/>
                <w:kern w:val="0"/>
                <w:szCs w:val="21"/>
              </w:rPr>
              <w:t>年</w:t>
            </w:r>
          </w:p>
        </w:tc>
        <w:tc>
          <w:tcPr>
            <w:tcW w:w="691"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成本指标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项目支出</w:t>
            </w:r>
          </w:p>
        </w:tc>
        <w:tc>
          <w:tcPr>
            <w:tcW w:w="1209" w:type="dxa"/>
            <w:vAlign w:val="center"/>
          </w:tcPr>
          <w:p>
            <w:pPr>
              <w:widowControl/>
              <w:jc w:val="left"/>
              <w:rPr>
                <w:rFonts w:eastAsia="Times New Roman"/>
                <w:color w:val="000000"/>
                <w:kern w:val="0"/>
                <w:szCs w:val="21"/>
              </w:rPr>
            </w:pPr>
            <w:r>
              <w:rPr>
                <w:color w:val="000000"/>
                <w:kern w:val="0"/>
                <w:szCs w:val="21"/>
              </w:rPr>
              <w:t xml:space="preserve">    353.51</w:t>
            </w:r>
            <w:r>
              <w:rPr>
                <w:rFonts w:hint="eastAsia" w:ascii="宋体" w:hAnsi="宋体" w:cs="宋体"/>
                <w:color w:val="000000"/>
                <w:kern w:val="0"/>
                <w:szCs w:val="21"/>
              </w:rPr>
              <w:t>万元</w:t>
            </w:r>
          </w:p>
        </w:tc>
        <w:tc>
          <w:tcPr>
            <w:tcW w:w="1271" w:type="dxa"/>
            <w:vAlign w:val="center"/>
          </w:tcPr>
          <w:p>
            <w:pPr>
              <w:widowControl/>
              <w:jc w:val="left"/>
              <w:rPr>
                <w:rFonts w:eastAsia="Times New Roman"/>
                <w:color w:val="000000"/>
                <w:kern w:val="0"/>
                <w:szCs w:val="21"/>
              </w:rPr>
            </w:pPr>
            <w:r>
              <w:rPr>
                <w:rFonts w:ascii="宋体" w:hAnsi="宋体" w:cs="宋体"/>
                <w:color w:val="000000"/>
                <w:kern w:val="0"/>
                <w:szCs w:val="21"/>
              </w:rPr>
              <w:t xml:space="preserve">   353.51</w:t>
            </w:r>
            <w:r>
              <w:rPr>
                <w:rFonts w:hint="eastAsia" w:ascii="宋体" w:hAnsi="宋体" w:cs="宋体"/>
                <w:color w:val="000000"/>
                <w:kern w:val="0"/>
                <w:szCs w:val="21"/>
              </w:rPr>
              <w:t>万元</w:t>
            </w:r>
          </w:p>
        </w:tc>
        <w:tc>
          <w:tcPr>
            <w:tcW w:w="691" w:type="dxa"/>
            <w:vAlign w:val="center"/>
          </w:tcPr>
          <w:p>
            <w:pPr>
              <w:widowControl/>
              <w:jc w:val="left"/>
              <w:rPr>
                <w:color w:val="000000"/>
                <w:kern w:val="0"/>
                <w:szCs w:val="21"/>
              </w:rPr>
            </w:pPr>
            <w:r>
              <w:rPr>
                <w:rFonts w:hint="eastAsia" w:ascii="宋体" w:hAnsi="宋体" w:cs="宋体"/>
                <w:color w:val="000000"/>
                <w:kern w:val="0"/>
                <w:szCs w:val="21"/>
              </w:rPr>
              <w:t>　</w:t>
            </w:r>
            <w:r>
              <w:rPr>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left"/>
              <w:rPr>
                <w:rFonts w:eastAsia="Times New Roman"/>
                <w:color w:val="000000"/>
                <w:kern w:val="0"/>
                <w:szCs w:val="21"/>
              </w:rPr>
            </w:pPr>
            <w:r>
              <w:rPr>
                <w:rFonts w:hint="eastAsia" w:ascii="宋体" w:hAnsi="宋体" w:cs="宋体"/>
                <w:color w:val="000000"/>
                <w:kern w:val="0"/>
                <w:szCs w:val="21"/>
              </w:rPr>
              <w:t>效益指标</w:t>
            </w:r>
          </w:p>
          <w:p>
            <w:pPr>
              <w:widowControl/>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经济效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社会效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严控重大传染病大面积流行</w:t>
            </w:r>
          </w:p>
        </w:tc>
        <w:tc>
          <w:tcPr>
            <w:tcW w:w="1209" w:type="dxa"/>
            <w:vAlign w:val="center"/>
          </w:tcPr>
          <w:p>
            <w:pPr>
              <w:widowControl/>
              <w:jc w:val="left"/>
              <w:rPr>
                <w:color w:val="000000"/>
                <w:kern w:val="0"/>
                <w:szCs w:val="21"/>
              </w:rPr>
            </w:pPr>
            <w:r>
              <w:rPr>
                <w:rFonts w:hint="eastAsia"/>
                <w:color w:val="000000"/>
                <w:kern w:val="0"/>
                <w:szCs w:val="21"/>
              </w:rPr>
              <w:t>无重大传染病流行</w:t>
            </w:r>
          </w:p>
        </w:tc>
        <w:tc>
          <w:tcPr>
            <w:tcW w:w="1271" w:type="dxa"/>
            <w:vAlign w:val="center"/>
          </w:tcPr>
          <w:p>
            <w:pPr>
              <w:widowControl/>
              <w:jc w:val="left"/>
              <w:rPr>
                <w:color w:val="000000"/>
                <w:kern w:val="0"/>
                <w:szCs w:val="21"/>
              </w:rPr>
            </w:pPr>
            <w:r>
              <w:rPr>
                <w:rFonts w:hint="eastAsia"/>
                <w:color w:val="000000"/>
                <w:kern w:val="0"/>
                <w:szCs w:val="21"/>
              </w:rPr>
              <w:t>无重大传染病流行</w:t>
            </w: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center"/>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生态效</w:t>
            </w:r>
          </w:p>
          <w:p>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p>
        </w:tc>
        <w:tc>
          <w:tcPr>
            <w:tcW w:w="873" w:type="dxa"/>
            <w:vAlign w:val="center"/>
          </w:tcPr>
          <w:p>
            <w:pPr>
              <w:widowControl/>
              <w:jc w:val="left"/>
              <w:rPr>
                <w:rFonts w:eastAsia="Times New Roman"/>
                <w:color w:val="000000"/>
                <w:kern w:val="0"/>
                <w:szCs w:val="21"/>
              </w:rPr>
            </w:pPr>
          </w:p>
        </w:tc>
        <w:tc>
          <w:tcPr>
            <w:tcW w:w="1418" w:type="dxa"/>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p>
        </w:tc>
        <w:tc>
          <w:tcPr>
            <w:tcW w:w="873" w:type="dxa"/>
            <w:vAlign w:val="center"/>
          </w:tcPr>
          <w:p>
            <w:pPr>
              <w:widowControl/>
              <w:jc w:val="left"/>
              <w:rPr>
                <w:rFonts w:eastAsia="Times New Roman"/>
                <w:color w:val="000000"/>
                <w:kern w:val="0"/>
                <w:szCs w:val="21"/>
              </w:rPr>
            </w:pPr>
          </w:p>
        </w:tc>
        <w:tc>
          <w:tcPr>
            <w:tcW w:w="1418" w:type="dxa"/>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p>
        </w:tc>
        <w:tc>
          <w:tcPr>
            <w:tcW w:w="873" w:type="dxa"/>
            <w:vAlign w:val="center"/>
          </w:tcPr>
          <w:p>
            <w:pPr>
              <w:widowControl/>
              <w:jc w:val="left"/>
              <w:rPr>
                <w:rFonts w:eastAsia="Times New Roman"/>
                <w:color w:val="000000"/>
                <w:kern w:val="0"/>
                <w:szCs w:val="21"/>
              </w:rPr>
            </w:pPr>
          </w:p>
        </w:tc>
        <w:tc>
          <w:tcPr>
            <w:tcW w:w="1418" w:type="dxa"/>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p>
        </w:tc>
        <w:tc>
          <w:tcPr>
            <w:tcW w:w="1209" w:type="dxa"/>
            <w:vAlign w:val="center"/>
          </w:tcPr>
          <w:p>
            <w:pPr>
              <w:widowControl/>
              <w:jc w:val="left"/>
              <w:rPr>
                <w:rFonts w:eastAsia="Times New Roman"/>
                <w:color w:val="000000"/>
                <w:kern w:val="0"/>
                <w:szCs w:val="21"/>
              </w:rPr>
            </w:pPr>
          </w:p>
        </w:tc>
        <w:tc>
          <w:tcPr>
            <w:tcW w:w="1271" w:type="dxa"/>
            <w:vAlign w:val="center"/>
          </w:tcPr>
          <w:p>
            <w:pPr>
              <w:widowControl/>
              <w:jc w:val="left"/>
              <w:rPr>
                <w:rFonts w:eastAsia="Times New Roman"/>
                <w:color w:val="000000"/>
                <w:kern w:val="0"/>
                <w:szCs w:val="21"/>
              </w:rPr>
            </w:pPr>
          </w:p>
        </w:tc>
        <w:tc>
          <w:tcPr>
            <w:tcW w:w="691" w:type="dxa"/>
            <w:vAlign w:val="center"/>
          </w:tcPr>
          <w:p>
            <w:pPr>
              <w:widowControl/>
              <w:jc w:val="left"/>
              <w:rPr>
                <w:rFonts w:eastAsia="Times New Roman"/>
                <w:color w:val="000000"/>
                <w:kern w:val="0"/>
                <w:szCs w:val="21"/>
              </w:rPr>
            </w:pPr>
          </w:p>
        </w:tc>
        <w:tc>
          <w:tcPr>
            <w:tcW w:w="873" w:type="dxa"/>
            <w:vAlign w:val="center"/>
          </w:tcPr>
          <w:p>
            <w:pPr>
              <w:widowControl/>
              <w:jc w:val="left"/>
              <w:rPr>
                <w:rFonts w:eastAsia="Times New Roman"/>
                <w:color w:val="000000"/>
                <w:kern w:val="0"/>
                <w:szCs w:val="21"/>
              </w:rPr>
            </w:pPr>
          </w:p>
        </w:tc>
        <w:tc>
          <w:tcPr>
            <w:tcW w:w="1418" w:type="dxa"/>
            <w:vAlign w:val="center"/>
          </w:tcPr>
          <w:p>
            <w:pPr>
              <w:widowControl/>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Times New Roman"/>
                <w:color w:val="000000"/>
                <w:kern w:val="0"/>
                <w:szCs w:val="21"/>
              </w:rPr>
            </w:pP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满意度</w:t>
            </w:r>
          </w:p>
          <w:p>
            <w:pPr>
              <w:widowControl/>
              <w:jc w:val="center"/>
              <w:rPr>
                <w:rFonts w:eastAsia="Times New Roman"/>
                <w:color w:val="000000"/>
                <w:kern w:val="0"/>
                <w:szCs w:val="21"/>
              </w:rPr>
            </w:pPr>
            <w:r>
              <w:rPr>
                <w:rFonts w:hint="eastAsia" w:ascii="宋体" w:hAnsi="宋体" w:cs="宋体"/>
                <w:color w:val="000000"/>
                <w:kern w:val="0"/>
                <w:szCs w:val="21"/>
              </w:rPr>
              <w:t>指标</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80" w:type="dxa"/>
            <w:vMerge w:val="restart"/>
            <w:vAlign w:val="center"/>
          </w:tcPr>
          <w:p>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149" w:type="dxa"/>
            <w:vAlign w:val="center"/>
          </w:tcPr>
          <w:p>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1209" w:type="dxa"/>
            <w:vAlign w:val="center"/>
          </w:tcPr>
          <w:p>
            <w:pPr>
              <w:widowControl/>
              <w:jc w:val="left"/>
              <w:rPr>
                <w:rFonts w:eastAsia="Times New Roman"/>
                <w:color w:val="000000"/>
                <w:kern w:val="0"/>
                <w:szCs w:val="21"/>
              </w:rPr>
            </w:pPr>
            <w:r>
              <w:rPr>
                <w:rFonts w:eastAsia="Times New Roman"/>
                <w:color w:val="000000"/>
                <w:kern w:val="0"/>
                <w:szCs w:val="21"/>
              </w:rPr>
              <w:t>95%</w:t>
            </w:r>
          </w:p>
        </w:tc>
        <w:tc>
          <w:tcPr>
            <w:tcW w:w="1271" w:type="dxa"/>
            <w:vAlign w:val="center"/>
          </w:tcPr>
          <w:p>
            <w:pPr>
              <w:widowControl/>
              <w:jc w:val="left"/>
              <w:rPr>
                <w:rFonts w:eastAsia="Times New Roman"/>
                <w:color w:val="000000"/>
                <w:kern w:val="0"/>
                <w:szCs w:val="21"/>
              </w:rPr>
            </w:pPr>
            <w:r>
              <w:rPr>
                <w:rFonts w:eastAsia="Times New Roman"/>
                <w:color w:val="000000"/>
                <w:kern w:val="0"/>
                <w:szCs w:val="21"/>
              </w:rPr>
              <w:t>100%</w:t>
            </w: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080" w:type="dxa"/>
            <w:vMerge w:val="continue"/>
            <w:vAlign w:val="center"/>
          </w:tcPr>
          <w:p>
            <w:pPr>
              <w:widowControl/>
              <w:jc w:val="left"/>
              <w:rPr>
                <w:rFonts w:eastAsia="Times New Roman"/>
                <w:color w:val="000000"/>
                <w:kern w:val="0"/>
                <w:szCs w:val="21"/>
              </w:rPr>
            </w:pPr>
          </w:p>
        </w:tc>
        <w:tc>
          <w:tcPr>
            <w:tcW w:w="1149" w:type="dxa"/>
            <w:vAlign w:val="center"/>
          </w:tcPr>
          <w:p>
            <w:pPr>
              <w:widowControl/>
              <w:jc w:val="left"/>
              <w:rPr>
                <w:rFonts w:eastAsia="Times New Roman"/>
                <w:color w:val="000000"/>
                <w:kern w:val="0"/>
                <w:szCs w:val="21"/>
              </w:rPr>
            </w:pPr>
            <w:r>
              <w:rPr>
                <w:rFonts w:eastAsia="Times New Roman"/>
                <w:color w:val="000000"/>
                <w:kern w:val="0"/>
                <w:szCs w:val="21"/>
              </w:rPr>
              <w:t>……</w:t>
            </w:r>
          </w:p>
        </w:tc>
        <w:tc>
          <w:tcPr>
            <w:tcW w:w="1209"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27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691"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9" w:type="dxa"/>
            <w:gridSpan w:val="6"/>
            <w:vAlign w:val="center"/>
          </w:tcPr>
          <w:p>
            <w:pPr>
              <w:widowControl/>
              <w:jc w:val="center"/>
              <w:rPr>
                <w:rFonts w:eastAsia="Times New Roman"/>
                <w:color w:val="000000"/>
                <w:kern w:val="0"/>
                <w:szCs w:val="21"/>
              </w:rPr>
            </w:pPr>
            <w:r>
              <w:rPr>
                <w:rFonts w:hint="eastAsia" w:ascii="宋体" w:hAnsi="宋体" w:cs="宋体"/>
                <w:color w:val="000000"/>
                <w:kern w:val="0"/>
                <w:szCs w:val="21"/>
              </w:rPr>
              <w:t>总分</w:t>
            </w:r>
          </w:p>
        </w:tc>
        <w:tc>
          <w:tcPr>
            <w:tcW w:w="691" w:type="dxa"/>
            <w:vAlign w:val="center"/>
          </w:tcPr>
          <w:p>
            <w:pPr>
              <w:widowControl/>
              <w:jc w:val="center"/>
              <w:rPr>
                <w:rFonts w:eastAsia="Times New Roman"/>
                <w:color w:val="000000"/>
                <w:kern w:val="0"/>
                <w:szCs w:val="21"/>
              </w:rPr>
            </w:pPr>
            <w:r>
              <w:rPr>
                <w:rFonts w:eastAsia="Times New Roman"/>
                <w:color w:val="000000"/>
                <w:kern w:val="0"/>
                <w:szCs w:val="21"/>
              </w:rPr>
              <w:t>100</w:t>
            </w:r>
          </w:p>
        </w:tc>
        <w:tc>
          <w:tcPr>
            <w:tcW w:w="873"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100</w:t>
            </w:r>
          </w:p>
        </w:tc>
        <w:tc>
          <w:tcPr>
            <w:tcW w:w="1418" w:type="dxa"/>
            <w:vAlign w:val="center"/>
          </w:tcPr>
          <w:p>
            <w:pPr>
              <w:widowControl/>
              <w:jc w:val="left"/>
              <w:rPr>
                <w:rFonts w:eastAsia="Times New Roman"/>
                <w:color w:val="000000"/>
                <w:kern w:val="0"/>
                <w:szCs w:val="21"/>
              </w:rPr>
            </w:pPr>
            <w:r>
              <w:rPr>
                <w:rFonts w:hint="eastAsia" w:ascii="宋体" w:hAnsi="宋体" w:cs="宋体"/>
                <w:color w:val="000000"/>
                <w:kern w:val="0"/>
                <w:szCs w:val="21"/>
              </w:rPr>
              <w:t>　</w:t>
            </w:r>
          </w:p>
        </w:tc>
      </w:tr>
    </w:tbl>
    <w:p>
      <w:pPr>
        <w:widowControl/>
        <w:ind w:left="93"/>
        <w:jc w:val="center"/>
        <w:rPr>
          <w:rFonts w:ascii="方正小标宋_GBK" w:hAnsi="方正小标宋_GBK" w:eastAsia="方正小标宋_GBK"/>
          <w:kern w:val="0"/>
          <w:sz w:val="30"/>
          <w:szCs w:val="30"/>
        </w:rPr>
      </w:pPr>
      <w:r>
        <w:rPr>
          <w:rFonts w:eastAsia="黑体"/>
          <w:sz w:val="32"/>
          <w:szCs w:val="32"/>
        </w:rPr>
        <w:br w:type="page"/>
      </w:r>
      <w:r>
        <w:rPr>
          <w:rFonts w:hint="eastAsia" w:ascii="方正小标宋_GBK" w:hAnsi="方正小标宋_GBK"/>
          <w:kern w:val="0"/>
          <w:sz w:val="30"/>
          <w:szCs w:val="30"/>
        </w:rPr>
        <w:t>江永县疾病预防控制中心</w:t>
      </w:r>
      <w:r>
        <w:rPr>
          <w:rFonts w:ascii="方正小标宋_GBK" w:hAnsi="方正小标宋_GBK"/>
          <w:kern w:val="0"/>
          <w:sz w:val="30"/>
          <w:szCs w:val="30"/>
        </w:rPr>
        <w:t>2024</w:t>
      </w:r>
      <w:r>
        <w:rPr>
          <w:rFonts w:hint="eastAsia" w:ascii="方正小标宋_GBK" w:hAnsi="方正小标宋_GBK"/>
          <w:kern w:val="0"/>
          <w:sz w:val="30"/>
          <w:szCs w:val="30"/>
        </w:rPr>
        <w:t>年</w:t>
      </w:r>
      <w:r>
        <w:rPr>
          <w:rFonts w:hint="eastAsia" w:ascii="方正小标宋_GBK" w:hAnsi="方正小标宋_GBK" w:eastAsia="方正小标宋_GBK"/>
          <w:kern w:val="0"/>
          <w:sz w:val="30"/>
          <w:szCs w:val="30"/>
        </w:rPr>
        <w:t>财政专项</w:t>
      </w:r>
      <w:r>
        <w:rPr>
          <w:rFonts w:hint="eastAsia" w:ascii="方正小标宋_GBK" w:hAnsi="方正小标宋_GBK"/>
          <w:kern w:val="0"/>
          <w:sz w:val="30"/>
          <w:szCs w:val="30"/>
        </w:rPr>
        <w:t>（项目）</w:t>
      </w:r>
      <w:r>
        <w:rPr>
          <w:rFonts w:hint="eastAsia" w:ascii="方正小标宋_GBK" w:hAnsi="方正小标宋_GBK" w:eastAsia="方正小标宋_GBK"/>
          <w:kern w:val="0"/>
          <w:sz w:val="30"/>
          <w:szCs w:val="30"/>
        </w:rPr>
        <w:t>资金</w:t>
      </w:r>
    </w:p>
    <w:p>
      <w:pPr>
        <w:widowControl/>
        <w:ind w:left="93"/>
        <w:jc w:val="center"/>
        <w:rPr>
          <w:rFonts w:eastAsia="方正小标宋_GBK"/>
          <w:kern w:val="0"/>
          <w:sz w:val="30"/>
          <w:szCs w:val="30"/>
        </w:rPr>
      </w:pPr>
      <w:r>
        <w:rPr>
          <w:rFonts w:hint="eastAsia" w:ascii="方正小标宋_GBK" w:hAnsi="方正小标宋_GBK" w:eastAsia="方正小标宋_GBK"/>
          <w:kern w:val="0"/>
          <w:sz w:val="30"/>
          <w:szCs w:val="30"/>
        </w:rPr>
        <w:t>绩效评价表</w:t>
      </w:r>
    </w:p>
    <w:tbl>
      <w:tblPr>
        <w:tblStyle w:val="8"/>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vAlign w:val="center"/>
          </w:tcPr>
          <w:p>
            <w:pPr>
              <w:widowControl/>
              <w:jc w:val="center"/>
              <w:rPr>
                <w:rFonts w:eastAsia="Times New Roman"/>
                <w:b/>
                <w:bCs/>
                <w:color w:val="000000"/>
                <w:kern w:val="0"/>
                <w:sz w:val="20"/>
                <w:szCs w:val="20"/>
              </w:rPr>
            </w:pPr>
            <w:r>
              <w:rPr>
                <w:rFonts w:hint="eastAsia"/>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vAlign w:val="center"/>
          </w:tcPr>
          <w:p>
            <w:pPr>
              <w:widowControl/>
              <w:jc w:val="left"/>
              <w:rPr>
                <w:rFonts w:eastAsia="Times New Roman"/>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vAlign w:val="center"/>
          </w:tcPr>
          <w:p>
            <w:pPr>
              <w:widowControl/>
              <w:jc w:val="left"/>
              <w:rPr>
                <w:rFonts w:eastAsia="Times New Roman"/>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vAlign w:val="center"/>
          </w:tcPr>
          <w:p>
            <w:pPr>
              <w:widowControl/>
              <w:jc w:val="left"/>
              <w:rPr>
                <w:rFonts w:eastAsia="Times New Roman"/>
                <w:b/>
                <w:bCs/>
                <w:color w:val="000000"/>
                <w:kern w:val="0"/>
                <w:sz w:val="20"/>
                <w:szCs w:val="20"/>
              </w:rPr>
            </w:pPr>
          </w:p>
        </w:tc>
        <w:tc>
          <w:tcPr>
            <w:tcW w:w="385" w:type="dxa"/>
            <w:vMerge w:val="continue"/>
            <w:tcBorders>
              <w:top w:val="single" w:color="auto" w:sz="4" w:space="0"/>
              <w:left w:val="nil"/>
              <w:bottom w:val="nil"/>
              <w:right w:val="single" w:color="auto" w:sz="4" w:space="0"/>
            </w:tcBorders>
            <w:vAlign w:val="center"/>
          </w:tcPr>
          <w:p>
            <w:pPr>
              <w:widowControl/>
              <w:jc w:val="left"/>
              <w:rPr>
                <w:rFonts w:eastAsia="Times New Roman"/>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投入</w:t>
            </w:r>
          </w:p>
          <w:p>
            <w:pPr>
              <w:widowControl/>
              <w:spacing w:line="280" w:lineRule="exact"/>
              <w:jc w:val="center"/>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项目立项规范性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绩效目标合理性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绩效指标明确性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资金落实</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vAlign w:val="center"/>
          </w:tcPr>
          <w:p>
            <w:pPr>
              <w:jc w:val="center"/>
              <w:rPr>
                <w:rFonts w:ascii="FangSong_GB2312" w:hAnsi="宋体"/>
                <w:color w:val="000000"/>
                <w:kern w:val="0"/>
                <w:sz w:val="20"/>
                <w:szCs w:val="20"/>
              </w:rPr>
            </w:pPr>
            <w:r>
              <w:rPr>
                <w:rFonts w:hint="eastAsia" w:ascii="FangSong_GB2312" w:hAnsi="宋体"/>
                <w:color w:val="000000"/>
                <w:kern w:val="0"/>
                <w:sz w:val="20"/>
                <w:szCs w:val="20"/>
              </w:rPr>
              <w:t>过程</w:t>
            </w:r>
          </w:p>
          <w:p>
            <w:pPr>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nil"/>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业务管理</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pPr>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制度执行有效性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项目质量可控性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财务管理</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管理制度健全性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5</w:t>
            </w: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资金使用合规性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财务监控有效性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产出</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项目产出</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完成及时率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质量达标率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成本节约率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效果</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经济效益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tcPr>
          <w:p>
            <w:pPr>
              <w:widowControl/>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社会效益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生态效益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auto"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r>
              <w:rPr>
                <w:rFonts w:ascii="宋体" w:hAnsi="宋体"/>
                <w:color w:val="000000"/>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Pr>
        <w:widowControl/>
        <w:rPr>
          <w:rFonts w:ascii="FangSong_GB2312"/>
          <w:color w:val="000000"/>
          <w:sz w:val="32"/>
          <w:szCs w:val="32"/>
        </w:rPr>
      </w:pPr>
    </w:p>
    <w:p>
      <w:pPr>
        <w:pStyle w:val="2"/>
      </w:pPr>
    </w:p>
    <w:p>
      <w:pPr>
        <w:pStyle w:val="2"/>
      </w:pPr>
    </w:p>
    <w:p>
      <w:pPr>
        <w:pStyle w:val="2"/>
      </w:pPr>
    </w:p>
    <w:p>
      <w:pPr>
        <w:pStyle w:val="2"/>
      </w:pPr>
    </w:p>
    <w:p>
      <w:pPr>
        <w:pStyle w:val="2"/>
      </w:pPr>
    </w:p>
    <w:p>
      <w:pPr>
        <w:pStyle w:val="2"/>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单位（部门）绩效自评公开网址统计表</w:t>
      </w:r>
    </w:p>
    <w:tbl>
      <w:tblPr>
        <w:tblStyle w:val="8"/>
        <w:tblpPr w:leftFromText="180" w:rightFromText="180" w:vertAnchor="text" w:horzAnchor="page" w:tblpX="1538" w:tblpY="675"/>
        <w:tblOverlap w:val="never"/>
        <w:tblW w:w="0" w:type="auto"/>
        <w:tblInd w:w="0" w:type="dxa"/>
        <w:tblLayout w:type="fixed"/>
        <w:tblCellMar>
          <w:top w:w="0" w:type="dxa"/>
          <w:left w:w="0" w:type="dxa"/>
          <w:bottom w:w="0" w:type="dxa"/>
          <w:right w:w="0" w:type="dxa"/>
        </w:tblCellMar>
      </w:tblPr>
      <w:tblGrid>
        <w:gridCol w:w="679"/>
        <w:gridCol w:w="1421"/>
        <w:gridCol w:w="792"/>
        <w:gridCol w:w="2676"/>
        <w:gridCol w:w="1092"/>
        <w:gridCol w:w="1440"/>
        <w:gridCol w:w="973"/>
      </w:tblGrid>
      <w:tr>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单位代码</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单位名称</w:t>
            </w: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自评报告公开是</w:t>
            </w:r>
            <w:r>
              <w:rPr>
                <w:rFonts w:ascii="宋体" w:hAnsi="宋体" w:cs="宋体"/>
                <w:color w:val="000000"/>
                <w:kern w:val="0"/>
                <w:sz w:val="22"/>
                <w:szCs w:val="22"/>
              </w:rPr>
              <w:t>/</w:t>
            </w:r>
            <w:r>
              <w:rPr>
                <w:rFonts w:hint="eastAsia" w:ascii="宋体" w:hAnsi="宋体" w:cs="宋体"/>
                <w:color w:val="000000"/>
                <w:kern w:val="0"/>
                <w:sz w:val="22"/>
                <w:szCs w:val="22"/>
              </w:rPr>
              <w:t>否</w:t>
            </w:r>
          </w:p>
        </w:tc>
        <w:tc>
          <w:tcPr>
            <w:tcW w:w="26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公开网址</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联系人</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联系电话</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备注</w:t>
            </w: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color w:val="000000"/>
                <w:szCs w:val="21"/>
              </w:rPr>
            </w:pPr>
            <w:r>
              <w:rPr>
                <w:rFonts w:ascii="宋体" w:hAnsi="宋体" w:cs="宋体"/>
                <w:color w:val="000000"/>
                <w:szCs w:val="21"/>
              </w:rPr>
              <w:t>143</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Cs w:val="21"/>
              </w:rPr>
            </w:pPr>
            <w:r>
              <w:rPr>
                <w:rFonts w:hint="eastAsia" w:ascii="宋体" w:hAnsi="宋体" w:cs="宋体"/>
                <w:color w:val="000000"/>
                <w:szCs w:val="21"/>
              </w:rPr>
              <w:t>江永县疾病预防控制中心</w:t>
            </w: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210" w:firstLineChars="100"/>
              <w:rPr>
                <w:rFonts w:ascii="宋体" w:cs="宋体"/>
                <w:color w:val="000000"/>
                <w:szCs w:val="21"/>
              </w:rPr>
            </w:pPr>
            <w:r>
              <w:rPr>
                <w:rFonts w:hint="eastAsia" w:ascii="宋体" w:hAnsi="宋体" w:cs="宋体"/>
                <w:color w:val="000000"/>
                <w:szCs w:val="21"/>
              </w:rPr>
              <w:t>是</w:t>
            </w:r>
          </w:p>
        </w:tc>
        <w:tc>
          <w:tcPr>
            <w:tcW w:w="26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color w:val="000000"/>
                <w:szCs w:val="21"/>
              </w:rPr>
            </w:pPr>
            <w:r>
              <w:rPr>
                <w:rFonts w:hint="eastAsia" w:ascii="宋体" w:hAnsi="宋体" w:cs="宋体"/>
                <w:color w:val="000000"/>
                <w:szCs w:val="21"/>
              </w:rPr>
              <w:t>陈虹亮</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color w:val="000000"/>
                <w:szCs w:val="21"/>
              </w:rPr>
            </w:pPr>
            <w:r>
              <w:rPr>
                <w:rFonts w:ascii="宋体" w:hAnsi="宋体" w:cs="宋体"/>
                <w:color w:val="000000"/>
                <w:szCs w:val="21"/>
              </w:rPr>
              <w:t>18674667580</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Cs w:val="21"/>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6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6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6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6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Batang">
    <w:panose1 w:val="02030600000101010101"/>
    <w:charset w:val="81"/>
    <w:family w:val="roman"/>
    <w:pitch w:val="default"/>
    <w:sig w:usb0="B00002AF" w:usb1="69D77CFB" w:usb2="00000030" w:usb3="00000000" w:csb0="4008009F" w:csb1="DFD70000"/>
  </w:font>
  <w:font w:name="方正小标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485CD"/>
    <w:multiLevelType w:val="singleLevel"/>
    <w:tmpl w:val="D6D485CD"/>
    <w:lvl w:ilvl="0" w:tentative="0">
      <w:start w:val="1"/>
      <w:numFmt w:val="chineseCounting"/>
      <w:suff w:val="nothing"/>
      <w:lvlText w:val="（%1）"/>
      <w:lvlJc w:val="left"/>
      <w:pPr>
        <w:ind w:left="481"/>
      </w:pPr>
      <w:rPr>
        <w:rFonts w:hint="eastAsia" w:cs="Times New Roman"/>
      </w:rPr>
    </w:lvl>
  </w:abstractNum>
  <w:abstractNum w:abstractNumId="1">
    <w:nsid w:val="0AFA0B51"/>
    <w:multiLevelType w:val="singleLevel"/>
    <w:tmpl w:val="0AFA0B51"/>
    <w:lvl w:ilvl="0" w:tentative="0">
      <w:start w:val="2"/>
      <w:numFmt w:val="chineseCounting"/>
      <w:suff w:val="nothing"/>
      <w:lvlText w:val="（%1）"/>
      <w:lvlJc w:val="left"/>
      <w:rPr>
        <w:rFonts w:hint="eastAsia" w:cs="Times New Roman"/>
      </w:rPr>
    </w:lvl>
  </w:abstractNum>
  <w:abstractNum w:abstractNumId="2">
    <w:nsid w:val="2308521E"/>
    <w:multiLevelType w:val="singleLevel"/>
    <w:tmpl w:val="2308521E"/>
    <w:lvl w:ilvl="0" w:tentative="0">
      <w:start w:val="2"/>
      <w:numFmt w:val="chineseCounting"/>
      <w:suff w:val="nothing"/>
      <w:lvlText w:val="（%1）"/>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RmMDA0MjRiOThhYWMwZTZlNThkOWE2NWIzMTJlYTgifQ=="/>
  </w:docVars>
  <w:rsids>
    <w:rsidRoot w:val="1DE26AFC"/>
    <w:rsid w:val="00010F51"/>
    <w:rsid w:val="000178A2"/>
    <w:rsid w:val="00056FF6"/>
    <w:rsid w:val="000A0EB1"/>
    <w:rsid w:val="000A7E13"/>
    <w:rsid w:val="000C0F6A"/>
    <w:rsid w:val="000D59B4"/>
    <w:rsid w:val="001A0E8B"/>
    <w:rsid w:val="001A1B5B"/>
    <w:rsid w:val="001B5A97"/>
    <w:rsid w:val="001C7A64"/>
    <w:rsid w:val="00212416"/>
    <w:rsid w:val="002456F5"/>
    <w:rsid w:val="002474CD"/>
    <w:rsid w:val="00284D4B"/>
    <w:rsid w:val="002E030F"/>
    <w:rsid w:val="00342561"/>
    <w:rsid w:val="00350E6C"/>
    <w:rsid w:val="00356AB3"/>
    <w:rsid w:val="00356D8F"/>
    <w:rsid w:val="003F622C"/>
    <w:rsid w:val="00416776"/>
    <w:rsid w:val="00451B0F"/>
    <w:rsid w:val="00480184"/>
    <w:rsid w:val="00483613"/>
    <w:rsid w:val="004A0BCD"/>
    <w:rsid w:val="004F4C82"/>
    <w:rsid w:val="00512B4F"/>
    <w:rsid w:val="00571AAA"/>
    <w:rsid w:val="00581ABF"/>
    <w:rsid w:val="005E5BDC"/>
    <w:rsid w:val="0062590C"/>
    <w:rsid w:val="00626764"/>
    <w:rsid w:val="006444EC"/>
    <w:rsid w:val="00685BB6"/>
    <w:rsid w:val="0068664B"/>
    <w:rsid w:val="0069790F"/>
    <w:rsid w:val="006C41B2"/>
    <w:rsid w:val="006E077E"/>
    <w:rsid w:val="00715200"/>
    <w:rsid w:val="00731D1A"/>
    <w:rsid w:val="007E5EEC"/>
    <w:rsid w:val="007F1231"/>
    <w:rsid w:val="007F70C1"/>
    <w:rsid w:val="008765AC"/>
    <w:rsid w:val="008B096F"/>
    <w:rsid w:val="008B3EC6"/>
    <w:rsid w:val="008D7007"/>
    <w:rsid w:val="0094638B"/>
    <w:rsid w:val="009F3726"/>
    <w:rsid w:val="009F3C12"/>
    <w:rsid w:val="00A20968"/>
    <w:rsid w:val="00A41C62"/>
    <w:rsid w:val="00A440CC"/>
    <w:rsid w:val="00AB10DB"/>
    <w:rsid w:val="00AB77A2"/>
    <w:rsid w:val="00AD5B69"/>
    <w:rsid w:val="00AF4DC1"/>
    <w:rsid w:val="00B76F95"/>
    <w:rsid w:val="00B95105"/>
    <w:rsid w:val="00BA1FA9"/>
    <w:rsid w:val="00BE2A52"/>
    <w:rsid w:val="00BE399D"/>
    <w:rsid w:val="00C00BF9"/>
    <w:rsid w:val="00C07A22"/>
    <w:rsid w:val="00C81EB7"/>
    <w:rsid w:val="00C844A3"/>
    <w:rsid w:val="00C974AB"/>
    <w:rsid w:val="00CB2C72"/>
    <w:rsid w:val="00CC3EBB"/>
    <w:rsid w:val="00CC5C74"/>
    <w:rsid w:val="00CE3A2F"/>
    <w:rsid w:val="00D24116"/>
    <w:rsid w:val="00D85E4E"/>
    <w:rsid w:val="00DA71DE"/>
    <w:rsid w:val="00DD5009"/>
    <w:rsid w:val="00E100CB"/>
    <w:rsid w:val="00E106DB"/>
    <w:rsid w:val="00EB3BB1"/>
    <w:rsid w:val="00F858F9"/>
    <w:rsid w:val="00F86DA2"/>
    <w:rsid w:val="00FB28F4"/>
    <w:rsid w:val="00FC069F"/>
    <w:rsid w:val="00FE4679"/>
    <w:rsid w:val="00FE5A7C"/>
    <w:rsid w:val="0AD022B0"/>
    <w:rsid w:val="11773748"/>
    <w:rsid w:val="1DE26AFC"/>
    <w:rsid w:val="58240FC6"/>
    <w:rsid w:val="5BE85275"/>
    <w:rsid w:val="66F64E15"/>
    <w:rsid w:val="7B9B01EE"/>
    <w:rsid w:val="7C281C55"/>
    <w:rsid w:val="7E3673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iPriority="99" w:name="footnote text" w:locked="1"/>
    <w:lsdException w:uiPriority="99" w:name="annotation text" w:locked="1"/>
    <w:lsdException w:unhideWhenUsed="0" w:uiPriority="99" w:name="header"/>
    <w:lsdException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uiPriority w:val="99"/>
    <w:pPr>
      <w:spacing w:line="320" w:lineRule="exact"/>
      <w:jc w:val="center"/>
    </w:pPr>
  </w:style>
  <w:style w:type="paragraph" w:styleId="3">
    <w:name w:val="Normal Indent"/>
    <w:basedOn w:val="1"/>
    <w:uiPriority w:val="99"/>
    <w:pPr>
      <w:ind w:firstLine="420" w:firstLineChars="200"/>
    </w:pPr>
    <w:rPr>
      <w:rFonts w:ascii="Calibri" w:hAnsi="Calibri"/>
      <w:sz w:val="32"/>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10">
    <w:name w:val="Footer Char"/>
    <w:basedOn w:val="9"/>
    <w:link w:val="4"/>
    <w:semiHidden/>
    <w:locked/>
    <w:uiPriority w:val="99"/>
    <w:rPr>
      <w:rFonts w:cs="Times New Roman"/>
      <w:sz w:val="18"/>
      <w:szCs w:val="18"/>
    </w:rPr>
  </w:style>
  <w:style w:type="character" w:customStyle="1" w:styleId="11">
    <w:name w:val="Header Char"/>
    <w:basedOn w:val="9"/>
    <w:link w:val="5"/>
    <w:semiHidden/>
    <w:locked/>
    <w:uiPriority w:val="99"/>
    <w:rPr>
      <w:rFonts w:cs="Times New Roman"/>
      <w:sz w:val="18"/>
      <w:szCs w:val="18"/>
    </w:rPr>
  </w:style>
  <w:style w:type="character" w:customStyle="1" w:styleId="12">
    <w:name w:val="HTML Preformatted Char"/>
    <w:basedOn w:val="9"/>
    <w:link w:val="6"/>
    <w:semiHidden/>
    <w:locked/>
    <w:uiPriority w:val="99"/>
    <w:rPr>
      <w:rFonts w:ascii="Courier New" w:hAnsi="Courier New" w:cs="Courier New"/>
      <w:sz w:val="20"/>
      <w:szCs w:val="20"/>
    </w:rPr>
  </w:style>
  <w:style w:type="paragraph" w:styleId="13">
    <w:name w:val="List Paragraph"/>
    <w:basedOn w:val="1"/>
    <w:qFormat/>
    <w:uiPriority w:val="99"/>
    <w:pPr>
      <w:ind w:firstLine="420" w:firstLineChars="200"/>
    </w:pPr>
    <w:rPr>
      <w:rFonts w:ascii="Calibri" w:hAnsi="Calibri"/>
      <w:szCs w:val="22"/>
    </w:rPr>
  </w:style>
  <w:style w:type="paragraph" w:customStyle="1" w:styleId="14">
    <w:name w:val="Normal1"/>
    <w:uiPriority w:val="99"/>
    <w:pPr>
      <w:jc w:val="both"/>
    </w:pPr>
    <w:rPr>
      <w:rFonts w:ascii="Times New Roman" w:hAnsi="Times New Roman" w:eastAsia="宋体" w:cs="Times New Roman"/>
      <w:kern w:val="2"/>
      <w:sz w:val="21"/>
      <w:szCs w:val="21"/>
      <w:lang w:val="en-US" w:eastAsia="zh-CN" w:bidi="ar-SA"/>
    </w:rPr>
  </w:style>
  <w:style w:type="character" w:customStyle="1" w:styleId="15">
    <w:name w:val="ca-2"/>
    <w:basedOn w:val="9"/>
    <w:uiPriority w:val="99"/>
    <w:rPr>
      <w:rFonts w:cs="Times New Roman"/>
    </w:rPr>
  </w:style>
  <w:style w:type="paragraph" w:customStyle="1" w:styleId="16">
    <w:name w:val="列出段落1"/>
    <w:basedOn w:val="1"/>
    <w:uiPriority w:val="99"/>
    <w:pPr>
      <w:ind w:firstLine="420" w:firstLineChars="200"/>
    </w:pPr>
    <w:rPr>
      <w:sz w:val="32"/>
    </w:rPr>
  </w:style>
  <w:style w:type="paragraph" w:customStyle="1" w:styleId="17">
    <w:name w:val="List Paragraph1"/>
    <w:basedOn w:val="1"/>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24</Pages>
  <Words>2129</Words>
  <Characters>12141</Characters>
  <Lines>0</Lines>
  <Paragraphs>0</Paragraphs>
  <TotalTime>7</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2025-05-20T08:38:00Z</dcterms:created>
  <dc:creator>cx6</dc:creator>
  <cp:lastModifiedBy>Administrator</cp:lastModifiedBy>
  <cp:lastPrinted>2025-04-20T09:42:00Z</cp:lastPrinted>
  <dcterms:modified xsi:type="dcterms:W3CDTF">2025-05-30T01:47:18Z</dcterms:modified>
  <dc:title>2024年度江永县疾病预防控制中心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96D684AD6FCD49589BFCB8FE2A1480E3</vt:lpwstr>
  </property>
  <property fmtid="{D5CDD505-2E9C-101B-9397-08002B2CF9AE}" pid="4" name="KSOTemplateDocerSaveRecord">
    <vt:lpwstr>eyJoZGlkIjoiN2M4ZDI2MmI1ZGRjNWUzZTU4MTdkMmNmZDkyM2U1MzIiLCJ1c2VySWQiOiI1MDgwMTcyMzYifQ==</vt:lpwstr>
  </property>
</Properties>
</file>