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5B8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黑体" w:eastAsia="黑体"/>
          <w:sz w:val="44"/>
          <w:szCs w:val="44"/>
          <w:lang w:eastAsia="zh-CN"/>
        </w:rPr>
      </w:pPr>
      <w:r>
        <w:rPr>
          <w:rFonts w:hint="eastAsia" w:ascii="黑体" w:eastAsia="黑体"/>
          <w:b/>
          <w:bCs/>
          <w:sz w:val="44"/>
          <w:szCs w:val="44"/>
        </w:rPr>
        <w:t>政策解读</w:t>
      </w:r>
      <w:r>
        <w:rPr>
          <w:rFonts w:hint="eastAsia" w:ascii="黑体" w:eastAsia="黑体"/>
          <w:sz w:val="44"/>
          <w:szCs w:val="44"/>
          <w:lang w:val="en-US" w:eastAsia="zh-CN"/>
        </w:rPr>
        <w:t>|</w:t>
      </w:r>
      <w:r>
        <w:rPr>
          <w:rFonts w:hint="eastAsia" w:ascii="黑体" w:eastAsia="黑体"/>
          <w:sz w:val="44"/>
          <w:szCs w:val="44"/>
        </w:rPr>
        <w:t>《</w:t>
      </w:r>
      <w:r>
        <w:rPr>
          <w:rFonts w:hint="eastAsia" w:ascii="黑体" w:eastAsia="黑体"/>
          <w:sz w:val="44"/>
          <w:szCs w:val="44"/>
          <w:lang w:eastAsia="zh-CN"/>
        </w:rPr>
        <w:t>江华瑶族自治县人民政府</w:t>
      </w:r>
    </w:p>
    <w:p w14:paraId="664BB36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黑体" w:eastAsia="黑体"/>
          <w:sz w:val="44"/>
          <w:szCs w:val="44"/>
        </w:rPr>
      </w:pPr>
      <w:r>
        <w:rPr>
          <w:rFonts w:hint="eastAsia" w:ascii="黑体" w:eastAsia="黑体"/>
          <w:sz w:val="44"/>
          <w:szCs w:val="44"/>
          <w:lang w:eastAsia="zh-CN"/>
        </w:rPr>
        <w:t>关于划定秸秆禁烧区</w:t>
      </w:r>
      <w:bookmarkStart w:id="1" w:name="_GoBack"/>
      <w:bookmarkEnd w:id="1"/>
      <w:r>
        <w:rPr>
          <w:rFonts w:hint="eastAsia" w:ascii="黑体" w:eastAsia="黑体"/>
          <w:sz w:val="44"/>
          <w:szCs w:val="44"/>
          <w:lang w:val="en-US" w:eastAsia="zh-CN"/>
        </w:rPr>
        <w:t>及</w:t>
      </w:r>
      <w:r>
        <w:rPr>
          <w:rFonts w:hint="eastAsia" w:ascii="黑体" w:eastAsia="黑体"/>
          <w:sz w:val="44"/>
          <w:szCs w:val="44"/>
          <w:lang w:eastAsia="zh-CN"/>
        </w:rPr>
        <w:t>限烧区的通告</w:t>
      </w:r>
      <w:r>
        <w:rPr>
          <w:rFonts w:hint="eastAsia" w:ascii="黑体" w:eastAsia="黑体"/>
          <w:sz w:val="44"/>
          <w:szCs w:val="44"/>
        </w:rPr>
        <w:t>》</w:t>
      </w:r>
    </w:p>
    <w:p w14:paraId="08FED62F">
      <w:pPr>
        <w:keepNext w:val="0"/>
        <w:keepLines w:val="0"/>
        <w:pageBreakBefore w:val="0"/>
        <w:widowControl w:val="0"/>
        <w:kinsoku/>
        <w:wordWrap/>
        <w:overflowPunct/>
        <w:topLinePunct w:val="0"/>
        <w:bidi w:val="0"/>
        <w:spacing w:line="600" w:lineRule="exact"/>
        <w:ind w:firstLine="420" w:firstLineChars="200"/>
        <w:textAlignment w:val="auto"/>
        <w:rPr>
          <w:rFonts w:hint="eastAsia"/>
        </w:rPr>
      </w:pPr>
    </w:p>
    <w:p w14:paraId="6B0E8A83">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江华瑶族自治县人民政府印发的《关于划定秸秆禁烧区及限烧区的通告》（江政通〔2025〕3号）（以下简称《通告》），现解读如下：</w:t>
      </w:r>
    </w:p>
    <w:p w14:paraId="6527590B">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通告</w:t>
      </w:r>
      <w:r>
        <w:rPr>
          <w:rFonts w:hint="eastAsia" w:ascii="黑体" w:hAnsi="黑体" w:eastAsia="黑体" w:cs="黑体"/>
          <w:sz w:val="32"/>
          <w:szCs w:val="32"/>
        </w:rPr>
        <w:t>》制定的背景</w:t>
      </w:r>
    </w:p>
    <w:p w14:paraId="2512848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color w:val="000000"/>
          <w:sz w:val="32"/>
          <w:szCs w:val="32"/>
        </w:rPr>
        <w:t>党的二十大提出“持续深入打好蓝天、碧水、净土保卫战。加强污染物协同控制，基本消除重污染天气”。</w:t>
      </w:r>
      <w:r>
        <w:rPr>
          <w:rFonts w:hint="eastAsia" w:ascii="仿宋_GB2312" w:hAnsi="仿宋_GB2312" w:eastAsia="仿宋_GB2312" w:cs="仿宋_GB2312"/>
          <w:color w:val="000000"/>
          <w:sz w:val="32"/>
          <w:szCs w:val="32"/>
          <w:lang w:val="en-US" w:eastAsia="zh-CN"/>
        </w:rPr>
        <w:t>《中共中央国务院关于进一步深化农村改革扎实推进乡村全面振兴的意见》（2025年1月1日）指出“支持秸秆综合利用，精准划定禁烧范围，依法依规落实禁烧管控要求。”《湖南省大气污染防治“守护蓝天’攻坚行动计划(2023-2025年)》（湘政办发〔2023〕34号）指出“各地科学划定禁烧区域, 禁止秸秆露天焚烧。”</w:t>
      </w:r>
      <w:r>
        <w:rPr>
          <w:rFonts w:hint="eastAsia" w:ascii="仿宋_GB2312" w:hAnsi="仿宋_GB2312" w:eastAsia="仿宋_GB2312" w:cs="仿宋_GB2312"/>
          <w:color w:val="000000"/>
          <w:sz w:val="32"/>
          <w:szCs w:val="32"/>
        </w:rPr>
        <w:t>我县现行</w:t>
      </w:r>
      <w:r>
        <w:rPr>
          <w:rFonts w:hint="eastAsia" w:ascii="仿宋_GB2312" w:hAnsi="仿宋_GB2312" w:eastAsia="仿宋_GB2312" w:cs="仿宋_GB2312"/>
          <w:color w:val="000000"/>
          <w:sz w:val="32"/>
          <w:szCs w:val="32"/>
          <w:lang w:val="en-US" w:eastAsia="zh-CN"/>
        </w:rPr>
        <w:t>秸秆禁烧区限烧区划定方案</w:t>
      </w:r>
      <w:r>
        <w:rPr>
          <w:rFonts w:hint="eastAsia" w:ascii="仿宋_GB2312" w:hAnsi="仿宋_GB2312" w:eastAsia="仿宋_GB2312" w:cs="仿宋_GB2312"/>
          <w:color w:val="000000"/>
          <w:sz w:val="32"/>
          <w:szCs w:val="32"/>
        </w:rPr>
        <w:t>于202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年发布，</w:t>
      </w:r>
      <w:r>
        <w:rPr>
          <w:rFonts w:hint="eastAsia" w:ascii="仿宋_GB2312" w:hAnsi="仿宋_GB2312" w:eastAsia="仿宋_GB2312" w:cs="仿宋_GB2312"/>
          <w:color w:val="000000"/>
          <w:sz w:val="32"/>
          <w:szCs w:val="32"/>
          <w:lang w:val="en-US" w:eastAsia="zh-CN"/>
        </w:rPr>
        <w:t>根据2025年发布的</w:t>
      </w:r>
      <w:r>
        <w:rPr>
          <w:rFonts w:ascii="Times New Roman" w:hAnsi="Times New Roman" w:eastAsia="仿宋_GB2312" w:cs="Times New Roman"/>
          <w:snapToGrid w:val="0"/>
          <w:color w:val="auto"/>
          <w:sz w:val="32"/>
          <w:szCs w:val="32"/>
          <w:lang w:eastAsia="zh-CN"/>
        </w:rPr>
        <w:t>《</w:t>
      </w:r>
      <w:r>
        <w:rPr>
          <w:rFonts w:ascii="Times New Roman" w:hAnsi="Times New Roman" w:eastAsia="仿宋_GB2312" w:cs="Times New Roman"/>
          <w:snapToGrid w:val="0"/>
          <w:color w:val="auto"/>
          <w:sz w:val="32"/>
          <w:szCs w:val="32"/>
        </w:rPr>
        <w:t>湖南省秸秆综合利用若干规定</w:t>
      </w:r>
      <w:r>
        <w:rPr>
          <w:rFonts w:ascii="Times New Roman" w:hAnsi="Times New Roman" w:eastAsia="仿宋_GB2312" w:cs="Times New Roman"/>
          <w:snapToGrid w:val="0"/>
          <w:color w:val="auto"/>
          <w:sz w:val="32"/>
          <w:szCs w:val="32"/>
          <w:lang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湖南省生态环境厅关于加快推进秸秆禁烧区划定工作的通知</w:t>
      </w:r>
      <w:r>
        <w:rPr>
          <w:rFonts w:hint="eastAsia" w:ascii="仿宋_GB2312" w:hAnsi="仿宋_GB2312" w:eastAsia="仿宋_GB2312" w:cs="仿宋_GB2312"/>
          <w:color w:val="auto"/>
          <w:sz w:val="32"/>
          <w:szCs w:val="32"/>
          <w:lang w:eastAsia="zh-CN"/>
        </w:rPr>
        <w:t>》</w:t>
      </w:r>
      <w:r>
        <w:rPr>
          <w:rFonts w:ascii="Times New Roman" w:hAnsi="Times New Roman" w:eastAsia="仿宋_GB2312" w:cs="Times New Roman"/>
          <w:snapToGrid w:val="0"/>
          <w:color w:val="auto"/>
          <w:sz w:val="32"/>
          <w:szCs w:val="32"/>
          <w:highlight w:val="none"/>
          <w:lang w:val="en-US" w:eastAsia="zh-CN"/>
        </w:rPr>
        <w:t>《</w:t>
      </w:r>
      <w:r>
        <w:rPr>
          <w:rFonts w:hint="eastAsia" w:ascii="Times New Roman" w:hAnsi="Times New Roman" w:eastAsia="仿宋_GB2312" w:cs="Times New Roman"/>
          <w:snapToGrid w:val="0"/>
          <w:color w:val="auto"/>
          <w:sz w:val="32"/>
          <w:szCs w:val="32"/>
          <w:highlight w:val="none"/>
          <w:lang w:val="en-US" w:eastAsia="zh-CN"/>
        </w:rPr>
        <w:t>湖南省</w:t>
      </w:r>
      <w:r>
        <w:rPr>
          <w:rFonts w:ascii="Times New Roman" w:hAnsi="Times New Roman" w:eastAsia="仿宋_GB2312" w:cs="Times New Roman"/>
          <w:snapToGrid w:val="0"/>
          <w:color w:val="auto"/>
          <w:sz w:val="32"/>
          <w:szCs w:val="32"/>
          <w:highlight w:val="none"/>
          <w:lang w:val="en-US" w:eastAsia="zh-CN"/>
        </w:rPr>
        <w:t>秸秆禁烧区和限烧区</w:t>
      </w:r>
      <w:r>
        <w:rPr>
          <w:rFonts w:hint="eastAsia" w:ascii="Times New Roman" w:hAnsi="Times New Roman" w:eastAsia="仿宋_GB2312" w:cs="Times New Roman"/>
          <w:snapToGrid w:val="0"/>
          <w:color w:val="auto"/>
          <w:sz w:val="32"/>
          <w:szCs w:val="32"/>
          <w:highlight w:val="none"/>
          <w:lang w:val="en-US" w:eastAsia="zh-CN"/>
        </w:rPr>
        <w:t>划定</w:t>
      </w:r>
      <w:r>
        <w:rPr>
          <w:rFonts w:ascii="Times New Roman" w:hAnsi="Times New Roman" w:eastAsia="仿宋_GB2312" w:cs="Times New Roman"/>
          <w:snapToGrid w:val="0"/>
          <w:color w:val="auto"/>
          <w:sz w:val="32"/>
          <w:szCs w:val="32"/>
          <w:highlight w:val="none"/>
          <w:lang w:val="en-US" w:eastAsia="zh-CN"/>
        </w:rPr>
        <w:t>的指导意见（试行）》</w:t>
      </w:r>
      <w:r>
        <w:rPr>
          <w:rFonts w:hint="eastAsia"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秸秆禁烧区</w:t>
      </w:r>
      <w:r>
        <w:rPr>
          <w:rFonts w:hint="eastAsia" w:ascii="仿宋_GB2312" w:hAnsi="仿宋_GB2312" w:eastAsia="仿宋_GB2312" w:cs="仿宋_GB2312"/>
          <w:color w:val="auto"/>
          <w:sz w:val="32"/>
          <w:szCs w:val="32"/>
          <w:lang w:val="en-US" w:eastAsia="zh-CN"/>
        </w:rPr>
        <w:t>划定原则提出了新的要求，原方案</w:t>
      </w:r>
      <w:r>
        <w:rPr>
          <w:rFonts w:hint="eastAsia" w:ascii="仿宋_GB2312" w:hAnsi="仿宋_GB2312" w:eastAsia="仿宋_GB2312" w:cs="仿宋_GB2312"/>
          <w:color w:val="000000"/>
          <w:sz w:val="32"/>
          <w:szCs w:val="32"/>
        </w:rPr>
        <w:t>已不适应</w:t>
      </w:r>
      <w:r>
        <w:rPr>
          <w:rFonts w:hint="eastAsia" w:ascii="仿宋_GB2312" w:hAnsi="仿宋_GB2312" w:eastAsia="仿宋_GB2312" w:cs="仿宋_GB2312"/>
          <w:color w:val="000000"/>
          <w:sz w:val="32"/>
          <w:szCs w:val="32"/>
          <w:lang w:val="en-US" w:eastAsia="zh-CN"/>
        </w:rPr>
        <w:t>新的工作要求</w:t>
      </w:r>
      <w:r>
        <w:rPr>
          <w:rFonts w:hint="eastAsia" w:ascii="仿宋_GB2312" w:hAnsi="仿宋_GB2312" w:eastAsia="仿宋_GB2312" w:cs="仿宋_GB2312"/>
          <w:color w:val="000000"/>
          <w:sz w:val="32"/>
          <w:szCs w:val="32"/>
        </w:rPr>
        <w:t>，需</w:t>
      </w:r>
      <w:r>
        <w:rPr>
          <w:rFonts w:hint="eastAsia" w:ascii="仿宋_GB2312" w:hAnsi="仿宋_GB2312" w:eastAsia="仿宋_GB2312" w:cs="仿宋_GB2312"/>
          <w:color w:val="000000"/>
          <w:sz w:val="32"/>
          <w:szCs w:val="32"/>
          <w:lang w:val="en-US" w:eastAsia="zh-CN"/>
        </w:rPr>
        <w:t>重现制定</w:t>
      </w:r>
      <w:r>
        <w:rPr>
          <w:rFonts w:hint="eastAsia" w:ascii="仿宋_GB2312" w:hAnsi="仿宋_GB2312" w:eastAsia="仿宋_GB2312" w:cs="仿宋_GB2312"/>
          <w:color w:val="000000"/>
          <w:sz w:val="32"/>
          <w:szCs w:val="32"/>
        </w:rPr>
        <w:t>《江华瑶族自治县人民政府关于划定秸秆禁烧区及限烧区的通告》。</w:t>
      </w:r>
    </w:p>
    <w:p w14:paraId="425088C3">
      <w:pPr>
        <w:keepNext w:val="0"/>
        <w:keepLines w:val="0"/>
        <w:pageBreakBefore w:val="0"/>
        <w:widowControl w:val="0"/>
        <w:kinsoku/>
        <w:wordWrap/>
        <w:overflowPunct/>
        <w:topLinePunct w:val="0"/>
        <w:bidi w:val="0"/>
        <w:adjustRightInd w:val="0"/>
        <w:snapToGrid w:val="0"/>
        <w:spacing w:line="600" w:lineRule="exact"/>
        <w:ind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2"/>
          <w:sz w:val="32"/>
          <w:szCs w:val="32"/>
          <w:lang w:val="en-US" w:eastAsia="zh-CN" w:bidi="ar-SA"/>
        </w:rPr>
        <w:t>《通告》自发布之日起实施，</w:t>
      </w:r>
      <w:r>
        <w:rPr>
          <w:rFonts w:hint="eastAsia" w:ascii="仿宋_GB2312" w:hAnsi="仿宋_GB2312" w:eastAsia="仿宋_GB2312" w:cs="仿宋_GB2312"/>
          <w:color w:val="000000"/>
          <w:sz w:val="32"/>
          <w:szCs w:val="32"/>
        </w:rPr>
        <w:t>《江华瑶族自治县人民政府关于划定秸秆禁烧区及限烧区的通告》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江政函〔2024〕26号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0"/>
          <w:sz w:val="32"/>
          <w:szCs w:val="32"/>
          <w:lang w:val="en-US" w:eastAsia="zh-CN"/>
        </w:rPr>
        <w:t>同时废止。</w:t>
      </w:r>
    </w:p>
    <w:p w14:paraId="665B5A54">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通告</w:t>
      </w:r>
      <w:r>
        <w:rPr>
          <w:rFonts w:hint="eastAsia" w:ascii="黑体" w:hAnsi="黑体" w:eastAsia="黑体" w:cs="黑体"/>
          <w:sz w:val="32"/>
          <w:szCs w:val="32"/>
        </w:rPr>
        <w:t>》的主要内容</w:t>
      </w:r>
    </w:p>
    <w:p w14:paraId="70DA1F5A">
      <w:pPr>
        <w:keepNext w:val="0"/>
        <w:keepLines w:val="0"/>
        <w:pageBreakBefore w:val="0"/>
        <w:widowControl w:val="0"/>
        <w:kinsoku/>
        <w:wordWrap/>
        <w:overflowPunct/>
        <w:topLinePunct w:val="0"/>
        <w:autoSpaceDN/>
        <w:bidi w:val="0"/>
        <w:adjustRightInd w:val="0"/>
        <w:snapToGrid w:val="0"/>
        <w:spacing w:beforeAutospacing="0" w:afterAutospacing="0" w:line="600" w:lineRule="exact"/>
        <w:ind w:left="0" w:leftChars="0" w:firstLine="616"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Hans"/>
          <w14:textFill>
            <w14:solidFill>
              <w14:schemeClr w14:val="tx1"/>
            </w14:solidFill>
          </w14:textFill>
        </w:rPr>
        <w:t>《</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通告</w:t>
      </w:r>
      <w:r>
        <w:rPr>
          <w:rFonts w:hint="eastAsia" w:ascii="仿宋_GB2312" w:hAnsi="仿宋_GB2312" w:eastAsia="仿宋_GB2312" w:cs="仿宋_GB2312"/>
          <w:color w:val="000000" w:themeColor="text1"/>
          <w:spacing w:val="-6"/>
          <w:sz w:val="32"/>
          <w:szCs w:val="32"/>
          <w:lang w:val="en-US" w:eastAsia="zh-Hans"/>
          <w14:textFill>
            <w14:solidFill>
              <w14:schemeClr w14:val="tx1"/>
            </w14:solidFill>
          </w14:textFill>
        </w:rPr>
        <w:t>》</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主要内容包括：秸秆种类；秸秆禁烧区、限烧区划定范围；秸秆禁烧区、限烧区管控要求；工作要求及法律责任；执行时间。（详见通告内容）</w:t>
      </w:r>
    </w:p>
    <w:p w14:paraId="53A5F362">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通告</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需要说明的事项</w:t>
      </w:r>
    </w:p>
    <w:p w14:paraId="2E098395">
      <w:pPr>
        <w:pStyle w:val="6"/>
        <w:keepNext w:val="0"/>
        <w:keepLines w:val="0"/>
        <w:pageBreakBefore w:val="0"/>
        <w:widowControl w:val="0"/>
        <w:kinsoku/>
        <w:wordWrap/>
        <w:overflowPunct/>
        <w:topLinePunct w:val="0"/>
        <w:autoSpaceDE w:val="0"/>
        <w:autoSpaceDN w:val="0"/>
        <w:bidi w:val="0"/>
        <w:adjustRightInd w:val="0"/>
        <w:snapToGrid w:val="0"/>
        <w:spacing w:line="600" w:lineRule="exact"/>
        <w:ind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shd w:val="clear" w:color="auto" w:fill="FFFFFF"/>
          <w:lang w:val="en" w:bidi="ar"/>
        </w:rPr>
        <w:t>此次</w:t>
      </w:r>
      <w:r>
        <w:rPr>
          <w:rFonts w:hint="eastAsia" w:ascii="仿宋_GB2312" w:hAnsi="仿宋_GB2312" w:eastAsia="仿宋_GB2312" w:cs="仿宋_GB2312"/>
          <w:sz w:val="32"/>
          <w:szCs w:val="32"/>
          <w:shd w:val="clear" w:color="auto" w:fill="FFFFFF"/>
          <w:lang w:val="en-US" w:eastAsia="zh-CN" w:bidi="ar"/>
        </w:rPr>
        <w:t>《通告》</w:t>
      </w:r>
      <w:r>
        <w:rPr>
          <w:rFonts w:hint="eastAsia" w:ascii="仿宋_GB2312" w:hAnsi="仿宋_GB2312" w:eastAsia="仿宋_GB2312" w:cs="仿宋_GB2312"/>
          <w:sz w:val="32"/>
          <w:szCs w:val="32"/>
          <w:shd w:val="clear" w:color="auto" w:fill="FFFFFF"/>
          <w:lang w:val="en" w:bidi="ar"/>
        </w:rPr>
        <w:t>根据</w:t>
      </w:r>
      <w:r>
        <w:rPr>
          <w:rFonts w:ascii="Times New Roman" w:hAnsi="Times New Roman" w:eastAsia="仿宋_GB2312" w:cs="Times New Roman"/>
          <w:snapToGrid w:val="0"/>
          <w:color w:val="auto"/>
          <w:sz w:val="32"/>
          <w:szCs w:val="32"/>
          <w:highlight w:val="none"/>
          <w:lang w:val="en-US" w:eastAsia="zh-CN"/>
        </w:rPr>
        <w:t>《中华人民共和国大气污染防治法</w:t>
      </w:r>
      <w:r>
        <w:rPr>
          <w:rFonts w:hint="eastAsia" w:ascii="Times New Roman" w:hAnsi="Times New Roman" w:eastAsia="仿宋_GB2312" w:cs="Times New Roman"/>
          <w:snapToGrid w:val="0"/>
          <w:color w:val="auto"/>
          <w:sz w:val="32"/>
          <w:szCs w:val="32"/>
          <w:highlight w:val="none"/>
          <w:lang w:val="en-US" w:eastAsia="zh-CN"/>
        </w:rPr>
        <w:t>》</w:t>
      </w:r>
      <w:r>
        <w:rPr>
          <w:rFonts w:ascii="Times New Roman" w:hAnsi="Times New Roman" w:eastAsia="仿宋_GB2312" w:cs="Times New Roman"/>
          <w:snapToGrid w:val="0"/>
          <w:color w:val="auto"/>
          <w:sz w:val="32"/>
          <w:szCs w:val="32"/>
          <w:highlight w:val="none"/>
          <w:lang w:val="en-US" w:eastAsia="zh-CN"/>
        </w:rPr>
        <w:t>《湖南省大气污染防治条例》</w:t>
      </w:r>
      <w:r>
        <w:rPr>
          <w:rFonts w:ascii="Times New Roman" w:hAnsi="Times New Roman" w:eastAsia="仿宋_GB2312" w:cs="Times New Roman"/>
          <w:snapToGrid w:val="0"/>
          <w:color w:val="auto"/>
          <w:sz w:val="32"/>
          <w:szCs w:val="32"/>
          <w:lang w:eastAsia="zh-CN"/>
        </w:rPr>
        <w:t>《</w:t>
      </w:r>
      <w:r>
        <w:rPr>
          <w:rFonts w:ascii="Times New Roman" w:hAnsi="Times New Roman" w:eastAsia="仿宋_GB2312" w:cs="Times New Roman"/>
          <w:snapToGrid w:val="0"/>
          <w:color w:val="auto"/>
          <w:sz w:val="32"/>
          <w:szCs w:val="32"/>
        </w:rPr>
        <w:t>湖南省秸秆综合利用若干规定</w:t>
      </w:r>
      <w:r>
        <w:rPr>
          <w:rFonts w:ascii="Times New Roman" w:hAnsi="Times New Roman" w:eastAsia="仿宋_GB2312" w:cs="Times New Roman"/>
          <w:snapToGrid w:val="0"/>
          <w:color w:val="auto"/>
          <w:sz w:val="32"/>
          <w:szCs w:val="32"/>
          <w:lang w:eastAsia="zh-CN"/>
        </w:rPr>
        <w:t>》</w:t>
      </w:r>
      <w:r>
        <w:rPr>
          <w:rFonts w:ascii="Times New Roman" w:hAnsi="Times New Roman" w:eastAsia="仿宋_GB2312" w:cs="Times New Roman"/>
          <w:snapToGrid w:val="0"/>
          <w:color w:val="auto"/>
          <w:sz w:val="32"/>
          <w:szCs w:val="32"/>
          <w:highlight w:val="none"/>
          <w:lang w:val="en-US" w:eastAsia="zh-CN"/>
        </w:rPr>
        <w:t>《</w:t>
      </w:r>
      <w:r>
        <w:rPr>
          <w:rFonts w:hint="eastAsia" w:ascii="Times New Roman" w:hAnsi="Times New Roman" w:eastAsia="仿宋_GB2312" w:cs="Times New Roman"/>
          <w:snapToGrid w:val="0"/>
          <w:color w:val="auto"/>
          <w:sz w:val="32"/>
          <w:szCs w:val="32"/>
          <w:highlight w:val="none"/>
          <w:lang w:val="en-US" w:eastAsia="zh-CN"/>
        </w:rPr>
        <w:t>湖南省</w:t>
      </w:r>
      <w:r>
        <w:rPr>
          <w:rFonts w:ascii="Times New Roman" w:hAnsi="Times New Roman" w:eastAsia="仿宋_GB2312" w:cs="Times New Roman"/>
          <w:snapToGrid w:val="0"/>
          <w:color w:val="auto"/>
          <w:sz w:val="32"/>
          <w:szCs w:val="32"/>
          <w:highlight w:val="none"/>
          <w:lang w:val="en-US" w:eastAsia="zh-CN"/>
        </w:rPr>
        <w:t>秸秆禁烧区和限烧区</w:t>
      </w:r>
      <w:r>
        <w:rPr>
          <w:rFonts w:hint="eastAsia" w:ascii="Times New Roman" w:hAnsi="Times New Roman" w:eastAsia="仿宋_GB2312" w:cs="Times New Roman"/>
          <w:snapToGrid w:val="0"/>
          <w:color w:val="auto"/>
          <w:sz w:val="32"/>
          <w:szCs w:val="32"/>
          <w:highlight w:val="none"/>
          <w:lang w:val="en-US" w:eastAsia="zh-CN"/>
        </w:rPr>
        <w:t>划定</w:t>
      </w:r>
      <w:r>
        <w:rPr>
          <w:rFonts w:ascii="Times New Roman" w:hAnsi="Times New Roman" w:eastAsia="仿宋_GB2312" w:cs="Times New Roman"/>
          <w:snapToGrid w:val="0"/>
          <w:color w:val="auto"/>
          <w:sz w:val="32"/>
          <w:szCs w:val="32"/>
          <w:highlight w:val="none"/>
          <w:lang w:val="en-US" w:eastAsia="zh-CN"/>
        </w:rPr>
        <w:t>的指导意见（试行）》《江华瑶族自治县野外用火管理条例》</w:t>
      </w:r>
      <w:r>
        <w:rPr>
          <w:rFonts w:hint="eastAsia" w:ascii="仿宋_GB2312" w:hAnsi="仿宋_GB2312" w:eastAsia="仿宋_GB2312" w:cs="仿宋_GB2312"/>
          <w:b w:val="0"/>
          <w:bCs w:val="0"/>
          <w:sz w:val="32"/>
          <w:szCs w:val="32"/>
          <w:shd w:val="clear" w:color="auto" w:fill="FFFFFF"/>
          <w:lang w:val="en" w:bidi="ar"/>
        </w:rPr>
        <w:t>等相关文件</w:t>
      </w:r>
      <w:r>
        <w:rPr>
          <w:rFonts w:hint="eastAsia" w:ascii="仿宋_GB2312" w:hAnsi="仿宋_GB2312" w:eastAsia="仿宋_GB2312" w:cs="仿宋_GB2312"/>
          <w:sz w:val="32"/>
          <w:szCs w:val="32"/>
          <w:shd w:val="clear" w:color="auto" w:fill="FFFFFF"/>
          <w:lang w:val="en-US" w:eastAsia="zh-CN" w:bidi="ar"/>
        </w:rPr>
        <w:t>制定</w:t>
      </w:r>
      <w:r>
        <w:rPr>
          <w:rFonts w:hint="eastAsia" w:ascii="仿宋_GB2312" w:hAnsi="仿宋_GB2312" w:eastAsia="仿宋_GB2312" w:cs="仿宋_GB2312"/>
          <w:b w:val="0"/>
          <w:bCs w:val="0"/>
          <w:sz w:val="32"/>
          <w:szCs w:val="32"/>
          <w:shd w:val="clear" w:color="auto" w:fill="FFFFFF"/>
          <w:lang w:val="en" w:eastAsia="zh-CN" w:bidi="ar"/>
        </w:rPr>
        <w:t>，</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相比</w:t>
      </w:r>
      <w:r>
        <w:rPr>
          <w:rFonts w:hint="eastAsia" w:ascii="仿宋_GB2312" w:hAnsi="仿宋_GB2312" w:eastAsia="仿宋_GB2312" w:cs="仿宋_GB2312"/>
          <w:color w:val="000000"/>
          <w:sz w:val="32"/>
          <w:szCs w:val="32"/>
        </w:rPr>
        <w:t>《江华瑶族自治县人民政府关于划定秸秆禁烧区及限烧区的通告》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江政函〔2024〕26号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有以下差异：</w:t>
      </w:r>
    </w:p>
    <w:p w14:paraId="2BD8DBB7">
      <w:pPr>
        <w:pStyle w:val="6"/>
        <w:keepNext w:val="0"/>
        <w:keepLines w:val="0"/>
        <w:pageBreakBefore w:val="0"/>
        <w:widowControl w:val="0"/>
        <w:numPr>
          <w:ilvl w:val="0"/>
          <w:numId w:val="2"/>
        </w:numPr>
        <w:kinsoku/>
        <w:wordWrap/>
        <w:overflowPunct/>
        <w:topLinePunct w:val="0"/>
        <w:autoSpaceDE w:val="0"/>
        <w:autoSpaceDN w:val="0"/>
        <w:bidi w:val="0"/>
        <w:adjustRightInd w:val="0"/>
        <w:snapToGrid w:val="0"/>
        <w:spacing w:line="600" w:lineRule="exact"/>
        <w:ind w:leftChars="0" w:firstLine="643"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仿宋_GB2312" w:hAnsi="仿宋_GB2312" w:eastAsia="仿宋_GB2312" w:cs="仿宋_GB2312"/>
          <w:b/>
          <w:bCs/>
          <w:sz w:val="32"/>
          <w:szCs w:val="32"/>
          <w:shd w:val="clear" w:color="auto" w:fill="FFFFFF"/>
          <w:lang w:val="en-US" w:eastAsia="zh-CN" w:bidi="ar"/>
        </w:rPr>
        <w:t>禁烧区范围主体有变化</w:t>
      </w:r>
      <w:r>
        <w:rPr>
          <w:rFonts w:hint="eastAsia" w:ascii="仿宋_GB2312" w:hAnsi="仿宋_GB2312" w:eastAsia="仿宋_GB2312" w:cs="仿宋_GB2312"/>
          <w:sz w:val="32"/>
          <w:szCs w:val="32"/>
          <w:shd w:val="clear" w:color="auto" w:fill="FFFFFF"/>
          <w:lang w:val="en" w:eastAsia="zh-CN" w:bidi="ar"/>
        </w:rPr>
        <w:t>。</w:t>
      </w:r>
      <w:r>
        <w:rPr>
          <w:rFonts w:hint="eastAsia" w:ascii="仿宋_GB2312" w:hAnsi="仿宋_GB2312" w:eastAsia="仿宋_GB2312" w:cs="仿宋_GB2312"/>
          <w:sz w:val="32"/>
          <w:szCs w:val="32"/>
          <w:shd w:val="clear" w:color="auto" w:fill="FFFFFF"/>
          <w:lang w:val="en-US" w:eastAsia="zh-CN" w:bidi="ar"/>
        </w:rPr>
        <w:t>主体由原来的</w:t>
      </w:r>
      <w:r>
        <w:rPr>
          <w:rFonts w:hint="eastAsia" w:ascii="仿宋_GB2312" w:hAnsi="仿宋_GB2312" w:eastAsia="仿宋_GB2312" w:cs="仿宋_GB2312"/>
          <w:b w:val="0"/>
          <w:bCs w:val="0"/>
          <w:color w:val="auto"/>
          <w:sz w:val="32"/>
          <w:szCs w:val="32"/>
        </w:rPr>
        <w:t>人口集中地区、机场周围、交通干线附近以及其他需要特殊保护的区域</w:t>
      </w:r>
      <w:r>
        <w:rPr>
          <w:rFonts w:hint="eastAsia" w:ascii="仿宋_GB2312" w:hAnsi="仿宋_GB2312" w:eastAsia="仿宋_GB2312" w:cs="仿宋_GB2312"/>
          <w:b/>
          <w:bCs/>
          <w:color w:val="auto"/>
          <w:sz w:val="32"/>
          <w:szCs w:val="32"/>
          <w:lang w:val="en-US" w:eastAsia="zh-CN"/>
        </w:rPr>
        <w:t>周边范围</w:t>
      </w:r>
      <w:r>
        <w:rPr>
          <w:rFonts w:hint="eastAsia" w:ascii="仿宋_GB2312" w:hAnsi="仿宋_GB2312" w:eastAsia="仿宋_GB2312" w:cs="仿宋_GB2312"/>
          <w:b w:val="0"/>
          <w:bCs w:val="0"/>
          <w:color w:val="auto"/>
          <w:sz w:val="32"/>
          <w:szCs w:val="32"/>
          <w:lang w:val="en-US" w:eastAsia="zh-CN"/>
        </w:rPr>
        <w:t>，调整为</w:t>
      </w:r>
      <w:r>
        <w:rPr>
          <w:rFonts w:hint="eastAsia" w:ascii="仿宋_GB2312" w:hAnsi="仿宋_GB2312" w:eastAsia="仿宋_GB2312" w:cs="仿宋_GB2312"/>
          <w:b w:val="0"/>
          <w:bCs w:val="0"/>
          <w:color w:val="auto"/>
          <w:sz w:val="32"/>
          <w:szCs w:val="32"/>
        </w:rPr>
        <w:t>人口集中地区、机场周围、交通干线附近以及其他需要特殊保护的区域</w:t>
      </w:r>
      <w:r>
        <w:rPr>
          <w:rFonts w:hint="eastAsia" w:ascii="仿宋_GB2312" w:hAnsi="仿宋_GB2312" w:eastAsia="仿宋_GB2312" w:cs="仿宋_GB2312"/>
          <w:b/>
          <w:bCs/>
          <w:color w:val="auto"/>
          <w:sz w:val="32"/>
          <w:szCs w:val="32"/>
          <w:lang w:val="en-US" w:eastAsia="zh-CN"/>
        </w:rPr>
        <w:t>周边范围内的耕地</w:t>
      </w:r>
      <w:r>
        <w:rPr>
          <w:rFonts w:hint="eastAsia" w:ascii="仿宋_GB2312" w:hAnsi="仿宋_GB2312" w:eastAsia="仿宋_GB2312" w:cs="仿宋_GB2312"/>
          <w:sz w:val="32"/>
          <w:szCs w:val="32"/>
          <w:shd w:val="clear" w:color="auto" w:fill="FFFFFF"/>
          <w:lang w:val="en" w:bidi="ar"/>
        </w:rPr>
        <w:t>。</w:t>
      </w:r>
    </w:p>
    <w:p w14:paraId="345D2258">
      <w:pPr>
        <w:pStyle w:val="6"/>
        <w:keepNext w:val="0"/>
        <w:keepLines w:val="0"/>
        <w:pageBreakBefore w:val="0"/>
        <w:widowControl w:val="0"/>
        <w:numPr>
          <w:ilvl w:val="0"/>
          <w:numId w:val="2"/>
        </w:numPr>
        <w:kinsoku/>
        <w:wordWrap/>
        <w:overflowPunct/>
        <w:topLinePunct w:val="0"/>
        <w:autoSpaceDE w:val="0"/>
        <w:autoSpaceDN w:val="0"/>
        <w:bidi w:val="0"/>
        <w:adjustRightInd w:val="0"/>
        <w:snapToGrid w:val="0"/>
        <w:spacing w:line="600" w:lineRule="exact"/>
        <w:ind w:leftChars="0" w:firstLine="643"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仿宋_GB2312" w:hAnsi="仿宋_GB2312" w:eastAsia="仿宋_GB2312" w:cs="仿宋_GB2312"/>
          <w:b/>
          <w:bCs/>
          <w:sz w:val="32"/>
          <w:szCs w:val="32"/>
          <w:shd w:val="clear" w:color="auto" w:fill="FFFFFF"/>
          <w:lang w:val="en-US" w:eastAsia="zh-CN" w:bidi="ar"/>
        </w:rPr>
        <w:t>禁烧区具体范围有变化。</w:t>
      </w:r>
      <w:r>
        <w:rPr>
          <w:rFonts w:hint="eastAsia" w:ascii="仿宋_GB2312" w:hAnsi="仿宋_GB2312" w:eastAsia="仿宋_GB2312" w:cs="仿宋_GB2312"/>
          <w:b w:val="0"/>
          <w:bCs w:val="0"/>
          <w:sz w:val="32"/>
          <w:szCs w:val="32"/>
          <w:shd w:val="clear" w:color="auto" w:fill="FFFFFF"/>
          <w:lang w:val="en-US" w:eastAsia="zh-CN" w:bidi="ar"/>
        </w:rPr>
        <w:t>根据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湖南省秸秆禁烧区和限烧区划定的指导意见（试行）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要求，</w:t>
      </w:r>
      <w:r>
        <w:rPr>
          <w:rFonts w:hint="eastAsia" w:ascii="仿宋_GB2312" w:hAnsi="仿宋_GB2312" w:eastAsia="仿宋_GB2312" w:cs="仿宋_GB2312"/>
          <w:b w:val="0"/>
          <w:bCs w:val="0"/>
          <w:sz w:val="32"/>
          <w:szCs w:val="32"/>
          <w:lang w:val="en-US" w:eastAsia="zh-CN"/>
        </w:rPr>
        <w:t>永州市属于</w:t>
      </w:r>
      <w:r>
        <w:rPr>
          <w:rFonts w:hint="eastAsia" w:ascii="仿宋_GB2312" w:hAnsi="仿宋_GB2312" w:eastAsia="仿宋_GB2312" w:cs="仿宋_GB2312"/>
          <w:b w:val="0"/>
          <w:bCs w:val="0"/>
          <w:sz w:val="32"/>
          <w:szCs w:val="32"/>
        </w:rPr>
        <w:t>Ⅲ类管控区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永州市</w:t>
      </w:r>
      <w:r>
        <w:rPr>
          <w:rFonts w:hint="eastAsia" w:ascii="仿宋_GB2312" w:hAnsi="仿宋_GB2312" w:eastAsia="仿宋_GB2312" w:cs="仿宋_GB2312"/>
          <w:b w:val="0"/>
          <w:bCs w:val="0"/>
          <w:sz w:val="32"/>
          <w:szCs w:val="32"/>
        </w:rPr>
        <w:t>禁烧的耕地面积比例原则上不低于60%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县级人民政府所在城市</w:t>
      </w:r>
      <w:bookmarkStart w:id="0" w:name="_Hlk194959096"/>
      <w:r>
        <w:rPr>
          <w:rFonts w:hint="eastAsia" w:ascii="仿宋_GB2312" w:hAnsi="仿宋_GB2312" w:eastAsia="仿宋_GB2312" w:cs="仿宋_GB2312"/>
          <w:b w:val="0"/>
          <w:bCs w:val="0"/>
          <w:sz w:val="32"/>
          <w:szCs w:val="32"/>
        </w:rPr>
        <w:t>城区实体地域</w:t>
      </w:r>
      <w:bookmarkEnd w:id="0"/>
      <w:r>
        <w:rPr>
          <w:rFonts w:hint="eastAsia" w:ascii="仿宋_GB2312" w:hAnsi="仿宋_GB2312" w:eastAsia="仿宋_GB2312" w:cs="仿宋_GB2312"/>
          <w:b w:val="0"/>
          <w:bCs w:val="0"/>
          <w:sz w:val="32"/>
          <w:szCs w:val="32"/>
        </w:rPr>
        <w:t>及外围不低于5公里范围内的耕地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高速公路、铁路（高铁）沿线两侧不低于2公里范围内的耕地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国道、省道公路干线沿线两侧不低于1公里范围内的耕地</w:t>
      </w:r>
      <w:r>
        <w:rPr>
          <w:rFonts w:hint="eastAsia" w:ascii="仿宋_GB2312" w:hAnsi="仿宋_GB2312" w:eastAsia="仿宋_GB2312" w:cs="仿宋_GB2312"/>
          <w:b w:val="0"/>
          <w:bCs w:val="0"/>
          <w:sz w:val="32"/>
          <w:szCs w:val="32"/>
          <w:lang w:val="en-US" w:eastAsia="zh-CN"/>
        </w:rPr>
        <w:t>以及</w:t>
      </w:r>
      <w:r>
        <w:rPr>
          <w:rFonts w:hint="eastAsia" w:ascii="仿宋_GB2312" w:hAnsi="仿宋_GB2312" w:eastAsia="仿宋_GB2312" w:cs="仿宋_GB2312"/>
          <w:b w:val="0"/>
          <w:bCs w:val="0"/>
          <w:sz w:val="32"/>
          <w:szCs w:val="32"/>
        </w:rPr>
        <w:t>法律、法规以及规范性文件规定的其他需要特殊保护的区域内耕地</w:t>
      </w:r>
      <w:r>
        <w:rPr>
          <w:rFonts w:hint="eastAsia" w:ascii="仿宋_GB2312" w:hAnsi="仿宋_GB2312" w:eastAsia="仿宋_GB2312" w:cs="仿宋_GB2312"/>
          <w:b w:val="0"/>
          <w:bCs w:val="0"/>
          <w:sz w:val="32"/>
          <w:szCs w:val="32"/>
          <w:lang w:val="en-US" w:eastAsia="zh-CN"/>
        </w:rPr>
        <w:t>等均需要纳入禁烧区范</w:t>
      </w:r>
      <w:r>
        <w:rPr>
          <w:rFonts w:hint="eastAsia" w:ascii="仿宋_GB2312" w:hAnsi="仿宋_GB2312" w:eastAsia="仿宋_GB2312" w:cs="仿宋_GB2312"/>
          <w:sz w:val="32"/>
          <w:szCs w:val="32"/>
          <w:lang w:val="en-US" w:eastAsia="zh-CN"/>
        </w:rPr>
        <w:t>围。故我县秸秆禁烧区范围具体为：</w:t>
      </w:r>
      <w:r>
        <w:rPr>
          <w:rFonts w:hint="default" w:ascii="Times New Roman" w:hAnsi="Times New Roman" w:eastAsia="仿宋_GB2312" w:cs="Times New Roman"/>
          <w:snapToGrid w:val="0"/>
          <w:color w:val="auto"/>
          <w:sz w:val="32"/>
          <w:szCs w:val="32"/>
          <w:highlight w:val="none"/>
          <w:lang w:val="en-US" w:eastAsia="zh-CN"/>
        </w:rPr>
        <w:t>县城建成区全部区域及外围5公里范围内的耕地；洛湛铁路</w:t>
      </w:r>
      <w:r>
        <w:rPr>
          <w:rFonts w:hint="eastAsia" w:ascii="Times New Roman" w:hAnsi="Times New Roman" w:eastAsia="仿宋_GB2312" w:cs="Times New Roman"/>
          <w:snapToGrid w:val="0"/>
          <w:color w:val="auto"/>
          <w:sz w:val="32"/>
          <w:szCs w:val="32"/>
          <w:highlight w:val="none"/>
          <w:lang w:val="en-US" w:eastAsia="zh-CN"/>
        </w:rPr>
        <w:t>及</w:t>
      </w:r>
      <w:r>
        <w:rPr>
          <w:rFonts w:hint="default" w:ascii="Times New Roman" w:hAnsi="Times New Roman" w:eastAsia="仿宋_GB2312" w:cs="Times New Roman"/>
          <w:snapToGrid w:val="0"/>
          <w:color w:val="auto"/>
          <w:sz w:val="32"/>
          <w:szCs w:val="32"/>
          <w:highlight w:val="none"/>
          <w:lang w:val="en-US" w:eastAsia="zh-CN"/>
        </w:rPr>
        <w:t>S81高速公路沿线两侧2公里范围内的耕地；207国道、349、239、231、574、229省道</w:t>
      </w:r>
      <w:r>
        <w:rPr>
          <w:rFonts w:hint="eastAsia"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共计6条</w:t>
      </w:r>
      <w:r>
        <w:rPr>
          <w:rFonts w:hint="eastAsia" w:ascii="Times New Roman" w:hAnsi="Times New Roman" w:eastAsia="仿宋_GB2312" w:cs="Times New Roman"/>
          <w:snapToGrid w:val="0"/>
          <w:color w:val="auto"/>
          <w:sz w:val="32"/>
          <w:szCs w:val="32"/>
          <w:highlight w:val="none"/>
          <w:lang w:val="en-US" w:eastAsia="zh-CN"/>
        </w:rPr>
        <w:t>国</w:t>
      </w:r>
      <w:r>
        <w:rPr>
          <w:rFonts w:hint="default" w:ascii="Times New Roman" w:hAnsi="Times New Roman" w:eastAsia="仿宋_GB2312" w:cs="Times New Roman"/>
          <w:snapToGrid w:val="0"/>
          <w:color w:val="auto"/>
          <w:sz w:val="32"/>
          <w:szCs w:val="32"/>
          <w:highlight w:val="none"/>
          <w:lang w:val="en-US" w:eastAsia="zh-CN"/>
        </w:rPr>
        <w:t>（省）公路沿线两侧1公里范围内的耕地</w:t>
      </w:r>
      <w:r>
        <w:rPr>
          <w:rFonts w:hint="eastAsia"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禁烧区以外的耕地区域</w:t>
      </w:r>
      <w:r>
        <w:rPr>
          <w:rFonts w:hint="eastAsia" w:ascii="Times New Roman" w:hAnsi="Times New Roman" w:cs="Times New Roman"/>
          <w:snapToGrid w:val="0"/>
          <w:color w:val="auto"/>
          <w:sz w:val="32"/>
          <w:szCs w:val="32"/>
          <w:highlight w:val="none"/>
          <w:lang w:val="en-US" w:eastAsia="zh-CN"/>
        </w:rPr>
        <w:t>划定为秸秆</w:t>
      </w:r>
      <w:r>
        <w:rPr>
          <w:rFonts w:hint="default" w:ascii="Times New Roman" w:hAnsi="Times New Roman" w:eastAsia="仿宋_GB2312" w:cs="Times New Roman"/>
          <w:snapToGrid w:val="0"/>
          <w:color w:val="auto"/>
          <w:sz w:val="32"/>
          <w:szCs w:val="32"/>
          <w:highlight w:val="none"/>
          <w:lang w:val="en-US" w:eastAsia="zh-CN"/>
        </w:rPr>
        <w:t>限烧区。</w:t>
      </w:r>
    </w:p>
    <w:p w14:paraId="0B45A6E0">
      <w:pPr>
        <w:pStyle w:val="6"/>
        <w:keepNext w:val="0"/>
        <w:keepLines w:val="0"/>
        <w:pageBreakBefore w:val="0"/>
        <w:widowControl w:val="0"/>
        <w:numPr>
          <w:numId w:val="0"/>
        </w:numPr>
        <w:kinsoku/>
        <w:wordWrap/>
        <w:overflowPunct/>
        <w:topLinePunct w:val="0"/>
        <w:autoSpaceDE w:val="0"/>
        <w:autoSpaceDN w:val="0"/>
        <w:bidi w:val="0"/>
        <w:adjustRightInd w:val="0"/>
        <w:snapToGrid w:val="0"/>
        <w:spacing w:line="600" w:lineRule="exact"/>
        <w:ind w:leftChars="200"/>
        <w:jc w:val="both"/>
        <w:textAlignment w:val="auto"/>
        <w:rPr>
          <w:rFonts w:hint="default" w:ascii="Times New Roman" w:hAnsi="Times New Roman" w:eastAsia="仿宋_GB2312" w:cs="Times New Roman"/>
          <w:snapToGrid w:val="0"/>
          <w:color w:val="auto"/>
          <w:sz w:val="32"/>
          <w:szCs w:val="32"/>
          <w:highlight w:val="none"/>
          <w:lang w:val="en-US" w:eastAsia="zh-CN"/>
        </w:rPr>
      </w:pPr>
    </w:p>
    <w:p w14:paraId="2A412E5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jc w:val="both"/>
        <w:textAlignment w:val="auto"/>
        <w:rPr>
          <w:rFonts w:hint="eastAsia" w:ascii="仿宋_GB2312" w:hAnsi="仿宋_GB2312" w:eastAsia="仿宋_GB2312" w:cs="仿宋_GB2312"/>
          <w:sz w:val="32"/>
          <w:szCs w:val="32"/>
          <w:lang w:val="en-US" w:eastAsia="zh-CN"/>
        </w:rPr>
      </w:pPr>
    </w:p>
    <w:p w14:paraId="4853A4A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20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永州市生态环境局江华分局</w:t>
      </w:r>
    </w:p>
    <w:p w14:paraId="611F0FD7">
      <w:pPr>
        <w:pStyle w:val="6"/>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600" w:lineRule="exact"/>
        <w:ind w:leftChars="20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2025年6月25日    </w:t>
      </w:r>
    </w:p>
    <w:p w14:paraId="4BC4FFA8">
      <w:pPr>
        <w:keepNext w:val="0"/>
        <w:keepLines w:val="0"/>
        <w:pageBreakBefore w:val="0"/>
        <w:widowControl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91F3">
    <w:pPr>
      <w:pStyle w:val="3"/>
    </w:pPr>
  </w:p>
  <w:p w14:paraId="75B0F8A0">
    <w:pPr>
      <w:pStyle w:val="3"/>
      <w:rPr>
        <w:rFonts w:hint="eastAsia" w:ascii="黑体" w:hAnsi="黑体" w:eastAsia="黑体" w:cs="黑体"/>
        <w:sz w:val="32"/>
        <w:szCs w:val="32"/>
        <w:lang w:val="en-US" w:eastAsia="zh-CN"/>
      </w:rPr>
    </w:pPr>
  </w:p>
  <w:p w14:paraId="3A0BE34C">
    <w:pPr>
      <w:pStyle w:val="3"/>
      <w:rPr>
        <w:rFonts w:hint="default" w:ascii="黑体" w:hAnsi="黑体" w:eastAsia="黑体" w:cs="黑体"/>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CBD2C"/>
    <w:multiLevelType w:val="singleLevel"/>
    <w:tmpl w:val="FC4CBD2C"/>
    <w:lvl w:ilvl="0" w:tentative="0">
      <w:start w:val="1"/>
      <w:numFmt w:val="chineseCounting"/>
      <w:suff w:val="nothing"/>
      <w:lvlText w:val="（%1）"/>
      <w:lvlJc w:val="left"/>
      <w:rPr>
        <w:rFonts w:hint="eastAsia"/>
        <w:b/>
        <w:bCs/>
      </w:rPr>
    </w:lvl>
  </w:abstractNum>
  <w:abstractNum w:abstractNumId="1">
    <w:nsid w:val="1605FCFB"/>
    <w:multiLevelType w:val="singleLevel"/>
    <w:tmpl w:val="1605FCF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F14D0"/>
    <w:rsid w:val="035E4919"/>
    <w:rsid w:val="191C4396"/>
    <w:rsid w:val="1D5976AB"/>
    <w:rsid w:val="218C5200"/>
    <w:rsid w:val="466E6FB5"/>
    <w:rsid w:val="520C725F"/>
    <w:rsid w:val="535B37E3"/>
    <w:rsid w:val="576F14D0"/>
    <w:rsid w:val="659370E4"/>
    <w:rsid w:val="6EA1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Calibri" w:hAnsi="Calibri" w:eastAsia="宋体" w:cs="Times New Roman"/>
      <w:sz w:val="18"/>
    </w:rPr>
  </w:style>
  <w:style w:type="paragraph" w:customStyle="1" w:styleId="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
    <w:name w:val="正文new"/>
    <w:basedOn w:val="1"/>
    <w:qFormat/>
    <w:uiPriority w:val="0"/>
    <w:pPr>
      <w:ind w:firstLine="200" w:firstLineChars="200"/>
    </w:pPr>
    <w:rPr>
      <w:rFonts w:ascii="仿宋" w:hAnsi="仿宋" w:eastAsia="仿宋_GB2312" w:cs="Times New Roman"/>
      <w:sz w:val="3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1059</Words>
  <Characters>1098</Characters>
  <Lines>0</Lines>
  <Paragraphs>0</Paragraphs>
  <TotalTime>1</TotalTime>
  <ScaleCrop>false</ScaleCrop>
  <LinksUpToDate>false</LinksUpToDate>
  <CharactersWithSpaces>1103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2025-07-15T07:34:00Z</dcterms:created>
  <dc:creator>清华观</dc:creator>
  <cp:lastModifiedBy>清华观</cp:lastModifiedBy>
  <dcterms:modified xsi:type="dcterms:W3CDTF">2025-07-22T07:57:13Z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DB4388DF1E5141529670F62C8656BC50_11</vt:lpwstr>
  </property>
  <property fmtid="{D5CDD505-2E9C-101B-9397-08002B2CF9AE}" pid="4" name="KSOTemplateDocerSaveRecord">
    <vt:lpwstr>eyJoZGlkIjoiNTI4MjdlYTZiY2I5ZGY3NGVjMzdjMmQ2MmM3MWJlNDUiLCJ1c2VySWQiOiIyNjE3Nzg0OTYifQ==</vt:lpwstr>
  </property>
</Properties>
</file>