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74D4">
      <w:pPr>
        <w:spacing w:before="1" w:line="214" w:lineRule="auto"/>
        <w:ind w:firstLine="5057" w:firstLineChars="1100"/>
        <w:rPr>
          <w:rFonts w:hint="default" w:ascii="Arial" w:hAnsi="Arial" w:eastAsia="黑体" w:cs="Arial"/>
          <w:b/>
          <w:bCs/>
          <w:spacing w:val="9"/>
          <w:sz w:val="44"/>
          <w:szCs w:val="44"/>
          <w:lang w:eastAsia="zh-CN"/>
        </w:rPr>
      </w:pPr>
    </w:p>
    <w:p w14:paraId="2737C161">
      <w:pPr>
        <w:spacing w:before="1" w:line="214" w:lineRule="auto"/>
        <w:ind w:firstLine="5057" w:firstLineChars="1100"/>
        <w:rPr>
          <w:rFonts w:hint="default" w:ascii="Arial" w:hAnsi="Arial" w:eastAsia="黑体" w:cs="Arial"/>
          <w:sz w:val="44"/>
          <w:szCs w:val="44"/>
          <w:lang w:eastAsia="zh-CN"/>
        </w:rPr>
      </w:pPr>
      <w:r>
        <w:rPr>
          <w:rFonts w:hint="default" w:ascii="Arial" w:hAnsi="Arial" w:eastAsia="黑体" w:cs="Arial"/>
          <w:b/>
          <w:bCs/>
          <w:spacing w:val="9"/>
          <w:sz w:val="44"/>
          <w:szCs w:val="44"/>
          <w:lang w:eastAsia="zh-CN"/>
        </w:rPr>
        <w:t>江华瑶族自治县</w:t>
      </w:r>
      <w:r>
        <w:rPr>
          <w:rFonts w:hint="default" w:ascii="Arial" w:hAnsi="Arial" w:eastAsia="黑体" w:cs="Arial"/>
          <w:b/>
          <w:bCs/>
          <w:spacing w:val="9"/>
          <w:sz w:val="44"/>
          <w:szCs w:val="44"/>
          <w:lang w:val="en-US" w:eastAsia="zh-CN"/>
        </w:rPr>
        <w:t>发展和改革</w:t>
      </w:r>
      <w:r>
        <w:rPr>
          <w:rFonts w:hint="default" w:ascii="Arial" w:hAnsi="Arial" w:eastAsia="黑体" w:cs="Arial"/>
          <w:b/>
          <w:bCs/>
          <w:spacing w:val="9"/>
          <w:sz w:val="44"/>
          <w:szCs w:val="44"/>
          <w:lang w:eastAsia="zh-CN"/>
        </w:rPr>
        <w:t>局202</w:t>
      </w:r>
      <w:r>
        <w:rPr>
          <w:rFonts w:hint="eastAsia" w:eastAsia="黑体" w:cs="Arial"/>
          <w:b/>
          <w:bCs/>
          <w:spacing w:val="9"/>
          <w:sz w:val="44"/>
          <w:szCs w:val="44"/>
          <w:lang w:val="en-US" w:eastAsia="zh-CN"/>
        </w:rPr>
        <w:t>6</w:t>
      </w:r>
      <w:r>
        <w:rPr>
          <w:rFonts w:hint="default" w:ascii="Arial" w:hAnsi="Arial" w:eastAsia="黑体" w:cs="Arial"/>
          <w:b/>
          <w:bCs/>
          <w:spacing w:val="9"/>
          <w:sz w:val="44"/>
          <w:szCs w:val="44"/>
          <w:lang w:eastAsia="zh-CN"/>
        </w:rPr>
        <w:t>年度涉企行政检查计划</w:t>
      </w:r>
    </w:p>
    <w:p w14:paraId="4E79407D">
      <w:pPr>
        <w:spacing w:line="358" w:lineRule="auto"/>
        <w:jc w:val="left"/>
        <w:rPr>
          <w:rFonts w:hint="eastAsia" w:ascii="黑体" w:hAnsi="黑体" w:eastAsia="黑体" w:cs="黑体"/>
          <w:lang w:eastAsia="zh-CN"/>
        </w:rPr>
      </w:pPr>
    </w:p>
    <w:p w14:paraId="671A63C5">
      <w:pPr>
        <w:pStyle w:val="2"/>
        <w:spacing w:before="52" w:line="219" w:lineRule="auto"/>
        <w:ind w:left="45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填报单位（盖章</w:t>
      </w:r>
      <w:r>
        <w:rPr>
          <w:rFonts w:hint="eastAsia" w:ascii="仿宋_GB2312" w:hAnsi="仿宋_GB2312" w:eastAsia="仿宋_GB2312" w:cs="仿宋_GB2312"/>
          <w:spacing w:val="5"/>
          <w:sz w:val="21"/>
          <w:szCs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江华瑶族自治县发展和改革局</w:t>
      </w:r>
      <w:r>
        <w:rPr>
          <w:rFonts w:hint="eastAsia" w:ascii="仿宋_GB2312" w:hAnsi="仿宋_GB2312" w:eastAsia="仿宋_GB2312" w:cs="仿宋_GB2312"/>
          <w:spacing w:val="1"/>
          <w:sz w:val="21"/>
          <w:szCs w:val="21"/>
          <w:lang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eastAsia="zh-CN"/>
        </w:rPr>
        <w:t>联系人及联系电话：</w:t>
      </w:r>
      <w:r>
        <w:rPr>
          <w:rFonts w:hint="eastAsia" w:ascii="仿宋_GB2312" w:hAnsi="仿宋_GB2312" w:eastAsia="仿宋_GB2312" w:cs="仿宋_GB2312"/>
          <w:spacing w:val="-3"/>
          <w:sz w:val="21"/>
          <w:szCs w:val="21"/>
          <w:lang w:val="en-US" w:eastAsia="zh-CN"/>
        </w:rPr>
        <w:t>朱选政 13517463202</w:t>
      </w:r>
    </w:p>
    <w:p w14:paraId="7DD68224">
      <w:pPr>
        <w:spacing w:line="16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tbl>
      <w:tblPr>
        <w:tblStyle w:val="9"/>
        <w:tblW w:w="217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95"/>
        <w:gridCol w:w="4350"/>
        <w:gridCol w:w="2415"/>
        <w:gridCol w:w="6840"/>
        <w:gridCol w:w="1011"/>
        <w:gridCol w:w="1320"/>
        <w:gridCol w:w="699"/>
        <w:gridCol w:w="855"/>
        <w:gridCol w:w="1590"/>
        <w:gridCol w:w="890"/>
      </w:tblGrid>
      <w:tr w14:paraId="6A35F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690" w:type="dxa"/>
          </w:tcPr>
          <w:p w14:paraId="242DA9A3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3A33EC03">
            <w:pPr>
              <w:spacing w:before="62" w:line="224" w:lineRule="auto"/>
              <w:ind w:left="45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95" w:type="dxa"/>
          </w:tcPr>
          <w:p w14:paraId="159ED2A5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1A56A4">
            <w:pPr>
              <w:spacing w:before="62" w:line="223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检查事项</w:t>
            </w:r>
          </w:p>
        </w:tc>
        <w:tc>
          <w:tcPr>
            <w:tcW w:w="4350" w:type="dxa"/>
          </w:tcPr>
          <w:p w14:paraId="2A9539E5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20BD22">
            <w:pPr>
              <w:spacing w:before="62" w:line="223" w:lineRule="auto"/>
              <w:ind w:firstLine="1442" w:firstLineChars="7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实施依据</w:t>
            </w:r>
          </w:p>
        </w:tc>
        <w:tc>
          <w:tcPr>
            <w:tcW w:w="2415" w:type="dxa"/>
          </w:tcPr>
          <w:p w14:paraId="14D91A16">
            <w:pPr>
              <w:spacing w:before="193" w:line="223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具体检查对象或“双随机</w:t>
            </w:r>
            <w:r>
              <w:rPr>
                <w:rFonts w:hint="eastAsia" w:ascii="仿宋_GB2312" w:hAnsi="仿宋_GB2312" w:eastAsia="仿宋_GB2312" w:cs="仿宋_GB2312"/>
                <w:spacing w:val="33"/>
                <w:w w:val="125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抽查范围（含比例）</w:t>
            </w:r>
          </w:p>
        </w:tc>
        <w:tc>
          <w:tcPr>
            <w:tcW w:w="6840" w:type="dxa"/>
          </w:tcPr>
          <w:p w14:paraId="6AF0E7BF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484D2E08">
            <w:pPr>
              <w:spacing w:before="62" w:line="22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查内容（项目）</w:t>
            </w:r>
          </w:p>
        </w:tc>
        <w:tc>
          <w:tcPr>
            <w:tcW w:w="1011" w:type="dxa"/>
          </w:tcPr>
          <w:p w14:paraId="46392064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DE62651">
            <w:pPr>
              <w:spacing w:before="62" w:line="223" w:lineRule="auto"/>
              <w:ind w:left="93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实施检查时</w:t>
            </w:r>
          </w:p>
        </w:tc>
        <w:tc>
          <w:tcPr>
            <w:tcW w:w="1320" w:type="dxa"/>
          </w:tcPr>
          <w:p w14:paraId="3A1BECC6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F83C3C0">
            <w:pPr>
              <w:spacing w:before="62" w:line="22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w w:val="95"/>
                <w:sz w:val="21"/>
                <w:szCs w:val="21"/>
              </w:rPr>
              <w:t>间检查方式</w:t>
            </w:r>
          </w:p>
        </w:tc>
        <w:tc>
          <w:tcPr>
            <w:tcW w:w="699" w:type="dxa"/>
          </w:tcPr>
          <w:p w14:paraId="50931999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42F730A">
            <w:pPr>
              <w:spacing w:before="62" w:line="223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w w:val="97"/>
                <w:sz w:val="21"/>
                <w:szCs w:val="21"/>
              </w:rPr>
              <w:t>年度检查频</w:t>
            </w:r>
            <w:r>
              <w:rPr>
                <w:rFonts w:hint="eastAsia" w:ascii="仿宋_GB2312" w:hAnsi="仿宋_GB2312" w:eastAsia="仿宋_GB2312" w:cs="仿宋_GB2312"/>
                <w:spacing w:val="-8"/>
                <w:w w:val="97"/>
                <w:sz w:val="21"/>
                <w:szCs w:val="21"/>
              </w:rPr>
              <w:t>次</w:t>
            </w:r>
          </w:p>
        </w:tc>
        <w:tc>
          <w:tcPr>
            <w:tcW w:w="855" w:type="dxa"/>
          </w:tcPr>
          <w:p w14:paraId="3E9038B3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0993BD">
            <w:pPr>
              <w:spacing w:before="62" w:line="22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3"/>
                <w:sz w:val="21"/>
                <w:szCs w:val="21"/>
              </w:rPr>
              <w:t>承办机构</w:t>
            </w:r>
          </w:p>
        </w:tc>
        <w:tc>
          <w:tcPr>
            <w:tcW w:w="1590" w:type="dxa"/>
          </w:tcPr>
          <w:p w14:paraId="6B2D09FD">
            <w:pPr>
              <w:spacing w:before="74" w:line="226" w:lineRule="auto"/>
              <w:ind w:left="68" w:right="45" w:firstLine="6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是否属跨部门联合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检查（如是，需注 明牵头部门和配合</w:t>
            </w:r>
          </w:p>
          <w:p w14:paraId="5E61DCBB">
            <w:pPr>
              <w:spacing w:before="4" w:line="224" w:lineRule="auto"/>
              <w:ind w:left="555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部门）</w:t>
            </w:r>
          </w:p>
        </w:tc>
        <w:tc>
          <w:tcPr>
            <w:tcW w:w="890" w:type="dxa"/>
          </w:tcPr>
          <w:p w14:paraId="58D37383">
            <w:pPr>
              <w:spacing w:line="362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091E52">
            <w:pPr>
              <w:spacing w:before="62" w:line="223" w:lineRule="auto"/>
              <w:ind w:left="146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备注</w:t>
            </w:r>
          </w:p>
        </w:tc>
      </w:tr>
      <w:tr w14:paraId="1E07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6" w:hRule="atLeast"/>
        </w:trPr>
        <w:tc>
          <w:tcPr>
            <w:tcW w:w="690" w:type="dxa"/>
            <w:shd w:val="clear" w:color="auto" w:fill="auto"/>
            <w:vAlign w:val="center"/>
          </w:tcPr>
          <w:p w14:paraId="5885C5B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E11F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结建人防工程建设监督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00562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湖南省国防动员办公室关于印发《湖南省单建人民防空工程建设管理办法》《湖南省防空地下室建设实施细则》《湖南省人民防空工程质量监督管理规定》的通知 湖南省人民防空工程建设与维护管理规定(省政府令第297号)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34E969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结合民用建筑修建防空地下室的建设项目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CEC36E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建设审批监督检查。包括项目地点、规模、地面以上建筑面积、应建人防工程面积、建设等级等2.建设过程质量监督检查。包括人防工程底板、墙体、顶板钢筋捆扎是否达标，混凝土浇筑是否符合要求等3.主体验收监督检查。包括人防工程主体建设是否符合设计规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等4.综合验收监督检查。包括项目是否符合竣工验收标准等5.人防工程监督档案管理监督检查。包括项目报建、建设人防设备安装、竣工验收等资料报备是否齐全、符合要求等6.人防工程平战转换、人防设备日常管理维护、安全生产监督检查。包括防护密闭门、防护设备、日常维护使用管理、状态是否符合战备要求等。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1E710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根据建设进度开展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491B1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现场检查及非现场检查相结合(根据项目建设进度，进行现场检查及监督)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5C4F39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根据项目建设进度决交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1AD08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县国防动员办公室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6096ED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5C8BF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198"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专项检查</w:t>
            </w:r>
          </w:p>
        </w:tc>
      </w:tr>
    </w:tbl>
    <w:tbl>
      <w:tblPr>
        <w:tblStyle w:val="9"/>
        <w:tblpPr w:leftFromText="180" w:rightFromText="180" w:vertAnchor="text" w:horzAnchor="page" w:tblpX="1028" w:tblpY="40"/>
        <w:tblOverlap w:val="never"/>
        <w:tblW w:w="21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4"/>
      </w:tblGrid>
      <w:tr w14:paraId="1648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21454" w:type="dxa"/>
          </w:tcPr>
          <w:p w14:paraId="33BE6BE8">
            <w:pPr>
              <w:spacing w:before="52" w:line="219" w:lineRule="auto"/>
              <w:ind w:left="35"/>
              <w:jc w:val="left"/>
              <w:rPr>
                <w:rFonts w:hint="eastAsia" w:ascii="黑体" w:hAnsi="黑体" w:eastAsia="黑体" w:cs="黑体"/>
                <w:spacing w:val="-2"/>
                <w:sz w:val="20"/>
                <w:szCs w:val="20"/>
                <w:lang w:eastAsia="zh-CN"/>
              </w:rPr>
            </w:pPr>
          </w:p>
          <w:p w14:paraId="35929688">
            <w:pPr>
              <w:spacing w:before="52" w:line="219" w:lineRule="auto"/>
              <w:ind w:left="35"/>
              <w:jc w:val="left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lang w:eastAsia="zh-CN"/>
              </w:rPr>
              <w:t>填写说明：</w:t>
            </w:r>
          </w:p>
          <w:p w14:paraId="3A32481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1.检查事项、实施依据、承办机构栏应与本单位涉企行政检查事项清单保持一致。其中，“实施依据”栏需列明以下内容：①法律法规规章名称（含规章令号）；②具体条、款、项、 目；③引用相关条文原文。  </w:t>
            </w:r>
          </w:p>
          <w:p w14:paraId="30A71F6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2.根据投诉举报、转（交）办、数据监控等实施的触发式行政检查，按照省政府办公厅《关于严格规范涉企行政检查的实施方案》相关规定执行，不列入本计划。</w:t>
            </w:r>
          </w:p>
          <w:p w14:paraId="4687979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3.“检查方式”栏主要包括现场检查/非现场检查/现场检查和非现场检查相结合三种，各单位在该栏目中可结合本单位实际细化具体检查手段等表述。</w:t>
            </w:r>
          </w:p>
          <w:p w14:paraId="35C73D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4.“备注”栏，需明确本项检查是否属“双随机一公开”抽查、专项检查、重点检查或一般检查等情形。</w:t>
            </w:r>
          </w:p>
          <w:p w14:paraId="2C093C24">
            <w:pP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5.根据省政府办公厅《关于严格规范涉企行政检查的实施方案》相关规定，本表应在同级司法行政部门同意备案后，由制定机关15日内协调本级政府网站向社会公布。  6.各单位与同级司法行政部门沟通一致后，可结合本单位实际在表格栏目外适当增加栏目。</w:t>
            </w:r>
          </w:p>
        </w:tc>
      </w:tr>
    </w:tbl>
    <w:p w14:paraId="6E2CC7FF">
      <w:pPr>
        <w:rPr>
          <w:rFonts w:ascii="仿宋" w:hAnsi="仿宋" w:eastAsia="仿宋" w:cs="仿宋"/>
          <w:sz w:val="18"/>
          <w:szCs w:val="18"/>
          <w:lang w:eastAsia="zh-CN"/>
        </w:rPr>
      </w:pPr>
    </w:p>
    <w:sectPr>
      <w:footerReference r:id="rId3" w:type="default"/>
      <w:pgSz w:w="23811" w:h="16838" w:orient="landscape"/>
      <w:pgMar w:top="1015" w:right="567" w:bottom="1032" w:left="964" w:header="0" w:footer="34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DECD">
    <w:pPr>
      <w:pStyle w:val="2"/>
      <w:spacing w:line="213" w:lineRule="auto"/>
      <w:ind w:left="1018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CE09A4"/>
    <w:rsid w:val="00B52A59"/>
    <w:rsid w:val="00CE09A4"/>
    <w:rsid w:val="00FD29C2"/>
    <w:rsid w:val="01A23595"/>
    <w:rsid w:val="157234D9"/>
    <w:rsid w:val="1D4436BC"/>
    <w:rsid w:val="27955FCB"/>
    <w:rsid w:val="2C1643F8"/>
    <w:rsid w:val="30EC4A71"/>
    <w:rsid w:val="425C74B1"/>
    <w:rsid w:val="51FD5880"/>
    <w:rsid w:val="5A1A29B0"/>
    <w:rsid w:val="699D75DC"/>
    <w:rsid w:val="76667BCD"/>
    <w:rsid w:val="7ED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9"/>
      <w:szCs w:val="19"/>
    </w:rPr>
  </w:style>
  <w:style w:type="character" w:customStyle="1" w:styleId="11">
    <w:name w:val="页眉 Char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4"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Char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林政</Company>
  <Pages>1</Pages>
  <Words>1448</Words>
  <Characters>1488</Characters>
  <Lines>54</Lines>
  <Paragraphs>15</Paragraphs>
  <TotalTime>36</TotalTime>
  <ScaleCrop>false</ScaleCrop>
  <LinksUpToDate>false</LinksUpToDate>
  <CharactersWithSpaces>1690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2025-04-14T15:11:00Z</dcterms:created>
  <dc:creator>liuyu</dc:creator>
  <cp:lastModifiedBy>无言</cp:lastModifiedBy>
  <cp:lastPrinted>2026-03-16T02:56:00Z</cp:lastPrinted>
  <dcterms:modified xsi:type="dcterms:W3CDTF">2026-03-16T02:59:10Z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2025-04-23T11:56:46Z</vt:filetime>
  </property>
  <property fmtid="{D5CDD505-2E9C-101B-9397-08002B2CF9AE}" pid="4" name="KSOTemplateDocerSaveRecord">
    <vt:lpwstr>eyJoZGlkIjoiNjY0MmVmYTE0YTAyZGU5ZWFkOTJiODQ0MDYwMGQ1MzEiLCJ1c2VySWQiOiI3MjYxODQ2NTkifQ==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96B817B1AC8044DEA55DC03752585CA4_13</vt:lpwstr>
  </property>
</Properties>
</file>