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53834">
      <w:pPr>
        <w:jc w:val="center"/>
        <w:outlineLvl w:val="0"/>
        <w:rPr>
          <w:rFonts w:hint="eastAsia" w:ascii="宋体" w:hAnsi="宋体" w:eastAsia="宋体" w:cs="宋体"/>
          <w:b/>
          <w:bCs/>
          <w:color w:val="auto"/>
          <w:sz w:val="36"/>
          <w:szCs w:val="36"/>
          <w:highlight w:val="none"/>
          <w:lang w:eastAsia="zh-CN"/>
        </w:rPr>
      </w:pPr>
      <w:bookmarkStart w:id="0" w:name="_Toc31579"/>
      <w:r>
        <w:rPr>
          <w:rFonts w:hint="eastAsia" w:ascii="宋体" w:hAnsi="宋体" w:eastAsia="宋体" w:cs="宋体"/>
          <w:b/>
          <w:bCs/>
          <w:color w:val="auto"/>
          <w:sz w:val="36"/>
          <w:szCs w:val="36"/>
          <w:highlight w:val="none"/>
          <w:lang w:eastAsia="zh-CN"/>
        </w:rPr>
        <w:t>滨江大道出让82宗地块基础设施改造项目施工招标</w:t>
      </w:r>
      <w:bookmarkEnd w:id="0"/>
    </w:p>
    <w:p w14:paraId="71019027">
      <w:pPr>
        <w:jc w:val="center"/>
        <w:rPr>
          <w:rFonts w:hint="eastAsia" w:ascii="宋体" w:hAnsi="宋体" w:eastAsia="宋体" w:cs="宋体"/>
          <w:b/>
          <w:bCs/>
          <w:color w:val="auto"/>
          <w:sz w:val="36"/>
          <w:szCs w:val="36"/>
          <w:highlight w:val="none"/>
          <w:lang w:val="en-US" w:eastAsia="zh-CN"/>
        </w:rPr>
      </w:pPr>
    </w:p>
    <w:p w14:paraId="4D00E02D">
      <w:pPr>
        <w:jc w:val="center"/>
        <w:rPr>
          <w:rFonts w:hint="eastAsia" w:ascii="宋体" w:hAnsi="宋体" w:eastAsia="宋体" w:cs="宋体"/>
          <w:b/>
          <w:color w:val="auto"/>
          <w:sz w:val="98"/>
          <w:szCs w:val="98"/>
          <w:highlight w:val="none"/>
        </w:rPr>
      </w:pPr>
    </w:p>
    <w:p w14:paraId="68250B99">
      <w:pPr>
        <w:jc w:val="center"/>
        <w:rPr>
          <w:rFonts w:hint="eastAsia" w:ascii="宋体" w:hAnsi="宋体" w:eastAsia="宋体" w:cs="宋体"/>
          <w:b/>
          <w:color w:val="auto"/>
          <w:sz w:val="98"/>
          <w:szCs w:val="98"/>
          <w:highlight w:val="none"/>
        </w:rPr>
      </w:pPr>
    </w:p>
    <w:p w14:paraId="41DB6238">
      <w:pPr>
        <w:jc w:val="center"/>
        <w:rPr>
          <w:rFonts w:hint="eastAsia" w:ascii="宋体" w:hAnsi="宋体" w:eastAsia="宋体" w:cs="宋体"/>
          <w:b/>
          <w:bCs/>
          <w:color w:val="auto"/>
          <w:sz w:val="72"/>
          <w:szCs w:val="72"/>
          <w:highlight w:val="none"/>
        </w:rPr>
      </w:pPr>
      <w:r>
        <w:rPr>
          <w:rFonts w:hint="eastAsia" w:ascii="宋体" w:hAnsi="宋体" w:eastAsia="宋体" w:cs="宋体"/>
          <w:b/>
          <w:color w:val="auto"/>
          <w:sz w:val="98"/>
          <w:szCs w:val="98"/>
          <w:highlight w:val="none"/>
        </w:rPr>
        <w:t>招 标 文 件</w:t>
      </w:r>
    </w:p>
    <w:p w14:paraId="10ABE443">
      <w:pPr>
        <w:jc w:val="center"/>
        <w:rPr>
          <w:rFonts w:hint="eastAsia" w:ascii="宋体" w:hAnsi="宋体" w:eastAsia="宋体" w:cs="宋体"/>
          <w:b/>
          <w:bCs/>
          <w:color w:val="auto"/>
          <w:sz w:val="32"/>
          <w:highlight w:val="none"/>
        </w:rPr>
      </w:pPr>
    </w:p>
    <w:p w14:paraId="4244A31C">
      <w:pP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 xml:space="preserve">             </w:t>
      </w:r>
    </w:p>
    <w:p w14:paraId="02F8BC5C">
      <w:pPr>
        <w:jc w:val="center"/>
        <w:rPr>
          <w:rFonts w:hint="eastAsia" w:ascii="宋体" w:hAnsi="宋体" w:eastAsia="宋体" w:cs="宋体"/>
          <w:b/>
          <w:bCs/>
          <w:color w:val="auto"/>
          <w:sz w:val="32"/>
          <w:highlight w:val="none"/>
        </w:rPr>
      </w:pPr>
    </w:p>
    <w:p w14:paraId="44DA8377">
      <w:pPr>
        <w:jc w:val="center"/>
        <w:rPr>
          <w:rFonts w:hint="default" w:ascii="宋体" w:hAnsi="宋体" w:eastAsia="宋体" w:cs="宋体"/>
          <w:b/>
          <w:bCs/>
          <w:color w:val="auto"/>
          <w:sz w:val="32"/>
          <w:highlight w:val="none"/>
          <w:lang w:val="en-US" w:eastAsia="zh-CN"/>
        </w:rPr>
      </w:pPr>
      <w:r>
        <w:rPr>
          <w:rFonts w:hint="eastAsia" w:ascii="宋体" w:hAnsi="宋体" w:eastAsia="宋体" w:cs="宋体"/>
          <w:b/>
          <w:bCs/>
          <w:color w:val="auto"/>
          <w:sz w:val="32"/>
          <w:highlight w:val="none"/>
        </w:rPr>
        <w:t>招标编号：</w:t>
      </w:r>
      <w:r>
        <w:rPr>
          <w:rFonts w:hint="eastAsia" w:ascii="宋体" w:hAnsi="宋体" w:eastAsia="宋体" w:cs="宋体"/>
          <w:b/>
          <w:bCs/>
          <w:color w:val="auto"/>
          <w:sz w:val="32"/>
          <w:highlight w:val="none"/>
          <w:lang w:val="en-US" w:eastAsia="zh-CN"/>
        </w:rPr>
        <w:t>HR</w:t>
      </w:r>
      <w:r>
        <w:rPr>
          <w:rFonts w:hint="eastAsia" w:ascii="宋体" w:hAnsi="宋体" w:eastAsia="宋体" w:cs="宋体"/>
          <w:b/>
          <w:bCs/>
          <w:color w:val="auto"/>
          <w:sz w:val="32"/>
          <w:highlight w:val="none"/>
        </w:rPr>
        <w:t>-JHX-202</w:t>
      </w:r>
      <w:r>
        <w:rPr>
          <w:rFonts w:hint="eastAsia" w:ascii="宋体" w:hAnsi="宋体" w:eastAsia="宋体" w:cs="宋体"/>
          <w:b/>
          <w:bCs/>
          <w:color w:val="auto"/>
          <w:sz w:val="32"/>
          <w:highlight w:val="none"/>
          <w:lang w:val="en-US" w:eastAsia="zh-CN"/>
        </w:rPr>
        <w:t>4</w:t>
      </w:r>
      <w:r>
        <w:rPr>
          <w:rFonts w:hint="eastAsia" w:ascii="宋体" w:hAnsi="宋体" w:eastAsia="宋体" w:cs="宋体"/>
          <w:b/>
          <w:bCs/>
          <w:color w:val="auto"/>
          <w:sz w:val="32"/>
          <w:highlight w:val="none"/>
        </w:rPr>
        <w:t>0</w:t>
      </w:r>
      <w:r>
        <w:rPr>
          <w:rFonts w:hint="eastAsia" w:ascii="宋体" w:hAnsi="宋体" w:eastAsia="宋体" w:cs="宋体"/>
          <w:b/>
          <w:bCs/>
          <w:color w:val="auto"/>
          <w:sz w:val="32"/>
          <w:highlight w:val="none"/>
          <w:lang w:val="en-US" w:eastAsia="zh-CN"/>
        </w:rPr>
        <w:t>08</w:t>
      </w:r>
    </w:p>
    <w:p w14:paraId="30EDEBF3">
      <w:pPr>
        <w:rPr>
          <w:rFonts w:hint="eastAsia" w:ascii="宋体" w:hAnsi="宋体" w:eastAsia="宋体" w:cs="宋体"/>
          <w:color w:val="auto"/>
          <w:highlight w:val="none"/>
        </w:rPr>
      </w:pPr>
    </w:p>
    <w:p w14:paraId="1164185F">
      <w:pPr>
        <w:rPr>
          <w:rFonts w:hint="eastAsia" w:ascii="宋体" w:hAnsi="宋体" w:eastAsia="宋体" w:cs="宋体"/>
          <w:color w:val="auto"/>
          <w:highlight w:val="none"/>
        </w:rPr>
      </w:pPr>
    </w:p>
    <w:p w14:paraId="20D72DB3">
      <w:pPr>
        <w:rPr>
          <w:rFonts w:hint="eastAsia" w:ascii="宋体" w:hAnsi="宋体" w:eastAsia="宋体" w:cs="宋体"/>
          <w:color w:val="auto"/>
          <w:highlight w:val="none"/>
        </w:rPr>
      </w:pPr>
    </w:p>
    <w:p w14:paraId="36FC36D4">
      <w:pPr>
        <w:rPr>
          <w:rFonts w:hint="eastAsia" w:ascii="宋体" w:hAnsi="宋体" w:eastAsia="宋体" w:cs="宋体"/>
          <w:color w:val="auto"/>
          <w:highlight w:val="none"/>
        </w:rPr>
      </w:pPr>
    </w:p>
    <w:p w14:paraId="2C8C433D">
      <w:pPr>
        <w:rPr>
          <w:rFonts w:hint="eastAsia" w:ascii="宋体" w:hAnsi="宋体" w:eastAsia="宋体" w:cs="宋体"/>
          <w:color w:val="auto"/>
          <w:highlight w:val="none"/>
        </w:rPr>
      </w:pPr>
    </w:p>
    <w:p w14:paraId="7CCAD359">
      <w:pPr>
        <w:rPr>
          <w:rFonts w:hint="eastAsia" w:ascii="宋体" w:hAnsi="宋体" w:eastAsia="宋体" w:cs="宋体"/>
          <w:color w:val="auto"/>
          <w:highlight w:val="none"/>
        </w:rPr>
      </w:pPr>
    </w:p>
    <w:p w14:paraId="016403C5">
      <w:pPr>
        <w:rPr>
          <w:rFonts w:hint="eastAsia" w:ascii="宋体" w:hAnsi="宋体" w:eastAsia="宋体" w:cs="宋体"/>
          <w:color w:val="auto"/>
          <w:highlight w:val="none"/>
        </w:rPr>
      </w:pPr>
    </w:p>
    <w:p w14:paraId="7E7A06C5">
      <w:pPr>
        <w:rPr>
          <w:rFonts w:hint="eastAsia" w:ascii="宋体" w:hAnsi="宋体" w:eastAsia="宋体" w:cs="宋体"/>
          <w:color w:val="auto"/>
          <w:highlight w:val="none"/>
        </w:rPr>
      </w:pPr>
    </w:p>
    <w:p w14:paraId="06409DAC">
      <w:pPr>
        <w:rPr>
          <w:rFonts w:hint="eastAsia" w:ascii="宋体" w:hAnsi="宋体" w:eastAsia="宋体" w:cs="宋体"/>
          <w:color w:val="auto"/>
          <w:highlight w:val="none"/>
        </w:rPr>
      </w:pPr>
    </w:p>
    <w:p w14:paraId="5BA1E113">
      <w:pPr>
        <w:rPr>
          <w:rFonts w:hint="eastAsia" w:ascii="宋体" w:hAnsi="宋体" w:eastAsia="宋体" w:cs="宋体"/>
          <w:color w:val="auto"/>
          <w:highlight w:val="none"/>
        </w:rPr>
      </w:pPr>
    </w:p>
    <w:p w14:paraId="750E4B40">
      <w:pPr>
        <w:rPr>
          <w:rFonts w:hint="eastAsia" w:ascii="宋体" w:hAnsi="宋体" w:eastAsia="宋体" w:cs="宋体"/>
          <w:color w:val="auto"/>
          <w:highlight w:val="none"/>
        </w:rPr>
      </w:pPr>
    </w:p>
    <w:p w14:paraId="130FED60">
      <w:pPr>
        <w:tabs>
          <w:tab w:val="left" w:pos="3060"/>
        </w:tabs>
        <w:spacing w:line="480" w:lineRule="auto"/>
        <w:rPr>
          <w:rFonts w:hint="eastAsia" w:ascii="宋体" w:hAnsi="宋体" w:eastAsia="宋体" w:cs="宋体"/>
          <w:b/>
          <w:color w:val="auto"/>
          <w:sz w:val="32"/>
          <w:szCs w:val="32"/>
          <w:highlight w:val="none"/>
        </w:rPr>
      </w:pPr>
      <w:r>
        <w:rPr>
          <w:rFonts w:hint="eastAsia" w:ascii="宋体" w:hAnsi="宋体" w:eastAsia="宋体" w:cs="宋体"/>
          <w:b/>
          <w:bCs/>
          <w:color w:val="auto"/>
          <w:kern w:val="0"/>
          <w:sz w:val="32"/>
          <w:szCs w:val="32"/>
          <w:highlight w:val="none"/>
        </w:rPr>
        <w:t xml:space="preserve">     </w:t>
      </w:r>
    </w:p>
    <w:p w14:paraId="0667B61F">
      <w:pPr>
        <w:tabs>
          <w:tab w:val="left" w:pos="3060"/>
        </w:tabs>
        <w:rPr>
          <w:rFonts w:hint="eastAsia" w:ascii="宋体" w:hAnsi="宋体" w:eastAsia="宋体" w:cs="宋体"/>
          <w:b/>
          <w:bCs/>
          <w:color w:val="auto"/>
          <w:kern w:val="0"/>
          <w:sz w:val="32"/>
          <w:szCs w:val="32"/>
          <w:highlight w:val="none"/>
          <w:u w:val="none"/>
          <w:lang w:eastAsia="zh-CN"/>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kern w:val="0"/>
          <w:sz w:val="32"/>
          <w:szCs w:val="32"/>
          <w:highlight w:val="none"/>
        </w:rPr>
        <w:t>招</w:t>
      </w:r>
      <w:r>
        <w:rPr>
          <w:rFonts w:hint="eastAsia" w:ascii="宋体" w:hAnsi="宋体" w:eastAsia="宋体" w:cs="宋体"/>
          <w:b/>
          <w:color w:val="auto"/>
          <w:sz w:val="32"/>
          <w:szCs w:val="32"/>
          <w:highlight w:val="none"/>
        </w:rPr>
        <w:t>标人：</w:t>
      </w:r>
      <w:r>
        <w:rPr>
          <w:rFonts w:hint="eastAsia" w:ascii="宋体" w:hAnsi="宋体" w:eastAsia="宋体" w:cs="宋体"/>
          <w:b/>
          <w:bCs/>
          <w:color w:val="auto"/>
          <w:kern w:val="0"/>
          <w:sz w:val="32"/>
          <w:szCs w:val="32"/>
          <w:highlight w:val="none"/>
          <w:u w:val="none"/>
          <w:lang w:eastAsia="zh-CN"/>
        </w:rPr>
        <w:t xml:space="preserve"> 江华冯乘发展集团有限公司</w:t>
      </w:r>
    </w:p>
    <w:p w14:paraId="65C45656">
      <w:pPr>
        <w:tabs>
          <w:tab w:val="left" w:pos="3060"/>
        </w:tabs>
        <w:ind w:firstLine="1928" w:firstLineChars="600"/>
        <w:jc w:val="left"/>
        <w:rPr>
          <w:rFonts w:hint="eastAsia" w:ascii="宋体" w:hAnsi="宋体" w:eastAsia="宋体" w:cs="宋体"/>
          <w:b/>
          <w:bCs/>
          <w:color w:val="auto"/>
          <w:kern w:val="0"/>
          <w:sz w:val="32"/>
          <w:szCs w:val="32"/>
          <w:highlight w:val="none"/>
        </w:rPr>
      </w:pPr>
    </w:p>
    <w:p w14:paraId="4EACF81F">
      <w:pPr>
        <w:tabs>
          <w:tab w:val="left" w:pos="3060"/>
        </w:tabs>
        <w:ind w:firstLine="1285" w:firstLineChars="4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kern w:val="0"/>
          <w:sz w:val="32"/>
          <w:szCs w:val="32"/>
          <w:highlight w:val="none"/>
        </w:rPr>
        <w:t>招标代理机构：</w:t>
      </w:r>
      <w:r>
        <w:rPr>
          <w:rFonts w:hint="eastAsia" w:ascii="宋体" w:hAnsi="宋体" w:eastAsia="宋体" w:cs="宋体"/>
          <w:b/>
          <w:bCs/>
          <w:color w:val="auto"/>
          <w:kern w:val="0"/>
          <w:sz w:val="32"/>
          <w:szCs w:val="32"/>
          <w:highlight w:val="none"/>
          <w:lang w:eastAsia="zh-CN"/>
        </w:rPr>
        <w:t>深圳市华睿项目管理有限公司</w:t>
      </w:r>
    </w:p>
    <w:p w14:paraId="03E5C761">
      <w:pPr>
        <w:ind w:firstLine="435"/>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14:paraId="285EA7FC">
      <w:pPr>
        <w:ind w:firstLine="2570" w:firstLineChars="800"/>
        <w:jc w:val="both"/>
        <w:rPr>
          <w:rFonts w:hint="eastAsia" w:ascii="宋体" w:hAnsi="宋体" w:eastAsia="宋体" w:cs="宋体"/>
          <w:color w:val="auto"/>
          <w:highlight w:val="none"/>
        </w:rPr>
      </w:pPr>
      <w:r>
        <w:rPr>
          <w:rFonts w:hint="eastAsia" w:ascii="宋体" w:hAnsi="宋体" w:eastAsia="宋体" w:cs="宋体"/>
          <w:b/>
          <w:bCs/>
          <w:color w:val="auto"/>
          <w:sz w:val="32"/>
          <w:szCs w:val="32"/>
          <w:highlight w:val="none"/>
          <w:lang w:eastAsia="zh-CN"/>
        </w:rPr>
        <w:t>日期：</w:t>
      </w: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月</w:t>
      </w:r>
    </w:p>
    <w:p w14:paraId="26E55A7F">
      <w:pPr>
        <w:spacing w:line="340" w:lineRule="auto"/>
        <w:rPr>
          <w:rFonts w:ascii="仿宋" w:hAnsi="仿宋" w:eastAsia="仿宋" w:cs="仿宋"/>
          <w:sz w:val="28"/>
          <w:szCs w:val="28"/>
        </w:rPr>
        <w:sectPr>
          <w:pgSz w:w="11907" w:h="16840"/>
          <w:pgMar w:top="1431" w:right="1418" w:bottom="0" w:left="1436" w:header="0" w:footer="0" w:gutter="0"/>
          <w:cols w:space="720" w:num="1"/>
        </w:sectPr>
      </w:pPr>
    </w:p>
    <w:sdt>
      <w:sdtPr>
        <w:rPr>
          <w:rFonts w:ascii="宋体" w:hAnsi="宋体" w:eastAsia="宋体" w:cs="Arial"/>
          <w:snapToGrid w:val="0"/>
          <w:color w:val="000000"/>
          <w:kern w:val="0"/>
          <w:sz w:val="21"/>
          <w:szCs w:val="21"/>
          <w:lang w:val="en-US" w:eastAsia="en-US" w:bidi="ar-SA"/>
        </w:rPr>
        <w:id w:val="147457977"/>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263E35A6">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C12763F">
          <w:pPr>
            <w:pStyle w:val="20"/>
            <w:tabs>
              <w:tab w:val="right" w:leader="dot" w:pos="9053"/>
            </w:tabs>
          </w:pPr>
          <w:r>
            <w:fldChar w:fldCharType="begin"/>
          </w:r>
          <w:r>
            <w:instrText xml:space="preserve">TOC \o "1-3" \h \u </w:instrText>
          </w:r>
          <w:r>
            <w:fldChar w:fldCharType="separate"/>
          </w:r>
        </w:p>
        <w:p w14:paraId="55391364">
          <w:pPr>
            <w:pStyle w:val="20"/>
            <w:tabs>
              <w:tab w:val="right" w:leader="dot" w:pos="9053"/>
            </w:tabs>
          </w:pPr>
          <w:r>
            <w:fldChar w:fldCharType="begin"/>
          </w:r>
          <w:r>
            <w:instrText xml:space="preserve"> HYPERLINK \l _Toc18942 </w:instrText>
          </w:r>
          <w:r>
            <w:fldChar w:fldCharType="separate"/>
          </w:r>
          <w:r>
            <w:rPr>
              <w:rFonts w:ascii="宋体" w:hAnsi="宋体" w:eastAsia="宋体" w:cs="宋体"/>
              <w:bCs/>
              <w:spacing w:val="6"/>
              <w:szCs w:val="31"/>
            </w:rPr>
            <w:t>第一章</w:t>
          </w:r>
          <w:r>
            <w:rPr>
              <w:rFonts w:ascii="宋体" w:hAnsi="宋体" w:eastAsia="宋体" w:cs="宋体"/>
              <w:spacing w:val="6"/>
              <w:szCs w:val="31"/>
            </w:rPr>
            <w:t xml:space="preserve">  </w:t>
          </w:r>
          <w:r>
            <w:rPr>
              <w:rFonts w:ascii="宋体" w:hAnsi="宋体" w:eastAsia="宋体" w:cs="宋体"/>
              <w:bCs/>
              <w:spacing w:val="6"/>
              <w:szCs w:val="31"/>
            </w:rPr>
            <w:t>招标公告（适用于未进行资格预审的公开招标项目）</w:t>
          </w:r>
          <w:r>
            <w:tab/>
          </w:r>
          <w:r>
            <w:fldChar w:fldCharType="begin"/>
          </w:r>
          <w:r>
            <w:instrText xml:space="preserve"> PAGEREF _Toc18942 \h </w:instrText>
          </w:r>
          <w:r>
            <w:fldChar w:fldCharType="separate"/>
          </w:r>
          <w:r>
            <w:t>1</w:t>
          </w:r>
          <w:r>
            <w:fldChar w:fldCharType="end"/>
          </w:r>
          <w:r>
            <w:fldChar w:fldCharType="end"/>
          </w:r>
        </w:p>
        <w:p w14:paraId="1AE6E2DB">
          <w:pPr>
            <w:pStyle w:val="21"/>
            <w:tabs>
              <w:tab w:val="right" w:leader="dot" w:pos="9053"/>
            </w:tabs>
          </w:pPr>
          <w:r>
            <w:fldChar w:fldCharType="begin"/>
          </w:r>
          <w:r>
            <w:instrText xml:space="preserve"> HYPERLINK \l _Toc25439 </w:instrText>
          </w:r>
          <w:r>
            <w:fldChar w:fldCharType="separate"/>
          </w:r>
          <w:r>
            <w:rPr>
              <w:rFonts w:ascii="Times New Roman" w:hAnsi="Times New Roman" w:eastAsia="Times New Roman" w:cs="Times New Roman"/>
              <w:spacing w:val="-6"/>
              <w:szCs w:val="30"/>
            </w:rPr>
            <w:t>1.</w:t>
          </w:r>
          <w:r>
            <w:rPr>
              <w:rFonts w:ascii="黑体" w:hAnsi="黑体" w:eastAsia="黑体" w:cs="黑体"/>
              <w:spacing w:val="-6"/>
              <w:szCs w:val="30"/>
            </w:rPr>
            <w:t>项目概况</w:t>
          </w:r>
          <w:r>
            <w:tab/>
          </w:r>
          <w:r>
            <w:fldChar w:fldCharType="begin"/>
          </w:r>
          <w:r>
            <w:instrText xml:space="preserve"> PAGEREF _Toc25439 \h </w:instrText>
          </w:r>
          <w:r>
            <w:fldChar w:fldCharType="separate"/>
          </w:r>
          <w:r>
            <w:t>1</w:t>
          </w:r>
          <w:r>
            <w:fldChar w:fldCharType="end"/>
          </w:r>
          <w:r>
            <w:fldChar w:fldCharType="end"/>
          </w:r>
        </w:p>
        <w:p w14:paraId="37C02B55">
          <w:pPr>
            <w:pStyle w:val="21"/>
            <w:tabs>
              <w:tab w:val="right" w:leader="dot" w:pos="9053"/>
            </w:tabs>
            <w:ind w:leftChars="0" w:firstLine="400" w:firstLineChars="200"/>
          </w:pPr>
          <w:r>
            <w:fldChar w:fldCharType="begin"/>
          </w:r>
          <w:r>
            <w:instrText xml:space="preserve"> HYPERLINK \l _Toc29755 </w:instrText>
          </w:r>
          <w:r>
            <w:fldChar w:fldCharType="separate"/>
          </w:r>
          <w:r>
            <w:rPr>
              <w:rFonts w:ascii="Times New Roman" w:hAnsi="Times New Roman" w:eastAsia="Times New Roman" w:cs="Times New Roman"/>
              <w:spacing w:val="-1"/>
              <w:szCs w:val="30"/>
            </w:rPr>
            <w:t>2.</w:t>
          </w:r>
          <w:r>
            <w:rPr>
              <w:rFonts w:ascii="黑体" w:hAnsi="黑体" w:eastAsia="黑体" w:cs="黑体"/>
              <w:spacing w:val="-1"/>
              <w:szCs w:val="30"/>
            </w:rPr>
            <w:t>资格要求</w:t>
          </w:r>
          <w:r>
            <w:tab/>
          </w:r>
          <w:r>
            <w:fldChar w:fldCharType="begin"/>
          </w:r>
          <w:r>
            <w:instrText xml:space="preserve"> PAGEREF _Toc29755 \h </w:instrText>
          </w:r>
          <w:r>
            <w:fldChar w:fldCharType="separate"/>
          </w:r>
          <w:r>
            <w:t>1</w:t>
          </w:r>
          <w:r>
            <w:fldChar w:fldCharType="end"/>
          </w:r>
          <w:r>
            <w:fldChar w:fldCharType="end"/>
          </w:r>
        </w:p>
        <w:p w14:paraId="50B14A5C">
          <w:pPr>
            <w:pStyle w:val="21"/>
            <w:tabs>
              <w:tab w:val="right" w:leader="dot" w:pos="9053"/>
            </w:tabs>
            <w:ind w:leftChars="0" w:firstLine="400" w:firstLineChars="200"/>
          </w:pPr>
          <w:r>
            <w:fldChar w:fldCharType="begin"/>
          </w:r>
          <w:r>
            <w:instrText xml:space="preserve"> HYPERLINK \l _Toc11666 </w:instrText>
          </w:r>
          <w:r>
            <w:fldChar w:fldCharType="separate"/>
          </w:r>
          <w:r>
            <w:rPr>
              <w:rFonts w:ascii="Times New Roman" w:hAnsi="Times New Roman" w:eastAsia="Times New Roman" w:cs="Times New Roman"/>
              <w:spacing w:val="-2"/>
              <w:szCs w:val="30"/>
            </w:rPr>
            <w:t>3.</w:t>
          </w:r>
          <w:r>
            <w:rPr>
              <w:rFonts w:ascii="黑体" w:hAnsi="黑体" w:eastAsia="黑体" w:cs="黑体"/>
              <w:spacing w:val="-2"/>
              <w:szCs w:val="30"/>
            </w:rPr>
            <w:t>资格审查</w:t>
          </w:r>
          <w:r>
            <w:tab/>
          </w:r>
          <w:r>
            <w:fldChar w:fldCharType="begin"/>
          </w:r>
          <w:r>
            <w:instrText xml:space="preserve"> PAGEREF _Toc11666 \h </w:instrText>
          </w:r>
          <w:r>
            <w:fldChar w:fldCharType="separate"/>
          </w:r>
          <w:r>
            <w:t>2</w:t>
          </w:r>
          <w:r>
            <w:fldChar w:fldCharType="end"/>
          </w:r>
          <w:r>
            <w:fldChar w:fldCharType="end"/>
          </w:r>
        </w:p>
        <w:p w14:paraId="117A8819">
          <w:pPr>
            <w:pStyle w:val="21"/>
            <w:tabs>
              <w:tab w:val="right" w:leader="dot" w:pos="9053"/>
            </w:tabs>
          </w:pPr>
          <w:r>
            <w:fldChar w:fldCharType="begin"/>
          </w:r>
          <w:r>
            <w:instrText xml:space="preserve"> HYPERLINK \l _Toc24164 </w:instrText>
          </w:r>
          <w:r>
            <w:fldChar w:fldCharType="separate"/>
          </w:r>
          <w:r>
            <w:rPr>
              <w:rFonts w:ascii="Times New Roman" w:hAnsi="Times New Roman" w:eastAsia="Times New Roman" w:cs="Times New Roman"/>
              <w:spacing w:val="-1"/>
              <w:szCs w:val="30"/>
            </w:rPr>
            <w:t>4.</w:t>
          </w:r>
          <w:r>
            <w:rPr>
              <w:rFonts w:ascii="黑体" w:hAnsi="黑体" w:eastAsia="黑体" w:cs="黑体"/>
              <w:spacing w:val="-1"/>
              <w:szCs w:val="30"/>
            </w:rPr>
            <w:t>评标办法</w:t>
          </w:r>
          <w:r>
            <w:tab/>
          </w:r>
          <w:r>
            <w:fldChar w:fldCharType="begin"/>
          </w:r>
          <w:r>
            <w:instrText xml:space="preserve"> PAGEREF _Toc24164 \h </w:instrText>
          </w:r>
          <w:r>
            <w:fldChar w:fldCharType="separate"/>
          </w:r>
          <w:r>
            <w:t>2</w:t>
          </w:r>
          <w:r>
            <w:fldChar w:fldCharType="end"/>
          </w:r>
          <w:r>
            <w:fldChar w:fldCharType="end"/>
          </w:r>
        </w:p>
        <w:p w14:paraId="5855BD1E">
          <w:pPr>
            <w:pStyle w:val="21"/>
            <w:tabs>
              <w:tab w:val="right" w:leader="dot" w:pos="9053"/>
            </w:tabs>
          </w:pPr>
          <w:r>
            <w:fldChar w:fldCharType="begin"/>
          </w:r>
          <w:r>
            <w:instrText xml:space="preserve"> HYPERLINK \l _Toc23243 </w:instrText>
          </w:r>
          <w:r>
            <w:fldChar w:fldCharType="separate"/>
          </w:r>
          <w:r>
            <w:rPr>
              <w:rFonts w:ascii="Times New Roman" w:hAnsi="Times New Roman" w:eastAsia="Times New Roman" w:cs="Times New Roman"/>
              <w:spacing w:val="-2"/>
              <w:szCs w:val="30"/>
            </w:rPr>
            <w:t>5.</w:t>
          </w:r>
          <w:r>
            <w:rPr>
              <w:rFonts w:ascii="黑体" w:hAnsi="黑体" w:eastAsia="黑体" w:cs="黑体"/>
              <w:spacing w:val="-2"/>
              <w:szCs w:val="30"/>
            </w:rPr>
            <w:t>招标文件的获取</w:t>
          </w:r>
          <w:r>
            <w:tab/>
          </w:r>
          <w:r>
            <w:fldChar w:fldCharType="begin"/>
          </w:r>
          <w:r>
            <w:instrText xml:space="preserve"> PAGEREF _Toc23243 \h </w:instrText>
          </w:r>
          <w:r>
            <w:fldChar w:fldCharType="separate"/>
          </w:r>
          <w:r>
            <w:t>2</w:t>
          </w:r>
          <w:r>
            <w:fldChar w:fldCharType="end"/>
          </w:r>
          <w:r>
            <w:fldChar w:fldCharType="end"/>
          </w:r>
        </w:p>
        <w:p w14:paraId="3F3C30D6">
          <w:pPr>
            <w:pStyle w:val="21"/>
            <w:tabs>
              <w:tab w:val="right" w:leader="dot" w:pos="9053"/>
            </w:tabs>
          </w:pPr>
          <w:r>
            <w:fldChar w:fldCharType="begin"/>
          </w:r>
          <w:r>
            <w:instrText xml:space="preserve"> HYPERLINK \l _Toc29234 </w:instrText>
          </w:r>
          <w:r>
            <w:fldChar w:fldCharType="separate"/>
          </w:r>
          <w:r>
            <w:rPr>
              <w:rFonts w:ascii="Times New Roman" w:hAnsi="Times New Roman" w:eastAsia="Times New Roman" w:cs="Times New Roman"/>
              <w:spacing w:val="-2"/>
              <w:szCs w:val="30"/>
            </w:rPr>
            <w:t>6.</w:t>
          </w:r>
          <w:r>
            <w:rPr>
              <w:rFonts w:ascii="黑体" w:hAnsi="黑体" w:eastAsia="黑体" w:cs="黑体"/>
              <w:spacing w:val="-2"/>
              <w:szCs w:val="30"/>
            </w:rPr>
            <w:t>投标文件的递交</w:t>
          </w:r>
          <w:r>
            <w:tab/>
          </w:r>
          <w:r>
            <w:fldChar w:fldCharType="begin"/>
          </w:r>
          <w:r>
            <w:instrText xml:space="preserve"> PAGEREF _Toc29234 \h </w:instrText>
          </w:r>
          <w:r>
            <w:fldChar w:fldCharType="separate"/>
          </w:r>
          <w:r>
            <w:t>2</w:t>
          </w:r>
          <w:r>
            <w:fldChar w:fldCharType="end"/>
          </w:r>
          <w:r>
            <w:fldChar w:fldCharType="end"/>
          </w:r>
        </w:p>
        <w:p w14:paraId="2D64BF38">
          <w:pPr>
            <w:pStyle w:val="21"/>
            <w:tabs>
              <w:tab w:val="right" w:leader="dot" w:pos="9053"/>
            </w:tabs>
          </w:pPr>
          <w:r>
            <w:fldChar w:fldCharType="begin"/>
          </w:r>
          <w:r>
            <w:instrText xml:space="preserve"> HYPERLINK \l _Toc22570 </w:instrText>
          </w:r>
          <w:r>
            <w:fldChar w:fldCharType="separate"/>
          </w:r>
          <w:r>
            <w:rPr>
              <w:rFonts w:ascii="Times New Roman" w:hAnsi="Times New Roman" w:eastAsia="Times New Roman" w:cs="Times New Roman"/>
              <w:spacing w:val="-2"/>
              <w:szCs w:val="30"/>
            </w:rPr>
            <w:t>7.</w:t>
          </w:r>
          <w:r>
            <w:rPr>
              <w:rFonts w:ascii="黑体" w:hAnsi="黑体" w:eastAsia="黑体" w:cs="黑体"/>
              <w:spacing w:val="-2"/>
              <w:szCs w:val="30"/>
            </w:rPr>
            <w:t>发布公告的媒介</w:t>
          </w:r>
          <w:r>
            <w:tab/>
          </w:r>
          <w:r>
            <w:fldChar w:fldCharType="begin"/>
          </w:r>
          <w:r>
            <w:instrText xml:space="preserve"> PAGEREF _Toc22570 \h </w:instrText>
          </w:r>
          <w:r>
            <w:fldChar w:fldCharType="separate"/>
          </w:r>
          <w:r>
            <w:t>3</w:t>
          </w:r>
          <w:r>
            <w:fldChar w:fldCharType="end"/>
          </w:r>
          <w:r>
            <w:fldChar w:fldCharType="end"/>
          </w:r>
        </w:p>
        <w:p w14:paraId="01A0A965">
          <w:pPr>
            <w:pStyle w:val="21"/>
            <w:tabs>
              <w:tab w:val="right" w:leader="dot" w:pos="9053"/>
            </w:tabs>
          </w:pPr>
          <w:r>
            <w:fldChar w:fldCharType="begin"/>
          </w:r>
          <w:r>
            <w:instrText xml:space="preserve"> HYPERLINK \l _Toc13065 </w:instrText>
          </w:r>
          <w:r>
            <w:fldChar w:fldCharType="separate"/>
          </w:r>
          <w:r>
            <w:rPr>
              <w:rFonts w:ascii="Times New Roman" w:hAnsi="Times New Roman" w:eastAsia="Times New Roman" w:cs="Times New Roman"/>
              <w:spacing w:val="-3"/>
              <w:szCs w:val="30"/>
            </w:rPr>
            <w:t>8.</w:t>
          </w:r>
          <w:r>
            <w:rPr>
              <w:rFonts w:ascii="黑体" w:hAnsi="黑体" w:eastAsia="黑体" w:cs="黑体"/>
              <w:spacing w:val="-3"/>
              <w:szCs w:val="30"/>
            </w:rPr>
            <w:t>行政监督</w:t>
          </w:r>
          <w:r>
            <w:tab/>
          </w:r>
          <w:r>
            <w:fldChar w:fldCharType="begin"/>
          </w:r>
          <w:r>
            <w:instrText xml:space="preserve"> PAGEREF _Toc13065 \h </w:instrText>
          </w:r>
          <w:r>
            <w:fldChar w:fldCharType="separate"/>
          </w:r>
          <w:r>
            <w:t>3</w:t>
          </w:r>
          <w:r>
            <w:fldChar w:fldCharType="end"/>
          </w:r>
          <w:r>
            <w:fldChar w:fldCharType="end"/>
          </w:r>
        </w:p>
        <w:p w14:paraId="3B118D0E">
          <w:pPr>
            <w:pStyle w:val="21"/>
            <w:tabs>
              <w:tab w:val="right" w:leader="dot" w:pos="9053"/>
            </w:tabs>
          </w:pPr>
          <w:r>
            <w:fldChar w:fldCharType="begin"/>
          </w:r>
          <w:r>
            <w:instrText xml:space="preserve"> HYPERLINK \l _Toc4 </w:instrText>
          </w:r>
          <w:r>
            <w:fldChar w:fldCharType="separate"/>
          </w:r>
          <w:r>
            <w:rPr>
              <w:rFonts w:ascii="Times New Roman" w:hAnsi="Times New Roman" w:eastAsia="Times New Roman" w:cs="Times New Roman"/>
              <w:spacing w:val="-3"/>
              <w:szCs w:val="30"/>
            </w:rPr>
            <w:t>9.</w:t>
          </w:r>
          <w:r>
            <w:rPr>
              <w:rFonts w:ascii="黑体" w:hAnsi="黑体" w:eastAsia="黑体" w:cs="黑体"/>
              <w:spacing w:val="-3"/>
              <w:szCs w:val="30"/>
            </w:rPr>
            <w:t>其它</w:t>
          </w:r>
          <w:r>
            <w:rPr>
              <w:rFonts w:hint="eastAsia" w:ascii="黑体" w:hAnsi="黑体" w:eastAsia="黑体" w:cs="黑体"/>
              <w:spacing w:val="-3"/>
              <w:szCs w:val="30"/>
              <w:lang w:val="en-US" w:eastAsia="zh-CN"/>
            </w:rPr>
            <w:t xml:space="preserve"> /</w:t>
          </w:r>
          <w:r>
            <w:tab/>
          </w:r>
          <w:r>
            <w:fldChar w:fldCharType="begin"/>
          </w:r>
          <w:r>
            <w:instrText xml:space="preserve"> PAGEREF _Toc4 \h </w:instrText>
          </w:r>
          <w:r>
            <w:fldChar w:fldCharType="separate"/>
          </w:r>
          <w:r>
            <w:t>3</w:t>
          </w:r>
          <w:r>
            <w:fldChar w:fldCharType="end"/>
          </w:r>
          <w:r>
            <w:fldChar w:fldCharType="end"/>
          </w:r>
        </w:p>
        <w:p w14:paraId="5B07AAEE">
          <w:pPr>
            <w:pStyle w:val="21"/>
            <w:tabs>
              <w:tab w:val="right" w:leader="dot" w:pos="9053"/>
            </w:tabs>
          </w:pPr>
          <w:r>
            <w:fldChar w:fldCharType="begin"/>
          </w:r>
          <w:r>
            <w:instrText xml:space="preserve"> HYPERLINK \l _Toc30655 </w:instrText>
          </w:r>
          <w:r>
            <w:fldChar w:fldCharType="separate"/>
          </w:r>
          <w:r>
            <w:rPr>
              <w:rFonts w:ascii="Times New Roman" w:hAnsi="Times New Roman" w:eastAsia="Times New Roman" w:cs="Times New Roman"/>
              <w:spacing w:val="-6"/>
              <w:szCs w:val="30"/>
            </w:rPr>
            <w:t>10.</w:t>
          </w:r>
          <w:r>
            <w:rPr>
              <w:rFonts w:ascii="黑体" w:hAnsi="黑体" w:eastAsia="黑体" w:cs="黑体"/>
              <w:spacing w:val="-6"/>
              <w:szCs w:val="30"/>
            </w:rPr>
            <w:t>联系方式</w:t>
          </w:r>
          <w:r>
            <w:tab/>
          </w:r>
          <w:r>
            <w:fldChar w:fldCharType="begin"/>
          </w:r>
          <w:r>
            <w:instrText xml:space="preserve"> PAGEREF _Toc30655 \h </w:instrText>
          </w:r>
          <w:r>
            <w:fldChar w:fldCharType="separate"/>
          </w:r>
          <w:r>
            <w:t>3</w:t>
          </w:r>
          <w:r>
            <w:fldChar w:fldCharType="end"/>
          </w:r>
          <w:r>
            <w:fldChar w:fldCharType="end"/>
          </w:r>
        </w:p>
        <w:p w14:paraId="7EF86FA7">
          <w:pPr>
            <w:pStyle w:val="20"/>
            <w:tabs>
              <w:tab w:val="right" w:leader="dot" w:pos="9053"/>
            </w:tabs>
          </w:pPr>
          <w:r>
            <w:fldChar w:fldCharType="begin"/>
          </w:r>
          <w:r>
            <w:instrText xml:space="preserve"> HYPERLINK \l _Toc20029 </w:instrText>
          </w:r>
          <w:r>
            <w:fldChar w:fldCharType="separate"/>
          </w:r>
          <w:r>
            <w:rPr>
              <w:rFonts w:ascii="宋体" w:hAnsi="宋体" w:eastAsia="宋体" w:cs="宋体"/>
              <w:bCs/>
              <w:spacing w:val="5"/>
              <w:szCs w:val="31"/>
            </w:rPr>
            <w:t>第二章</w:t>
          </w:r>
          <w:r>
            <w:rPr>
              <w:rFonts w:ascii="宋体" w:hAnsi="宋体" w:eastAsia="宋体" w:cs="宋体"/>
              <w:spacing w:val="5"/>
              <w:szCs w:val="31"/>
            </w:rPr>
            <w:t xml:space="preserve">  </w:t>
          </w:r>
          <w:r>
            <w:rPr>
              <w:rFonts w:ascii="宋体" w:hAnsi="宋体" w:eastAsia="宋体" w:cs="宋体"/>
              <w:bCs/>
              <w:spacing w:val="5"/>
              <w:szCs w:val="31"/>
            </w:rPr>
            <w:t>投标人须知</w:t>
          </w:r>
          <w:r>
            <w:tab/>
          </w:r>
          <w:r>
            <w:fldChar w:fldCharType="begin"/>
          </w:r>
          <w:r>
            <w:instrText xml:space="preserve"> PAGEREF _Toc20029 \h </w:instrText>
          </w:r>
          <w:r>
            <w:fldChar w:fldCharType="separate"/>
          </w:r>
          <w:r>
            <w:t>4</w:t>
          </w:r>
          <w:r>
            <w:fldChar w:fldCharType="end"/>
          </w:r>
          <w:r>
            <w:fldChar w:fldCharType="end"/>
          </w:r>
        </w:p>
        <w:p w14:paraId="212125DE">
          <w:pPr>
            <w:pStyle w:val="21"/>
            <w:tabs>
              <w:tab w:val="right" w:leader="dot" w:pos="9053"/>
            </w:tabs>
          </w:pPr>
          <w:r>
            <w:fldChar w:fldCharType="begin"/>
          </w:r>
          <w:r>
            <w:instrText xml:space="preserve"> HYPERLINK \l _Toc17571 </w:instrText>
          </w:r>
          <w:r>
            <w:fldChar w:fldCharType="separate"/>
          </w:r>
          <w:r>
            <w:rPr>
              <w:rFonts w:ascii="黑体" w:hAnsi="黑体" w:eastAsia="黑体" w:cs="黑体"/>
              <w:spacing w:val="-1"/>
              <w:szCs w:val="28"/>
            </w:rPr>
            <w:t>投标人须知前附表</w:t>
          </w:r>
          <w:r>
            <w:tab/>
          </w:r>
          <w:r>
            <w:fldChar w:fldCharType="begin"/>
          </w:r>
          <w:r>
            <w:instrText xml:space="preserve"> PAGEREF _Toc17571 \h </w:instrText>
          </w:r>
          <w:r>
            <w:fldChar w:fldCharType="separate"/>
          </w:r>
          <w:r>
            <w:t>4</w:t>
          </w:r>
          <w:r>
            <w:fldChar w:fldCharType="end"/>
          </w:r>
          <w:r>
            <w:fldChar w:fldCharType="end"/>
          </w:r>
        </w:p>
        <w:p w14:paraId="000B8BF1">
          <w:pPr>
            <w:pStyle w:val="21"/>
            <w:tabs>
              <w:tab w:val="right" w:leader="dot" w:pos="9053"/>
            </w:tabs>
          </w:pPr>
          <w:r>
            <w:fldChar w:fldCharType="begin"/>
          </w:r>
          <w:r>
            <w:instrText xml:space="preserve"> HYPERLINK \l _Toc6913 </w:instrText>
          </w:r>
          <w:r>
            <w:fldChar w:fldCharType="separate"/>
          </w:r>
          <w:r>
            <w:rPr>
              <w:rFonts w:ascii="宋体" w:hAnsi="宋体" w:eastAsia="宋体" w:cs="宋体"/>
              <w:spacing w:val="-9"/>
              <w:szCs w:val="30"/>
            </w:rPr>
            <w:t>1.总则</w:t>
          </w:r>
          <w:r>
            <w:tab/>
          </w:r>
          <w:r>
            <w:fldChar w:fldCharType="begin"/>
          </w:r>
          <w:r>
            <w:instrText xml:space="preserve"> PAGEREF _Toc6913 \h </w:instrText>
          </w:r>
          <w:r>
            <w:fldChar w:fldCharType="separate"/>
          </w:r>
          <w:r>
            <w:t>14</w:t>
          </w:r>
          <w:r>
            <w:fldChar w:fldCharType="end"/>
          </w:r>
          <w:r>
            <w:fldChar w:fldCharType="end"/>
          </w:r>
        </w:p>
        <w:p w14:paraId="05A64287">
          <w:pPr>
            <w:pStyle w:val="21"/>
            <w:tabs>
              <w:tab w:val="right" w:leader="dot" w:pos="9053"/>
            </w:tabs>
          </w:pPr>
          <w:r>
            <w:fldChar w:fldCharType="begin"/>
          </w:r>
          <w:r>
            <w:instrText xml:space="preserve"> HYPERLINK \l _Toc9321 </w:instrText>
          </w:r>
          <w:r>
            <w:fldChar w:fldCharType="separate"/>
          </w:r>
          <w:r>
            <w:rPr>
              <w:rFonts w:ascii="宋体" w:hAnsi="宋体" w:eastAsia="宋体" w:cs="宋体"/>
              <w:spacing w:val="-3"/>
              <w:szCs w:val="30"/>
            </w:rPr>
            <w:t>2.招标文件</w:t>
          </w:r>
          <w:r>
            <w:tab/>
          </w:r>
          <w:r>
            <w:fldChar w:fldCharType="begin"/>
          </w:r>
          <w:r>
            <w:instrText xml:space="preserve"> PAGEREF _Toc9321 \h </w:instrText>
          </w:r>
          <w:r>
            <w:fldChar w:fldCharType="separate"/>
          </w:r>
          <w:r>
            <w:t>15</w:t>
          </w:r>
          <w:r>
            <w:fldChar w:fldCharType="end"/>
          </w:r>
          <w:r>
            <w:fldChar w:fldCharType="end"/>
          </w:r>
        </w:p>
        <w:p w14:paraId="0FBBCC68">
          <w:pPr>
            <w:pStyle w:val="21"/>
            <w:tabs>
              <w:tab w:val="right" w:leader="dot" w:pos="9053"/>
            </w:tabs>
          </w:pPr>
          <w:r>
            <w:fldChar w:fldCharType="begin"/>
          </w:r>
          <w:r>
            <w:instrText xml:space="preserve"> HYPERLINK \l _Toc25643 </w:instrText>
          </w:r>
          <w:r>
            <w:fldChar w:fldCharType="separate"/>
          </w:r>
          <w:r>
            <w:rPr>
              <w:rFonts w:ascii="宋体" w:hAnsi="宋体" w:eastAsia="宋体" w:cs="宋体"/>
              <w:spacing w:val="-3"/>
              <w:szCs w:val="30"/>
            </w:rPr>
            <w:t>3.投标文件</w:t>
          </w:r>
          <w:r>
            <w:tab/>
          </w:r>
          <w:r>
            <w:fldChar w:fldCharType="begin"/>
          </w:r>
          <w:r>
            <w:instrText xml:space="preserve"> PAGEREF _Toc25643 \h </w:instrText>
          </w:r>
          <w:r>
            <w:fldChar w:fldCharType="separate"/>
          </w:r>
          <w:r>
            <w:t>16</w:t>
          </w:r>
          <w:r>
            <w:fldChar w:fldCharType="end"/>
          </w:r>
          <w:r>
            <w:fldChar w:fldCharType="end"/>
          </w:r>
        </w:p>
        <w:p w14:paraId="622CEFF7">
          <w:pPr>
            <w:pStyle w:val="21"/>
            <w:tabs>
              <w:tab w:val="right" w:leader="dot" w:pos="9053"/>
            </w:tabs>
          </w:pPr>
          <w:r>
            <w:fldChar w:fldCharType="begin"/>
          </w:r>
          <w:r>
            <w:instrText xml:space="preserve"> HYPERLINK \l _Toc27285 </w:instrText>
          </w:r>
          <w:r>
            <w:fldChar w:fldCharType="separate"/>
          </w:r>
          <w:r>
            <w:rPr>
              <w:rFonts w:ascii="宋体" w:hAnsi="宋体" w:eastAsia="宋体" w:cs="宋体"/>
              <w:spacing w:val="-3"/>
              <w:szCs w:val="30"/>
            </w:rPr>
            <w:t>4.投标</w:t>
          </w:r>
          <w:r>
            <w:tab/>
          </w:r>
          <w:r>
            <w:fldChar w:fldCharType="begin"/>
          </w:r>
          <w:r>
            <w:instrText xml:space="preserve"> PAGEREF _Toc27285 \h </w:instrText>
          </w:r>
          <w:r>
            <w:fldChar w:fldCharType="separate"/>
          </w:r>
          <w:r>
            <w:t>17</w:t>
          </w:r>
          <w:r>
            <w:fldChar w:fldCharType="end"/>
          </w:r>
          <w:r>
            <w:fldChar w:fldCharType="end"/>
          </w:r>
        </w:p>
        <w:p w14:paraId="2ACCC4FB">
          <w:pPr>
            <w:pStyle w:val="21"/>
            <w:tabs>
              <w:tab w:val="right" w:leader="dot" w:pos="9053"/>
            </w:tabs>
          </w:pPr>
          <w:r>
            <w:fldChar w:fldCharType="begin"/>
          </w:r>
          <w:r>
            <w:instrText xml:space="preserve"> HYPERLINK \l _Toc23989 </w:instrText>
          </w:r>
          <w:r>
            <w:fldChar w:fldCharType="separate"/>
          </w:r>
          <w:r>
            <w:rPr>
              <w:rFonts w:ascii="宋体" w:hAnsi="宋体" w:eastAsia="宋体" w:cs="宋体"/>
              <w:spacing w:val="-5"/>
              <w:szCs w:val="30"/>
            </w:rPr>
            <w:t>5.开标</w:t>
          </w:r>
          <w:r>
            <w:tab/>
          </w:r>
          <w:r>
            <w:fldChar w:fldCharType="begin"/>
          </w:r>
          <w:r>
            <w:instrText xml:space="preserve"> PAGEREF _Toc23989 \h </w:instrText>
          </w:r>
          <w:r>
            <w:fldChar w:fldCharType="separate"/>
          </w:r>
          <w:r>
            <w:t>18</w:t>
          </w:r>
          <w:r>
            <w:fldChar w:fldCharType="end"/>
          </w:r>
          <w:r>
            <w:fldChar w:fldCharType="end"/>
          </w:r>
        </w:p>
        <w:p w14:paraId="208D432B">
          <w:pPr>
            <w:pStyle w:val="21"/>
            <w:tabs>
              <w:tab w:val="right" w:leader="dot" w:pos="9053"/>
            </w:tabs>
          </w:pPr>
          <w:r>
            <w:fldChar w:fldCharType="begin"/>
          </w:r>
          <w:r>
            <w:instrText xml:space="preserve"> HYPERLINK \l _Toc19172 </w:instrText>
          </w:r>
          <w:r>
            <w:fldChar w:fldCharType="separate"/>
          </w:r>
          <w:r>
            <w:rPr>
              <w:rFonts w:ascii="宋体" w:hAnsi="宋体" w:eastAsia="宋体" w:cs="宋体"/>
              <w:spacing w:val="-4"/>
              <w:szCs w:val="30"/>
            </w:rPr>
            <w:t>6.评标</w:t>
          </w:r>
          <w:r>
            <w:tab/>
          </w:r>
          <w:r>
            <w:fldChar w:fldCharType="begin"/>
          </w:r>
          <w:r>
            <w:instrText xml:space="preserve"> PAGEREF _Toc19172 \h </w:instrText>
          </w:r>
          <w:r>
            <w:fldChar w:fldCharType="separate"/>
          </w:r>
          <w:r>
            <w:t>18</w:t>
          </w:r>
          <w:r>
            <w:fldChar w:fldCharType="end"/>
          </w:r>
          <w:r>
            <w:fldChar w:fldCharType="end"/>
          </w:r>
        </w:p>
        <w:p w14:paraId="7B926EEE">
          <w:pPr>
            <w:pStyle w:val="21"/>
            <w:tabs>
              <w:tab w:val="right" w:leader="dot" w:pos="9053"/>
            </w:tabs>
          </w:pPr>
          <w:r>
            <w:fldChar w:fldCharType="begin"/>
          </w:r>
          <w:r>
            <w:instrText xml:space="preserve"> HYPERLINK \l _Toc12472 </w:instrText>
          </w:r>
          <w:r>
            <w:fldChar w:fldCharType="separate"/>
          </w:r>
          <w:r>
            <w:rPr>
              <w:rFonts w:ascii="宋体" w:hAnsi="宋体" w:eastAsia="宋体" w:cs="宋体"/>
              <w:spacing w:val="-4"/>
              <w:szCs w:val="30"/>
            </w:rPr>
            <w:t>7.合同授予</w:t>
          </w:r>
          <w:r>
            <w:tab/>
          </w:r>
          <w:r>
            <w:fldChar w:fldCharType="begin"/>
          </w:r>
          <w:r>
            <w:instrText xml:space="preserve"> PAGEREF _Toc12472 \h </w:instrText>
          </w:r>
          <w:r>
            <w:fldChar w:fldCharType="separate"/>
          </w:r>
          <w:r>
            <w:t>19</w:t>
          </w:r>
          <w:r>
            <w:fldChar w:fldCharType="end"/>
          </w:r>
          <w:r>
            <w:fldChar w:fldCharType="end"/>
          </w:r>
        </w:p>
        <w:p w14:paraId="29F57273">
          <w:pPr>
            <w:pStyle w:val="21"/>
            <w:tabs>
              <w:tab w:val="right" w:leader="dot" w:pos="9053"/>
            </w:tabs>
          </w:pPr>
          <w:r>
            <w:fldChar w:fldCharType="begin"/>
          </w:r>
          <w:r>
            <w:instrText xml:space="preserve"> HYPERLINK \l _Toc32540 </w:instrText>
          </w:r>
          <w:r>
            <w:fldChar w:fldCharType="separate"/>
          </w:r>
          <w:r>
            <w:rPr>
              <w:rFonts w:ascii="宋体" w:hAnsi="宋体" w:eastAsia="宋体" w:cs="宋体"/>
              <w:spacing w:val="-2"/>
              <w:szCs w:val="30"/>
            </w:rPr>
            <w:t>8.重新招标和不再招标</w:t>
          </w:r>
          <w:r>
            <w:tab/>
          </w:r>
          <w:r>
            <w:fldChar w:fldCharType="begin"/>
          </w:r>
          <w:r>
            <w:instrText xml:space="preserve"> PAGEREF _Toc32540 \h </w:instrText>
          </w:r>
          <w:r>
            <w:fldChar w:fldCharType="separate"/>
          </w:r>
          <w:r>
            <w:t>19</w:t>
          </w:r>
          <w:r>
            <w:fldChar w:fldCharType="end"/>
          </w:r>
          <w:r>
            <w:fldChar w:fldCharType="end"/>
          </w:r>
        </w:p>
        <w:p w14:paraId="7205B861">
          <w:pPr>
            <w:pStyle w:val="21"/>
            <w:tabs>
              <w:tab w:val="right" w:leader="dot" w:pos="9053"/>
            </w:tabs>
          </w:pPr>
          <w:r>
            <w:fldChar w:fldCharType="begin"/>
          </w:r>
          <w:r>
            <w:instrText xml:space="preserve"> HYPERLINK \l _Toc2724 </w:instrText>
          </w:r>
          <w:r>
            <w:fldChar w:fldCharType="separate"/>
          </w:r>
          <w:r>
            <w:rPr>
              <w:rFonts w:ascii="宋体" w:hAnsi="宋体" w:eastAsia="宋体" w:cs="宋体"/>
              <w:spacing w:val="-2"/>
              <w:szCs w:val="30"/>
            </w:rPr>
            <w:t>9.纪律和监督</w:t>
          </w:r>
          <w:r>
            <w:tab/>
          </w:r>
          <w:r>
            <w:fldChar w:fldCharType="begin"/>
          </w:r>
          <w:r>
            <w:instrText xml:space="preserve"> PAGEREF _Toc2724 \h </w:instrText>
          </w:r>
          <w:r>
            <w:fldChar w:fldCharType="separate"/>
          </w:r>
          <w:r>
            <w:t>20</w:t>
          </w:r>
          <w:r>
            <w:fldChar w:fldCharType="end"/>
          </w:r>
          <w:r>
            <w:fldChar w:fldCharType="end"/>
          </w:r>
        </w:p>
        <w:p w14:paraId="26DB71DA">
          <w:pPr>
            <w:pStyle w:val="21"/>
            <w:tabs>
              <w:tab w:val="right" w:leader="dot" w:pos="9053"/>
            </w:tabs>
          </w:pPr>
          <w:r>
            <w:fldChar w:fldCharType="begin"/>
          </w:r>
          <w:r>
            <w:instrText xml:space="preserve"> HYPERLINK \l _Toc5867 </w:instrText>
          </w:r>
          <w:r>
            <w:fldChar w:fldCharType="separate"/>
          </w:r>
          <w:r>
            <w:rPr>
              <w:rFonts w:ascii="宋体" w:hAnsi="宋体" w:eastAsia="宋体" w:cs="宋体"/>
              <w:spacing w:val="-3"/>
              <w:szCs w:val="30"/>
            </w:rPr>
            <w:t>10.需要补充的其他内容</w:t>
          </w:r>
          <w:r>
            <w:tab/>
          </w:r>
          <w:r>
            <w:fldChar w:fldCharType="begin"/>
          </w:r>
          <w:r>
            <w:instrText xml:space="preserve"> PAGEREF _Toc5867 \h </w:instrText>
          </w:r>
          <w:r>
            <w:fldChar w:fldCharType="separate"/>
          </w:r>
          <w:r>
            <w:t>20</w:t>
          </w:r>
          <w:r>
            <w:fldChar w:fldCharType="end"/>
          </w:r>
          <w:r>
            <w:fldChar w:fldCharType="end"/>
          </w:r>
        </w:p>
        <w:p w14:paraId="6D35E84E">
          <w:pPr>
            <w:pStyle w:val="20"/>
            <w:tabs>
              <w:tab w:val="right" w:leader="dot" w:pos="9053"/>
            </w:tabs>
          </w:pPr>
          <w:r>
            <w:fldChar w:fldCharType="begin"/>
          </w:r>
          <w:r>
            <w:instrText xml:space="preserve"> HYPERLINK \l _Toc23421 </w:instrText>
          </w:r>
          <w:r>
            <w:fldChar w:fldCharType="separate"/>
          </w:r>
          <w:r>
            <w:rPr>
              <w:rFonts w:ascii="宋体" w:hAnsi="宋体" w:eastAsia="宋体" w:cs="宋体"/>
              <w:bCs/>
              <w:spacing w:val="6"/>
              <w:szCs w:val="31"/>
            </w:rPr>
            <w:t>第三章</w:t>
          </w:r>
          <w:r>
            <w:rPr>
              <w:rFonts w:ascii="宋体" w:hAnsi="宋体" w:eastAsia="宋体" w:cs="宋体"/>
              <w:spacing w:val="6"/>
              <w:szCs w:val="31"/>
            </w:rPr>
            <w:t xml:space="preserve">  </w:t>
          </w:r>
          <w:r>
            <w:rPr>
              <w:rFonts w:ascii="宋体" w:hAnsi="宋体" w:eastAsia="宋体" w:cs="宋体"/>
              <w:bCs/>
              <w:spacing w:val="6"/>
              <w:szCs w:val="31"/>
            </w:rPr>
            <w:t>评标办法（经评审的最低投标价法）</w:t>
          </w:r>
          <w:r>
            <w:tab/>
          </w:r>
          <w:r>
            <w:fldChar w:fldCharType="begin"/>
          </w:r>
          <w:r>
            <w:instrText xml:space="preserve"> PAGEREF _Toc23421 \h </w:instrText>
          </w:r>
          <w:r>
            <w:fldChar w:fldCharType="separate"/>
          </w:r>
          <w:r>
            <w:t>25</w:t>
          </w:r>
          <w:r>
            <w:fldChar w:fldCharType="end"/>
          </w:r>
          <w:r>
            <w:fldChar w:fldCharType="end"/>
          </w:r>
        </w:p>
        <w:p w14:paraId="58B70458">
          <w:pPr>
            <w:pStyle w:val="21"/>
            <w:tabs>
              <w:tab w:val="right" w:leader="dot" w:pos="9053"/>
            </w:tabs>
          </w:pPr>
          <w:r>
            <w:fldChar w:fldCharType="begin"/>
          </w:r>
          <w:r>
            <w:instrText xml:space="preserve"> HYPERLINK \l _Toc5637 </w:instrText>
          </w:r>
          <w:r>
            <w:fldChar w:fldCharType="separate"/>
          </w:r>
          <w:r>
            <w:rPr>
              <w:rFonts w:ascii="黑体" w:hAnsi="黑体" w:eastAsia="黑体" w:cs="黑体"/>
              <w:spacing w:val="-2"/>
              <w:szCs w:val="30"/>
            </w:rPr>
            <w:t>评标办法前附表</w:t>
          </w:r>
          <w:r>
            <w:tab/>
          </w:r>
          <w:r>
            <w:fldChar w:fldCharType="begin"/>
          </w:r>
          <w:r>
            <w:instrText xml:space="preserve"> PAGEREF _Toc5637 \h </w:instrText>
          </w:r>
          <w:r>
            <w:fldChar w:fldCharType="separate"/>
          </w:r>
          <w:r>
            <w:t>25</w:t>
          </w:r>
          <w:r>
            <w:fldChar w:fldCharType="end"/>
          </w:r>
          <w:r>
            <w:fldChar w:fldCharType="end"/>
          </w:r>
        </w:p>
        <w:p w14:paraId="7D408FAF">
          <w:pPr>
            <w:pStyle w:val="21"/>
            <w:tabs>
              <w:tab w:val="right" w:leader="dot" w:pos="9053"/>
            </w:tabs>
          </w:pPr>
          <w:r>
            <w:fldChar w:fldCharType="begin"/>
          </w:r>
          <w:r>
            <w:instrText xml:space="preserve"> HYPERLINK \l _Toc31988 </w:instrText>
          </w:r>
          <w:r>
            <w:fldChar w:fldCharType="separate"/>
          </w:r>
          <w:r>
            <w:rPr>
              <w:rFonts w:ascii="Times New Roman" w:hAnsi="Times New Roman" w:eastAsia="Times New Roman" w:cs="Times New Roman"/>
              <w:spacing w:val="-6"/>
              <w:szCs w:val="30"/>
            </w:rPr>
            <w:t>1.</w:t>
          </w:r>
          <w:r>
            <w:rPr>
              <w:rFonts w:ascii="黑体" w:hAnsi="黑体" w:eastAsia="黑体" w:cs="黑体"/>
              <w:spacing w:val="-6"/>
              <w:szCs w:val="30"/>
            </w:rPr>
            <w:t>评审标准</w:t>
          </w:r>
          <w:r>
            <w:tab/>
          </w:r>
          <w:r>
            <w:fldChar w:fldCharType="begin"/>
          </w:r>
          <w:r>
            <w:instrText xml:space="preserve"> PAGEREF _Toc31988 \h </w:instrText>
          </w:r>
          <w:r>
            <w:fldChar w:fldCharType="separate"/>
          </w:r>
          <w:r>
            <w:t>30</w:t>
          </w:r>
          <w:r>
            <w:fldChar w:fldCharType="end"/>
          </w:r>
          <w:r>
            <w:fldChar w:fldCharType="end"/>
          </w:r>
        </w:p>
        <w:p w14:paraId="50E7E981">
          <w:pPr>
            <w:pStyle w:val="21"/>
            <w:tabs>
              <w:tab w:val="right" w:leader="dot" w:pos="9053"/>
            </w:tabs>
          </w:pPr>
          <w:r>
            <w:fldChar w:fldCharType="begin"/>
          </w:r>
          <w:r>
            <w:instrText xml:space="preserve"> HYPERLINK \l _Toc18692 </w:instrText>
          </w:r>
          <w:r>
            <w:fldChar w:fldCharType="separate"/>
          </w:r>
          <w:r>
            <w:rPr>
              <w:rFonts w:ascii="Times New Roman" w:hAnsi="Times New Roman" w:eastAsia="Times New Roman" w:cs="Times New Roman"/>
              <w:spacing w:val="-1"/>
              <w:szCs w:val="30"/>
            </w:rPr>
            <w:t>2.</w:t>
          </w:r>
          <w:r>
            <w:rPr>
              <w:rFonts w:ascii="黑体" w:hAnsi="黑体" w:eastAsia="黑体" w:cs="黑体"/>
              <w:spacing w:val="-1"/>
              <w:szCs w:val="30"/>
            </w:rPr>
            <w:t>评审程序及澄清</w:t>
          </w:r>
          <w:r>
            <w:tab/>
          </w:r>
          <w:r>
            <w:fldChar w:fldCharType="begin"/>
          </w:r>
          <w:r>
            <w:instrText xml:space="preserve"> PAGEREF _Toc18692 \h </w:instrText>
          </w:r>
          <w:r>
            <w:fldChar w:fldCharType="separate"/>
          </w:r>
          <w:r>
            <w:t>30</w:t>
          </w:r>
          <w:r>
            <w:fldChar w:fldCharType="end"/>
          </w:r>
          <w:r>
            <w:fldChar w:fldCharType="end"/>
          </w:r>
        </w:p>
        <w:p w14:paraId="12A760F7">
          <w:pPr>
            <w:pStyle w:val="21"/>
            <w:tabs>
              <w:tab w:val="right" w:leader="dot" w:pos="9053"/>
            </w:tabs>
          </w:pPr>
          <w:r>
            <w:fldChar w:fldCharType="begin"/>
          </w:r>
          <w:r>
            <w:instrText xml:space="preserve"> HYPERLINK \l _Toc11864 </w:instrText>
          </w:r>
          <w:r>
            <w:fldChar w:fldCharType="separate"/>
          </w:r>
          <w:r>
            <w:rPr>
              <w:rFonts w:ascii="Calibri" w:hAnsi="Calibri" w:eastAsia="Calibri" w:cs="Calibri"/>
              <w:bCs/>
              <w:spacing w:val="-4"/>
              <w:szCs w:val="28"/>
            </w:rPr>
            <w:t>3.</w:t>
          </w:r>
          <w:r>
            <w:rPr>
              <w:rFonts w:ascii="黑体" w:hAnsi="黑体" w:eastAsia="黑体" w:cs="黑体"/>
              <w:bCs/>
              <w:spacing w:val="-4"/>
              <w:szCs w:val="28"/>
            </w:rPr>
            <w:t>评标结果</w:t>
          </w:r>
          <w:r>
            <w:tab/>
          </w:r>
          <w:r>
            <w:fldChar w:fldCharType="begin"/>
          </w:r>
          <w:r>
            <w:instrText xml:space="preserve"> PAGEREF _Toc11864 \h </w:instrText>
          </w:r>
          <w:r>
            <w:fldChar w:fldCharType="separate"/>
          </w:r>
          <w:r>
            <w:t>30</w:t>
          </w:r>
          <w:r>
            <w:fldChar w:fldCharType="end"/>
          </w:r>
          <w:r>
            <w:fldChar w:fldCharType="end"/>
          </w:r>
        </w:p>
        <w:p w14:paraId="3182EB70">
          <w:pPr>
            <w:pStyle w:val="21"/>
            <w:tabs>
              <w:tab w:val="right" w:leader="dot" w:pos="9053"/>
            </w:tabs>
          </w:pPr>
          <w:r>
            <w:fldChar w:fldCharType="begin"/>
          </w:r>
          <w:r>
            <w:instrText xml:space="preserve"> HYPERLINK \l _Toc26307 </w:instrText>
          </w:r>
          <w:r>
            <w:fldChar w:fldCharType="separate"/>
          </w:r>
          <w:r>
            <w:rPr>
              <w:rFonts w:ascii="黑体" w:hAnsi="黑体" w:eastAsia="黑体" w:cs="黑体"/>
              <w:spacing w:val="-3"/>
              <w:szCs w:val="24"/>
            </w:rPr>
            <w:t>附件</w:t>
          </w:r>
          <w:r>
            <w:rPr>
              <w:rFonts w:ascii="黑体" w:hAnsi="黑体" w:eastAsia="黑体" w:cs="黑体"/>
              <w:spacing w:val="-48"/>
              <w:szCs w:val="24"/>
            </w:rPr>
            <w:t xml:space="preserve"> </w:t>
          </w:r>
          <w:r>
            <w:rPr>
              <w:rFonts w:ascii="Calibri" w:hAnsi="Calibri" w:eastAsia="Calibri" w:cs="Calibri"/>
              <w:spacing w:val="-3"/>
              <w:szCs w:val="24"/>
            </w:rPr>
            <w:t>3-1</w:t>
          </w:r>
          <w:r>
            <w:rPr>
              <w:rFonts w:ascii="黑体" w:hAnsi="黑体" w:eastAsia="黑体" w:cs="黑体"/>
              <w:spacing w:val="-3"/>
              <w:szCs w:val="24"/>
            </w:rPr>
            <w:t>：评标详细程序</w:t>
          </w:r>
          <w:r>
            <w:tab/>
          </w:r>
          <w:r>
            <w:fldChar w:fldCharType="begin"/>
          </w:r>
          <w:r>
            <w:instrText xml:space="preserve"> PAGEREF _Toc26307 \h </w:instrText>
          </w:r>
          <w:r>
            <w:fldChar w:fldCharType="separate"/>
          </w:r>
          <w:r>
            <w:t>31</w:t>
          </w:r>
          <w:r>
            <w:fldChar w:fldCharType="end"/>
          </w:r>
          <w:r>
            <w:fldChar w:fldCharType="end"/>
          </w:r>
        </w:p>
        <w:p w14:paraId="26E3B7FA">
          <w:pPr>
            <w:pStyle w:val="21"/>
            <w:tabs>
              <w:tab w:val="right" w:leader="dot" w:pos="9053"/>
            </w:tabs>
          </w:pPr>
          <w:r>
            <w:fldChar w:fldCharType="begin"/>
          </w:r>
          <w:r>
            <w:instrText xml:space="preserve"> HYPERLINK \l _Toc31708 </w:instrText>
          </w:r>
          <w:r>
            <w:fldChar w:fldCharType="separate"/>
          </w:r>
          <w:r>
            <w:rPr>
              <w:rFonts w:ascii="Calibri" w:hAnsi="Calibri" w:eastAsia="Calibri" w:cs="Calibri"/>
              <w:spacing w:val="-4"/>
              <w:szCs w:val="24"/>
            </w:rPr>
            <w:t>1.</w:t>
          </w:r>
          <w:r>
            <w:rPr>
              <w:rFonts w:ascii="黑体" w:hAnsi="黑体" w:eastAsia="黑体" w:cs="黑体"/>
              <w:spacing w:val="-4"/>
              <w:szCs w:val="24"/>
            </w:rPr>
            <w:t>基本程序</w:t>
          </w:r>
          <w:r>
            <w:tab/>
          </w:r>
          <w:r>
            <w:fldChar w:fldCharType="begin"/>
          </w:r>
          <w:r>
            <w:instrText xml:space="preserve"> PAGEREF _Toc31708 \h </w:instrText>
          </w:r>
          <w:r>
            <w:fldChar w:fldCharType="separate"/>
          </w:r>
          <w:r>
            <w:t>31</w:t>
          </w:r>
          <w:r>
            <w:fldChar w:fldCharType="end"/>
          </w:r>
          <w:r>
            <w:fldChar w:fldCharType="end"/>
          </w:r>
        </w:p>
        <w:p w14:paraId="4E851EE7">
          <w:pPr>
            <w:pStyle w:val="21"/>
            <w:tabs>
              <w:tab w:val="right" w:leader="dot" w:pos="9053"/>
            </w:tabs>
          </w:pPr>
          <w:r>
            <w:fldChar w:fldCharType="begin"/>
          </w:r>
          <w:r>
            <w:instrText xml:space="preserve"> HYPERLINK \l _Toc32173 </w:instrText>
          </w:r>
          <w:r>
            <w:fldChar w:fldCharType="separate"/>
          </w:r>
          <w:r>
            <w:rPr>
              <w:rFonts w:ascii="Calibri" w:hAnsi="Calibri" w:eastAsia="Calibri" w:cs="Calibri"/>
              <w:spacing w:val="-2"/>
              <w:szCs w:val="24"/>
            </w:rPr>
            <w:t>3.</w:t>
          </w:r>
          <w:r>
            <w:rPr>
              <w:rFonts w:ascii="黑体" w:hAnsi="黑体" w:eastAsia="黑体" w:cs="黑体"/>
              <w:spacing w:val="-2"/>
              <w:szCs w:val="24"/>
            </w:rPr>
            <w:t>施工组织设计评审</w:t>
          </w:r>
          <w:r>
            <w:tab/>
          </w:r>
          <w:r>
            <w:fldChar w:fldCharType="begin"/>
          </w:r>
          <w:r>
            <w:instrText xml:space="preserve"> PAGEREF _Toc32173 \h </w:instrText>
          </w:r>
          <w:r>
            <w:fldChar w:fldCharType="separate"/>
          </w:r>
          <w:r>
            <w:t>31</w:t>
          </w:r>
          <w:r>
            <w:fldChar w:fldCharType="end"/>
          </w:r>
          <w:r>
            <w:fldChar w:fldCharType="end"/>
          </w:r>
        </w:p>
        <w:p w14:paraId="080322F8">
          <w:pPr>
            <w:pStyle w:val="21"/>
            <w:tabs>
              <w:tab w:val="right" w:leader="dot" w:pos="9053"/>
            </w:tabs>
          </w:pPr>
          <w:r>
            <w:fldChar w:fldCharType="begin"/>
          </w:r>
          <w:r>
            <w:instrText xml:space="preserve"> HYPERLINK \l _Toc29789 </w:instrText>
          </w:r>
          <w:r>
            <w:fldChar w:fldCharType="separate"/>
          </w:r>
          <w:r>
            <w:rPr>
              <w:rFonts w:ascii="Calibri" w:hAnsi="Calibri" w:eastAsia="Calibri" w:cs="Calibri"/>
              <w:spacing w:val="-1"/>
              <w:szCs w:val="24"/>
            </w:rPr>
            <w:t>5.</w:t>
          </w:r>
          <w:r>
            <w:rPr>
              <w:rFonts w:ascii="黑体" w:hAnsi="黑体" w:eastAsia="黑体" w:cs="黑体"/>
              <w:spacing w:val="-1"/>
              <w:szCs w:val="24"/>
            </w:rPr>
            <w:t>业绩及信用评审、投标报价评审</w:t>
          </w:r>
          <w:r>
            <w:tab/>
          </w:r>
          <w:r>
            <w:fldChar w:fldCharType="begin"/>
          </w:r>
          <w:r>
            <w:instrText xml:space="preserve"> PAGEREF _Toc29789 \h </w:instrText>
          </w:r>
          <w:r>
            <w:fldChar w:fldCharType="separate"/>
          </w:r>
          <w:r>
            <w:t>32</w:t>
          </w:r>
          <w:r>
            <w:fldChar w:fldCharType="end"/>
          </w:r>
          <w:r>
            <w:fldChar w:fldCharType="end"/>
          </w:r>
        </w:p>
        <w:p w14:paraId="0C6D9445">
          <w:pPr>
            <w:pStyle w:val="21"/>
            <w:tabs>
              <w:tab w:val="right" w:leader="dot" w:pos="9053"/>
            </w:tabs>
          </w:pPr>
          <w:r>
            <w:fldChar w:fldCharType="begin"/>
          </w:r>
          <w:r>
            <w:instrText xml:space="preserve"> HYPERLINK \l _Toc27111 </w:instrText>
          </w:r>
          <w:r>
            <w:fldChar w:fldCharType="separate"/>
          </w:r>
          <w:r>
            <w:rPr>
              <w:rFonts w:ascii="Calibri" w:hAnsi="Calibri" w:eastAsia="Calibri" w:cs="Calibri"/>
              <w:spacing w:val="-5"/>
              <w:szCs w:val="24"/>
            </w:rPr>
            <w:t>7</w:t>
          </w:r>
          <w:r>
            <w:rPr>
              <w:rFonts w:ascii="Calibri" w:hAnsi="Calibri" w:eastAsia="Calibri" w:cs="Calibri"/>
              <w:spacing w:val="-14"/>
              <w:szCs w:val="24"/>
            </w:rPr>
            <w:t xml:space="preserve"> </w:t>
          </w:r>
          <w:r>
            <w:rPr>
              <w:rFonts w:ascii="黑体" w:hAnsi="黑体" w:eastAsia="黑体" w:cs="黑体"/>
              <w:spacing w:val="-5"/>
              <w:szCs w:val="24"/>
            </w:rPr>
            <w:t>．特殊情况的处置程序</w:t>
          </w:r>
          <w:r>
            <w:tab/>
          </w:r>
          <w:r>
            <w:fldChar w:fldCharType="begin"/>
          </w:r>
          <w:r>
            <w:instrText xml:space="preserve"> PAGEREF _Toc27111 \h </w:instrText>
          </w:r>
          <w:r>
            <w:fldChar w:fldCharType="separate"/>
          </w:r>
          <w:r>
            <w:t>34</w:t>
          </w:r>
          <w:r>
            <w:fldChar w:fldCharType="end"/>
          </w:r>
          <w:r>
            <w:fldChar w:fldCharType="end"/>
          </w:r>
        </w:p>
        <w:p w14:paraId="713204BC">
          <w:pPr>
            <w:pStyle w:val="21"/>
            <w:tabs>
              <w:tab w:val="right" w:leader="dot" w:pos="9053"/>
            </w:tabs>
          </w:pPr>
          <w:r>
            <w:fldChar w:fldCharType="begin"/>
          </w:r>
          <w:r>
            <w:instrText xml:space="preserve"> HYPERLINK \l _Toc30314 </w:instrText>
          </w:r>
          <w:r>
            <w:fldChar w:fldCharType="separate"/>
          </w:r>
          <w:r>
            <w:rPr>
              <w:rFonts w:ascii="Calibri" w:hAnsi="Calibri" w:eastAsia="Calibri" w:cs="Calibri"/>
              <w:spacing w:val="-2"/>
              <w:szCs w:val="24"/>
            </w:rPr>
            <w:t>8.</w:t>
          </w:r>
          <w:r>
            <w:rPr>
              <w:rFonts w:ascii="黑体" w:hAnsi="黑体" w:eastAsia="黑体" w:cs="黑体"/>
              <w:spacing w:val="-2"/>
              <w:szCs w:val="24"/>
            </w:rPr>
            <w:t>补充条款</w:t>
          </w:r>
          <w:r>
            <w:tab/>
          </w:r>
          <w:r>
            <w:fldChar w:fldCharType="begin"/>
          </w:r>
          <w:r>
            <w:instrText xml:space="preserve"> PAGEREF _Toc30314 \h </w:instrText>
          </w:r>
          <w:r>
            <w:fldChar w:fldCharType="separate"/>
          </w:r>
          <w:r>
            <w:t>34</w:t>
          </w:r>
          <w:r>
            <w:fldChar w:fldCharType="end"/>
          </w:r>
          <w:r>
            <w:fldChar w:fldCharType="end"/>
          </w:r>
        </w:p>
        <w:p w14:paraId="0C727B69">
          <w:pPr>
            <w:pStyle w:val="20"/>
            <w:tabs>
              <w:tab w:val="right" w:leader="dot" w:pos="9053"/>
            </w:tabs>
          </w:pPr>
          <w:r>
            <w:fldChar w:fldCharType="begin"/>
          </w:r>
          <w:r>
            <w:instrText xml:space="preserve"> HYPERLINK \l _Toc18948 </w:instrText>
          </w:r>
          <w:r>
            <w:fldChar w:fldCharType="separate"/>
          </w:r>
          <w:r>
            <w:rPr>
              <w:rFonts w:ascii="Times New Roman" w:hAnsi="Times New Roman" w:eastAsia="黑体"/>
              <w:bCs w:val="0"/>
              <w:highlight w:val="none"/>
            </w:rPr>
            <w:t>第四章  合同条款及格式</w:t>
          </w:r>
          <w:r>
            <w:tab/>
          </w:r>
          <w:r>
            <w:fldChar w:fldCharType="begin"/>
          </w:r>
          <w:r>
            <w:instrText xml:space="preserve"> PAGEREF _Toc18948 \h </w:instrText>
          </w:r>
          <w:r>
            <w:fldChar w:fldCharType="separate"/>
          </w:r>
          <w:r>
            <w:t>35</w:t>
          </w:r>
          <w:r>
            <w:fldChar w:fldCharType="end"/>
          </w:r>
          <w:r>
            <w:fldChar w:fldCharType="end"/>
          </w:r>
        </w:p>
        <w:p w14:paraId="434D4576">
          <w:pPr>
            <w:pStyle w:val="21"/>
            <w:tabs>
              <w:tab w:val="right" w:leader="dot" w:pos="9053"/>
            </w:tabs>
          </w:pPr>
          <w:r>
            <w:fldChar w:fldCharType="begin"/>
          </w:r>
          <w:r>
            <w:instrText xml:space="preserve"> HYPERLINK \l _Toc25299 </w:instrText>
          </w:r>
          <w:r>
            <w:fldChar w:fldCharType="separate"/>
          </w:r>
          <w:r>
            <w:rPr>
              <w:rFonts w:ascii="Times New Roman" w:hAnsi="Times New Roman" w:eastAsia="黑体"/>
              <w:bCs w:val="0"/>
              <w:highlight w:val="none"/>
            </w:rPr>
            <w:t>第一</w:t>
          </w:r>
          <w:r>
            <w:rPr>
              <w:rFonts w:hint="eastAsia" w:ascii="Times New Roman" w:hAnsi="Times New Roman" w:eastAsia="黑体"/>
              <w:bCs w:val="0"/>
              <w:highlight w:val="none"/>
            </w:rPr>
            <w:t>节</w:t>
          </w:r>
          <w:r>
            <w:rPr>
              <w:rFonts w:ascii="Times New Roman" w:hAnsi="Times New Roman" w:eastAsia="黑体"/>
              <w:bCs w:val="0"/>
              <w:highlight w:val="none"/>
            </w:rPr>
            <w:t xml:space="preserve"> 合同协议书</w:t>
          </w:r>
          <w:r>
            <w:tab/>
          </w:r>
          <w:r>
            <w:fldChar w:fldCharType="begin"/>
          </w:r>
          <w:r>
            <w:instrText xml:space="preserve"> PAGEREF _Toc25299 \h </w:instrText>
          </w:r>
          <w:r>
            <w:fldChar w:fldCharType="separate"/>
          </w:r>
          <w:r>
            <w:t>35</w:t>
          </w:r>
          <w:r>
            <w:fldChar w:fldCharType="end"/>
          </w:r>
          <w:r>
            <w:fldChar w:fldCharType="end"/>
          </w:r>
        </w:p>
        <w:p w14:paraId="657A01AE">
          <w:pPr>
            <w:pStyle w:val="21"/>
            <w:tabs>
              <w:tab w:val="right" w:leader="dot" w:pos="9053"/>
            </w:tabs>
            <w:rPr>
              <w:rFonts w:hint="eastAsia" w:eastAsia="宋体"/>
              <w:lang w:val="en-US" w:eastAsia="zh-CN"/>
            </w:rPr>
          </w:pPr>
          <w:r>
            <w:fldChar w:fldCharType="begin"/>
          </w:r>
          <w:r>
            <w:instrText xml:space="preserve"> HYPERLINK \l _Toc32481 </w:instrText>
          </w:r>
          <w:r>
            <w:fldChar w:fldCharType="separate"/>
          </w:r>
          <w:r>
            <w:rPr>
              <w:rFonts w:ascii="Times New Roman" w:hAnsi="Times New Roman" w:eastAsia="黑体"/>
              <w:bCs w:val="0"/>
              <w:highlight w:val="none"/>
            </w:rPr>
            <w:t>第二</w:t>
          </w:r>
          <w:r>
            <w:rPr>
              <w:rFonts w:hint="eastAsia" w:ascii="Times New Roman" w:hAnsi="Times New Roman" w:eastAsia="黑体"/>
              <w:bCs w:val="0"/>
              <w:highlight w:val="none"/>
            </w:rPr>
            <w:t>节</w:t>
          </w:r>
          <w:r>
            <w:rPr>
              <w:rFonts w:ascii="Times New Roman" w:hAnsi="Times New Roman" w:eastAsia="黑体"/>
              <w:bCs w:val="0"/>
              <w:highlight w:val="none"/>
            </w:rPr>
            <w:t xml:space="preserve"> 通用合同条款</w:t>
          </w:r>
          <w:r>
            <w:tab/>
          </w:r>
          <w:r>
            <w:rPr>
              <w:rFonts w:hint="eastAsia" w:eastAsia="宋体"/>
              <w:lang w:val="en-US" w:eastAsia="zh-CN"/>
            </w:rPr>
            <w:t>3</w:t>
          </w:r>
          <w:r>
            <w:fldChar w:fldCharType="end"/>
          </w:r>
          <w:r>
            <w:rPr>
              <w:rFonts w:hint="eastAsia" w:eastAsia="宋体"/>
              <w:lang w:val="en-US" w:eastAsia="zh-CN"/>
            </w:rPr>
            <w:t>9</w:t>
          </w:r>
        </w:p>
        <w:p w14:paraId="0940E830">
          <w:pPr>
            <w:pStyle w:val="21"/>
            <w:tabs>
              <w:tab w:val="right" w:leader="dot" w:pos="9053"/>
            </w:tabs>
            <w:rPr>
              <w:rFonts w:hint="eastAsia" w:eastAsia="宋体"/>
              <w:lang w:val="en-US" w:eastAsia="zh-CN"/>
            </w:rPr>
          </w:pPr>
          <w:r>
            <w:fldChar w:fldCharType="begin"/>
          </w:r>
          <w:r>
            <w:instrText xml:space="preserve"> HYPERLINK \l _Toc5456 </w:instrText>
          </w:r>
          <w:r>
            <w:fldChar w:fldCharType="separate"/>
          </w:r>
          <w:r>
            <w:rPr>
              <w:rFonts w:ascii="Times New Roman" w:hAnsi="Times New Roman" w:eastAsia="黑体"/>
              <w:bCs w:val="0"/>
              <w:highlight w:val="none"/>
            </w:rPr>
            <w:t>第三</w:t>
          </w:r>
          <w:r>
            <w:rPr>
              <w:rFonts w:hint="eastAsia" w:ascii="Times New Roman" w:hAnsi="Times New Roman" w:eastAsia="黑体"/>
              <w:bCs w:val="0"/>
              <w:highlight w:val="none"/>
            </w:rPr>
            <w:t>节</w:t>
          </w:r>
          <w:r>
            <w:rPr>
              <w:rFonts w:ascii="Times New Roman" w:hAnsi="Times New Roman" w:eastAsia="黑体"/>
              <w:bCs w:val="0"/>
              <w:highlight w:val="none"/>
            </w:rPr>
            <w:t xml:space="preserve"> </w:t>
          </w:r>
          <w:r>
            <w:rPr>
              <w:rFonts w:hint="eastAsia" w:ascii="Times New Roman" w:hAnsi="Times New Roman" w:eastAsia="黑体"/>
              <w:bCs w:val="0"/>
              <w:highlight w:val="none"/>
            </w:rPr>
            <w:t>专用合同条款</w:t>
          </w:r>
          <w:r>
            <w:tab/>
          </w:r>
          <w:r>
            <w:rPr>
              <w:rFonts w:hint="eastAsia" w:eastAsia="宋体"/>
              <w:lang w:val="en-US" w:eastAsia="zh-CN"/>
            </w:rPr>
            <w:t>3</w:t>
          </w:r>
          <w:r>
            <w:fldChar w:fldCharType="end"/>
          </w:r>
          <w:r>
            <w:rPr>
              <w:rFonts w:hint="eastAsia" w:eastAsia="宋体"/>
              <w:lang w:val="en-US" w:eastAsia="zh-CN"/>
            </w:rPr>
            <w:t>9</w:t>
          </w:r>
        </w:p>
        <w:p w14:paraId="01B588EE">
          <w:pPr>
            <w:pStyle w:val="20"/>
            <w:tabs>
              <w:tab w:val="right" w:leader="dot" w:pos="9053"/>
            </w:tabs>
          </w:pPr>
          <w:r>
            <w:fldChar w:fldCharType="begin"/>
          </w:r>
          <w:r>
            <w:instrText xml:space="preserve"> HYPERLINK \l _Toc25274 </w:instrText>
          </w:r>
          <w:r>
            <w:fldChar w:fldCharType="separate"/>
          </w:r>
          <w:r>
            <w:rPr>
              <w:rFonts w:ascii="宋体" w:hAnsi="宋体" w:eastAsia="宋体" w:cs="宋体"/>
              <w:bCs/>
              <w:spacing w:val="5"/>
              <w:szCs w:val="31"/>
            </w:rPr>
            <w:t>第五章</w:t>
          </w:r>
          <w:r>
            <w:rPr>
              <w:rFonts w:ascii="宋体" w:hAnsi="宋体" w:eastAsia="宋体" w:cs="宋体"/>
              <w:spacing w:val="5"/>
              <w:szCs w:val="31"/>
            </w:rPr>
            <w:t xml:space="preserve">  </w:t>
          </w:r>
          <w:r>
            <w:rPr>
              <w:rFonts w:ascii="宋体" w:hAnsi="宋体" w:eastAsia="宋体" w:cs="宋体"/>
              <w:bCs/>
              <w:spacing w:val="5"/>
              <w:szCs w:val="31"/>
            </w:rPr>
            <w:t>工程量清单</w:t>
          </w:r>
          <w:r>
            <w:tab/>
          </w:r>
          <w:r>
            <w:fldChar w:fldCharType="begin"/>
          </w:r>
          <w:r>
            <w:instrText xml:space="preserve"> PAGEREF _Toc25274 \h </w:instrText>
          </w:r>
          <w:r>
            <w:fldChar w:fldCharType="separate"/>
          </w:r>
          <w:r>
            <w:t>63</w:t>
          </w:r>
          <w:r>
            <w:fldChar w:fldCharType="end"/>
          </w:r>
          <w:r>
            <w:fldChar w:fldCharType="end"/>
          </w:r>
        </w:p>
        <w:p w14:paraId="2C733EC8">
          <w:pPr>
            <w:pStyle w:val="21"/>
            <w:tabs>
              <w:tab w:val="right" w:leader="dot" w:pos="9053"/>
            </w:tabs>
          </w:pPr>
          <w:r>
            <w:fldChar w:fldCharType="begin"/>
          </w:r>
          <w:r>
            <w:instrText xml:space="preserve"> HYPERLINK \l _Toc16918 </w:instrText>
          </w:r>
          <w:r>
            <w:fldChar w:fldCharType="separate"/>
          </w:r>
          <w:r>
            <w:rPr>
              <w:rFonts w:ascii="黑体" w:hAnsi="黑体" w:eastAsia="黑体" w:cs="黑体"/>
              <w:spacing w:val="-2"/>
              <w:szCs w:val="30"/>
            </w:rPr>
            <w:t>工程量清单（另册）</w:t>
          </w:r>
          <w:r>
            <w:tab/>
          </w:r>
          <w:r>
            <w:fldChar w:fldCharType="begin"/>
          </w:r>
          <w:r>
            <w:instrText xml:space="preserve"> PAGEREF _Toc16918 \h </w:instrText>
          </w:r>
          <w:r>
            <w:fldChar w:fldCharType="separate"/>
          </w:r>
          <w:r>
            <w:t>63</w:t>
          </w:r>
          <w:r>
            <w:fldChar w:fldCharType="end"/>
          </w:r>
          <w:r>
            <w:fldChar w:fldCharType="end"/>
          </w:r>
        </w:p>
        <w:p w14:paraId="7466D60F">
          <w:pPr>
            <w:pStyle w:val="20"/>
            <w:tabs>
              <w:tab w:val="right" w:leader="dot" w:pos="9053"/>
            </w:tabs>
          </w:pPr>
          <w:r>
            <w:fldChar w:fldCharType="begin"/>
          </w:r>
          <w:r>
            <w:instrText xml:space="preserve"> HYPERLINK \l _Toc32714 </w:instrText>
          </w:r>
          <w:r>
            <w:fldChar w:fldCharType="separate"/>
          </w:r>
          <w:r>
            <w:rPr>
              <w:rFonts w:ascii="宋体" w:hAnsi="宋体" w:eastAsia="宋体" w:cs="宋体"/>
              <w:bCs/>
              <w:spacing w:val="-8"/>
              <w:szCs w:val="31"/>
            </w:rPr>
            <w:t>第</w:t>
          </w:r>
          <w:r>
            <w:rPr>
              <w:rFonts w:ascii="宋体" w:hAnsi="宋体" w:eastAsia="宋体" w:cs="宋体"/>
              <w:spacing w:val="15"/>
              <w:szCs w:val="31"/>
            </w:rPr>
            <w:t xml:space="preserve">  </w:t>
          </w:r>
          <w:r>
            <w:rPr>
              <w:rFonts w:ascii="宋体" w:hAnsi="宋体" w:eastAsia="宋体" w:cs="宋体"/>
              <w:bCs/>
              <w:spacing w:val="-8"/>
              <w:szCs w:val="31"/>
            </w:rPr>
            <w:t>二</w:t>
          </w:r>
          <w:r>
            <w:rPr>
              <w:rFonts w:ascii="宋体" w:hAnsi="宋体" w:eastAsia="宋体" w:cs="宋体"/>
              <w:spacing w:val="13"/>
              <w:szCs w:val="31"/>
            </w:rPr>
            <w:t xml:space="preserve">  </w:t>
          </w:r>
          <w:r>
            <w:rPr>
              <w:rFonts w:ascii="宋体" w:hAnsi="宋体" w:eastAsia="宋体" w:cs="宋体"/>
              <w:bCs/>
              <w:spacing w:val="-8"/>
              <w:szCs w:val="31"/>
            </w:rPr>
            <w:t>卷</w:t>
          </w:r>
          <w:r>
            <w:tab/>
          </w:r>
          <w:r>
            <w:fldChar w:fldCharType="begin"/>
          </w:r>
          <w:r>
            <w:instrText xml:space="preserve"> PAGEREF _Toc32714 \h </w:instrText>
          </w:r>
          <w:r>
            <w:fldChar w:fldCharType="separate"/>
          </w:r>
          <w:r>
            <w:t>64</w:t>
          </w:r>
          <w:r>
            <w:fldChar w:fldCharType="end"/>
          </w:r>
          <w:r>
            <w:fldChar w:fldCharType="end"/>
          </w:r>
        </w:p>
        <w:p w14:paraId="618E7F6F">
          <w:pPr>
            <w:pStyle w:val="20"/>
            <w:tabs>
              <w:tab w:val="right" w:leader="dot" w:pos="9053"/>
            </w:tabs>
          </w:pPr>
          <w:r>
            <w:fldChar w:fldCharType="begin"/>
          </w:r>
          <w:r>
            <w:instrText xml:space="preserve"> HYPERLINK \l _Toc17990 </w:instrText>
          </w:r>
          <w:r>
            <w:fldChar w:fldCharType="separate"/>
          </w:r>
          <w:r>
            <w:rPr>
              <w:rFonts w:ascii="宋体" w:hAnsi="宋体" w:eastAsia="宋体" w:cs="宋体"/>
              <w:bCs/>
              <w:spacing w:val="1"/>
              <w:szCs w:val="31"/>
            </w:rPr>
            <w:t>第六章</w:t>
          </w:r>
          <w:r>
            <w:rPr>
              <w:rFonts w:ascii="宋体" w:hAnsi="宋体" w:eastAsia="宋体" w:cs="宋体"/>
              <w:spacing w:val="27"/>
              <w:szCs w:val="31"/>
            </w:rPr>
            <w:t xml:space="preserve">  </w:t>
          </w:r>
          <w:r>
            <w:rPr>
              <w:rFonts w:ascii="宋体" w:hAnsi="宋体" w:eastAsia="宋体" w:cs="宋体"/>
              <w:bCs/>
              <w:spacing w:val="1"/>
              <w:szCs w:val="31"/>
            </w:rPr>
            <w:t>图</w:t>
          </w:r>
          <w:r>
            <w:rPr>
              <w:rFonts w:ascii="宋体" w:hAnsi="宋体" w:eastAsia="宋体" w:cs="宋体"/>
              <w:spacing w:val="1"/>
              <w:szCs w:val="31"/>
            </w:rPr>
            <w:t xml:space="preserve">  </w:t>
          </w:r>
          <w:r>
            <w:rPr>
              <w:rFonts w:ascii="宋体" w:hAnsi="宋体" w:eastAsia="宋体" w:cs="宋体"/>
              <w:bCs/>
              <w:spacing w:val="1"/>
              <w:szCs w:val="31"/>
            </w:rPr>
            <w:t>纸（另册）</w:t>
          </w:r>
          <w:r>
            <w:tab/>
          </w:r>
          <w:r>
            <w:fldChar w:fldCharType="begin"/>
          </w:r>
          <w:r>
            <w:instrText xml:space="preserve"> PAGEREF _Toc17990 \h </w:instrText>
          </w:r>
          <w:r>
            <w:fldChar w:fldCharType="separate"/>
          </w:r>
          <w:r>
            <w:t>65</w:t>
          </w:r>
          <w:r>
            <w:fldChar w:fldCharType="end"/>
          </w:r>
          <w:r>
            <w:fldChar w:fldCharType="end"/>
          </w:r>
        </w:p>
        <w:p w14:paraId="7FF87801">
          <w:pPr>
            <w:pStyle w:val="20"/>
            <w:tabs>
              <w:tab w:val="right" w:leader="dot" w:pos="9053"/>
            </w:tabs>
          </w:pPr>
          <w:r>
            <w:fldChar w:fldCharType="begin"/>
          </w:r>
          <w:r>
            <w:instrText xml:space="preserve"> HYPERLINK \l _Toc9097 </w:instrText>
          </w:r>
          <w:r>
            <w:fldChar w:fldCharType="separate"/>
          </w:r>
          <w:r>
            <w:rPr>
              <w:rFonts w:ascii="宋体" w:hAnsi="宋体" w:eastAsia="宋体" w:cs="宋体"/>
              <w:bCs/>
              <w:spacing w:val="-6"/>
              <w:szCs w:val="32"/>
            </w:rPr>
            <w:t>第</w:t>
          </w:r>
          <w:r>
            <w:rPr>
              <w:rFonts w:ascii="宋体" w:hAnsi="宋体" w:eastAsia="宋体" w:cs="宋体"/>
              <w:spacing w:val="12"/>
              <w:szCs w:val="32"/>
            </w:rPr>
            <w:t xml:space="preserve">  </w:t>
          </w:r>
          <w:r>
            <w:rPr>
              <w:rFonts w:ascii="宋体" w:hAnsi="宋体" w:eastAsia="宋体" w:cs="宋体"/>
              <w:bCs/>
              <w:spacing w:val="-6"/>
              <w:szCs w:val="32"/>
            </w:rPr>
            <w:t>三</w:t>
          </w:r>
          <w:r>
            <w:rPr>
              <w:rFonts w:ascii="宋体" w:hAnsi="宋体" w:eastAsia="宋体" w:cs="宋体"/>
              <w:spacing w:val="13"/>
              <w:szCs w:val="32"/>
            </w:rPr>
            <w:t xml:space="preserve">  </w:t>
          </w:r>
          <w:r>
            <w:rPr>
              <w:rFonts w:ascii="宋体" w:hAnsi="宋体" w:eastAsia="宋体" w:cs="宋体"/>
              <w:bCs/>
              <w:spacing w:val="-6"/>
              <w:szCs w:val="32"/>
            </w:rPr>
            <w:t>卷</w:t>
          </w:r>
          <w:r>
            <w:tab/>
          </w:r>
          <w:r>
            <w:fldChar w:fldCharType="begin"/>
          </w:r>
          <w:r>
            <w:instrText xml:space="preserve"> PAGEREF _Toc9097 \h </w:instrText>
          </w:r>
          <w:r>
            <w:fldChar w:fldCharType="separate"/>
          </w:r>
          <w:r>
            <w:t>66</w:t>
          </w:r>
          <w:r>
            <w:fldChar w:fldCharType="end"/>
          </w:r>
          <w:r>
            <w:fldChar w:fldCharType="end"/>
          </w:r>
        </w:p>
        <w:p w14:paraId="76BD8677">
          <w:pPr>
            <w:pStyle w:val="20"/>
            <w:tabs>
              <w:tab w:val="right" w:leader="dot" w:pos="9053"/>
            </w:tabs>
          </w:pPr>
          <w:r>
            <w:fldChar w:fldCharType="begin"/>
          </w:r>
          <w:r>
            <w:instrText xml:space="preserve"> HYPERLINK \l _Toc22667 </w:instrText>
          </w:r>
          <w:r>
            <w:fldChar w:fldCharType="separate"/>
          </w:r>
          <w:r>
            <w:rPr>
              <w:rFonts w:hint="eastAsia" w:ascii="宋体" w:hAnsi="宋体" w:eastAsia="宋体" w:cs="宋体"/>
              <w:bCs/>
              <w:highlight w:val="none"/>
            </w:rPr>
            <w:t>第七章  技术标准和要求</w:t>
          </w:r>
          <w:r>
            <w:tab/>
          </w:r>
          <w:r>
            <w:fldChar w:fldCharType="begin"/>
          </w:r>
          <w:r>
            <w:instrText xml:space="preserve"> PAGEREF _Toc22667 \h </w:instrText>
          </w:r>
          <w:r>
            <w:fldChar w:fldCharType="separate"/>
          </w:r>
          <w:r>
            <w:t>66</w:t>
          </w:r>
          <w:r>
            <w:fldChar w:fldCharType="end"/>
          </w:r>
          <w:r>
            <w:fldChar w:fldCharType="end"/>
          </w:r>
        </w:p>
        <w:p w14:paraId="5FC3CF87">
          <w:pPr>
            <w:pStyle w:val="21"/>
            <w:tabs>
              <w:tab w:val="right" w:leader="dot" w:pos="9053"/>
            </w:tabs>
          </w:pPr>
          <w:r>
            <w:fldChar w:fldCharType="begin"/>
          </w:r>
          <w:r>
            <w:instrText xml:space="preserve"> HYPERLINK \l _Toc31524 </w:instrText>
          </w:r>
          <w:r>
            <w:fldChar w:fldCharType="separate"/>
          </w:r>
          <w:r>
            <w:rPr>
              <w:rFonts w:ascii="Times New Roman" w:hAnsi="Times New Roman" w:eastAsia="黑体"/>
              <w:bCs w:val="0"/>
            </w:rPr>
            <w:t>第一节 一般要求</w:t>
          </w:r>
          <w:r>
            <w:tab/>
          </w:r>
          <w:r>
            <w:fldChar w:fldCharType="begin"/>
          </w:r>
          <w:r>
            <w:instrText xml:space="preserve"> PAGEREF _Toc31524 \h </w:instrText>
          </w:r>
          <w:r>
            <w:fldChar w:fldCharType="separate"/>
          </w:r>
          <w:r>
            <w:t>66</w:t>
          </w:r>
          <w:r>
            <w:fldChar w:fldCharType="end"/>
          </w:r>
          <w:r>
            <w:fldChar w:fldCharType="end"/>
          </w:r>
        </w:p>
        <w:p w14:paraId="7058246F">
          <w:pPr>
            <w:pStyle w:val="21"/>
            <w:tabs>
              <w:tab w:val="right" w:leader="dot" w:pos="9053"/>
            </w:tabs>
          </w:pPr>
          <w:r>
            <w:fldChar w:fldCharType="begin"/>
          </w:r>
          <w:r>
            <w:instrText xml:space="preserve"> HYPERLINK \l _Toc15346 </w:instrText>
          </w:r>
          <w:r>
            <w:fldChar w:fldCharType="separate"/>
          </w:r>
          <w:r>
            <w:rPr>
              <w:rFonts w:ascii="Times New Roman" w:hAnsi="Times New Roman" w:eastAsia="黑体"/>
              <w:bCs w:val="0"/>
              <w:highlight w:val="none"/>
            </w:rPr>
            <w:t>第二节  特殊技术标准和要求</w:t>
          </w:r>
          <w:r>
            <w:tab/>
          </w:r>
          <w:r>
            <w:fldChar w:fldCharType="begin"/>
          </w:r>
          <w:r>
            <w:instrText xml:space="preserve"> PAGEREF _Toc15346 \h </w:instrText>
          </w:r>
          <w:r>
            <w:fldChar w:fldCharType="separate"/>
          </w:r>
          <w:r>
            <w:t>66</w:t>
          </w:r>
          <w:r>
            <w:fldChar w:fldCharType="end"/>
          </w:r>
          <w:r>
            <w:fldChar w:fldCharType="end"/>
          </w:r>
        </w:p>
        <w:p w14:paraId="736B4CF9">
          <w:pPr>
            <w:pStyle w:val="21"/>
            <w:tabs>
              <w:tab w:val="right" w:leader="dot" w:pos="9053"/>
            </w:tabs>
          </w:pPr>
          <w:r>
            <w:fldChar w:fldCharType="begin"/>
          </w:r>
          <w:r>
            <w:instrText xml:space="preserve"> HYPERLINK \l _Toc9299 </w:instrText>
          </w:r>
          <w:r>
            <w:fldChar w:fldCharType="separate"/>
          </w:r>
          <w:r>
            <w:rPr>
              <w:rFonts w:ascii="Times New Roman" w:hAnsi="Times New Roman" w:eastAsia="黑体"/>
              <w:bCs w:val="0"/>
              <w:highlight w:val="none"/>
            </w:rPr>
            <w:t>第三节  适用的国家、行业以及地方规范、标准和规程</w:t>
          </w:r>
          <w:r>
            <w:tab/>
          </w:r>
          <w:r>
            <w:fldChar w:fldCharType="begin"/>
          </w:r>
          <w:r>
            <w:instrText xml:space="preserve"> PAGEREF _Toc9299 \h </w:instrText>
          </w:r>
          <w:r>
            <w:fldChar w:fldCharType="separate"/>
          </w:r>
          <w:r>
            <w:t>66</w:t>
          </w:r>
          <w:r>
            <w:fldChar w:fldCharType="end"/>
          </w:r>
          <w:r>
            <w:fldChar w:fldCharType="end"/>
          </w:r>
        </w:p>
        <w:p w14:paraId="0E313368">
          <w:pPr>
            <w:pStyle w:val="20"/>
            <w:tabs>
              <w:tab w:val="right" w:leader="dot" w:pos="9053"/>
            </w:tabs>
          </w:pPr>
          <w:r>
            <w:fldChar w:fldCharType="begin"/>
          </w:r>
          <w:r>
            <w:instrText xml:space="preserve"> HYPERLINK \l _Toc13534 </w:instrText>
          </w:r>
          <w:r>
            <w:fldChar w:fldCharType="separate"/>
          </w:r>
          <w:r>
            <w:rPr>
              <w:rFonts w:ascii="宋体" w:hAnsi="宋体" w:eastAsia="宋体" w:cs="宋体"/>
              <w:bCs/>
              <w:spacing w:val="5"/>
              <w:szCs w:val="20"/>
            </w:rPr>
            <w:t>附件</w:t>
          </w:r>
          <w:r>
            <w:rPr>
              <w:rFonts w:ascii="宋体" w:hAnsi="宋体" w:eastAsia="宋体" w:cs="宋体"/>
              <w:spacing w:val="-32"/>
              <w:szCs w:val="20"/>
            </w:rPr>
            <w:t xml:space="preserve"> </w:t>
          </w:r>
          <w:r>
            <w:rPr>
              <w:rFonts w:ascii="Calibri" w:hAnsi="Calibri" w:eastAsia="Calibri" w:cs="Calibri"/>
              <w:bCs/>
              <w:spacing w:val="5"/>
              <w:szCs w:val="20"/>
            </w:rPr>
            <w:t>7-1</w:t>
          </w:r>
          <w:r>
            <w:rPr>
              <w:rFonts w:ascii="宋体" w:hAnsi="宋体" w:eastAsia="宋体" w:cs="宋体"/>
              <w:bCs/>
              <w:spacing w:val="5"/>
              <w:szCs w:val="20"/>
            </w:rPr>
            <w:t>：施工现场现状平面图</w:t>
          </w:r>
          <w:r>
            <w:tab/>
          </w:r>
          <w:r>
            <w:fldChar w:fldCharType="begin"/>
          </w:r>
          <w:r>
            <w:instrText xml:space="preserve"> PAGEREF _Toc13534 \h </w:instrText>
          </w:r>
          <w:r>
            <w:fldChar w:fldCharType="separate"/>
          </w:r>
          <w:r>
            <w:t>66</w:t>
          </w:r>
          <w:r>
            <w:fldChar w:fldCharType="end"/>
          </w:r>
          <w:r>
            <w:fldChar w:fldCharType="end"/>
          </w:r>
        </w:p>
        <w:p w14:paraId="56E87A2D">
          <w:pPr>
            <w:pStyle w:val="20"/>
            <w:tabs>
              <w:tab w:val="right" w:leader="dot" w:pos="9053"/>
            </w:tabs>
          </w:pPr>
          <w:r>
            <w:fldChar w:fldCharType="begin"/>
          </w:r>
          <w:r>
            <w:instrText xml:space="preserve"> HYPERLINK \l _Toc24004 </w:instrText>
          </w:r>
          <w:r>
            <w:fldChar w:fldCharType="separate"/>
          </w:r>
          <w:r>
            <w:rPr>
              <w:rFonts w:ascii="宋体" w:hAnsi="宋体" w:eastAsia="宋体" w:cs="宋体"/>
              <w:bCs/>
              <w:spacing w:val="-16"/>
              <w:szCs w:val="31"/>
            </w:rPr>
            <w:t>第</w:t>
          </w:r>
          <w:r>
            <w:rPr>
              <w:rFonts w:ascii="宋体" w:hAnsi="宋体" w:eastAsia="宋体" w:cs="宋体"/>
              <w:spacing w:val="27"/>
              <w:szCs w:val="31"/>
            </w:rPr>
            <w:t xml:space="preserve">  </w:t>
          </w:r>
          <w:r>
            <w:rPr>
              <w:rFonts w:ascii="宋体" w:hAnsi="宋体" w:eastAsia="宋体" w:cs="宋体"/>
              <w:bCs/>
              <w:spacing w:val="-16"/>
              <w:szCs w:val="31"/>
            </w:rPr>
            <w:t>四</w:t>
          </w:r>
          <w:r>
            <w:rPr>
              <w:rFonts w:ascii="宋体" w:hAnsi="宋体" w:eastAsia="宋体" w:cs="宋体"/>
              <w:spacing w:val="13"/>
              <w:szCs w:val="31"/>
            </w:rPr>
            <w:t xml:space="preserve">  </w:t>
          </w:r>
          <w:r>
            <w:rPr>
              <w:rFonts w:ascii="宋体" w:hAnsi="宋体" w:eastAsia="宋体" w:cs="宋体"/>
              <w:bCs/>
              <w:spacing w:val="-16"/>
              <w:szCs w:val="31"/>
            </w:rPr>
            <w:t>卷</w:t>
          </w:r>
          <w:r>
            <w:tab/>
          </w:r>
          <w:r>
            <w:fldChar w:fldCharType="begin"/>
          </w:r>
          <w:r>
            <w:instrText xml:space="preserve"> PAGEREF _Toc24004 \h </w:instrText>
          </w:r>
          <w:r>
            <w:fldChar w:fldCharType="separate"/>
          </w:r>
          <w:r>
            <w:t>68</w:t>
          </w:r>
          <w:r>
            <w:fldChar w:fldCharType="end"/>
          </w:r>
          <w:r>
            <w:fldChar w:fldCharType="end"/>
          </w:r>
        </w:p>
        <w:p w14:paraId="4DE5D5BF">
          <w:pPr>
            <w:pStyle w:val="20"/>
            <w:tabs>
              <w:tab w:val="right" w:leader="dot" w:pos="9053"/>
            </w:tabs>
          </w:pPr>
          <w:r>
            <w:fldChar w:fldCharType="begin"/>
          </w:r>
          <w:r>
            <w:instrText xml:space="preserve"> HYPERLINK \l _Toc12843 </w:instrText>
          </w:r>
          <w:r>
            <w:fldChar w:fldCharType="separate"/>
          </w:r>
          <w:r>
            <w:rPr>
              <w:rFonts w:ascii="宋体" w:hAnsi="宋体" w:eastAsia="宋体" w:cs="宋体"/>
              <w:bCs/>
              <w:spacing w:val="5"/>
              <w:szCs w:val="31"/>
            </w:rPr>
            <w:t>第八章</w:t>
          </w:r>
          <w:r>
            <w:rPr>
              <w:rFonts w:ascii="宋体" w:hAnsi="宋体" w:eastAsia="宋体" w:cs="宋体"/>
              <w:spacing w:val="5"/>
              <w:szCs w:val="31"/>
            </w:rPr>
            <w:t xml:space="preserve">  </w:t>
          </w:r>
          <w:r>
            <w:rPr>
              <w:rFonts w:ascii="宋体" w:hAnsi="宋体" w:eastAsia="宋体" w:cs="宋体"/>
              <w:bCs/>
              <w:spacing w:val="5"/>
              <w:szCs w:val="31"/>
            </w:rPr>
            <w:t>投标文件格式</w:t>
          </w:r>
          <w:r>
            <w:tab/>
          </w:r>
          <w:r>
            <w:fldChar w:fldCharType="begin"/>
          </w:r>
          <w:r>
            <w:instrText xml:space="preserve"> PAGEREF _Toc12843 \h </w:instrText>
          </w:r>
          <w:r>
            <w:fldChar w:fldCharType="separate"/>
          </w:r>
          <w:r>
            <w:t>69</w:t>
          </w:r>
          <w:r>
            <w:fldChar w:fldCharType="end"/>
          </w:r>
          <w:r>
            <w:fldChar w:fldCharType="end"/>
          </w:r>
        </w:p>
        <w:p w14:paraId="04849020">
          <w:pPr>
            <w:pStyle w:val="21"/>
            <w:tabs>
              <w:tab w:val="right" w:leader="dot" w:pos="9053"/>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_Toc27552 </w:instrText>
          </w:r>
          <w:r>
            <w:rPr>
              <w:rFonts w:hint="eastAsia" w:ascii="黑体" w:hAnsi="黑体" w:eastAsia="黑体" w:cs="黑体"/>
            </w:rPr>
            <w:fldChar w:fldCharType="separate"/>
          </w:r>
          <w:r>
            <w:rPr>
              <w:rFonts w:hint="eastAsia" w:ascii="黑体" w:hAnsi="黑体" w:eastAsia="黑体" w:cs="黑体"/>
              <w:bCs/>
              <w:spacing w:val="6"/>
              <w:szCs w:val="31"/>
            </w:rPr>
            <w:t>第一节</w:t>
          </w:r>
          <w:r>
            <w:rPr>
              <w:rFonts w:hint="eastAsia" w:ascii="黑体" w:hAnsi="黑体" w:eastAsia="黑体" w:cs="黑体"/>
              <w:spacing w:val="6"/>
              <w:szCs w:val="31"/>
            </w:rPr>
            <w:t xml:space="preserve">  </w:t>
          </w:r>
          <w:r>
            <w:rPr>
              <w:rFonts w:hint="eastAsia" w:ascii="黑体" w:hAnsi="黑体" w:eastAsia="黑体" w:cs="黑体"/>
              <w:bCs/>
              <w:spacing w:val="6"/>
              <w:szCs w:val="31"/>
            </w:rPr>
            <w:t>投标函格式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_Toc27552 \h </w:instrText>
          </w:r>
          <w:r>
            <w:rPr>
              <w:rFonts w:hint="eastAsia" w:ascii="黑体" w:hAnsi="黑体" w:eastAsia="黑体" w:cs="黑体"/>
            </w:rPr>
            <w:fldChar w:fldCharType="separate"/>
          </w:r>
          <w:r>
            <w:rPr>
              <w:rFonts w:hint="eastAsia" w:ascii="黑体" w:hAnsi="黑体" w:eastAsia="黑体" w:cs="黑体"/>
            </w:rPr>
            <w:t>69</w:t>
          </w:r>
          <w:r>
            <w:rPr>
              <w:rFonts w:hint="eastAsia" w:ascii="黑体" w:hAnsi="黑体" w:eastAsia="黑体" w:cs="黑体"/>
            </w:rPr>
            <w:fldChar w:fldCharType="end"/>
          </w:r>
          <w:r>
            <w:rPr>
              <w:rFonts w:hint="eastAsia" w:ascii="黑体" w:hAnsi="黑体" w:eastAsia="黑体" w:cs="黑体"/>
            </w:rPr>
            <w:fldChar w:fldCharType="end"/>
          </w:r>
        </w:p>
        <w:p w14:paraId="47DFF0E7">
          <w:pPr>
            <w:pStyle w:val="21"/>
            <w:tabs>
              <w:tab w:val="right" w:leader="dot" w:pos="9053"/>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_Toc22721 </w:instrText>
          </w:r>
          <w:r>
            <w:rPr>
              <w:rFonts w:hint="eastAsia" w:ascii="黑体" w:hAnsi="黑体" w:eastAsia="黑体" w:cs="黑体"/>
            </w:rPr>
            <w:fldChar w:fldCharType="separate"/>
          </w:r>
          <w:r>
            <w:rPr>
              <w:rFonts w:hint="eastAsia" w:ascii="黑体" w:hAnsi="黑体" w:eastAsia="黑体" w:cs="黑体"/>
              <w:highlight w:val="none"/>
            </w:rPr>
            <w:t>第二节 投标报价格式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_Toc22721 \h </w:instrText>
          </w:r>
          <w:r>
            <w:rPr>
              <w:rFonts w:hint="eastAsia" w:ascii="黑体" w:hAnsi="黑体" w:eastAsia="黑体" w:cs="黑体"/>
            </w:rPr>
            <w:fldChar w:fldCharType="separate"/>
          </w:r>
          <w:r>
            <w:rPr>
              <w:rFonts w:hint="eastAsia" w:ascii="黑体" w:hAnsi="黑体" w:eastAsia="黑体" w:cs="黑体"/>
            </w:rPr>
            <w:t>93</w:t>
          </w:r>
          <w:r>
            <w:rPr>
              <w:rFonts w:hint="eastAsia" w:ascii="黑体" w:hAnsi="黑体" w:eastAsia="黑体" w:cs="黑体"/>
            </w:rPr>
            <w:fldChar w:fldCharType="end"/>
          </w:r>
          <w:r>
            <w:rPr>
              <w:rFonts w:hint="eastAsia" w:ascii="黑体" w:hAnsi="黑体" w:eastAsia="黑体" w:cs="黑体"/>
            </w:rPr>
            <w:fldChar w:fldCharType="end"/>
          </w:r>
        </w:p>
        <w:p w14:paraId="44159176">
          <w:pPr>
            <w:spacing w:line="229" w:lineRule="auto"/>
            <w:ind w:firstLine="400" w:firstLineChars="200"/>
            <w:rPr>
              <w:rFonts w:hint="eastAsia" w:ascii="黑体" w:hAnsi="黑体" w:eastAsia="黑体" w:cs="黑体"/>
              <w:sz w:val="20"/>
              <w:szCs w:val="20"/>
            </w:rPr>
            <w:sectPr>
              <w:pgSz w:w="11907" w:h="16840"/>
              <w:pgMar w:top="1431" w:right="1428" w:bottom="0" w:left="1426" w:header="0" w:footer="0" w:gutter="0"/>
              <w:cols w:space="720" w:num="1"/>
            </w:sectPr>
          </w:pPr>
          <w:r>
            <w:rPr>
              <w:rFonts w:hint="eastAsia" w:ascii="黑体" w:hAnsi="黑体" w:eastAsia="黑体" w:cs="黑体"/>
              <w:sz w:val="20"/>
              <w:szCs w:val="20"/>
            </w:rPr>
            <w:t>第三节 施工组织设计格式（明标）</w:t>
          </w:r>
          <w:r>
            <w:rPr>
              <w:rFonts w:hint="eastAsia" w:ascii="黑体" w:hAnsi="黑体" w:eastAsia="黑体" w:cs="黑体"/>
              <w:lang w:val="en-US" w:eastAsia="zh-CN"/>
            </w:rPr>
            <w:t>..................................................</w:t>
          </w:r>
          <w:r>
            <w:rPr>
              <w:rFonts w:hint="eastAsia" w:ascii="黑体" w:hAnsi="黑体" w:eastAsia="黑体" w:cs="黑体"/>
            </w:rPr>
            <w:fldChar w:fldCharType="begin"/>
          </w:r>
          <w:r>
            <w:rPr>
              <w:rFonts w:hint="eastAsia" w:ascii="黑体" w:hAnsi="黑体" w:eastAsia="黑体" w:cs="黑体"/>
            </w:rPr>
            <w:instrText xml:space="preserve"> PAGEREF _Toc22721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lang w:val="en-US" w:eastAsia="zh-CN"/>
            </w:rPr>
            <w:t>8</w:t>
          </w:r>
          <w:r>
            <w:rPr>
              <w:rFonts w:hint="eastAsia" w:ascii="黑体" w:hAnsi="黑体" w:eastAsia="黑体" w:cs="黑体"/>
            </w:rPr>
            <w:fldChar w:fldCharType="end"/>
          </w:r>
        </w:p>
        <w:p w14:paraId="3348C866">
          <w:pPr>
            <w:pStyle w:val="21"/>
            <w:tabs>
              <w:tab w:val="right" w:leader="dot" w:pos="9053"/>
            </w:tabs>
          </w:pPr>
        </w:p>
        <w:p w14:paraId="194CACD7">
          <w:r>
            <w:fldChar w:fldCharType="end"/>
          </w:r>
        </w:p>
      </w:sdtContent>
    </w:sdt>
    <w:p w14:paraId="2F1617B0">
      <w:pPr>
        <w:spacing w:before="63" w:line="225" w:lineRule="auto"/>
        <w:ind w:left="3376"/>
        <w:outlineLvl w:val="0"/>
        <w:rPr>
          <w:rFonts w:ascii="宋体" w:hAnsi="宋体" w:eastAsia="宋体" w:cs="宋体"/>
          <w:sz w:val="31"/>
          <w:szCs w:val="31"/>
        </w:rPr>
      </w:pPr>
      <w:bookmarkStart w:id="1" w:name="bookmark1"/>
      <w:bookmarkEnd w:id="1"/>
      <w:bookmarkStart w:id="2" w:name="_Toc30705"/>
      <w:r>
        <w:rPr>
          <w:rFonts w:ascii="宋体" w:hAnsi="宋体" w:eastAsia="宋体" w:cs="宋体"/>
          <w:b/>
          <w:bCs/>
          <w:spacing w:val="-8"/>
          <w:sz w:val="31"/>
          <w:szCs w:val="31"/>
        </w:rPr>
        <w:t>第</w:t>
      </w:r>
      <w:r>
        <w:rPr>
          <w:rFonts w:ascii="宋体" w:hAnsi="宋体" w:eastAsia="宋体" w:cs="宋体"/>
          <w:spacing w:val="15"/>
          <w:sz w:val="31"/>
          <w:szCs w:val="31"/>
        </w:rPr>
        <w:t xml:space="preserve">  </w:t>
      </w:r>
      <w:r>
        <w:rPr>
          <w:rFonts w:ascii="宋体" w:hAnsi="宋体" w:eastAsia="宋体" w:cs="宋体"/>
          <w:b/>
          <w:bCs/>
          <w:spacing w:val="-8"/>
          <w:sz w:val="31"/>
          <w:szCs w:val="31"/>
        </w:rPr>
        <w:t>一</w:t>
      </w:r>
      <w:r>
        <w:rPr>
          <w:rFonts w:ascii="宋体" w:hAnsi="宋体" w:eastAsia="宋体" w:cs="宋体"/>
          <w:spacing w:val="13"/>
          <w:sz w:val="31"/>
          <w:szCs w:val="31"/>
        </w:rPr>
        <w:t xml:space="preserve">  </w:t>
      </w:r>
      <w:r>
        <w:rPr>
          <w:rFonts w:ascii="宋体" w:hAnsi="宋体" w:eastAsia="宋体" w:cs="宋体"/>
          <w:b/>
          <w:bCs/>
          <w:spacing w:val="-8"/>
          <w:sz w:val="31"/>
          <w:szCs w:val="31"/>
        </w:rPr>
        <w:t>卷</w:t>
      </w:r>
      <w:bookmarkEnd w:id="2"/>
    </w:p>
    <w:p w14:paraId="04EDEB86">
      <w:pPr>
        <w:spacing w:line="225" w:lineRule="auto"/>
        <w:rPr>
          <w:rFonts w:ascii="宋体" w:hAnsi="宋体" w:eastAsia="宋体" w:cs="宋体"/>
          <w:sz w:val="31"/>
          <w:szCs w:val="31"/>
        </w:rPr>
        <w:sectPr>
          <w:pgSz w:w="11907" w:h="16840"/>
          <w:pgMar w:top="1403" w:right="1786" w:bottom="0" w:left="1786" w:header="0" w:footer="0" w:gutter="0"/>
          <w:cols w:space="720" w:num="1"/>
        </w:sectPr>
      </w:pPr>
    </w:p>
    <w:p w14:paraId="364F56C1">
      <w:pPr>
        <w:spacing w:before="64" w:line="223" w:lineRule="auto"/>
        <w:ind w:left="56"/>
        <w:outlineLvl w:val="0"/>
        <w:rPr>
          <w:rFonts w:ascii="宋体" w:hAnsi="宋体" w:eastAsia="宋体" w:cs="宋体"/>
          <w:sz w:val="31"/>
          <w:szCs w:val="31"/>
        </w:rPr>
      </w:pPr>
      <w:bookmarkStart w:id="3" w:name="bookmark3"/>
      <w:bookmarkEnd w:id="3"/>
      <w:bookmarkStart w:id="4" w:name="_Toc18942"/>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招标公告（适用于未进行资格预审的公开招标项目）</w:t>
      </w:r>
      <w:bookmarkEnd w:id="4"/>
    </w:p>
    <w:p w14:paraId="4B0C7BAF">
      <w:pPr>
        <w:spacing w:before="287" w:line="232" w:lineRule="auto"/>
        <w:ind w:left="3977" w:right="52" w:hanging="3918"/>
        <w:jc w:val="center"/>
        <w:rPr>
          <w:rFonts w:ascii="黑体" w:hAnsi="黑体" w:eastAsia="黑体" w:cs="黑体"/>
          <w:sz w:val="28"/>
          <w:szCs w:val="28"/>
        </w:rPr>
      </w:pPr>
      <w:r>
        <w:rPr>
          <w:rFonts w:hint="eastAsia" w:ascii="黑体" w:hAnsi="黑体" w:eastAsia="黑体" w:cs="黑体"/>
          <w:color w:val="0000FF"/>
          <w:sz w:val="28"/>
          <w:szCs w:val="28"/>
          <w:lang w:eastAsia="zh-CN"/>
        </w:rPr>
        <w:t>滨江大道出让82宗地块基础设施改造项目</w:t>
      </w:r>
      <w:r>
        <w:rPr>
          <w:rFonts w:ascii="黑体" w:hAnsi="黑体" w:eastAsia="黑体" w:cs="黑体"/>
          <w:spacing w:val="-1"/>
          <w:sz w:val="28"/>
          <w:szCs w:val="28"/>
        </w:rPr>
        <w:t>施工</w:t>
      </w:r>
      <w:r>
        <w:rPr>
          <w:rFonts w:ascii="黑体" w:hAnsi="黑体" w:eastAsia="黑体" w:cs="黑体"/>
          <w:spacing w:val="-3"/>
          <w:sz w:val="28"/>
          <w:szCs w:val="28"/>
        </w:rPr>
        <w:t>招标公告</w:t>
      </w:r>
    </w:p>
    <w:p w14:paraId="5CD48822">
      <w:pPr>
        <w:spacing w:before="27" w:line="221" w:lineRule="auto"/>
        <w:ind w:left="28"/>
        <w:outlineLvl w:val="1"/>
        <w:rPr>
          <w:rFonts w:ascii="Times New Roman" w:hAnsi="Times New Roman" w:eastAsia="Times New Roman" w:cs="Times New Roman"/>
          <w:spacing w:val="-6"/>
          <w:sz w:val="30"/>
          <w:szCs w:val="30"/>
        </w:rPr>
      </w:pPr>
      <w:bookmarkStart w:id="5" w:name="bookmark5"/>
      <w:bookmarkEnd w:id="5"/>
      <w:bookmarkStart w:id="6" w:name="_Toc25439"/>
    </w:p>
    <w:p w14:paraId="0A4E806E">
      <w:pPr>
        <w:spacing w:before="27" w:line="221" w:lineRule="auto"/>
        <w:ind w:left="28"/>
        <w:outlineLvl w:val="1"/>
        <w:rPr>
          <w:rFonts w:ascii="黑体" w:hAnsi="黑体" w:eastAsia="黑体" w:cs="黑体"/>
          <w:sz w:val="30"/>
          <w:szCs w:val="30"/>
        </w:rPr>
      </w:pPr>
      <w:r>
        <w:rPr>
          <w:rFonts w:ascii="Times New Roman" w:hAnsi="Times New Roman" w:eastAsia="Times New Roman" w:cs="Times New Roman"/>
          <w:spacing w:val="-6"/>
          <w:sz w:val="30"/>
          <w:szCs w:val="30"/>
        </w:rPr>
        <w:t>1.</w:t>
      </w:r>
      <w:r>
        <w:rPr>
          <w:rFonts w:ascii="黑体" w:hAnsi="黑体" w:eastAsia="黑体" w:cs="黑体"/>
          <w:spacing w:val="-6"/>
          <w:sz w:val="30"/>
          <w:szCs w:val="30"/>
        </w:rPr>
        <w:t>项目概况</w:t>
      </w:r>
      <w:bookmarkEnd w:id="6"/>
    </w:p>
    <w:p w14:paraId="6FDF853D">
      <w:pPr>
        <w:spacing w:before="211" w:line="228" w:lineRule="auto"/>
        <w:ind w:left="431"/>
        <w:outlineLvl w:val="2"/>
        <w:rPr>
          <w:rFonts w:hint="eastAsia" w:asciiTheme="minorEastAsia" w:hAnsiTheme="minorEastAsia" w:eastAsiaTheme="minorEastAsia" w:cstheme="minorEastAsia"/>
          <w:sz w:val="20"/>
          <w:szCs w:val="20"/>
        </w:rPr>
      </w:pPr>
      <w:bookmarkStart w:id="7" w:name="_Toc29649"/>
      <w:r>
        <w:rPr>
          <w:rFonts w:hint="eastAsia" w:asciiTheme="minorEastAsia" w:hAnsiTheme="minorEastAsia" w:eastAsiaTheme="minorEastAsia" w:cstheme="minorEastAsia"/>
          <w:spacing w:val="5"/>
          <w:sz w:val="20"/>
          <w:szCs w:val="20"/>
        </w:rPr>
        <w:t>1.1</w:t>
      </w:r>
      <w:r>
        <w:rPr>
          <w:rFonts w:hint="eastAsia" w:asciiTheme="minorEastAsia" w:hAnsiTheme="minorEastAsia" w:eastAsiaTheme="minorEastAsia" w:cstheme="minorEastAsia"/>
          <w:spacing w:val="19"/>
          <w:w w:val="102"/>
          <w:sz w:val="20"/>
          <w:szCs w:val="20"/>
        </w:rPr>
        <w:t xml:space="preserve"> </w:t>
      </w:r>
      <w:r>
        <w:rPr>
          <w:rFonts w:hint="eastAsia" w:asciiTheme="minorEastAsia" w:hAnsiTheme="minorEastAsia" w:eastAsiaTheme="minorEastAsia" w:cstheme="minorEastAsia"/>
          <w:spacing w:val="5"/>
          <w:sz w:val="20"/>
          <w:szCs w:val="20"/>
        </w:rPr>
        <w:t>审批、核准或备案情况</w:t>
      </w:r>
      <w:bookmarkEnd w:id="7"/>
    </w:p>
    <w:p w14:paraId="78BA06E5">
      <w:pPr>
        <w:spacing w:before="161" w:line="370" w:lineRule="auto"/>
        <w:ind w:left="3" w:firstLine="42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项目名称</w:t>
      </w:r>
      <w:r>
        <w:rPr>
          <w:rFonts w:hint="eastAsia" w:asciiTheme="minorEastAsia" w:hAnsiTheme="minorEastAsia" w:eastAsiaTheme="minorEastAsia" w:cstheme="minorEastAsia"/>
          <w:spacing w:val="11"/>
          <w:sz w:val="20"/>
          <w:szCs w:val="20"/>
          <w:lang w:val="en-US" w:eastAsia="zh-CN"/>
        </w:rPr>
        <w:t xml:space="preserve"> </w:t>
      </w:r>
      <w:r>
        <w:rPr>
          <w:rFonts w:hint="eastAsia" w:asciiTheme="minorEastAsia" w:hAnsiTheme="minorEastAsia" w:eastAsiaTheme="minorEastAsia" w:cstheme="minorEastAsia"/>
          <w:color w:val="0000FF"/>
          <w:spacing w:val="11"/>
          <w:sz w:val="20"/>
          <w:szCs w:val="20"/>
          <w:lang w:eastAsia="zh-CN"/>
        </w:rPr>
        <w:t>滨江大道出让82宗地块基础设施改造项目</w:t>
      </w:r>
      <w:r>
        <w:rPr>
          <w:rFonts w:hint="eastAsia" w:asciiTheme="minorEastAsia" w:hAnsiTheme="minorEastAsia" w:eastAsiaTheme="minorEastAsia" w:cstheme="minorEastAsia"/>
          <w:spacing w:val="11"/>
          <w:sz w:val="20"/>
          <w:szCs w:val="20"/>
        </w:rPr>
        <w:t>，项目审</w:t>
      </w:r>
      <w:r>
        <w:rPr>
          <w:rFonts w:hint="eastAsia" w:asciiTheme="minorEastAsia" w:hAnsiTheme="minorEastAsia" w:eastAsiaTheme="minorEastAsia" w:cstheme="minorEastAsia"/>
          <w:spacing w:val="10"/>
          <w:sz w:val="20"/>
          <w:szCs w:val="20"/>
        </w:rPr>
        <w:t>批、核准或备案机关名称</w:t>
      </w:r>
      <w:r>
        <w:rPr>
          <w:rFonts w:hint="eastAsia" w:asciiTheme="minorEastAsia" w:hAnsiTheme="minorEastAsia" w:eastAsiaTheme="minorEastAsia" w:cstheme="minorEastAsia"/>
          <w:spacing w:val="10"/>
          <w:sz w:val="20"/>
          <w:szCs w:val="20"/>
          <w:lang w:val="en-US" w:eastAsia="zh-CN"/>
        </w:rPr>
        <w:t xml:space="preserve"> </w:t>
      </w:r>
      <w:r>
        <w:rPr>
          <w:rFonts w:hint="eastAsia" w:asciiTheme="minorEastAsia" w:hAnsiTheme="minorEastAsia" w:eastAsiaTheme="minorEastAsia" w:cstheme="minorEastAsia"/>
          <w:color w:val="0000FF"/>
          <w:spacing w:val="10"/>
          <w:sz w:val="20"/>
          <w:szCs w:val="20"/>
        </w:rPr>
        <w:t>江华瑶族自治县发展和改革局</w:t>
      </w:r>
      <w:r>
        <w:rPr>
          <w:rFonts w:hint="eastAsia" w:asciiTheme="minorEastAsia" w:hAnsiTheme="minorEastAsia" w:eastAsiaTheme="minorEastAsia" w:cstheme="minorEastAsia"/>
          <w:color w:val="0000FF"/>
          <w:spacing w:val="10"/>
          <w:sz w:val="20"/>
          <w:szCs w:val="20"/>
          <w:lang w:val="en-US" w:eastAsia="zh-CN"/>
        </w:rPr>
        <w:t xml:space="preserve"> </w:t>
      </w:r>
      <w:r>
        <w:rPr>
          <w:rFonts w:hint="eastAsia" w:asciiTheme="minorEastAsia" w:hAnsiTheme="minorEastAsia" w:eastAsiaTheme="minorEastAsia" w:cstheme="minorEastAsia"/>
          <w:color w:val="auto"/>
          <w:spacing w:val="10"/>
          <w:sz w:val="20"/>
          <w:szCs w:val="20"/>
          <w:lang w:val="en-US" w:eastAsia="zh-CN"/>
        </w:rPr>
        <w:t>批</w:t>
      </w:r>
      <w:r>
        <w:rPr>
          <w:rFonts w:hint="eastAsia" w:asciiTheme="minorEastAsia" w:hAnsiTheme="minorEastAsia" w:eastAsiaTheme="minorEastAsia" w:cstheme="minorEastAsia"/>
          <w:color w:val="auto"/>
          <w:spacing w:val="8"/>
          <w:sz w:val="20"/>
          <w:szCs w:val="20"/>
        </w:rPr>
        <w:t>文</w:t>
      </w:r>
      <w:r>
        <w:rPr>
          <w:rFonts w:hint="eastAsia" w:asciiTheme="minorEastAsia" w:hAnsiTheme="minorEastAsia" w:eastAsiaTheme="minorEastAsia" w:cstheme="minorEastAsia"/>
          <w:spacing w:val="8"/>
          <w:sz w:val="20"/>
          <w:szCs w:val="20"/>
        </w:rPr>
        <w:t>名称及编号</w:t>
      </w:r>
      <w:r>
        <w:rPr>
          <w:rFonts w:hint="eastAsia" w:asciiTheme="minorEastAsia" w:hAnsiTheme="minorEastAsia" w:eastAsiaTheme="minorEastAsia" w:cstheme="minorEastAsia"/>
          <w:spacing w:val="8"/>
          <w:sz w:val="20"/>
          <w:szCs w:val="20"/>
          <w:lang w:val="en-US" w:eastAsia="zh-CN"/>
        </w:rPr>
        <w:t xml:space="preserve"> </w:t>
      </w:r>
      <w:r>
        <w:rPr>
          <w:rFonts w:hint="eastAsia" w:asciiTheme="minorEastAsia" w:hAnsiTheme="minorEastAsia" w:eastAsiaTheme="minorEastAsia" w:cstheme="minorEastAsia"/>
          <w:color w:val="0000FF"/>
          <w:spacing w:val="8"/>
          <w:sz w:val="20"/>
          <w:szCs w:val="20"/>
        </w:rPr>
        <w:t>江发改审〔2024〕124号</w:t>
      </w:r>
      <w:r>
        <w:rPr>
          <w:rFonts w:hint="eastAsia" w:asciiTheme="minorEastAsia" w:hAnsiTheme="minorEastAsia" w:eastAsiaTheme="minorEastAsia" w:cstheme="minorEastAsia"/>
          <w:spacing w:val="8"/>
          <w:sz w:val="20"/>
          <w:szCs w:val="20"/>
        </w:rPr>
        <w:t>，建设单位为</w:t>
      </w:r>
      <w:r>
        <w:rPr>
          <w:rFonts w:hint="eastAsia" w:asciiTheme="minorEastAsia" w:hAnsiTheme="minorEastAsia" w:eastAsiaTheme="minorEastAsia" w:cstheme="minorEastAsia"/>
          <w:spacing w:val="8"/>
          <w:sz w:val="20"/>
          <w:szCs w:val="20"/>
          <w:lang w:val="en-US" w:eastAsia="zh-CN"/>
        </w:rPr>
        <w:t xml:space="preserve"> </w:t>
      </w:r>
      <w:r>
        <w:rPr>
          <w:rFonts w:hint="eastAsia" w:asciiTheme="minorEastAsia" w:hAnsiTheme="minorEastAsia" w:eastAsiaTheme="minorEastAsia" w:cstheme="minorEastAsia"/>
          <w:color w:val="0000FF"/>
          <w:spacing w:val="8"/>
          <w:sz w:val="20"/>
          <w:szCs w:val="20"/>
          <w:lang w:eastAsia="zh-CN"/>
        </w:rPr>
        <w:t>江华冯乘发展集团有限公司</w:t>
      </w:r>
      <w:r>
        <w:rPr>
          <w:rFonts w:hint="eastAsia" w:asciiTheme="minorEastAsia" w:hAnsiTheme="minorEastAsia" w:eastAsiaTheme="minorEastAsia" w:cstheme="minorEastAsia"/>
          <w:spacing w:val="8"/>
          <w:sz w:val="20"/>
          <w:szCs w:val="20"/>
        </w:rPr>
        <w:t>，招标人为</w:t>
      </w:r>
      <w:r>
        <w:rPr>
          <w:rFonts w:hint="eastAsia" w:asciiTheme="minorEastAsia" w:hAnsiTheme="minorEastAsia" w:eastAsiaTheme="minorEastAsia" w:cstheme="minorEastAsia"/>
          <w:spacing w:val="8"/>
          <w:sz w:val="20"/>
          <w:szCs w:val="20"/>
          <w:lang w:val="en-US" w:eastAsia="zh-CN"/>
        </w:rPr>
        <w:t xml:space="preserve"> </w:t>
      </w:r>
      <w:r>
        <w:rPr>
          <w:rFonts w:hint="eastAsia" w:asciiTheme="minorEastAsia" w:hAnsiTheme="minorEastAsia" w:eastAsiaTheme="minorEastAsia" w:cstheme="minorEastAsia"/>
          <w:color w:val="0000FF"/>
          <w:spacing w:val="8"/>
          <w:sz w:val="20"/>
          <w:szCs w:val="20"/>
          <w:lang w:eastAsia="zh-CN"/>
        </w:rPr>
        <w:t>江华冯乘发展集团有限公司</w:t>
      </w:r>
      <w:r>
        <w:rPr>
          <w:rFonts w:hint="eastAsia" w:asciiTheme="minorEastAsia" w:hAnsiTheme="minorEastAsia" w:eastAsiaTheme="minorEastAsia" w:cstheme="minorEastAsia"/>
          <w:spacing w:val="8"/>
          <w:sz w:val="20"/>
          <w:szCs w:val="20"/>
        </w:rPr>
        <w:t>，项目总投资为</w:t>
      </w:r>
      <w:r>
        <w:rPr>
          <w:rFonts w:hint="eastAsia" w:asciiTheme="minorEastAsia" w:hAnsiTheme="minorEastAsia" w:eastAsiaTheme="minorEastAsia" w:cstheme="minorEastAsia"/>
          <w:spacing w:val="-35"/>
          <w:sz w:val="20"/>
          <w:szCs w:val="20"/>
        </w:rPr>
        <w:t xml:space="preserve"> </w:t>
      </w:r>
      <w:r>
        <w:rPr>
          <w:rFonts w:hint="eastAsia" w:asciiTheme="minorEastAsia" w:hAnsiTheme="minorEastAsia" w:eastAsiaTheme="minorEastAsia" w:cstheme="minorEastAsia"/>
          <w:color w:val="0000FF"/>
          <w:sz w:val="21"/>
          <w:szCs w:val="21"/>
          <w:highlight w:val="none"/>
          <w:u w:val="none"/>
          <w:lang w:val="en-US" w:eastAsia="zh-CN"/>
        </w:rPr>
        <w:t>3640418.88</w:t>
      </w:r>
      <w:r>
        <w:rPr>
          <w:rFonts w:hint="eastAsia" w:asciiTheme="minorEastAsia" w:hAnsiTheme="minorEastAsia" w:eastAsiaTheme="minorEastAsia" w:cstheme="minorEastAsia"/>
          <w:color w:val="0000FF"/>
          <w:spacing w:val="19"/>
          <w:w w:val="102"/>
          <w:sz w:val="20"/>
          <w:szCs w:val="20"/>
          <w:u w:val="none"/>
        </w:rPr>
        <w:t xml:space="preserve"> </w:t>
      </w:r>
      <w:r>
        <w:rPr>
          <w:rFonts w:hint="eastAsia" w:asciiTheme="minorEastAsia" w:hAnsiTheme="minorEastAsia" w:eastAsiaTheme="minorEastAsia" w:cstheme="minorEastAsia"/>
          <w:color w:val="0000FF"/>
          <w:spacing w:val="7"/>
          <w:sz w:val="20"/>
          <w:szCs w:val="20"/>
        </w:rPr>
        <w:t>元</w:t>
      </w:r>
      <w:r>
        <w:rPr>
          <w:rFonts w:hint="eastAsia" w:asciiTheme="minorEastAsia" w:hAnsiTheme="minorEastAsia" w:eastAsiaTheme="minorEastAsia" w:cstheme="minorEastAsia"/>
          <w:spacing w:val="7"/>
          <w:sz w:val="20"/>
          <w:szCs w:val="20"/>
        </w:rPr>
        <w:t>，资金来源和落实情况</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color w:val="0000FF"/>
          <w:spacing w:val="7"/>
          <w:sz w:val="20"/>
          <w:szCs w:val="20"/>
        </w:rPr>
        <w:t>县级一般公共预算资金，已落实</w:t>
      </w:r>
      <w:r>
        <w:rPr>
          <w:rFonts w:hint="eastAsia" w:asciiTheme="minorEastAsia" w:hAnsiTheme="minorEastAsia" w:eastAsiaTheme="minorEastAsia" w:cstheme="minorEastAsia"/>
          <w:spacing w:val="7"/>
          <w:sz w:val="20"/>
          <w:szCs w:val="20"/>
        </w:rPr>
        <w:t>。</w:t>
      </w:r>
    </w:p>
    <w:p w14:paraId="7F243C95">
      <w:pPr>
        <w:spacing w:before="30" w:line="228" w:lineRule="auto"/>
        <w:ind w:left="431"/>
        <w:outlineLvl w:val="2"/>
        <w:rPr>
          <w:rFonts w:hint="eastAsia" w:asciiTheme="minorEastAsia" w:hAnsiTheme="minorEastAsia" w:eastAsiaTheme="minorEastAsia" w:cstheme="minorEastAsia"/>
          <w:sz w:val="20"/>
          <w:szCs w:val="20"/>
        </w:rPr>
      </w:pPr>
      <w:bookmarkStart w:id="8" w:name="_Toc19245"/>
      <w:r>
        <w:rPr>
          <w:rFonts w:hint="eastAsia" w:asciiTheme="minorEastAsia" w:hAnsiTheme="minorEastAsia" w:eastAsiaTheme="minorEastAsia" w:cstheme="minorEastAsia"/>
          <w:spacing w:val="4"/>
          <w:sz w:val="20"/>
          <w:szCs w:val="20"/>
        </w:rPr>
        <w:t>1.2</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4"/>
          <w:sz w:val="20"/>
          <w:szCs w:val="20"/>
        </w:rPr>
        <w:t>招标项目概况</w:t>
      </w:r>
      <w:bookmarkEnd w:id="8"/>
    </w:p>
    <w:p w14:paraId="1BDDA518">
      <w:pPr>
        <w:spacing w:before="162" w:line="302" w:lineRule="auto"/>
        <w:ind w:left="5" w:firstLine="42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1.2.1 招标项目或标段（以下简称</w:t>
      </w:r>
      <w:r>
        <w:rPr>
          <w:rFonts w:hint="eastAsia" w:asciiTheme="minorEastAsia" w:hAnsiTheme="minorEastAsia" w:eastAsiaTheme="minorEastAsia" w:cstheme="minorEastAsia"/>
          <w:spacing w:val="9"/>
          <w:sz w:val="20"/>
          <w:szCs w:val="20"/>
        </w:rPr>
        <w:t>：招标项目）名称：</w:t>
      </w:r>
      <w:r>
        <w:rPr>
          <w:rFonts w:hint="eastAsia" w:asciiTheme="minorEastAsia" w:hAnsiTheme="minorEastAsia" w:eastAsiaTheme="minorEastAsia" w:cstheme="minorEastAsia"/>
          <w:color w:val="0000FF"/>
          <w:spacing w:val="9"/>
          <w:sz w:val="20"/>
          <w:szCs w:val="20"/>
        </w:rPr>
        <w:t>滨江大道出让82宗地块基础设施改造项目</w:t>
      </w:r>
      <w:r>
        <w:rPr>
          <w:rFonts w:hint="eastAsia" w:asciiTheme="minorEastAsia" w:hAnsiTheme="minorEastAsia" w:eastAsiaTheme="minorEastAsia" w:cstheme="minorEastAsia"/>
          <w:spacing w:val="2"/>
          <w:sz w:val="20"/>
          <w:szCs w:val="20"/>
        </w:rPr>
        <w:t>；</w:t>
      </w:r>
    </w:p>
    <w:p w14:paraId="62AF1333">
      <w:pPr>
        <w:spacing w:before="160" w:line="228" w:lineRule="auto"/>
        <w:ind w:left="4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1.2.2</w:t>
      </w:r>
      <w:r>
        <w:rPr>
          <w:rFonts w:hint="eastAsia" w:asciiTheme="minorEastAsia" w:hAnsiTheme="minorEastAsia" w:eastAsiaTheme="minorEastAsia" w:cstheme="minorEastAsia"/>
          <w:spacing w:val="13"/>
          <w:sz w:val="20"/>
          <w:szCs w:val="20"/>
        </w:rPr>
        <w:t xml:space="preserve"> </w:t>
      </w:r>
      <w:r>
        <w:rPr>
          <w:rFonts w:hint="eastAsia" w:asciiTheme="minorEastAsia" w:hAnsiTheme="minorEastAsia" w:eastAsiaTheme="minorEastAsia" w:cstheme="minorEastAsia"/>
          <w:spacing w:val="5"/>
          <w:sz w:val="20"/>
          <w:szCs w:val="20"/>
        </w:rPr>
        <w:t>建设地点：</w:t>
      </w:r>
      <w:r>
        <w:rPr>
          <w:rFonts w:hint="eastAsia" w:asciiTheme="minorEastAsia" w:hAnsiTheme="minorEastAsia" w:eastAsiaTheme="minorEastAsia" w:cstheme="minorEastAsia"/>
          <w:color w:val="0000FF"/>
          <w:spacing w:val="5"/>
          <w:sz w:val="20"/>
          <w:szCs w:val="20"/>
        </w:rPr>
        <w:t>江华瑶族自治县滨江大道旁</w:t>
      </w:r>
      <w:r>
        <w:rPr>
          <w:rFonts w:hint="eastAsia" w:asciiTheme="minorEastAsia" w:hAnsiTheme="minorEastAsia" w:eastAsiaTheme="minorEastAsia" w:cstheme="minorEastAsia"/>
          <w:spacing w:val="5"/>
          <w:sz w:val="20"/>
          <w:szCs w:val="20"/>
        </w:rPr>
        <w:t>；</w:t>
      </w:r>
    </w:p>
    <w:p w14:paraId="509C0823">
      <w:pPr>
        <w:spacing w:before="162" w:line="227" w:lineRule="auto"/>
        <w:ind w:left="4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1.2.3</w:t>
      </w:r>
      <w:r>
        <w:rPr>
          <w:rFonts w:hint="eastAsia" w:asciiTheme="minorEastAsia" w:hAnsiTheme="minorEastAsia" w:eastAsiaTheme="minorEastAsia" w:cstheme="minorEastAsia"/>
          <w:spacing w:val="12"/>
          <w:w w:val="101"/>
          <w:sz w:val="20"/>
          <w:szCs w:val="20"/>
        </w:rPr>
        <w:t xml:space="preserve"> </w:t>
      </w:r>
      <w:r>
        <w:rPr>
          <w:rFonts w:hint="eastAsia" w:asciiTheme="minorEastAsia" w:hAnsiTheme="minorEastAsia" w:eastAsiaTheme="minorEastAsia" w:cstheme="minorEastAsia"/>
          <w:spacing w:val="3"/>
          <w:sz w:val="20"/>
          <w:szCs w:val="20"/>
        </w:rPr>
        <w:t>项目基本情况</w:t>
      </w:r>
    </w:p>
    <w:p w14:paraId="46489821">
      <w:pPr>
        <w:spacing w:before="163" w:line="362" w:lineRule="auto"/>
        <w:ind w:left="4" w:firstLine="31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FF"/>
          <w:spacing w:val="8"/>
          <w:sz w:val="20"/>
          <w:szCs w:val="20"/>
          <w:lang w:eastAsia="zh-CN"/>
        </w:rPr>
        <w:t>项目位于湖南省永州市江华县主城区南部，南邻城市主干道滨江大道，东接城市主干道萌渚路，南部为西河。该地块共分为地块一、地块二82宗小地，其中地块一为42宗，地块二为40宗。主要包括滨江地块市政道路管网与排洪泄水工程、园林绿化工程。</w:t>
      </w:r>
    </w:p>
    <w:p w14:paraId="30FE7828">
      <w:pPr>
        <w:spacing w:before="34" w:line="372" w:lineRule="auto"/>
        <w:ind w:left="1" w:firstLine="32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（由招标人根据招标项目具体情况，结合要求投标人具备类似工程业绩情况和投标判断有</w:t>
      </w:r>
      <w:r>
        <w:rPr>
          <w:rFonts w:hint="eastAsia" w:asciiTheme="minorEastAsia" w:hAnsiTheme="minorEastAsia" w:eastAsiaTheme="minorEastAsia" w:cstheme="minorEastAsia"/>
          <w:spacing w:val="7"/>
          <w:sz w:val="20"/>
          <w:szCs w:val="20"/>
        </w:rPr>
        <w:t>关的指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标进行描述。其中：房屋建筑工程要求投标人具备类似工程业绩的相</w:t>
      </w:r>
      <w:r>
        <w:rPr>
          <w:rFonts w:hint="eastAsia" w:asciiTheme="minorEastAsia" w:hAnsiTheme="minorEastAsia" w:eastAsiaTheme="minorEastAsia" w:cstheme="minorEastAsia"/>
          <w:spacing w:val="10"/>
          <w:sz w:val="20"/>
          <w:szCs w:val="20"/>
        </w:rPr>
        <w:t>关指标、特征为“建筑类型、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结构、层数、高度、建筑面积、跨度、单项合同额等</w:t>
      </w:r>
      <w:r>
        <w:rPr>
          <w:rFonts w:hint="eastAsia" w:asciiTheme="minorEastAsia" w:hAnsiTheme="minorEastAsia" w:eastAsiaTheme="minorEastAsia" w:cstheme="minorEastAsia"/>
          <w:spacing w:val="-72"/>
          <w:sz w:val="20"/>
          <w:szCs w:val="20"/>
        </w:rPr>
        <w:t xml:space="preserve"> </w:t>
      </w:r>
      <w:r>
        <w:rPr>
          <w:rFonts w:hint="eastAsia" w:asciiTheme="minorEastAsia" w:hAnsiTheme="minorEastAsia" w:eastAsiaTheme="minorEastAsia" w:cstheme="minorEastAsia"/>
          <w:spacing w:val="10"/>
          <w:sz w:val="20"/>
          <w:szCs w:val="20"/>
        </w:rPr>
        <w:t>”；市政基础设施工程要求的相关指标、特征</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为“道路长度或者面积、桥梁长度或者面积或者跨度或者结构</w:t>
      </w:r>
      <w:r>
        <w:rPr>
          <w:rFonts w:hint="eastAsia" w:asciiTheme="minorEastAsia" w:hAnsiTheme="minorEastAsia" w:eastAsiaTheme="minorEastAsia" w:cstheme="minorEastAsia"/>
          <w:spacing w:val="10"/>
          <w:sz w:val="20"/>
          <w:szCs w:val="20"/>
        </w:rPr>
        <w:t>、管道直径或者压力、隧道和地下交</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通工程断面面积、供水能力、供气能力、供热能力、污水处理能力、</w:t>
      </w:r>
      <w:r>
        <w:rPr>
          <w:rFonts w:hint="eastAsia" w:asciiTheme="minorEastAsia" w:hAnsiTheme="minorEastAsia" w:eastAsiaTheme="minorEastAsia" w:cstheme="minorEastAsia"/>
          <w:spacing w:val="10"/>
          <w:sz w:val="20"/>
          <w:szCs w:val="20"/>
        </w:rPr>
        <w:t>垃圾处理能力、园林绿化规模</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以及单项合同额等</w:t>
      </w:r>
      <w:r>
        <w:rPr>
          <w:rFonts w:hint="eastAsia" w:asciiTheme="minorEastAsia" w:hAnsiTheme="minorEastAsia" w:eastAsiaTheme="minorEastAsia" w:cstheme="minorEastAsia"/>
          <w:spacing w:val="-70"/>
          <w:sz w:val="20"/>
          <w:szCs w:val="20"/>
        </w:rPr>
        <w:t xml:space="preserve"> </w:t>
      </w:r>
      <w:r>
        <w:rPr>
          <w:rFonts w:hint="eastAsia" w:asciiTheme="minorEastAsia" w:hAnsiTheme="minorEastAsia" w:eastAsiaTheme="minorEastAsia" w:cstheme="minorEastAsia"/>
          <w:spacing w:val="8"/>
          <w:sz w:val="20"/>
          <w:szCs w:val="20"/>
        </w:rPr>
        <w:t>”）</w:t>
      </w:r>
    </w:p>
    <w:p w14:paraId="27C3C314">
      <w:pPr>
        <w:spacing w:before="31" w:line="228" w:lineRule="auto"/>
        <w:ind w:left="4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1.2.4</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5"/>
          <w:sz w:val="20"/>
          <w:szCs w:val="20"/>
        </w:rPr>
        <w:t>标段划分：</w:t>
      </w:r>
      <w:r>
        <w:rPr>
          <w:rFonts w:hint="eastAsia" w:asciiTheme="minorEastAsia" w:hAnsiTheme="minorEastAsia" w:eastAsiaTheme="minorEastAsia" w:cstheme="minorEastAsia"/>
          <w:color w:val="0000FF"/>
          <w:spacing w:val="5"/>
          <w:sz w:val="20"/>
          <w:szCs w:val="20"/>
        </w:rPr>
        <w:t>一个标段</w:t>
      </w:r>
      <w:r>
        <w:rPr>
          <w:rFonts w:hint="eastAsia" w:asciiTheme="minorEastAsia" w:hAnsiTheme="minorEastAsia" w:eastAsiaTheme="minorEastAsia" w:cstheme="minorEastAsia"/>
          <w:spacing w:val="5"/>
          <w:sz w:val="20"/>
          <w:szCs w:val="20"/>
        </w:rPr>
        <w:t>；</w:t>
      </w:r>
    </w:p>
    <w:p w14:paraId="2EAD21F4">
      <w:pPr>
        <w:spacing w:before="161" w:line="228" w:lineRule="auto"/>
        <w:ind w:left="431"/>
        <w:outlineLvl w:val="2"/>
        <w:rPr>
          <w:rFonts w:hint="eastAsia" w:asciiTheme="minorEastAsia" w:hAnsiTheme="minorEastAsia" w:eastAsiaTheme="minorEastAsia" w:cstheme="minorEastAsia"/>
          <w:sz w:val="20"/>
          <w:szCs w:val="20"/>
        </w:rPr>
      </w:pPr>
      <w:bookmarkStart w:id="9" w:name="_Toc4020"/>
      <w:r>
        <w:rPr>
          <w:rFonts w:hint="eastAsia" w:asciiTheme="minorEastAsia" w:hAnsiTheme="minorEastAsia" w:eastAsiaTheme="minorEastAsia" w:cstheme="minorEastAsia"/>
          <w:spacing w:val="2"/>
          <w:sz w:val="20"/>
          <w:szCs w:val="20"/>
        </w:rPr>
        <w:t>1.3</w:t>
      </w:r>
      <w:r>
        <w:rPr>
          <w:rFonts w:hint="eastAsia" w:asciiTheme="minorEastAsia" w:hAnsiTheme="minorEastAsia" w:eastAsiaTheme="minorEastAsia" w:cstheme="minorEastAsia"/>
          <w:spacing w:val="21"/>
          <w:sz w:val="20"/>
          <w:szCs w:val="20"/>
        </w:rPr>
        <w:t xml:space="preserve"> </w:t>
      </w:r>
      <w:r>
        <w:rPr>
          <w:rFonts w:hint="eastAsia" w:asciiTheme="minorEastAsia" w:hAnsiTheme="minorEastAsia" w:eastAsiaTheme="minorEastAsia" w:cstheme="minorEastAsia"/>
          <w:spacing w:val="2"/>
          <w:sz w:val="20"/>
          <w:szCs w:val="20"/>
        </w:rPr>
        <w:t>工期要求：</w:t>
      </w:r>
      <w:r>
        <w:rPr>
          <w:rFonts w:hint="eastAsia" w:asciiTheme="minorEastAsia" w:hAnsiTheme="minorEastAsia" w:eastAsiaTheme="minorEastAsia" w:cstheme="minorEastAsia"/>
          <w:color w:val="0000FF"/>
          <w:spacing w:val="2"/>
          <w:sz w:val="20"/>
          <w:szCs w:val="20"/>
          <w:highlight w:val="none"/>
          <w:lang w:val="en-US" w:eastAsia="zh-CN"/>
        </w:rPr>
        <w:t>90</w:t>
      </w:r>
      <w:r>
        <w:rPr>
          <w:rFonts w:hint="eastAsia" w:asciiTheme="minorEastAsia" w:hAnsiTheme="minorEastAsia" w:eastAsiaTheme="minorEastAsia" w:cstheme="minorEastAsia"/>
          <w:color w:val="0000FF"/>
          <w:spacing w:val="2"/>
          <w:sz w:val="20"/>
          <w:szCs w:val="20"/>
        </w:rPr>
        <w:t>☑</w:t>
      </w:r>
      <w:r>
        <w:rPr>
          <w:rFonts w:hint="eastAsia" w:asciiTheme="minorEastAsia" w:hAnsiTheme="minorEastAsia" w:eastAsiaTheme="minorEastAsia" w:cstheme="minorEastAsia"/>
          <w:spacing w:val="2"/>
          <w:sz w:val="20"/>
          <w:szCs w:val="20"/>
        </w:rPr>
        <w:t>天（</w:t>
      </w:r>
      <w:r>
        <w:rPr>
          <w:rFonts w:hint="eastAsia" w:asciiTheme="minorEastAsia" w:hAnsiTheme="minorEastAsia" w:eastAsiaTheme="minorEastAsia" w:cstheme="minorEastAsia"/>
          <w:spacing w:val="-24"/>
          <w:sz w:val="20"/>
          <w:szCs w:val="20"/>
        </w:rPr>
        <w:t xml:space="preserve"> </w:t>
      </w:r>
      <w:r>
        <w:rPr>
          <w:rFonts w:hint="eastAsia" w:asciiTheme="minorEastAsia" w:hAnsiTheme="minorEastAsia" w:eastAsiaTheme="minorEastAsia" w:cstheme="minorEastAsia"/>
          <w:spacing w:val="2"/>
          <w:sz w:val="20"/>
          <w:szCs w:val="20"/>
        </w:rPr>
        <w:t>日历日，下同）</w:t>
      </w:r>
      <w:r>
        <w:rPr>
          <w:rFonts w:hint="eastAsia" w:asciiTheme="minorEastAsia" w:hAnsiTheme="minorEastAsia" w:eastAsiaTheme="minorEastAsia" w:cstheme="minorEastAsia"/>
          <w:spacing w:val="-59"/>
          <w:sz w:val="20"/>
          <w:szCs w:val="20"/>
        </w:rPr>
        <w:t xml:space="preserve"> </w:t>
      </w:r>
      <w:r>
        <w:rPr>
          <w:rFonts w:hint="eastAsia" w:asciiTheme="minorEastAsia" w:hAnsiTheme="minorEastAsia" w:eastAsiaTheme="minorEastAsia" w:cstheme="minorEastAsia"/>
          <w:color w:val="0000FF"/>
          <w:spacing w:val="2"/>
          <w:sz w:val="20"/>
          <w:szCs w:val="20"/>
        </w:rPr>
        <w:t>□</w:t>
      </w:r>
      <w:r>
        <w:rPr>
          <w:rFonts w:hint="eastAsia" w:asciiTheme="minorEastAsia" w:hAnsiTheme="minorEastAsia" w:eastAsiaTheme="minorEastAsia" w:cstheme="minorEastAsia"/>
          <w:spacing w:val="2"/>
          <w:sz w:val="20"/>
          <w:szCs w:val="20"/>
        </w:rPr>
        <w:t>月</w:t>
      </w:r>
      <w:r>
        <w:rPr>
          <w:rFonts w:hint="eastAsia" w:asciiTheme="minorEastAsia" w:hAnsiTheme="minorEastAsia" w:eastAsiaTheme="minorEastAsia" w:cstheme="minorEastAsia"/>
          <w:color w:val="0000FF"/>
          <w:spacing w:val="2"/>
          <w:sz w:val="20"/>
          <w:szCs w:val="20"/>
        </w:rPr>
        <w:t>□</w:t>
      </w:r>
      <w:r>
        <w:rPr>
          <w:rFonts w:hint="eastAsia" w:asciiTheme="minorEastAsia" w:hAnsiTheme="minorEastAsia" w:eastAsiaTheme="minorEastAsia" w:cstheme="minorEastAsia"/>
          <w:spacing w:val="2"/>
          <w:sz w:val="20"/>
          <w:szCs w:val="20"/>
        </w:rPr>
        <w:t>年；</w:t>
      </w:r>
      <w:bookmarkEnd w:id="9"/>
    </w:p>
    <w:p w14:paraId="3BCB3930">
      <w:pPr>
        <w:spacing w:before="163" w:line="302" w:lineRule="auto"/>
        <w:ind w:left="1" w:right="2" w:firstLine="42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1.4 招标范围：</w:t>
      </w:r>
      <w:r>
        <w:rPr>
          <w:rFonts w:hint="eastAsia" w:asciiTheme="minorEastAsia" w:hAnsiTheme="minorEastAsia" w:eastAsiaTheme="minorEastAsia" w:cstheme="minorEastAsia"/>
          <w:color w:val="0000FF"/>
          <w:spacing w:val="11"/>
          <w:sz w:val="20"/>
          <w:szCs w:val="20"/>
        </w:rPr>
        <w:t>包括滨江地块前期平整、管网改迁、电力改迁、燃气改迁、房前入户道路硬化、雨污管安装、自来水安装、永久用电、绿化工程等（具体内容以招标人提供的施工图和工程量清单为准）</w:t>
      </w:r>
      <w:r>
        <w:rPr>
          <w:rFonts w:hint="eastAsia" w:asciiTheme="minorEastAsia" w:hAnsiTheme="minorEastAsia" w:eastAsiaTheme="minorEastAsia" w:cstheme="minorEastAsia"/>
          <w:sz w:val="20"/>
          <w:szCs w:val="20"/>
        </w:rPr>
        <w:t>；</w:t>
      </w:r>
    </w:p>
    <w:p w14:paraId="5B880D03">
      <w:pPr>
        <w:spacing w:before="162" w:line="228" w:lineRule="auto"/>
        <w:ind w:left="4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 xml:space="preserve">1.5 </w:t>
      </w:r>
      <w:r>
        <w:rPr>
          <w:rFonts w:hint="eastAsia" w:asciiTheme="minorEastAsia" w:hAnsiTheme="minorEastAsia" w:eastAsiaTheme="minorEastAsia" w:cstheme="minorEastAsia"/>
          <w:color w:val="auto"/>
          <w:spacing w:val="9"/>
          <w:sz w:val="20"/>
          <w:szCs w:val="20"/>
        </w:rPr>
        <w:t>质量标准：</w:t>
      </w:r>
      <w:r>
        <w:rPr>
          <w:rFonts w:hint="eastAsia" w:asciiTheme="minorEastAsia" w:hAnsiTheme="minorEastAsia" w:eastAsiaTheme="minorEastAsia" w:cstheme="minorEastAsia"/>
          <w:color w:val="0000FF"/>
          <w:spacing w:val="9"/>
          <w:sz w:val="20"/>
          <w:szCs w:val="20"/>
        </w:rPr>
        <w:t>按现行国家有关工程施工验收规范，达</w:t>
      </w:r>
      <w:r>
        <w:rPr>
          <w:rFonts w:hint="eastAsia" w:asciiTheme="minorEastAsia" w:hAnsiTheme="minorEastAsia" w:eastAsiaTheme="minorEastAsia" w:cstheme="minorEastAsia"/>
          <w:color w:val="0000FF"/>
          <w:spacing w:val="8"/>
          <w:sz w:val="20"/>
          <w:szCs w:val="20"/>
        </w:rPr>
        <w:t>到合格工程验收标准</w:t>
      </w:r>
    </w:p>
    <w:p w14:paraId="7E76FBDC">
      <w:pPr>
        <w:spacing w:before="164" w:line="227" w:lineRule="auto"/>
        <w:ind w:left="4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auto"/>
          <w:spacing w:val="5"/>
          <w:sz w:val="20"/>
          <w:szCs w:val="20"/>
        </w:rPr>
        <w:t>1.6</w:t>
      </w:r>
      <w:r>
        <w:rPr>
          <w:rFonts w:hint="eastAsia" w:asciiTheme="minorEastAsia" w:hAnsiTheme="minorEastAsia" w:eastAsiaTheme="minorEastAsia" w:cstheme="minorEastAsia"/>
          <w:color w:val="0000FF"/>
          <w:spacing w:val="21"/>
          <w:w w:val="101"/>
          <w:sz w:val="20"/>
          <w:szCs w:val="20"/>
        </w:rPr>
        <w:t xml:space="preserve"> </w:t>
      </w:r>
      <w:r>
        <w:rPr>
          <w:rFonts w:hint="eastAsia" w:asciiTheme="minorEastAsia" w:hAnsiTheme="minorEastAsia" w:eastAsiaTheme="minorEastAsia" w:cstheme="minorEastAsia"/>
          <w:color w:val="auto"/>
          <w:spacing w:val="5"/>
          <w:sz w:val="20"/>
          <w:szCs w:val="20"/>
        </w:rPr>
        <w:t>保修要求：</w:t>
      </w:r>
      <w:r>
        <w:rPr>
          <w:rFonts w:hint="eastAsia" w:asciiTheme="minorEastAsia" w:hAnsiTheme="minorEastAsia" w:eastAsiaTheme="minorEastAsia" w:cstheme="minorEastAsia"/>
          <w:color w:val="0000FF"/>
          <w:spacing w:val="5"/>
          <w:sz w:val="20"/>
          <w:szCs w:val="20"/>
        </w:rPr>
        <w:t>按建设部2000年80号令规定和国务院</w:t>
      </w:r>
      <w:r>
        <w:rPr>
          <w:rFonts w:hint="eastAsia" w:asciiTheme="minorEastAsia" w:hAnsiTheme="minorEastAsia" w:eastAsiaTheme="minorEastAsia" w:cstheme="minorEastAsia"/>
          <w:color w:val="0000FF"/>
          <w:spacing w:val="-36"/>
          <w:sz w:val="20"/>
          <w:szCs w:val="20"/>
        </w:rPr>
        <w:t xml:space="preserve"> </w:t>
      </w:r>
      <w:r>
        <w:rPr>
          <w:rFonts w:hint="eastAsia" w:asciiTheme="minorEastAsia" w:hAnsiTheme="minorEastAsia" w:eastAsiaTheme="minorEastAsia" w:cstheme="minorEastAsia"/>
          <w:color w:val="0000FF"/>
          <w:spacing w:val="5"/>
          <w:sz w:val="20"/>
          <w:szCs w:val="20"/>
        </w:rPr>
        <w:t>2000年279号令进行保修</w:t>
      </w:r>
    </w:p>
    <w:p w14:paraId="3B826AD5">
      <w:pPr>
        <w:pStyle w:val="6"/>
        <w:spacing w:line="458" w:lineRule="auto"/>
        <w:rPr>
          <w:rFonts w:hint="eastAsia" w:asciiTheme="minorEastAsia" w:hAnsiTheme="minorEastAsia" w:eastAsiaTheme="minorEastAsia" w:cstheme="minorEastAsia"/>
        </w:rPr>
      </w:pPr>
    </w:p>
    <w:p w14:paraId="59BC004A">
      <w:pPr>
        <w:spacing w:before="97" w:line="222" w:lineRule="auto"/>
        <w:outlineLvl w:val="1"/>
        <w:rPr>
          <w:rFonts w:ascii="黑体" w:hAnsi="黑体" w:eastAsia="黑体" w:cs="黑体"/>
          <w:sz w:val="30"/>
          <w:szCs w:val="30"/>
        </w:rPr>
      </w:pPr>
      <w:bookmarkStart w:id="10" w:name="bookmark7"/>
      <w:bookmarkEnd w:id="10"/>
      <w:bookmarkStart w:id="11" w:name="_Toc29755"/>
      <w:r>
        <w:rPr>
          <w:rFonts w:ascii="Times New Roman" w:hAnsi="Times New Roman" w:eastAsia="Times New Roman" w:cs="Times New Roman"/>
          <w:spacing w:val="-1"/>
          <w:sz w:val="30"/>
          <w:szCs w:val="30"/>
        </w:rPr>
        <w:t>2.</w:t>
      </w:r>
      <w:r>
        <w:rPr>
          <w:rFonts w:ascii="黑体" w:hAnsi="黑体" w:eastAsia="黑体" w:cs="黑体"/>
          <w:spacing w:val="-1"/>
          <w:sz w:val="30"/>
          <w:szCs w:val="30"/>
        </w:rPr>
        <w:t>资格要求</w:t>
      </w:r>
      <w:bookmarkEnd w:id="11"/>
    </w:p>
    <w:p w14:paraId="15ABCA64">
      <w:pPr>
        <w:spacing w:before="210" w:line="227" w:lineRule="auto"/>
        <w:ind w:left="4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2.1  具有独立法人资格并依法取得企</w:t>
      </w:r>
      <w:r>
        <w:rPr>
          <w:rFonts w:hint="eastAsia" w:asciiTheme="minorEastAsia" w:hAnsiTheme="minorEastAsia" w:eastAsiaTheme="minorEastAsia" w:cstheme="minorEastAsia"/>
          <w:spacing w:val="8"/>
          <w:sz w:val="20"/>
          <w:szCs w:val="20"/>
        </w:rPr>
        <w:t>业营业执照，营业执照处于有效期；</w:t>
      </w:r>
    </w:p>
    <w:p w14:paraId="0CEFA991">
      <w:pPr>
        <w:spacing w:before="164" w:line="302" w:lineRule="auto"/>
        <w:ind w:left="6" w:firstLine="41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2.2  具备住房城乡建设主管部门颁发的</w:t>
      </w:r>
      <w:r>
        <w:rPr>
          <w:rFonts w:hint="eastAsia" w:asciiTheme="minorEastAsia" w:hAnsiTheme="minorEastAsia" w:eastAsiaTheme="minorEastAsia" w:cstheme="minorEastAsia"/>
          <w:color w:val="0000FF"/>
          <w:spacing w:val="9"/>
          <w:sz w:val="20"/>
          <w:szCs w:val="20"/>
        </w:rPr>
        <w:t>市政公用工程施工总承包叁级及以上</w:t>
      </w:r>
      <w:r>
        <w:rPr>
          <w:rFonts w:hint="eastAsia" w:asciiTheme="minorEastAsia" w:hAnsiTheme="minorEastAsia" w:eastAsiaTheme="minorEastAsia" w:cstheme="minorEastAsia"/>
          <w:spacing w:val="8"/>
          <w:sz w:val="20"/>
          <w:szCs w:val="20"/>
        </w:rPr>
        <w:t>资质，</w:t>
      </w:r>
      <w:r>
        <w:rPr>
          <w:rFonts w:hint="eastAsia" w:asciiTheme="minorEastAsia" w:hAnsiTheme="minorEastAsia" w:eastAsiaTheme="minorEastAsia" w:cstheme="minorEastAsia"/>
          <w:color w:val="0000FF"/>
          <w:spacing w:val="8"/>
          <w:sz w:val="20"/>
          <w:szCs w:val="20"/>
        </w:rPr>
        <w:t>安全生产许可证</w:t>
      </w:r>
      <w:r>
        <w:rPr>
          <w:rFonts w:hint="eastAsia" w:asciiTheme="minorEastAsia" w:hAnsiTheme="minorEastAsia" w:eastAsiaTheme="minorEastAsia" w:cstheme="minorEastAsia"/>
          <w:color w:val="0000FF"/>
          <w:spacing w:val="6"/>
          <w:sz w:val="20"/>
          <w:szCs w:val="20"/>
        </w:rPr>
        <w:t>处于有效期</w:t>
      </w:r>
      <w:r>
        <w:rPr>
          <w:rFonts w:hint="eastAsia" w:asciiTheme="minorEastAsia" w:hAnsiTheme="minorEastAsia" w:eastAsiaTheme="minorEastAsia" w:cstheme="minorEastAsia"/>
          <w:spacing w:val="6"/>
          <w:sz w:val="20"/>
          <w:szCs w:val="20"/>
        </w:rPr>
        <w:t>；</w:t>
      </w:r>
    </w:p>
    <w:p w14:paraId="44B24770">
      <w:pPr>
        <w:spacing w:line="302" w:lineRule="auto"/>
        <w:rPr>
          <w:rFonts w:hint="eastAsia" w:asciiTheme="minorEastAsia" w:hAnsiTheme="minorEastAsia" w:eastAsiaTheme="minorEastAsia" w:cstheme="minorEastAsia"/>
          <w:sz w:val="20"/>
          <w:szCs w:val="20"/>
        </w:rPr>
        <w:sectPr>
          <w:footerReference r:id="rId5" w:type="default"/>
          <w:pgSz w:w="11907" w:h="16840"/>
          <w:pgMar w:top="1403" w:right="1418" w:bottom="567" w:left="1424" w:header="567" w:footer="510" w:gutter="0"/>
          <w:pgNumType w:fmt="decimal" w:start="1"/>
          <w:cols w:space="720" w:num="1"/>
        </w:sectPr>
      </w:pPr>
    </w:p>
    <w:p w14:paraId="7848B5A7">
      <w:pPr>
        <w:spacing w:before="41" w:line="302" w:lineRule="auto"/>
        <w:ind w:left="425" w:right="9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2.3  拟任项目经理具备</w:t>
      </w:r>
      <w:r>
        <w:rPr>
          <w:rFonts w:hint="eastAsia" w:asciiTheme="minorEastAsia" w:hAnsiTheme="minorEastAsia" w:eastAsiaTheme="minorEastAsia" w:cstheme="minorEastAsia"/>
          <w:color w:val="0000FF"/>
          <w:spacing w:val="7"/>
          <w:sz w:val="20"/>
          <w:szCs w:val="20"/>
        </w:rPr>
        <w:t>市政公用工程</w:t>
      </w:r>
      <w:r>
        <w:rPr>
          <w:rFonts w:hint="eastAsia" w:asciiTheme="minorEastAsia" w:hAnsiTheme="minorEastAsia" w:eastAsiaTheme="minorEastAsia" w:cstheme="minorEastAsia"/>
          <w:spacing w:val="7"/>
          <w:sz w:val="20"/>
          <w:szCs w:val="20"/>
        </w:rPr>
        <w:t>专业</w:t>
      </w:r>
      <w:r>
        <w:rPr>
          <w:rFonts w:hint="eastAsia" w:asciiTheme="minorEastAsia" w:hAnsiTheme="minorEastAsia" w:eastAsiaTheme="minorEastAsia" w:cstheme="minorEastAsia"/>
          <w:color w:val="0000FF"/>
          <w:spacing w:val="7"/>
          <w:sz w:val="20"/>
          <w:szCs w:val="20"/>
        </w:rPr>
        <w:t>贰级及以上注册建造师执业</w:t>
      </w:r>
      <w:r>
        <w:rPr>
          <w:rFonts w:hint="eastAsia" w:asciiTheme="minorEastAsia" w:hAnsiTheme="minorEastAsia" w:eastAsiaTheme="minorEastAsia" w:cstheme="minorEastAsia"/>
          <w:spacing w:val="7"/>
          <w:sz w:val="20"/>
          <w:szCs w:val="20"/>
        </w:rPr>
        <w:t>资格，</w:t>
      </w:r>
      <w:r>
        <w:rPr>
          <w:rFonts w:hint="eastAsia" w:asciiTheme="minorEastAsia" w:hAnsiTheme="minorEastAsia" w:eastAsiaTheme="minorEastAsia" w:cstheme="minorEastAsia"/>
          <w:spacing w:val="8"/>
          <w:sz w:val="20"/>
          <w:szCs w:val="20"/>
        </w:rPr>
        <w:t>具备</w:t>
      </w:r>
      <w:r>
        <w:rPr>
          <w:rFonts w:hint="eastAsia" w:asciiTheme="minorEastAsia" w:hAnsiTheme="minorEastAsia" w:eastAsiaTheme="minorEastAsia" w:cstheme="minorEastAsia"/>
          <w:color w:val="0000FF"/>
          <w:spacing w:val="8"/>
          <w:sz w:val="20"/>
          <w:szCs w:val="20"/>
        </w:rPr>
        <w:t>项目负责人安全生产考核合格证书</w:t>
      </w:r>
      <w:r>
        <w:rPr>
          <w:rFonts w:hint="eastAsia" w:asciiTheme="minorEastAsia" w:hAnsiTheme="minorEastAsia" w:eastAsiaTheme="minorEastAsia" w:cstheme="minorEastAsia"/>
          <w:spacing w:val="8"/>
          <w:sz w:val="20"/>
          <w:szCs w:val="20"/>
        </w:rPr>
        <w:t>；</w:t>
      </w:r>
    </w:p>
    <w:p w14:paraId="250D8398">
      <w:pPr>
        <w:spacing w:before="165" w:line="302" w:lineRule="auto"/>
        <w:ind w:left="1689" w:right="1527" w:hanging="126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2.4  本次招标</w:t>
      </w:r>
      <w:r>
        <w:rPr>
          <w:rFonts w:hint="eastAsia" w:asciiTheme="minorEastAsia" w:hAnsiTheme="minorEastAsia" w:eastAsiaTheme="minorEastAsia" w:cstheme="minorEastAsia"/>
          <w:color w:val="0000FF"/>
          <w:spacing w:val="9"/>
          <w:sz w:val="20"/>
          <w:szCs w:val="20"/>
        </w:rPr>
        <w:t>□</w:t>
      </w:r>
      <w:r>
        <w:rPr>
          <w:rFonts w:hint="eastAsia" w:asciiTheme="minorEastAsia" w:hAnsiTheme="minorEastAsia" w:eastAsiaTheme="minorEastAsia" w:cstheme="minorEastAsia"/>
          <w:spacing w:val="9"/>
          <w:sz w:val="20"/>
          <w:szCs w:val="20"/>
        </w:rPr>
        <w:t>接受联合体投标，联合体投标的相关要求见投标人</w:t>
      </w:r>
      <w:r>
        <w:rPr>
          <w:rFonts w:hint="eastAsia" w:asciiTheme="minorEastAsia" w:hAnsiTheme="minorEastAsia" w:eastAsiaTheme="minorEastAsia" w:cstheme="minorEastAsia"/>
          <w:spacing w:val="8"/>
          <w:sz w:val="20"/>
          <w:szCs w:val="20"/>
        </w:rPr>
        <w:t>须知前附表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color w:val="0000FF"/>
          <w:spacing w:val="7"/>
          <w:sz w:val="20"/>
          <w:szCs w:val="20"/>
        </w:rPr>
        <w:t>☑</w:t>
      </w:r>
      <w:r>
        <w:rPr>
          <w:rFonts w:hint="eastAsia" w:asciiTheme="minorEastAsia" w:hAnsiTheme="minorEastAsia" w:eastAsiaTheme="minorEastAsia" w:cstheme="minorEastAsia"/>
          <w:spacing w:val="7"/>
          <w:sz w:val="20"/>
          <w:szCs w:val="20"/>
        </w:rPr>
        <w:t>不接受联合体投标</w:t>
      </w:r>
    </w:p>
    <w:p w14:paraId="6DE89045">
      <w:pPr>
        <w:spacing w:before="128" w:line="317" w:lineRule="auto"/>
        <w:ind w:left="200" w:right="73" w:firstLine="21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2.5  投标人可以就本招标项目上述标段</w:t>
      </w:r>
      <w:r>
        <w:rPr>
          <w:rFonts w:hint="eastAsia" w:asciiTheme="minorEastAsia" w:hAnsiTheme="minorEastAsia" w:eastAsiaTheme="minorEastAsia" w:cstheme="minorEastAsia"/>
          <w:spacing w:val="7"/>
          <w:sz w:val="20"/>
          <w:szCs w:val="20"/>
        </w:rPr>
        <w:t>中的</w:t>
      </w:r>
      <w:r>
        <w:rPr>
          <w:rFonts w:hint="eastAsia" w:asciiTheme="minorEastAsia" w:hAnsiTheme="minorEastAsia" w:eastAsiaTheme="minorEastAsia" w:cstheme="minorEastAsia"/>
          <w:color w:val="0000FF"/>
          <w:spacing w:val="7"/>
          <w:sz w:val="20"/>
          <w:szCs w:val="20"/>
        </w:rPr>
        <w:t xml:space="preserve">/  </w:t>
      </w:r>
      <w:r>
        <w:rPr>
          <w:rFonts w:hint="eastAsia" w:asciiTheme="minorEastAsia" w:hAnsiTheme="minorEastAsia" w:eastAsiaTheme="minorEastAsia" w:cstheme="minorEastAsia"/>
          <w:spacing w:val="7"/>
          <w:sz w:val="20"/>
          <w:szCs w:val="20"/>
        </w:rPr>
        <w:t>个标段投标，但最多允许中标</w:t>
      </w:r>
      <w:r>
        <w:rPr>
          <w:rFonts w:hint="eastAsia" w:asciiTheme="minorEastAsia" w:hAnsiTheme="minorEastAsia" w:eastAsiaTheme="minorEastAsia" w:cstheme="minorEastAsia"/>
          <w:color w:val="0000FF"/>
          <w:spacing w:val="7"/>
          <w:sz w:val="20"/>
          <w:szCs w:val="20"/>
        </w:rPr>
        <w:t>/</w:t>
      </w:r>
      <w:r>
        <w:rPr>
          <w:rFonts w:hint="eastAsia" w:asciiTheme="minorEastAsia" w:hAnsiTheme="minorEastAsia" w:eastAsiaTheme="minorEastAsia" w:cstheme="minorEastAsia"/>
          <w:spacing w:val="9"/>
          <w:sz w:val="20"/>
          <w:szCs w:val="20"/>
        </w:rPr>
        <w:t>个标段（适用于分标段的招标项目</w:t>
      </w:r>
      <w:r>
        <w:rPr>
          <w:rFonts w:hint="eastAsia" w:asciiTheme="minorEastAsia" w:hAnsiTheme="minorEastAsia" w:eastAsiaTheme="minorEastAsia" w:cstheme="minorEastAsia"/>
          <w:spacing w:val="4"/>
          <w:sz w:val="20"/>
          <w:szCs w:val="20"/>
        </w:rPr>
        <w:t>）；</w:t>
      </w:r>
    </w:p>
    <w:p w14:paraId="27638612">
      <w:pPr>
        <w:spacing w:before="163" w:line="303" w:lineRule="auto"/>
        <w:ind w:left="638" w:right="6514" w:hanging="213"/>
        <w:outlineLvl w:val="2"/>
        <w:rPr>
          <w:rFonts w:hint="eastAsia" w:asciiTheme="minorEastAsia" w:hAnsiTheme="minorEastAsia" w:eastAsiaTheme="minorEastAsia" w:cstheme="minorEastAsia"/>
          <w:sz w:val="20"/>
          <w:szCs w:val="20"/>
        </w:rPr>
      </w:pPr>
      <w:bookmarkStart w:id="12" w:name="_Toc14977"/>
      <w:r>
        <w:rPr>
          <w:rFonts w:hint="eastAsia" w:asciiTheme="minorEastAsia" w:hAnsiTheme="minorEastAsia" w:eastAsiaTheme="minorEastAsia" w:cstheme="minorEastAsia"/>
          <w:spacing w:val="2"/>
          <w:sz w:val="20"/>
          <w:szCs w:val="20"/>
        </w:rPr>
        <w:t>2.6</w:t>
      </w:r>
      <w:r>
        <w:rPr>
          <w:rFonts w:hint="eastAsia" w:asciiTheme="minorEastAsia" w:hAnsiTheme="minorEastAsia" w:eastAsiaTheme="minorEastAsia" w:cstheme="minorEastAsia"/>
          <w:spacing w:val="12"/>
          <w:w w:val="101"/>
          <w:sz w:val="20"/>
          <w:szCs w:val="20"/>
        </w:rPr>
        <w:t xml:space="preserve">  </w:t>
      </w:r>
      <w:r>
        <w:rPr>
          <w:rFonts w:hint="eastAsia" w:asciiTheme="minorEastAsia" w:hAnsiTheme="minorEastAsia" w:eastAsiaTheme="minorEastAsia" w:cstheme="minorEastAsia"/>
          <w:spacing w:val="2"/>
          <w:sz w:val="20"/>
          <w:szCs w:val="20"/>
        </w:rPr>
        <w:t>类似工程业绩要求：</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color w:val="0000FF"/>
          <w:spacing w:val="4"/>
          <w:sz w:val="20"/>
          <w:szCs w:val="20"/>
        </w:rPr>
        <w:t>☑</w:t>
      </w:r>
      <w:r>
        <w:rPr>
          <w:rFonts w:hint="eastAsia" w:asciiTheme="minorEastAsia" w:hAnsiTheme="minorEastAsia" w:eastAsiaTheme="minorEastAsia" w:cstheme="minorEastAsia"/>
          <w:spacing w:val="4"/>
          <w:sz w:val="20"/>
          <w:szCs w:val="20"/>
        </w:rPr>
        <w:t>不要求，</w:t>
      </w:r>
      <w:bookmarkEnd w:id="12"/>
    </w:p>
    <w:p w14:paraId="2262BE27">
      <w:pPr>
        <w:spacing w:before="160" w:line="228" w:lineRule="auto"/>
        <w:ind w:left="65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FF"/>
          <w:spacing w:val="10"/>
          <w:sz w:val="20"/>
          <w:szCs w:val="20"/>
        </w:rPr>
        <w:t>□</w:t>
      </w:r>
      <w:r>
        <w:rPr>
          <w:rFonts w:hint="eastAsia" w:asciiTheme="minorEastAsia" w:hAnsiTheme="minorEastAsia" w:eastAsiaTheme="minorEastAsia" w:cstheme="minorEastAsia"/>
          <w:spacing w:val="10"/>
          <w:sz w:val="20"/>
          <w:szCs w:val="20"/>
        </w:rPr>
        <w:t>要求</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10"/>
          <w:sz w:val="20"/>
          <w:szCs w:val="20"/>
        </w:rPr>
        <w:t>由招标人在以下工程业绩中勾选一项）</w:t>
      </w:r>
    </w:p>
    <w:p w14:paraId="0ADE7B51">
      <w:pPr>
        <w:spacing w:before="160" w:line="227" w:lineRule="auto"/>
        <w:ind w:left="10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FF"/>
          <w:spacing w:val="5"/>
          <w:sz w:val="20"/>
          <w:szCs w:val="20"/>
        </w:rPr>
        <w:t>□</w:t>
      </w:r>
      <w:r>
        <w:rPr>
          <w:rFonts w:hint="eastAsia" w:asciiTheme="minorEastAsia" w:hAnsiTheme="minorEastAsia" w:eastAsiaTheme="minorEastAsia" w:cstheme="minorEastAsia"/>
          <w:spacing w:val="5"/>
          <w:sz w:val="20"/>
          <w:szCs w:val="20"/>
        </w:rPr>
        <w:t>企业承担过</w:t>
      </w:r>
      <w:r>
        <w:rPr>
          <w:rFonts w:hint="eastAsia" w:asciiTheme="minorEastAsia" w:hAnsiTheme="minorEastAsia" w:eastAsiaTheme="minorEastAsia" w:cstheme="minorEastAsia"/>
          <w:spacing w:val="-29"/>
          <w:sz w:val="20"/>
          <w:szCs w:val="20"/>
        </w:rPr>
        <w:t xml:space="preserve"> </w:t>
      </w:r>
      <w:r>
        <w:rPr>
          <w:rFonts w:hint="eastAsia" w:asciiTheme="minorEastAsia" w:hAnsiTheme="minorEastAsia" w:eastAsiaTheme="minorEastAsia" w:cstheme="minorEastAsia"/>
          <w:spacing w:val="5"/>
          <w:sz w:val="20"/>
          <w:szCs w:val="20"/>
        </w:rPr>
        <w:t>1</w:t>
      </w:r>
      <w:r>
        <w:rPr>
          <w:rFonts w:hint="eastAsia" w:asciiTheme="minorEastAsia" w:hAnsiTheme="minorEastAsia" w:eastAsiaTheme="minorEastAsia" w:cstheme="minorEastAsia"/>
          <w:spacing w:val="19"/>
          <w:w w:val="101"/>
          <w:sz w:val="20"/>
          <w:szCs w:val="20"/>
        </w:rPr>
        <w:t xml:space="preserve"> </w:t>
      </w:r>
      <w:r>
        <w:rPr>
          <w:rFonts w:hint="eastAsia" w:asciiTheme="minorEastAsia" w:hAnsiTheme="minorEastAsia" w:eastAsiaTheme="minorEastAsia" w:cstheme="minorEastAsia"/>
          <w:spacing w:val="5"/>
          <w:sz w:val="20"/>
          <w:szCs w:val="20"/>
        </w:rPr>
        <w:t>项类似工程；</w:t>
      </w:r>
      <w:r>
        <w:rPr>
          <w:rFonts w:hint="eastAsia" w:asciiTheme="minorEastAsia" w:hAnsiTheme="minorEastAsia" w:eastAsiaTheme="minorEastAsia" w:cstheme="minorEastAsia"/>
          <w:spacing w:val="46"/>
          <w:sz w:val="20"/>
          <w:szCs w:val="20"/>
        </w:rPr>
        <w:t xml:space="preserve"> </w:t>
      </w:r>
      <w:r>
        <w:rPr>
          <w:rFonts w:hint="eastAsia" w:asciiTheme="minorEastAsia" w:hAnsiTheme="minorEastAsia" w:eastAsiaTheme="minorEastAsia" w:cstheme="minorEastAsia"/>
          <w:color w:val="0000FF"/>
          <w:spacing w:val="5"/>
          <w:sz w:val="20"/>
          <w:szCs w:val="20"/>
        </w:rPr>
        <w:t>□</w:t>
      </w:r>
      <w:r>
        <w:rPr>
          <w:rFonts w:hint="eastAsia" w:asciiTheme="minorEastAsia" w:hAnsiTheme="minorEastAsia" w:eastAsiaTheme="minorEastAsia" w:cstheme="minorEastAsia"/>
          <w:spacing w:val="5"/>
          <w:sz w:val="20"/>
          <w:szCs w:val="20"/>
        </w:rPr>
        <w:t>拟任项目经理承担过</w:t>
      </w:r>
      <w:r>
        <w:rPr>
          <w:rFonts w:hint="eastAsia" w:asciiTheme="minorEastAsia" w:hAnsiTheme="minorEastAsia" w:eastAsiaTheme="minorEastAsia" w:cstheme="minorEastAsia"/>
          <w:spacing w:val="-28"/>
          <w:sz w:val="20"/>
          <w:szCs w:val="20"/>
        </w:rPr>
        <w:t xml:space="preserve"> </w:t>
      </w:r>
      <w:r>
        <w:rPr>
          <w:rFonts w:hint="eastAsia" w:asciiTheme="minorEastAsia" w:hAnsiTheme="minorEastAsia" w:eastAsiaTheme="minorEastAsia" w:cstheme="minorEastAsia"/>
          <w:spacing w:val="5"/>
          <w:sz w:val="20"/>
          <w:szCs w:val="20"/>
        </w:rPr>
        <w:t>1</w:t>
      </w:r>
      <w:r>
        <w:rPr>
          <w:rFonts w:hint="eastAsia" w:asciiTheme="minorEastAsia" w:hAnsiTheme="minorEastAsia" w:eastAsiaTheme="minorEastAsia" w:cstheme="minorEastAsia"/>
          <w:spacing w:val="19"/>
          <w:w w:val="101"/>
          <w:sz w:val="20"/>
          <w:szCs w:val="20"/>
        </w:rPr>
        <w:t xml:space="preserve"> </w:t>
      </w:r>
      <w:r>
        <w:rPr>
          <w:rFonts w:hint="eastAsia" w:asciiTheme="minorEastAsia" w:hAnsiTheme="minorEastAsia" w:eastAsiaTheme="minorEastAsia" w:cstheme="minorEastAsia"/>
          <w:spacing w:val="5"/>
          <w:sz w:val="20"/>
          <w:szCs w:val="20"/>
        </w:rPr>
        <w:t>项类似工程</w:t>
      </w:r>
    </w:p>
    <w:p w14:paraId="04E9BC01">
      <w:pPr>
        <w:spacing w:before="130" w:line="279" w:lineRule="exact"/>
        <w:ind w:left="4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position w:val="2"/>
          <w:sz w:val="20"/>
          <w:szCs w:val="20"/>
        </w:rPr>
        <w:t>2.7</w:t>
      </w:r>
      <w:r>
        <w:rPr>
          <w:rFonts w:hint="eastAsia" w:asciiTheme="minorEastAsia" w:hAnsiTheme="minorEastAsia" w:eastAsiaTheme="minorEastAsia" w:cstheme="minorEastAsia"/>
          <w:spacing w:val="10"/>
          <w:position w:val="2"/>
          <w:sz w:val="20"/>
          <w:szCs w:val="20"/>
        </w:rPr>
        <w:t xml:space="preserve">    </w:t>
      </w:r>
      <w:r>
        <w:rPr>
          <w:rFonts w:hint="eastAsia" w:asciiTheme="minorEastAsia" w:hAnsiTheme="minorEastAsia" w:eastAsiaTheme="minorEastAsia" w:cstheme="minorEastAsia"/>
          <w:spacing w:val="4"/>
          <w:position w:val="2"/>
          <w:sz w:val="20"/>
          <w:szCs w:val="20"/>
        </w:rPr>
        <w:t>其他要求：</w:t>
      </w:r>
      <w:r>
        <w:rPr>
          <w:rFonts w:hint="eastAsia" w:asciiTheme="minorEastAsia" w:hAnsiTheme="minorEastAsia" w:eastAsiaTheme="minorEastAsia" w:cstheme="minorEastAsia"/>
          <w:color w:val="0000FF"/>
          <w:spacing w:val="4"/>
          <w:position w:val="2"/>
          <w:sz w:val="20"/>
          <w:szCs w:val="20"/>
        </w:rPr>
        <w:t>1.项目其它关键岗位人员应满足湖南省住建厅“湘建建[2020]208 号”文件要求。2.项目关键岗位人员必须是投标企业在职人员。且无在建工程。3.技术负责人、施工员、安全员、质量员采用承诺制。不再进行资格审查(相关要求详见招标文件) 。4.省外企业关键岗位人员如持有外省住房和城乡建设主管部门颁发的岗位资格证书，应提供由省级住房和城乡建设主管部门出具的证书真实性证明(如不能提供真实性证明的，则在投标函部分规定处提供证书真伪查询官方查询网址及结果)。省外企业应提供由企业所在地地(市)级及以上建设行政主管部门出具的施工项目部关键岗位人员无在建工程证明(如不能提供无在建证明的，则在投标函部分规定处提供其查询网址及结果)。</w:t>
      </w:r>
    </w:p>
    <w:p w14:paraId="1B5BC74B">
      <w:pPr>
        <w:spacing w:before="66" w:line="227" w:lineRule="auto"/>
        <w:ind w:left="0" w:firstLine="218" w:firstLineChars="100"/>
        <w:rPr>
          <w:rFonts w:ascii="宋体" w:hAnsi="宋体" w:eastAsia="宋体" w:cs="宋体"/>
          <w:sz w:val="20"/>
          <w:szCs w:val="20"/>
        </w:rPr>
      </w:pPr>
      <w:r>
        <w:rPr>
          <w:rFonts w:hint="eastAsia" w:asciiTheme="minorEastAsia" w:hAnsiTheme="minorEastAsia" w:eastAsiaTheme="minorEastAsia" w:cstheme="minorEastAsia"/>
          <w:spacing w:val="9"/>
          <w:sz w:val="20"/>
          <w:szCs w:val="20"/>
        </w:rPr>
        <w:t>投标人资格具体要求详见第二章投标人须知前附表。</w:t>
      </w:r>
    </w:p>
    <w:p w14:paraId="298194AD">
      <w:pPr>
        <w:spacing w:before="69" w:line="222" w:lineRule="auto"/>
        <w:ind w:left="5"/>
        <w:outlineLvl w:val="1"/>
        <w:rPr>
          <w:rFonts w:ascii="黑体" w:hAnsi="黑体" w:eastAsia="黑体" w:cs="黑体"/>
          <w:sz w:val="30"/>
          <w:szCs w:val="30"/>
        </w:rPr>
      </w:pPr>
      <w:bookmarkStart w:id="13" w:name="bookmark9"/>
      <w:bookmarkEnd w:id="13"/>
      <w:bookmarkStart w:id="14" w:name="_Toc11666"/>
      <w:r>
        <w:rPr>
          <w:rFonts w:ascii="Times New Roman" w:hAnsi="Times New Roman" w:eastAsia="Times New Roman" w:cs="Times New Roman"/>
          <w:spacing w:val="-2"/>
          <w:sz w:val="30"/>
          <w:szCs w:val="30"/>
        </w:rPr>
        <w:t>3.</w:t>
      </w:r>
      <w:r>
        <w:rPr>
          <w:rFonts w:ascii="黑体" w:hAnsi="黑体" w:eastAsia="黑体" w:cs="黑体"/>
          <w:spacing w:val="-2"/>
          <w:sz w:val="30"/>
          <w:szCs w:val="30"/>
        </w:rPr>
        <w:t>资格审查</w:t>
      </w:r>
      <w:bookmarkEnd w:id="14"/>
    </w:p>
    <w:p w14:paraId="2AE1A6DF">
      <w:pPr>
        <w:spacing w:before="210" w:line="227" w:lineRule="auto"/>
        <w:ind w:left="315"/>
        <w:rPr>
          <w:rFonts w:ascii="宋体" w:hAnsi="宋体" w:eastAsia="宋体" w:cs="宋体"/>
          <w:sz w:val="20"/>
          <w:szCs w:val="20"/>
        </w:rPr>
      </w:pPr>
      <w:r>
        <w:rPr>
          <w:rFonts w:ascii="宋体" w:hAnsi="宋体" w:eastAsia="宋体" w:cs="宋体"/>
          <w:spacing w:val="8"/>
          <w:sz w:val="20"/>
          <w:szCs w:val="20"/>
        </w:rPr>
        <w:t>采用资格后审方式</w:t>
      </w:r>
    </w:p>
    <w:p w14:paraId="2616D639">
      <w:pPr>
        <w:spacing w:before="177" w:line="221" w:lineRule="auto"/>
        <w:outlineLvl w:val="1"/>
        <w:rPr>
          <w:rFonts w:ascii="黑体" w:hAnsi="黑体" w:eastAsia="黑体" w:cs="黑体"/>
          <w:sz w:val="30"/>
          <w:szCs w:val="30"/>
        </w:rPr>
      </w:pPr>
      <w:bookmarkStart w:id="15" w:name="bookmark11"/>
      <w:bookmarkEnd w:id="15"/>
      <w:bookmarkStart w:id="16" w:name="_Toc24164"/>
      <w:r>
        <w:rPr>
          <w:rFonts w:ascii="Times New Roman" w:hAnsi="Times New Roman" w:eastAsia="Times New Roman" w:cs="Times New Roman"/>
          <w:spacing w:val="-1"/>
          <w:sz w:val="30"/>
          <w:szCs w:val="30"/>
        </w:rPr>
        <w:t>4.</w:t>
      </w:r>
      <w:r>
        <w:rPr>
          <w:rFonts w:ascii="黑体" w:hAnsi="黑体" w:eastAsia="黑体" w:cs="黑体"/>
          <w:spacing w:val="-1"/>
          <w:sz w:val="30"/>
          <w:szCs w:val="30"/>
        </w:rPr>
        <w:t>评标办法</w:t>
      </w:r>
      <w:bookmarkEnd w:id="16"/>
    </w:p>
    <w:p w14:paraId="27FC4B82">
      <w:pPr>
        <w:spacing w:before="212" w:line="226" w:lineRule="auto"/>
        <w:jc w:val="right"/>
        <w:rPr>
          <w:rFonts w:ascii="宋体" w:hAnsi="宋体" w:eastAsia="宋体" w:cs="宋体"/>
          <w:sz w:val="20"/>
          <w:szCs w:val="20"/>
        </w:rPr>
      </w:pPr>
      <w:r>
        <w:rPr>
          <w:rFonts w:ascii="宋体" w:hAnsi="宋体" w:eastAsia="宋体" w:cs="宋体"/>
          <w:spacing w:val="6"/>
          <w:sz w:val="20"/>
          <w:szCs w:val="20"/>
        </w:rPr>
        <w:t>本招标项目采用湘建监督〔</w:t>
      </w:r>
      <w:r>
        <w:rPr>
          <w:rFonts w:ascii="Calibri" w:hAnsi="Calibri" w:eastAsia="Calibri" w:cs="Calibri"/>
          <w:spacing w:val="6"/>
          <w:sz w:val="20"/>
          <w:szCs w:val="20"/>
        </w:rPr>
        <w:t>2024</w:t>
      </w:r>
      <w:r>
        <w:rPr>
          <w:rFonts w:ascii="宋体" w:hAnsi="宋体" w:eastAsia="宋体" w:cs="宋体"/>
          <w:spacing w:val="6"/>
          <w:sz w:val="20"/>
          <w:szCs w:val="20"/>
        </w:rPr>
        <w:t>〕</w:t>
      </w:r>
      <w:r>
        <w:rPr>
          <w:rFonts w:ascii="Calibri" w:hAnsi="Calibri" w:eastAsia="Calibri" w:cs="Calibri"/>
          <w:spacing w:val="6"/>
          <w:sz w:val="20"/>
          <w:szCs w:val="20"/>
        </w:rPr>
        <w:t>33</w:t>
      </w:r>
      <w:r>
        <w:rPr>
          <w:rFonts w:ascii="Calibri" w:hAnsi="Calibri" w:eastAsia="Calibri" w:cs="Calibri"/>
          <w:spacing w:val="29"/>
          <w:w w:val="101"/>
          <w:sz w:val="20"/>
          <w:szCs w:val="20"/>
        </w:rPr>
        <w:t xml:space="preserve"> </w:t>
      </w:r>
      <w:r>
        <w:rPr>
          <w:rFonts w:ascii="宋体" w:hAnsi="宋体" w:eastAsia="宋体" w:cs="宋体"/>
          <w:spacing w:val="6"/>
          <w:sz w:val="20"/>
          <w:szCs w:val="20"/>
        </w:rPr>
        <w:t>号文件规定的：</w:t>
      </w:r>
      <w:r>
        <w:rPr>
          <w:rFonts w:ascii="宋体" w:hAnsi="宋体" w:eastAsia="宋体" w:cs="宋体"/>
          <w:spacing w:val="-75"/>
          <w:sz w:val="20"/>
          <w:szCs w:val="20"/>
        </w:rPr>
        <w:t xml:space="preserve"> </w:t>
      </w:r>
      <w:r>
        <w:rPr>
          <w:rFonts w:ascii="MS Gothic" w:hAnsi="MS Gothic" w:eastAsia="MS Gothic" w:cs="MS Gothic"/>
          <w:color w:val="0000FF"/>
          <w:spacing w:val="6"/>
          <w:sz w:val="20"/>
          <w:szCs w:val="20"/>
        </w:rPr>
        <w:t>☑</w:t>
      </w:r>
      <w:r>
        <w:rPr>
          <w:rFonts w:ascii="宋体" w:hAnsi="宋体" w:eastAsia="宋体" w:cs="宋体"/>
          <w:spacing w:val="6"/>
          <w:sz w:val="20"/>
          <w:szCs w:val="20"/>
        </w:rPr>
        <w:t>经评审的最低投标价法；</w:t>
      </w:r>
      <w:r>
        <w:rPr>
          <w:rFonts w:ascii="宋体" w:hAnsi="宋体" w:eastAsia="宋体" w:cs="宋体"/>
          <w:spacing w:val="-62"/>
          <w:sz w:val="20"/>
          <w:szCs w:val="20"/>
        </w:rPr>
        <w:t xml:space="preserve"> </w:t>
      </w:r>
      <w:r>
        <w:rPr>
          <w:rFonts w:ascii="宋体" w:hAnsi="宋体" w:eastAsia="宋体" w:cs="宋体"/>
          <w:color w:val="0000FF"/>
          <w:spacing w:val="6"/>
          <w:sz w:val="20"/>
          <w:szCs w:val="20"/>
        </w:rPr>
        <w:t>□</w:t>
      </w:r>
      <w:r>
        <w:rPr>
          <w:rFonts w:ascii="宋体" w:hAnsi="宋体" w:eastAsia="宋体" w:cs="宋体"/>
          <w:spacing w:val="6"/>
          <w:sz w:val="20"/>
          <w:szCs w:val="20"/>
        </w:rPr>
        <w:t>综合评估法。</w:t>
      </w:r>
    </w:p>
    <w:p w14:paraId="7CC74C12">
      <w:pPr>
        <w:spacing w:before="175" w:line="221" w:lineRule="auto"/>
        <w:outlineLvl w:val="1"/>
        <w:rPr>
          <w:rFonts w:ascii="黑体" w:hAnsi="黑体" w:eastAsia="黑体" w:cs="黑体"/>
          <w:sz w:val="30"/>
          <w:szCs w:val="30"/>
        </w:rPr>
      </w:pPr>
      <w:bookmarkStart w:id="17" w:name="bookmark13"/>
      <w:bookmarkEnd w:id="17"/>
      <w:bookmarkStart w:id="18" w:name="_Toc23243"/>
      <w:r>
        <w:rPr>
          <w:rFonts w:ascii="Times New Roman" w:hAnsi="Times New Roman" w:eastAsia="Times New Roman" w:cs="Times New Roman"/>
          <w:spacing w:val="-2"/>
          <w:sz w:val="30"/>
          <w:szCs w:val="30"/>
        </w:rPr>
        <w:t>5.</w:t>
      </w:r>
      <w:r>
        <w:rPr>
          <w:rFonts w:ascii="黑体" w:hAnsi="黑体" w:eastAsia="黑体" w:cs="黑体"/>
          <w:spacing w:val="-2"/>
          <w:sz w:val="30"/>
          <w:szCs w:val="30"/>
        </w:rPr>
        <w:t>招标文件的获取</w:t>
      </w:r>
      <w:bookmarkEnd w:id="18"/>
    </w:p>
    <w:p w14:paraId="5E65E44F">
      <w:pPr>
        <w:spacing w:before="213" w:line="301" w:lineRule="auto"/>
        <w:ind w:left="18" w:right="70" w:firstLine="404"/>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 xml:space="preserve">5.1  </w:t>
      </w:r>
      <w:r>
        <w:rPr>
          <w:rFonts w:hint="eastAsia" w:asciiTheme="minorEastAsia" w:hAnsiTheme="minorEastAsia" w:eastAsiaTheme="minorEastAsia" w:cstheme="minorEastAsia"/>
          <w:color w:val="auto"/>
          <w:szCs w:val="21"/>
          <w:lang w:val="en-US" w:eastAsia="zh-CN"/>
        </w:rPr>
        <w:t>请在</w:t>
      </w:r>
      <w:r>
        <w:rPr>
          <w:rFonts w:hint="eastAsia" w:asciiTheme="minorEastAsia" w:hAnsiTheme="minorEastAsia" w:eastAsiaTheme="minorEastAsia" w:cstheme="minorEastAsia"/>
          <w:color w:val="0000FF"/>
          <w:szCs w:val="21"/>
          <w:lang w:val="en-US" w:eastAsia="zh-CN"/>
        </w:rPr>
        <w:t>江华瑶族自治县人民政府网</w:t>
      </w:r>
      <w:r>
        <w:rPr>
          <w:rFonts w:hint="eastAsia" w:asciiTheme="minorEastAsia" w:hAnsiTheme="minorEastAsia" w:eastAsiaTheme="minorEastAsia" w:cstheme="minorEastAsia"/>
          <w:color w:val="auto"/>
          <w:szCs w:val="21"/>
          <w:lang w:val="en-US" w:eastAsia="zh-CN"/>
        </w:rPr>
        <w:t>进行下载获取招标文件、施工图及工程量清单，施工图和工程量清单为招标文件的有效组成部分。如有修改，于提交投标文件截止时间前3日在江华瑶族自治县人民政府网上发布，敬请投标单位关注，如有遗漏招标人概不负责。</w:t>
      </w:r>
    </w:p>
    <w:p w14:paraId="78BAEAFF">
      <w:pPr>
        <w:spacing w:before="162" w:line="304" w:lineRule="auto"/>
        <w:ind w:right="73" w:firstLine="42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 xml:space="preserve">5.2  </w:t>
      </w:r>
      <w:r>
        <w:rPr>
          <w:rFonts w:hint="eastAsia" w:asciiTheme="minorEastAsia" w:hAnsiTheme="minorEastAsia" w:eastAsiaTheme="minorEastAsia" w:cstheme="minorEastAsia"/>
          <w:color w:val="auto"/>
          <w:szCs w:val="21"/>
          <w:lang w:val="en-US" w:eastAsia="zh-CN"/>
        </w:rPr>
        <w:t>招标文件每套售价400元，递交投标文件时缴纳，否则拒绝接受其投标文件。招标文件售后不退。</w:t>
      </w:r>
    </w:p>
    <w:p w14:paraId="7A65056D">
      <w:pPr>
        <w:spacing w:before="173" w:line="222" w:lineRule="auto"/>
        <w:ind w:left="6"/>
        <w:outlineLvl w:val="1"/>
        <w:rPr>
          <w:rFonts w:ascii="黑体" w:hAnsi="黑体" w:eastAsia="黑体" w:cs="黑体"/>
          <w:sz w:val="30"/>
          <w:szCs w:val="30"/>
        </w:rPr>
      </w:pPr>
      <w:bookmarkStart w:id="19" w:name="bookmark15"/>
      <w:bookmarkEnd w:id="19"/>
      <w:bookmarkStart w:id="20" w:name="_Toc29234"/>
      <w:r>
        <w:rPr>
          <w:rFonts w:ascii="Times New Roman" w:hAnsi="Times New Roman" w:eastAsia="Times New Roman" w:cs="Times New Roman"/>
          <w:spacing w:val="-2"/>
          <w:sz w:val="30"/>
          <w:szCs w:val="30"/>
        </w:rPr>
        <w:t>6.</w:t>
      </w:r>
      <w:r>
        <w:rPr>
          <w:rFonts w:ascii="黑体" w:hAnsi="黑体" w:eastAsia="黑体" w:cs="黑体"/>
          <w:spacing w:val="-2"/>
          <w:sz w:val="30"/>
          <w:szCs w:val="30"/>
        </w:rPr>
        <w:t>投标文件的递交</w:t>
      </w:r>
      <w:bookmarkEnd w:id="20"/>
    </w:p>
    <w:p w14:paraId="34B862BB">
      <w:pPr>
        <w:spacing w:beforeLines="100" w:line="360" w:lineRule="auto"/>
        <w:ind w:firstLine="420" w:firstLineChars="200"/>
        <w:rPr>
          <w:rFonts w:hint="eastAsia" w:ascii="Calibri" w:hAnsi="Calibri" w:eastAsia="宋体" w:cs="Calibri"/>
          <w:b w:val="0"/>
          <w:bCs w:val="0"/>
          <w:color w:val="auto"/>
          <w:kern w:val="2"/>
          <w:sz w:val="21"/>
          <w:szCs w:val="21"/>
          <w:lang w:val="en-US" w:eastAsia="zh-CN" w:bidi="ar-SA"/>
        </w:rPr>
      </w:pPr>
      <w:r>
        <w:rPr>
          <w:rFonts w:hint="eastAsia" w:ascii="Calibri" w:hAnsi="Calibri" w:eastAsia="宋体" w:cs="Calibri"/>
          <w:b w:val="0"/>
          <w:bCs w:val="0"/>
          <w:color w:val="auto"/>
          <w:kern w:val="2"/>
          <w:sz w:val="21"/>
          <w:szCs w:val="21"/>
          <w:lang w:val="en-US" w:eastAsia="zh-CN" w:bidi="ar-SA"/>
        </w:rPr>
        <w:t>6.1投标文件递交的截止时间（投标截止时间，下同）为</w:t>
      </w:r>
      <w:r>
        <w:rPr>
          <w:rFonts w:hint="eastAsia" w:ascii="Calibri" w:hAnsi="Calibri" w:eastAsia="宋体" w:cs="Calibri"/>
          <w:b/>
          <w:bCs/>
          <w:color w:val="0000FF"/>
          <w:kern w:val="2"/>
          <w:sz w:val="21"/>
          <w:szCs w:val="21"/>
          <w:lang w:val="en-US" w:eastAsia="zh-CN" w:bidi="ar-SA"/>
        </w:rPr>
        <w:t xml:space="preserve"> </w:t>
      </w:r>
      <w:r>
        <w:rPr>
          <w:rFonts w:hint="eastAsia" w:ascii="宋体" w:hAnsi="宋体" w:eastAsia="宋体" w:cs="宋体"/>
          <w:b/>
          <w:bCs/>
          <w:color w:val="0000FF"/>
          <w:kern w:val="2"/>
          <w:sz w:val="21"/>
          <w:szCs w:val="21"/>
          <w:lang w:val="en-US" w:eastAsia="zh-CN" w:bidi="ar-SA"/>
        </w:rPr>
        <w:t>2024年08月01日9时30分</w:t>
      </w:r>
      <w:r>
        <w:rPr>
          <w:rFonts w:hint="eastAsia" w:ascii="Calibri" w:hAnsi="Calibri" w:eastAsia="宋体" w:cs="Calibri"/>
          <w:b/>
          <w:bCs/>
          <w:color w:val="auto"/>
          <w:kern w:val="2"/>
          <w:sz w:val="21"/>
          <w:szCs w:val="21"/>
          <w:lang w:val="en-US" w:eastAsia="zh-CN" w:bidi="ar-SA"/>
        </w:rPr>
        <w:t>（北京时间）</w:t>
      </w:r>
      <w:r>
        <w:rPr>
          <w:rFonts w:hint="eastAsia" w:ascii="Calibri" w:hAnsi="Calibri" w:eastAsia="宋体" w:cs="Calibri"/>
          <w:b w:val="0"/>
          <w:bCs w:val="0"/>
          <w:color w:val="auto"/>
          <w:kern w:val="2"/>
          <w:sz w:val="21"/>
          <w:szCs w:val="21"/>
          <w:lang w:val="en-US" w:eastAsia="zh-CN" w:bidi="ar-SA"/>
        </w:rPr>
        <w:t>，地点为</w:t>
      </w:r>
      <w:r>
        <w:rPr>
          <w:rFonts w:hint="eastAsia" w:ascii="Calibri" w:hAnsi="Calibri" w:eastAsia="宋体" w:cs="Calibri"/>
          <w:b/>
          <w:bCs/>
          <w:color w:val="0000FF"/>
          <w:kern w:val="2"/>
          <w:sz w:val="21"/>
          <w:szCs w:val="21"/>
          <w:lang w:val="en-US" w:eastAsia="zh-CN" w:bidi="ar-SA"/>
        </w:rPr>
        <w:t>江华瑶族自治县重点项目服务中心（江华瑶族自治县交通警察大队综合楼7楼）</w:t>
      </w:r>
      <w:r>
        <w:rPr>
          <w:rFonts w:hint="eastAsia" w:ascii="Calibri" w:hAnsi="Calibri" w:eastAsia="宋体" w:cs="Calibri"/>
          <w:b w:val="0"/>
          <w:bCs w:val="0"/>
          <w:color w:val="auto"/>
          <w:kern w:val="2"/>
          <w:sz w:val="21"/>
          <w:szCs w:val="21"/>
          <w:lang w:val="en-US" w:eastAsia="zh-CN" w:bidi="ar-SA"/>
        </w:rPr>
        <w:t>。</w:t>
      </w:r>
    </w:p>
    <w:p w14:paraId="3DB04FBD">
      <w:pPr>
        <w:pStyle w:val="3"/>
        <w:spacing w:before="0" w:after="0" w:line="360" w:lineRule="auto"/>
        <w:ind w:firstLine="420" w:firstLineChars="200"/>
        <w:rPr>
          <w:rFonts w:hint="eastAsia" w:ascii="Calibri" w:hAnsi="Calibri" w:eastAsia="宋体" w:cs="Calibri"/>
          <w:b w:val="0"/>
          <w:bCs w:val="0"/>
          <w:color w:val="auto"/>
          <w:kern w:val="2"/>
          <w:sz w:val="21"/>
          <w:szCs w:val="21"/>
          <w:lang w:val="en-US" w:eastAsia="zh-CN" w:bidi="ar-SA"/>
        </w:rPr>
      </w:pPr>
      <w:bookmarkStart w:id="21" w:name="_Toc22952"/>
      <w:bookmarkStart w:id="22" w:name="_Toc12282"/>
      <w:bookmarkStart w:id="23" w:name="_Toc6812"/>
      <w:r>
        <w:rPr>
          <w:rFonts w:hint="eastAsia" w:ascii="Calibri" w:hAnsi="Calibri" w:eastAsia="宋体" w:cs="Calibri"/>
          <w:b w:val="0"/>
          <w:bCs w:val="0"/>
          <w:color w:val="auto"/>
          <w:kern w:val="2"/>
          <w:sz w:val="21"/>
          <w:szCs w:val="21"/>
          <w:lang w:val="en-US" w:eastAsia="zh-CN" w:bidi="ar-SA"/>
        </w:rPr>
        <w:t>6.2逾期送达或者未送达指定地点或未按要求密封和写标注的投标文件，招标人不予受理。</w:t>
      </w:r>
      <w:bookmarkEnd w:id="21"/>
      <w:bookmarkEnd w:id="22"/>
      <w:bookmarkEnd w:id="23"/>
    </w:p>
    <w:p w14:paraId="5D95714E">
      <w:pPr>
        <w:spacing w:before="31" w:line="362" w:lineRule="auto"/>
        <w:ind w:left="2" w:right="70" w:firstLine="443"/>
        <w:rPr>
          <w:rFonts w:ascii="宋体" w:hAnsi="宋体" w:eastAsia="宋体" w:cs="宋体"/>
          <w:sz w:val="20"/>
          <w:szCs w:val="20"/>
        </w:rPr>
      </w:pPr>
      <w:bookmarkStart w:id="24" w:name="_Toc6332"/>
      <w:bookmarkStart w:id="25" w:name="_Toc26980"/>
      <w:r>
        <w:rPr>
          <w:rFonts w:hint="eastAsia" w:ascii="Calibri" w:hAnsi="Calibri" w:eastAsia="宋体" w:cs="Calibri"/>
          <w:b w:val="0"/>
          <w:bCs w:val="0"/>
          <w:color w:val="auto"/>
          <w:kern w:val="2"/>
          <w:sz w:val="21"/>
          <w:szCs w:val="21"/>
          <w:lang w:val="en-US" w:eastAsia="zh-CN" w:bidi="ar-SA"/>
        </w:rPr>
        <w:t>6.3投标人必须由企业法定代表人或拟任本项目经理到场参加投标，并出示第二代身份证原件、法定代表身份证明或法定代表身份证明和授权委托书，否则招标人不予受理，投标无效。</w:t>
      </w:r>
      <w:bookmarkEnd w:id="24"/>
      <w:bookmarkEnd w:id="25"/>
    </w:p>
    <w:p w14:paraId="3EFB0A1C">
      <w:pPr>
        <w:spacing w:before="47" w:line="221" w:lineRule="auto"/>
        <w:ind w:left="4"/>
        <w:outlineLvl w:val="1"/>
        <w:rPr>
          <w:rFonts w:ascii="黑体" w:hAnsi="黑体" w:eastAsia="黑体" w:cs="黑体"/>
          <w:sz w:val="30"/>
          <w:szCs w:val="30"/>
        </w:rPr>
      </w:pPr>
      <w:bookmarkStart w:id="26" w:name="bookmark17"/>
      <w:bookmarkEnd w:id="26"/>
      <w:bookmarkStart w:id="27" w:name="_Toc22570"/>
      <w:r>
        <w:rPr>
          <w:rFonts w:ascii="Times New Roman" w:hAnsi="Times New Roman" w:eastAsia="Times New Roman" w:cs="Times New Roman"/>
          <w:spacing w:val="-2"/>
          <w:sz w:val="30"/>
          <w:szCs w:val="30"/>
        </w:rPr>
        <w:t>7.</w:t>
      </w:r>
      <w:r>
        <w:rPr>
          <w:rFonts w:ascii="黑体" w:hAnsi="黑体" w:eastAsia="黑体" w:cs="黑体"/>
          <w:spacing w:val="-2"/>
          <w:sz w:val="30"/>
          <w:szCs w:val="30"/>
        </w:rPr>
        <w:t>发布公告的媒介</w:t>
      </w:r>
      <w:bookmarkEnd w:id="27"/>
    </w:p>
    <w:p w14:paraId="7C3C0EBE">
      <w:pPr>
        <w:spacing w:before="209" w:line="226" w:lineRule="auto"/>
        <w:ind w:left="422"/>
        <w:rPr>
          <w:rFonts w:ascii="宋体" w:hAnsi="宋体" w:eastAsia="宋体" w:cs="宋体"/>
          <w:sz w:val="20"/>
          <w:szCs w:val="20"/>
        </w:rPr>
      </w:pPr>
      <w:r>
        <w:rPr>
          <w:rFonts w:ascii="宋体" w:hAnsi="宋体" w:eastAsia="宋体" w:cs="宋体"/>
          <w:spacing w:val="9"/>
          <w:sz w:val="20"/>
          <w:szCs w:val="20"/>
        </w:rPr>
        <w:t>本次招标公告在</w:t>
      </w:r>
      <w:r>
        <w:rPr>
          <w:rFonts w:hint="eastAsia" w:ascii="宋体" w:hAnsi="宋体" w:eastAsia="宋体" w:cs="宋体"/>
          <w:color w:val="0000FF"/>
          <w:spacing w:val="9"/>
          <w:sz w:val="20"/>
          <w:szCs w:val="20"/>
        </w:rPr>
        <w:t>江华瑶族自治县人民政府网</w:t>
      </w:r>
      <w:r>
        <w:rPr>
          <w:rFonts w:ascii="宋体" w:hAnsi="宋体" w:eastAsia="宋体" w:cs="宋体"/>
          <w:spacing w:val="9"/>
          <w:sz w:val="20"/>
          <w:szCs w:val="20"/>
        </w:rPr>
        <w:t>上发布。</w:t>
      </w:r>
    </w:p>
    <w:p w14:paraId="5715DFA2">
      <w:pPr>
        <w:spacing w:before="60" w:line="221" w:lineRule="auto"/>
        <w:ind w:left="10"/>
        <w:outlineLvl w:val="1"/>
        <w:rPr>
          <w:rFonts w:ascii="黑体" w:hAnsi="黑体" w:eastAsia="黑体" w:cs="黑体"/>
          <w:sz w:val="30"/>
          <w:szCs w:val="30"/>
        </w:rPr>
      </w:pPr>
      <w:bookmarkStart w:id="28" w:name="bookmark19"/>
      <w:bookmarkEnd w:id="28"/>
      <w:bookmarkStart w:id="29" w:name="_Toc13065"/>
      <w:r>
        <w:rPr>
          <w:rFonts w:ascii="Times New Roman" w:hAnsi="Times New Roman" w:eastAsia="Times New Roman" w:cs="Times New Roman"/>
          <w:spacing w:val="-3"/>
          <w:sz w:val="30"/>
          <w:szCs w:val="30"/>
        </w:rPr>
        <w:t>8.</w:t>
      </w:r>
      <w:r>
        <w:rPr>
          <w:rFonts w:ascii="黑体" w:hAnsi="黑体" w:eastAsia="黑体" w:cs="黑体"/>
          <w:spacing w:val="-3"/>
          <w:sz w:val="30"/>
          <w:szCs w:val="30"/>
        </w:rPr>
        <w:t>行政监督</w:t>
      </w:r>
      <w:bookmarkEnd w:id="29"/>
    </w:p>
    <w:p w14:paraId="71CAFDA4">
      <w:pPr>
        <w:spacing w:before="208" w:line="360" w:lineRule="auto"/>
        <w:ind w:left="421"/>
        <w:rPr>
          <w:rFonts w:ascii="宋体" w:hAnsi="宋体" w:eastAsia="宋体" w:cs="宋体"/>
          <w:sz w:val="20"/>
          <w:szCs w:val="20"/>
        </w:rPr>
      </w:pPr>
      <w:r>
        <w:rPr>
          <w:rFonts w:ascii="宋体" w:hAnsi="宋体" w:eastAsia="宋体" w:cs="宋体"/>
          <w:spacing w:val="8"/>
          <w:sz w:val="20"/>
          <w:szCs w:val="20"/>
        </w:rPr>
        <w:t>本次招标项目招标投标监督机构为</w:t>
      </w:r>
      <w:r>
        <w:rPr>
          <w:rFonts w:hint="eastAsia" w:ascii="宋体" w:hAnsi="宋体" w:eastAsia="宋体" w:cs="宋体"/>
          <w:color w:val="0000FF"/>
          <w:spacing w:val="8"/>
          <w:sz w:val="20"/>
          <w:szCs w:val="20"/>
        </w:rPr>
        <w:t>江华瑶族自治县建设工程招标投标</w:t>
      </w:r>
      <w:r>
        <w:rPr>
          <w:rFonts w:hint="eastAsia" w:ascii="宋体" w:hAnsi="宋体" w:eastAsia="宋体" w:cs="宋体"/>
          <w:color w:val="0000FF"/>
          <w:spacing w:val="8"/>
          <w:sz w:val="20"/>
          <w:szCs w:val="20"/>
          <w:lang w:val="en-US" w:eastAsia="zh-CN"/>
        </w:rPr>
        <w:t>领导小组</w:t>
      </w:r>
      <w:r>
        <w:rPr>
          <w:rFonts w:hint="eastAsia" w:ascii="宋体" w:hAnsi="宋体" w:eastAsia="宋体" w:cs="宋体"/>
          <w:color w:val="0000FF"/>
          <w:spacing w:val="8"/>
          <w:sz w:val="20"/>
          <w:szCs w:val="20"/>
        </w:rPr>
        <w:t>办公室</w:t>
      </w:r>
      <w:r>
        <w:rPr>
          <w:rFonts w:ascii="宋体" w:hAnsi="宋体" w:eastAsia="宋体" w:cs="宋体"/>
          <w:spacing w:val="8"/>
          <w:sz w:val="20"/>
          <w:szCs w:val="20"/>
        </w:rPr>
        <w:t>，电话</w:t>
      </w:r>
      <w:r>
        <w:rPr>
          <w:rFonts w:hint="eastAsia" w:ascii="宋体" w:hAnsi="宋体" w:eastAsia="宋体" w:cs="宋体"/>
          <w:color w:val="0000FF"/>
          <w:spacing w:val="8"/>
          <w:sz w:val="20"/>
          <w:szCs w:val="20"/>
          <w:u w:val="none"/>
        </w:rPr>
        <w:t>0746-2317712</w:t>
      </w:r>
      <w:r>
        <w:rPr>
          <w:rFonts w:ascii="宋体" w:hAnsi="宋体" w:eastAsia="宋体" w:cs="宋体"/>
          <w:spacing w:val="7"/>
          <w:sz w:val="20"/>
          <w:szCs w:val="20"/>
        </w:rPr>
        <w:t>。</w:t>
      </w:r>
    </w:p>
    <w:p w14:paraId="512512F2">
      <w:pPr>
        <w:spacing w:before="178" w:line="222" w:lineRule="auto"/>
        <w:ind w:left="4"/>
        <w:outlineLvl w:val="1"/>
        <w:rPr>
          <w:rFonts w:hint="eastAsia" w:ascii="黑体" w:hAnsi="黑体" w:eastAsia="黑体" w:cs="黑体"/>
          <w:spacing w:val="-3"/>
          <w:sz w:val="30"/>
          <w:szCs w:val="30"/>
          <w:lang w:val="en-US" w:eastAsia="zh-CN"/>
        </w:rPr>
      </w:pPr>
      <w:bookmarkStart w:id="30" w:name="bookmark21"/>
      <w:bookmarkEnd w:id="30"/>
      <w:bookmarkStart w:id="31" w:name="_Toc4"/>
      <w:r>
        <w:rPr>
          <w:rFonts w:ascii="Times New Roman" w:hAnsi="Times New Roman" w:eastAsia="Times New Roman" w:cs="Times New Roman"/>
          <w:spacing w:val="-3"/>
          <w:sz w:val="30"/>
          <w:szCs w:val="30"/>
        </w:rPr>
        <w:t>9.</w:t>
      </w:r>
      <w:r>
        <w:rPr>
          <w:rFonts w:ascii="黑体" w:hAnsi="黑体" w:eastAsia="黑体" w:cs="黑体"/>
          <w:spacing w:val="-3"/>
          <w:sz w:val="30"/>
          <w:szCs w:val="30"/>
        </w:rPr>
        <w:t>其它</w:t>
      </w:r>
      <w:r>
        <w:rPr>
          <w:rFonts w:hint="eastAsia" w:ascii="黑体" w:hAnsi="黑体" w:eastAsia="黑体" w:cs="黑体"/>
          <w:spacing w:val="-3"/>
          <w:sz w:val="30"/>
          <w:szCs w:val="30"/>
          <w:lang w:val="en-US" w:eastAsia="zh-CN"/>
        </w:rPr>
        <w:t xml:space="preserve"> /</w:t>
      </w:r>
      <w:bookmarkEnd w:id="31"/>
    </w:p>
    <w:p w14:paraId="61D96939">
      <w:pPr>
        <w:spacing w:before="178" w:line="222" w:lineRule="auto"/>
        <w:ind w:left="4" w:right="0" w:firstLine="0"/>
        <w:outlineLvl w:val="9"/>
        <w:rPr>
          <w:rFonts w:hint="eastAsia" w:ascii="Calibri" w:hAnsi="Calibri" w:eastAsia="宋体" w:cs="Calibri"/>
          <w:spacing w:val="8"/>
          <w:sz w:val="22"/>
          <w:szCs w:val="22"/>
          <w:lang w:val="en-US" w:eastAsia="zh-CN"/>
        </w:rPr>
      </w:pPr>
    </w:p>
    <w:p w14:paraId="3D2AA492">
      <w:pPr>
        <w:spacing w:before="40" w:line="221" w:lineRule="auto"/>
        <w:ind w:left="27"/>
        <w:outlineLvl w:val="1"/>
        <w:rPr>
          <w:rFonts w:ascii="黑体" w:hAnsi="黑体" w:eastAsia="黑体" w:cs="黑体"/>
          <w:sz w:val="30"/>
          <w:szCs w:val="30"/>
        </w:rPr>
      </w:pPr>
      <w:bookmarkStart w:id="32" w:name="bookmark23"/>
      <w:bookmarkEnd w:id="32"/>
      <w:bookmarkStart w:id="33" w:name="_Toc30655"/>
      <w:r>
        <w:rPr>
          <w:rFonts w:ascii="Times New Roman" w:hAnsi="Times New Roman" w:eastAsia="Times New Roman" w:cs="Times New Roman"/>
          <w:spacing w:val="-6"/>
          <w:sz w:val="30"/>
          <w:szCs w:val="30"/>
        </w:rPr>
        <w:t>10.</w:t>
      </w:r>
      <w:r>
        <w:rPr>
          <w:rFonts w:ascii="黑体" w:hAnsi="黑体" w:eastAsia="黑体" w:cs="黑体"/>
          <w:spacing w:val="-6"/>
          <w:sz w:val="30"/>
          <w:szCs w:val="30"/>
        </w:rPr>
        <w:t>联系方式</w:t>
      </w:r>
      <w:bookmarkEnd w:id="33"/>
    </w:p>
    <w:p w14:paraId="69CDDACB">
      <w:pPr>
        <w:spacing w:line="360" w:lineRule="auto"/>
        <w:ind w:firstLine="420" w:firstLineChars="200"/>
        <w:rPr>
          <w:color w:val="auto"/>
          <w:szCs w:val="21"/>
        </w:rPr>
      </w:pPr>
    </w:p>
    <w:p w14:paraId="2752FD0A">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 标 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eastAsia="zh-CN"/>
        </w:rPr>
        <w:t>江华冯乘发展集团有限公司</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p w14:paraId="1658BD2E">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    址：</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eastAsia="zh-CN"/>
        </w:rPr>
        <w:t>湖南省永州市江华瑶族自治县沱江镇香樟路 1 号</w:t>
      </w:r>
      <w:r>
        <w:rPr>
          <w:rFonts w:hint="eastAsia" w:asciiTheme="minorEastAsia" w:hAnsiTheme="minorEastAsia" w:eastAsiaTheme="minorEastAsia" w:cstheme="minorEastAsia"/>
          <w:color w:val="auto"/>
          <w:szCs w:val="21"/>
        </w:rPr>
        <w:t>；</w:t>
      </w:r>
    </w:p>
    <w:p w14:paraId="32DC9A5C">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 系 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eastAsia="zh-CN"/>
        </w:rPr>
        <w:t>贺雯</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rPr>
        <w:t>；</w:t>
      </w:r>
    </w:p>
    <w:p w14:paraId="7DB256A2">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rPr>
        <w:t>电    话：</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highlight w:val="none"/>
          <w:u w:val="single"/>
          <w:lang w:val="en-US" w:eastAsia="zh-CN"/>
        </w:rPr>
        <w:t>0746-2371761</w:t>
      </w:r>
      <w:r>
        <w:rPr>
          <w:rFonts w:hint="eastAsia" w:asciiTheme="minorEastAsia" w:hAnsiTheme="minorEastAsia" w:eastAsiaTheme="minorEastAsia" w:cstheme="minorEastAsia"/>
          <w:color w:val="auto"/>
          <w:szCs w:val="21"/>
          <w:highlight w:val="none"/>
        </w:rPr>
        <w:t>；</w:t>
      </w:r>
    </w:p>
    <w:p w14:paraId="5AF85273">
      <w:pPr>
        <w:spacing w:line="360" w:lineRule="auto"/>
        <w:ind w:firstLine="420" w:firstLineChars="200"/>
        <w:rPr>
          <w:rFonts w:hint="eastAsia" w:asciiTheme="minorEastAsia" w:hAnsiTheme="minorEastAsia" w:eastAsiaTheme="minorEastAsia" w:cstheme="minorEastAsia"/>
          <w:color w:val="auto"/>
          <w:szCs w:val="21"/>
          <w:highlight w:val="none"/>
        </w:rPr>
      </w:pPr>
    </w:p>
    <w:p w14:paraId="7424623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招标代理机构：</w:t>
      </w:r>
      <w:r>
        <w:rPr>
          <w:rFonts w:hint="eastAsia" w:asciiTheme="minorEastAsia" w:hAnsiTheme="minorEastAsia" w:eastAsiaTheme="minorEastAsia" w:cstheme="minorEastAsia"/>
          <w:color w:val="auto"/>
          <w:szCs w:val="21"/>
          <w:highlight w:val="none"/>
          <w:u w:val="single"/>
          <w:lang w:eastAsia="zh-CN"/>
        </w:rPr>
        <w:t>深圳市华睿项目管理有限公司</w:t>
      </w:r>
      <w:r>
        <w:rPr>
          <w:rFonts w:hint="eastAsia" w:asciiTheme="minorEastAsia" w:hAnsiTheme="minorEastAsia" w:eastAsiaTheme="minorEastAsia" w:cstheme="minorEastAsia"/>
          <w:color w:val="auto"/>
          <w:szCs w:val="21"/>
          <w:highlight w:val="none"/>
        </w:rPr>
        <w:t>；</w:t>
      </w:r>
    </w:p>
    <w:p w14:paraId="4FD8789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江华瑶族自治县沱江镇鲤鱼井路209号</w:t>
      </w:r>
      <w:r>
        <w:rPr>
          <w:rFonts w:hint="eastAsia" w:asciiTheme="minorEastAsia" w:hAnsiTheme="minorEastAsia" w:eastAsiaTheme="minorEastAsia" w:cstheme="minorEastAsia"/>
          <w:color w:val="auto"/>
          <w:szCs w:val="21"/>
          <w:highlight w:val="none"/>
        </w:rPr>
        <w:t>；</w:t>
      </w:r>
    </w:p>
    <w:p w14:paraId="31B5F20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 系 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罗豇</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王炜</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余艳霞</w:t>
      </w:r>
      <w:r>
        <w:rPr>
          <w:rFonts w:hint="eastAsia" w:asciiTheme="minorEastAsia" w:hAnsiTheme="minorEastAsia" w:eastAsiaTheme="minorEastAsia" w:cstheme="minorEastAsia"/>
          <w:color w:val="auto"/>
          <w:szCs w:val="21"/>
          <w:highlight w:val="none"/>
        </w:rPr>
        <w:t>；</w:t>
      </w:r>
    </w:p>
    <w:p w14:paraId="0F15215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18797759698（经本人同意公开，该联系人即为本项目负责人）</w:t>
      </w:r>
      <w:r>
        <w:rPr>
          <w:rFonts w:hint="eastAsia" w:asciiTheme="minorEastAsia" w:hAnsiTheme="minorEastAsia" w:eastAsiaTheme="minorEastAsia" w:cstheme="minorEastAsia"/>
          <w:color w:val="auto"/>
          <w:szCs w:val="21"/>
          <w:highlight w:val="none"/>
        </w:rPr>
        <w:t>。</w:t>
      </w:r>
    </w:p>
    <w:p w14:paraId="73ECEA62">
      <w:pPr>
        <w:spacing w:line="227" w:lineRule="auto"/>
        <w:rPr>
          <w:rFonts w:ascii="宋体" w:hAnsi="宋体" w:eastAsia="宋体" w:cs="宋体"/>
          <w:sz w:val="20"/>
          <w:szCs w:val="20"/>
        </w:rPr>
        <w:sectPr>
          <w:pgSz w:w="11907" w:h="16840"/>
          <w:pgMar w:top="1403" w:right="1331" w:bottom="1077" w:left="1425" w:header="567" w:footer="680" w:gutter="0"/>
          <w:pgNumType w:fmt="decimal"/>
          <w:cols w:space="720" w:num="1"/>
        </w:sectPr>
      </w:pPr>
    </w:p>
    <w:p w14:paraId="3E2F7A44">
      <w:pPr>
        <w:spacing w:before="63" w:line="224" w:lineRule="auto"/>
        <w:ind w:left="3504"/>
        <w:outlineLvl w:val="0"/>
        <w:rPr>
          <w:rFonts w:ascii="宋体" w:hAnsi="宋体" w:eastAsia="宋体" w:cs="宋体"/>
          <w:sz w:val="31"/>
          <w:szCs w:val="31"/>
        </w:rPr>
      </w:pPr>
      <w:bookmarkStart w:id="34" w:name="bookmark25"/>
      <w:bookmarkEnd w:id="34"/>
      <w:bookmarkStart w:id="35" w:name="_Toc20029"/>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投标人须知</w:t>
      </w:r>
      <w:bookmarkEnd w:id="35"/>
    </w:p>
    <w:p w14:paraId="38AFE211">
      <w:pPr>
        <w:spacing w:before="287" w:line="222" w:lineRule="auto"/>
        <w:ind w:left="3827"/>
        <w:outlineLvl w:val="1"/>
        <w:rPr>
          <w:rFonts w:ascii="黑体" w:hAnsi="黑体" w:eastAsia="黑体" w:cs="黑体"/>
          <w:sz w:val="28"/>
          <w:szCs w:val="28"/>
        </w:rPr>
      </w:pPr>
      <w:bookmarkStart w:id="36" w:name="_Toc17571"/>
      <w:r>
        <w:rPr>
          <w:rFonts w:ascii="黑体" w:hAnsi="黑体" w:eastAsia="黑体" w:cs="黑体"/>
          <w:spacing w:val="-1"/>
          <w:sz w:val="28"/>
          <w:szCs w:val="28"/>
        </w:rPr>
        <w:t>投标人须知前附表</w:t>
      </w:r>
      <w:bookmarkEnd w:id="36"/>
    </w:p>
    <w:p w14:paraId="09B76BEA">
      <w:pPr>
        <w:spacing w:before="1"/>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769"/>
        <w:gridCol w:w="6436"/>
      </w:tblGrid>
      <w:tr w14:paraId="2C15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69" w:type="dxa"/>
            <w:vAlign w:val="top"/>
          </w:tcPr>
          <w:p w14:paraId="286B64FC">
            <w:pPr>
              <w:pStyle w:val="15"/>
              <w:spacing w:before="65" w:line="228" w:lineRule="auto"/>
              <w:ind w:left="225"/>
            </w:pPr>
            <w:r>
              <w:rPr>
                <w:spacing w:val="6"/>
              </w:rPr>
              <w:t>条款号</w:t>
            </w:r>
          </w:p>
        </w:tc>
        <w:tc>
          <w:tcPr>
            <w:tcW w:w="1769" w:type="dxa"/>
            <w:vAlign w:val="top"/>
          </w:tcPr>
          <w:p w14:paraId="3E4D712D">
            <w:pPr>
              <w:pStyle w:val="15"/>
              <w:spacing w:before="65" w:line="228" w:lineRule="auto"/>
              <w:ind w:left="469"/>
            </w:pPr>
            <w:r>
              <w:rPr>
                <w:spacing w:val="6"/>
              </w:rPr>
              <w:t>条款名称</w:t>
            </w:r>
          </w:p>
        </w:tc>
        <w:tc>
          <w:tcPr>
            <w:tcW w:w="6436" w:type="dxa"/>
            <w:vAlign w:val="top"/>
          </w:tcPr>
          <w:p w14:paraId="34CE244B">
            <w:pPr>
              <w:pStyle w:val="15"/>
              <w:spacing w:before="65" w:line="228" w:lineRule="auto"/>
              <w:ind w:left="2962"/>
            </w:pPr>
            <w:r>
              <w:rPr>
                <w:spacing w:val="6"/>
              </w:rPr>
              <w:t>编列内容</w:t>
            </w:r>
          </w:p>
        </w:tc>
      </w:tr>
      <w:tr w14:paraId="0B6DD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69" w:type="dxa"/>
            <w:vAlign w:val="top"/>
          </w:tcPr>
          <w:p w14:paraId="7FC8784B">
            <w:pPr>
              <w:spacing w:line="303" w:lineRule="auto"/>
              <w:rPr>
                <w:rFonts w:ascii="Arial"/>
                <w:sz w:val="21"/>
              </w:rPr>
            </w:pPr>
          </w:p>
          <w:p w14:paraId="745097D4">
            <w:pPr>
              <w:spacing w:line="303" w:lineRule="auto"/>
              <w:rPr>
                <w:rFonts w:ascii="Arial"/>
                <w:sz w:val="21"/>
              </w:rPr>
            </w:pPr>
          </w:p>
          <w:p w14:paraId="509E3458">
            <w:pPr>
              <w:pStyle w:val="15"/>
              <w:spacing w:before="65" w:line="190" w:lineRule="auto"/>
              <w:ind w:left="292"/>
            </w:pPr>
            <w:r>
              <w:t>1.1.2</w:t>
            </w:r>
          </w:p>
        </w:tc>
        <w:tc>
          <w:tcPr>
            <w:tcW w:w="1769" w:type="dxa"/>
            <w:vAlign w:val="top"/>
          </w:tcPr>
          <w:p w14:paraId="3F4B757A">
            <w:pPr>
              <w:spacing w:line="287" w:lineRule="auto"/>
              <w:rPr>
                <w:rFonts w:ascii="Arial"/>
                <w:sz w:val="21"/>
              </w:rPr>
            </w:pPr>
          </w:p>
          <w:p w14:paraId="613E02D8">
            <w:pPr>
              <w:spacing w:line="288" w:lineRule="auto"/>
              <w:rPr>
                <w:rFonts w:ascii="Arial"/>
                <w:sz w:val="21"/>
              </w:rPr>
            </w:pPr>
          </w:p>
          <w:p w14:paraId="06C4BB43">
            <w:pPr>
              <w:pStyle w:val="15"/>
              <w:spacing w:before="65" w:line="228" w:lineRule="auto"/>
              <w:ind w:left="574"/>
            </w:pPr>
            <w:r>
              <w:rPr>
                <w:spacing w:val="6"/>
              </w:rPr>
              <w:t>招标人</w:t>
            </w:r>
          </w:p>
        </w:tc>
        <w:tc>
          <w:tcPr>
            <w:tcW w:w="6436" w:type="dxa"/>
            <w:vAlign w:val="top"/>
          </w:tcPr>
          <w:p w14:paraId="5B3DA8F7">
            <w:pPr>
              <w:pStyle w:val="15"/>
              <w:spacing w:before="31" w:line="227" w:lineRule="auto"/>
              <w:ind w:left="114"/>
              <w:rPr>
                <w:rFonts w:hint="eastAsia" w:eastAsia="宋体"/>
                <w:lang w:eastAsia="zh-CN"/>
              </w:rPr>
            </w:pPr>
            <w:r>
              <w:rPr>
                <w:spacing w:val="8"/>
              </w:rPr>
              <w:t>名    称：</w:t>
            </w:r>
            <w:r>
              <w:rPr>
                <w:rFonts w:hint="eastAsia"/>
                <w:color w:val="0000FF"/>
                <w:spacing w:val="8"/>
                <w:lang w:eastAsia="zh-CN"/>
              </w:rPr>
              <w:t>江华冯乘发展集团有限公司</w:t>
            </w:r>
          </w:p>
          <w:p w14:paraId="22133054">
            <w:pPr>
              <w:pStyle w:val="15"/>
              <w:spacing w:before="162" w:line="227" w:lineRule="auto"/>
              <w:ind w:left="112"/>
            </w:pPr>
            <w:r>
              <w:rPr>
                <w:spacing w:val="8"/>
              </w:rPr>
              <w:t>地    址：</w:t>
            </w:r>
            <w:r>
              <w:rPr>
                <w:rFonts w:hint="eastAsia"/>
                <w:color w:val="0000FF"/>
                <w:spacing w:val="8"/>
              </w:rPr>
              <w:t>湖南省永州市江华瑶族自治县沱江镇香樟路 1 号</w:t>
            </w:r>
          </w:p>
          <w:p w14:paraId="0BD7514B">
            <w:pPr>
              <w:pStyle w:val="15"/>
              <w:spacing w:before="162" w:line="229" w:lineRule="auto"/>
              <w:ind w:left="113"/>
            </w:pPr>
            <w:r>
              <w:rPr>
                <w:spacing w:val="7"/>
              </w:rPr>
              <w:t>联 系</w:t>
            </w:r>
            <w:r>
              <w:rPr>
                <w:spacing w:val="20"/>
              </w:rPr>
              <w:t xml:space="preserve"> </w:t>
            </w:r>
            <w:r>
              <w:rPr>
                <w:spacing w:val="7"/>
              </w:rPr>
              <w:t>人：</w:t>
            </w:r>
            <w:r>
              <w:rPr>
                <w:rFonts w:hint="eastAsia"/>
                <w:color w:val="0000FF"/>
                <w:spacing w:val="7"/>
              </w:rPr>
              <w:t>贺雯</w:t>
            </w:r>
          </w:p>
          <w:p w14:paraId="49015DF9">
            <w:pPr>
              <w:pStyle w:val="15"/>
              <w:spacing w:before="159" w:line="227" w:lineRule="auto"/>
              <w:ind w:left="136"/>
            </w:pPr>
            <w:r>
              <w:rPr>
                <w:spacing w:val="5"/>
              </w:rPr>
              <w:t>电    话：</w:t>
            </w:r>
            <w:r>
              <w:rPr>
                <w:rFonts w:hint="eastAsia"/>
                <w:color w:val="0000FF"/>
                <w:spacing w:val="5"/>
              </w:rPr>
              <w:t>0746-</w:t>
            </w:r>
            <w:r>
              <w:rPr>
                <w:rFonts w:hint="eastAsia"/>
                <w:color w:val="0000FF"/>
                <w:spacing w:val="5"/>
                <w:lang w:val="en-US" w:eastAsia="zh-CN"/>
              </w:rPr>
              <w:t>2371761</w:t>
            </w:r>
            <w:r>
              <w:rPr>
                <w:color w:val="0000FF"/>
                <w:spacing w:val="49"/>
              </w:rPr>
              <w:t xml:space="preserve"> </w:t>
            </w:r>
          </w:p>
        </w:tc>
      </w:tr>
      <w:tr w14:paraId="21120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069" w:type="dxa"/>
            <w:vAlign w:val="top"/>
          </w:tcPr>
          <w:p w14:paraId="02616C49">
            <w:pPr>
              <w:spacing w:line="253" w:lineRule="auto"/>
              <w:rPr>
                <w:rFonts w:ascii="Arial"/>
                <w:sz w:val="21"/>
              </w:rPr>
            </w:pPr>
          </w:p>
          <w:p w14:paraId="155294C3">
            <w:pPr>
              <w:spacing w:line="253" w:lineRule="auto"/>
              <w:rPr>
                <w:rFonts w:ascii="Arial"/>
                <w:sz w:val="21"/>
              </w:rPr>
            </w:pPr>
          </w:p>
          <w:p w14:paraId="224A0866">
            <w:pPr>
              <w:spacing w:line="253" w:lineRule="auto"/>
              <w:rPr>
                <w:rFonts w:ascii="Arial"/>
                <w:sz w:val="21"/>
              </w:rPr>
            </w:pPr>
          </w:p>
          <w:p w14:paraId="06808379">
            <w:pPr>
              <w:spacing w:line="253" w:lineRule="auto"/>
              <w:rPr>
                <w:rFonts w:ascii="Arial"/>
                <w:sz w:val="21"/>
              </w:rPr>
            </w:pPr>
          </w:p>
          <w:p w14:paraId="6D459472">
            <w:pPr>
              <w:pStyle w:val="15"/>
              <w:spacing w:before="65" w:line="190" w:lineRule="auto"/>
              <w:ind w:left="292"/>
            </w:pPr>
            <w:r>
              <w:t>1.1.3</w:t>
            </w:r>
          </w:p>
        </w:tc>
        <w:tc>
          <w:tcPr>
            <w:tcW w:w="1769" w:type="dxa"/>
            <w:vAlign w:val="top"/>
          </w:tcPr>
          <w:p w14:paraId="741633A5">
            <w:pPr>
              <w:spacing w:line="245" w:lineRule="auto"/>
              <w:rPr>
                <w:rFonts w:ascii="Arial"/>
                <w:sz w:val="21"/>
              </w:rPr>
            </w:pPr>
          </w:p>
          <w:p w14:paraId="309CD127">
            <w:pPr>
              <w:spacing w:line="245" w:lineRule="auto"/>
              <w:rPr>
                <w:rFonts w:ascii="Arial"/>
                <w:sz w:val="21"/>
              </w:rPr>
            </w:pPr>
          </w:p>
          <w:p w14:paraId="7D5890AC">
            <w:pPr>
              <w:spacing w:line="245" w:lineRule="auto"/>
              <w:rPr>
                <w:rFonts w:ascii="Arial"/>
                <w:sz w:val="21"/>
              </w:rPr>
            </w:pPr>
          </w:p>
          <w:p w14:paraId="5F65D290">
            <w:pPr>
              <w:spacing w:line="246" w:lineRule="auto"/>
              <w:rPr>
                <w:rFonts w:ascii="Arial"/>
                <w:sz w:val="21"/>
              </w:rPr>
            </w:pPr>
          </w:p>
          <w:p w14:paraId="623B4E0B">
            <w:pPr>
              <w:pStyle w:val="15"/>
              <w:spacing w:before="65" w:line="227" w:lineRule="auto"/>
              <w:ind w:left="259"/>
            </w:pPr>
            <w:r>
              <w:rPr>
                <w:spacing w:val="8"/>
              </w:rPr>
              <w:t>招标代理机构</w:t>
            </w:r>
          </w:p>
        </w:tc>
        <w:tc>
          <w:tcPr>
            <w:tcW w:w="6436" w:type="dxa"/>
            <w:vAlign w:val="top"/>
          </w:tcPr>
          <w:p w14:paraId="1E26935C">
            <w:pPr>
              <w:pStyle w:val="15"/>
              <w:spacing w:before="32" w:line="228" w:lineRule="auto"/>
              <w:ind w:left="114"/>
            </w:pPr>
            <w:r>
              <w:rPr>
                <w:spacing w:val="8"/>
              </w:rPr>
              <w:t>名    称：</w:t>
            </w:r>
            <w:r>
              <w:rPr>
                <w:rFonts w:hint="eastAsia"/>
                <w:color w:val="0000FF"/>
                <w:spacing w:val="8"/>
              </w:rPr>
              <w:t>深圳市华睿项目管理有限公司</w:t>
            </w:r>
          </w:p>
          <w:p w14:paraId="3CDBF929">
            <w:pPr>
              <w:pStyle w:val="15"/>
              <w:spacing w:before="161" w:line="227" w:lineRule="auto"/>
              <w:ind w:left="112"/>
            </w:pPr>
            <w:r>
              <w:rPr>
                <w:spacing w:val="8"/>
              </w:rPr>
              <w:t>地    址：</w:t>
            </w:r>
            <w:r>
              <w:rPr>
                <w:rFonts w:hint="eastAsia"/>
                <w:color w:val="0000FF"/>
                <w:spacing w:val="8"/>
              </w:rPr>
              <w:t>江华瑶族自治县沱江镇鲤鱼井路209号</w:t>
            </w:r>
          </w:p>
          <w:p w14:paraId="26D5562C">
            <w:pPr>
              <w:pStyle w:val="15"/>
              <w:spacing w:before="161" w:line="228" w:lineRule="auto"/>
              <w:ind w:left="115"/>
            </w:pPr>
            <w:r>
              <w:rPr>
                <w:spacing w:val="8"/>
              </w:rPr>
              <w:t>项目负责人：</w:t>
            </w:r>
            <w:r>
              <w:rPr>
                <w:rFonts w:hint="eastAsia"/>
                <w:color w:val="0000FF"/>
                <w:spacing w:val="8"/>
              </w:rPr>
              <w:t>罗豇</w:t>
            </w:r>
          </w:p>
          <w:p w14:paraId="5D5D8C7C">
            <w:pPr>
              <w:pStyle w:val="15"/>
              <w:spacing w:before="161" w:line="228" w:lineRule="auto"/>
              <w:ind w:left="113"/>
            </w:pPr>
            <w:r>
              <w:rPr>
                <w:spacing w:val="9"/>
              </w:rPr>
              <w:t>专职人员：</w:t>
            </w:r>
            <w:r>
              <w:rPr>
                <w:rFonts w:hint="eastAsia"/>
                <w:color w:val="0000FF"/>
                <w:spacing w:val="9"/>
              </w:rPr>
              <w:t>王炜，余艳霞</w:t>
            </w:r>
          </w:p>
          <w:p w14:paraId="249C0F44">
            <w:pPr>
              <w:pStyle w:val="15"/>
              <w:spacing w:before="161" w:line="360" w:lineRule="auto"/>
              <w:ind w:left="119" w:right="108" w:firstLine="17"/>
            </w:pPr>
            <w:r>
              <w:rPr>
                <w:spacing w:val="6"/>
              </w:rPr>
              <w:t>电    话：</w:t>
            </w:r>
            <w:r>
              <w:rPr>
                <w:rFonts w:hint="eastAsia"/>
                <w:color w:val="0000FF"/>
                <w:spacing w:val="6"/>
                <w:lang w:val="en-US" w:eastAsia="zh-CN"/>
              </w:rPr>
              <w:t>18797759698</w:t>
            </w:r>
            <w:r>
              <w:rPr>
                <w:color w:val="0000FF"/>
                <w:spacing w:val="6"/>
              </w:rPr>
              <w:t>(经本人同意公开，该联系人即为本项目负</w:t>
            </w:r>
            <w:r>
              <w:rPr>
                <w:color w:val="0000FF"/>
              </w:rPr>
              <w:t xml:space="preserve"> </w:t>
            </w:r>
            <w:r>
              <w:rPr>
                <w:color w:val="0000FF"/>
                <w:spacing w:val="3"/>
              </w:rPr>
              <w:t>责人)</w:t>
            </w:r>
          </w:p>
        </w:tc>
      </w:tr>
      <w:tr w14:paraId="7D0BB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69" w:type="dxa"/>
            <w:vAlign w:val="top"/>
          </w:tcPr>
          <w:p w14:paraId="60EAF10E">
            <w:pPr>
              <w:pStyle w:val="15"/>
              <w:spacing w:before="81" w:line="190" w:lineRule="auto"/>
              <w:ind w:left="292"/>
            </w:pPr>
            <w:r>
              <w:t>1.1.4</w:t>
            </w:r>
          </w:p>
        </w:tc>
        <w:tc>
          <w:tcPr>
            <w:tcW w:w="1769" w:type="dxa"/>
            <w:vAlign w:val="top"/>
          </w:tcPr>
          <w:p w14:paraId="7800FBD7">
            <w:pPr>
              <w:pStyle w:val="15"/>
              <w:spacing w:before="49" w:line="228" w:lineRule="auto"/>
              <w:ind w:left="259"/>
            </w:pPr>
            <w:r>
              <w:rPr>
                <w:spacing w:val="8"/>
              </w:rPr>
              <w:t>招标项目名称</w:t>
            </w:r>
          </w:p>
        </w:tc>
        <w:tc>
          <w:tcPr>
            <w:tcW w:w="6436" w:type="dxa"/>
            <w:vAlign w:val="top"/>
          </w:tcPr>
          <w:p w14:paraId="0E225B22">
            <w:pPr>
              <w:pStyle w:val="15"/>
              <w:spacing w:before="49" w:line="227" w:lineRule="auto"/>
              <w:ind w:left="113"/>
              <w:rPr>
                <w:rFonts w:hint="eastAsia" w:eastAsia="宋体"/>
                <w:lang w:eastAsia="zh-CN"/>
              </w:rPr>
            </w:pPr>
            <w:r>
              <w:rPr>
                <w:rFonts w:hint="eastAsia"/>
                <w:color w:val="0000FF"/>
                <w:spacing w:val="9"/>
                <w:lang w:eastAsia="zh-CN"/>
              </w:rPr>
              <w:t>滨江大道出让82宗地块基础设施改造项目</w:t>
            </w:r>
          </w:p>
        </w:tc>
      </w:tr>
      <w:tr w14:paraId="41E5C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69" w:type="dxa"/>
            <w:vAlign w:val="top"/>
          </w:tcPr>
          <w:p w14:paraId="15FBFA99">
            <w:pPr>
              <w:pStyle w:val="15"/>
              <w:spacing w:before="80" w:line="190" w:lineRule="auto"/>
              <w:ind w:left="292"/>
            </w:pPr>
            <w:r>
              <w:t>1.1.5</w:t>
            </w:r>
          </w:p>
        </w:tc>
        <w:tc>
          <w:tcPr>
            <w:tcW w:w="1769" w:type="dxa"/>
            <w:vAlign w:val="top"/>
          </w:tcPr>
          <w:p w14:paraId="7DB36CB5">
            <w:pPr>
              <w:pStyle w:val="15"/>
              <w:spacing w:before="48" w:line="229" w:lineRule="auto"/>
              <w:ind w:left="470"/>
            </w:pPr>
            <w:r>
              <w:rPr>
                <w:spacing w:val="6"/>
              </w:rPr>
              <w:t>建设地点</w:t>
            </w:r>
          </w:p>
        </w:tc>
        <w:tc>
          <w:tcPr>
            <w:tcW w:w="6436" w:type="dxa"/>
            <w:vAlign w:val="top"/>
          </w:tcPr>
          <w:p w14:paraId="424CF816">
            <w:pPr>
              <w:pStyle w:val="15"/>
              <w:spacing w:before="48" w:line="227" w:lineRule="auto"/>
              <w:ind w:left="113"/>
            </w:pPr>
            <w:r>
              <w:rPr>
                <w:rFonts w:hint="eastAsia"/>
                <w:color w:val="0000FF"/>
                <w:spacing w:val="9"/>
              </w:rPr>
              <w:t>江华瑶族自治县滨江大道旁</w:t>
            </w:r>
          </w:p>
        </w:tc>
      </w:tr>
      <w:tr w14:paraId="5008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1069" w:type="dxa"/>
            <w:vAlign w:val="top"/>
          </w:tcPr>
          <w:p w14:paraId="46AFD246">
            <w:pPr>
              <w:spacing w:line="269" w:lineRule="auto"/>
              <w:rPr>
                <w:rFonts w:ascii="Arial"/>
                <w:sz w:val="21"/>
              </w:rPr>
            </w:pPr>
          </w:p>
          <w:p w14:paraId="311D211B">
            <w:pPr>
              <w:spacing w:line="270" w:lineRule="auto"/>
              <w:rPr>
                <w:rFonts w:ascii="Arial"/>
                <w:sz w:val="21"/>
              </w:rPr>
            </w:pPr>
          </w:p>
          <w:p w14:paraId="2635E19D">
            <w:pPr>
              <w:spacing w:line="270" w:lineRule="auto"/>
              <w:rPr>
                <w:rFonts w:ascii="Arial"/>
                <w:sz w:val="21"/>
              </w:rPr>
            </w:pPr>
          </w:p>
          <w:p w14:paraId="025ADA1F">
            <w:pPr>
              <w:pStyle w:val="15"/>
              <w:spacing w:before="65" w:line="190" w:lineRule="auto"/>
              <w:ind w:left="292"/>
            </w:pPr>
            <w:r>
              <w:t>1.3.1</w:t>
            </w:r>
          </w:p>
        </w:tc>
        <w:tc>
          <w:tcPr>
            <w:tcW w:w="1769" w:type="dxa"/>
            <w:vAlign w:val="top"/>
          </w:tcPr>
          <w:p w14:paraId="0739811F">
            <w:pPr>
              <w:spacing w:line="259" w:lineRule="auto"/>
              <w:rPr>
                <w:rFonts w:ascii="Arial"/>
                <w:sz w:val="21"/>
              </w:rPr>
            </w:pPr>
          </w:p>
          <w:p w14:paraId="502CDB40">
            <w:pPr>
              <w:spacing w:line="259" w:lineRule="auto"/>
              <w:rPr>
                <w:rFonts w:ascii="Arial"/>
                <w:sz w:val="21"/>
              </w:rPr>
            </w:pPr>
          </w:p>
          <w:p w14:paraId="246795D2">
            <w:pPr>
              <w:spacing w:line="260" w:lineRule="auto"/>
              <w:rPr>
                <w:rFonts w:ascii="Arial"/>
                <w:sz w:val="21"/>
              </w:rPr>
            </w:pPr>
          </w:p>
          <w:p w14:paraId="7AC4B35C">
            <w:pPr>
              <w:pStyle w:val="15"/>
              <w:spacing w:before="65" w:line="228" w:lineRule="auto"/>
              <w:ind w:left="468"/>
            </w:pPr>
            <w:r>
              <w:rPr>
                <w:spacing w:val="7"/>
              </w:rPr>
              <w:t>招标范围</w:t>
            </w:r>
          </w:p>
        </w:tc>
        <w:tc>
          <w:tcPr>
            <w:tcW w:w="6436" w:type="dxa"/>
            <w:vAlign w:val="top"/>
          </w:tcPr>
          <w:p w14:paraId="3DC6B4FE">
            <w:pPr>
              <w:pStyle w:val="15"/>
              <w:spacing w:before="31" w:line="226" w:lineRule="auto"/>
              <w:ind w:left="120"/>
            </w:pPr>
            <w:r>
              <w:rPr>
                <w:rFonts w:ascii="MS Gothic" w:hAnsi="MS Gothic" w:eastAsia="MS Gothic" w:cs="MS Gothic"/>
                <w:color w:val="0000FF"/>
                <w:spacing w:val="9"/>
              </w:rPr>
              <w:t>☑</w:t>
            </w:r>
            <w:r>
              <w:rPr>
                <w:spacing w:val="9"/>
              </w:rPr>
              <w:t>详见招标公告（适用于采用资格后审方式的</w:t>
            </w:r>
            <w:r>
              <w:rPr>
                <w:spacing w:val="8"/>
              </w:rPr>
              <w:t>招标项目）</w:t>
            </w:r>
          </w:p>
          <w:p w14:paraId="76805EF6">
            <w:pPr>
              <w:pStyle w:val="15"/>
              <w:spacing w:before="162" w:line="367" w:lineRule="auto"/>
              <w:ind w:left="133" w:right="2356"/>
            </w:pPr>
            <w:r>
              <w:rPr>
                <w:color w:val="0000FF"/>
                <w:spacing w:val="7"/>
              </w:rPr>
              <w:t>□</w:t>
            </w:r>
            <w:r>
              <w:rPr>
                <w:spacing w:val="7"/>
              </w:rPr>
              <w:t xml:space="preserve">详见投标邀请书（适用于邀请招标项目） </w:t>
            </w:r>
            <w:r>
              <w:rPr>
                <w:color w:val="0000FF"/>
                <w:spacing w:val="-5"/>
              </w:rPr>
              <w:t>□/</w:t>
            </w:r>
            <w:r>
              <w:rPr>
                <w:spacing w:val="-5"/>
              </w:rPr>
              <w:t>，</w:t>
            </w:r>
          </w:p>
          <w:p w14:paraId="07C1038E">
            <w:pPr>
              <w:pStyle w:val="15"/>
              <w:spacing w:before="22" w:line="360" w:lineRule="auto"/>
              <w:ind w:left="11" w:right="108"/>
            </w:pPr>
            <w:r>
              <w:rPr>
                <w:spacing w:val="9"/>
              </w:rPr>
              <w:t>关于招标范围的详细说明见第七章“技术标准和要求</w:t>
            </w:r>
            <w:r>
              <w:rPr>
                <w:spacing w:val="-61"/>
              </w:rPr>
              <w:t xml:space="preserve"> </w:t>
            </w:r>
            <w:r>
              <w:rPr>
                <w:spacing w:val="9"/>
              </w:rPr>
              <w:t>”及施工图纸和</w:t>
            </w:r>
            <w:r>
              <w:t xml:space="preserve"> </w:t>
            </w:r>
            <w:r>
              <w:rPr>
                <w:spacing w:val="9"/>
              </w:rPr>
              <w:t>工程量清单。（适用于采用资格预审方式的招标项目）</w:t>
            </w:r>
          </w:p>
        </w:tc>
      </w:tr>
      <w:tr w14:paraId="2AD80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069" w:type="dxa"/>
            <w:vAlign w:val="top"/>
          </w:tcPr>
          <w:p w14:paraId="14D77160">
            <w:pPr>
              <w:pStyle w:val="15"/>
              <w:spacing w:before="190" w:line="190" w:lineRule="auto"/>
              <w:ind w:left="292"/>
            </w:pPr>
            <w:r>
              <w:t>1.3.2</w:t>
            </w:r>
          </w:p>
        </w:tc>
        <w:tc>
          <w:tcPr>
            <w:tcW w:w="1769" w:type="dxa"/>
            <w:vAlign w:val="top"/>
          </w:tcPr>
          <w:p w14:paraId="7CDBF770">
            <w:pPr>
              <w:pStyle w:val="15"/>
              <w:spacing w:before="159" w:line="228" w:lineRule="auto"/>
              <w:ind w:left="467"/>
            </w:pPr>
            <w:r>
              <w:rPr>
                <w:spacing w:val="7"/>
              </w:rPr>
              <w:t>计划工期</w:t>
            </w:r>
          </w:p>
        </w:tc>
        <w:tc>
          <w:tcPr>
            <w:tcW w:w="6436" w:type="dxa"/>
            <w:vAlign w:val="top"/>
          </w:tcPr>
          <w:p w14:paraId="0D2D3E7C">
            <w:pPr>
              <w:pStyle w:val="15"/>
              <w:spacing w:before="158" w:line="228" w:lineRule="auto"/>
              <w:ind w:left="112"/>
            </w:pPr>
            <w:r>
              <w:rPr>
                <w:spacing w:val="8"/>
              </w:rPr>
              <w:t>计划工期：</w:t>
            </w:r>
            <w:r>
              <w:rPr>
                <w:rFonts w:hint="eastAsia"/>
                <w:color w:val="0000FF"/>
                <w:spacing w:val="8"/>
                <w:highlight w:val="none"/>
                <w:lang w:val="en-US" w:eastAsia="zh-CN"/>
              </w:rPr>
              <w:t>90</w:t>
            </w:r>
            <w:r>
              <w:rPr>
                <w:rFonts w:ascii="MS Gothic" w:hAnsi="MS Gothic" w:eastAsia="MS Gothic" w:cs="MS Gothic"/>
                <w:color w:val="0000FF"/>
                <w:spacing w:val="8"/>
              </w:rPr>
              <w:t>☑</w:t>
            </w:r>
            <w:r>
              <w:rPr>
                <w:spacing w:val="8"/>
              </w:rPr>
              <w:t>天</w:t>
            </w:r>
            <w:r>
              <w:rPr>
                <w:color w:val="0000FF"/>
                <w:spacing w:val="8"/>
              </w:rPr>
              <w:t>□</w:t>
            </w:r>
            <w:r>
              <w:rPr>
                <w:spacing w:val="8"/>
              </w:rPr>
              <w:t>月</w:t>
            </w:r>
            <w:r>
              <w:rPr>
                <w:color w:val="0000FF"/>
                <w:spacing w:val="8"/>
              </w:rPr>
              <w:t>□</w:t>
            </w:r>
            <w:r>
              <w:rPr>
                <w:spacing w:val="8"/>
              </w:rPr>
              <w:t>年</w:t>
            </w:r>
          </w:p>
        </w:tc>
      </w:tr>
      <w:tr w14:paraId="301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69" w:type="dxa"/>
            <w:vAlign w:val="top"/>
          </w:tcPr>
          <w:p w14:paraId="3C8C80C2">
            <w:pPr>
              <w:spacing w:line="304" w:lineRule="auto"/>
              <w:rPr>
                <w:rFonts w:ascii="Arial"/>
                <w:sz w:val="21"/>
              </w:rPr>
            </w:pPr>
          </w:p>
          <w:p w14:paraId="3B26F37E">
            <w:pPr>
              <w:spacing w:line="305" w:lineRule="auto"/>
              <w:rPr>
                <w:rFonts w:ascii="Arial"/>
                <w:sz w:val="21"/>
              </w:rPr>
            </w:pPr>
          </w:p>
          <w:p w14:paraId="7EC7FD9A">
            <w:pPr>
              <w:pStyle w:val="15"/>
              <w:spacing w:before="65" w:line="190" w:lineRule="auto"/>
              <w:ind w:left="292"/>
            </w:pPr>
            <w:r>
              <w:t>1.3.3</w:t>
            </w:r>
          </w:p>
        </w:tc>
        <w:tc>
          <w:tcPr>
            <w:tcW w:w="1769" w:type="dxa"/>
            <w:vAlign w:val="top"/>
          </w:tcPr>
          <w:p w14:paraId="63F4EE15">
            <w:pPr>
              <w:spacing w:line="374" w:lineRule="auto"/>
              <w:rPr>
                <w:rFonts w:ascii="Arial"/>
                <w:sz w:val="21"/>
              </w:rPr>
            </w:pPr>
          </w:p>
          <w:p w14:paraId="767D28A1">
            <w:pPr>
              <w:pStyle w:val="15"/>
              <w:spacing w:before="65" w:line="362" w:lineRule="auto"/>
              <w:ind w:left="468" w:right="358" w:hanging="103"/>
            </w:pPr>
            <w:r>
              <w:rPr>
                <w:spacing w:val="7"/>
              </w:rPr>
              <w:t>质量标准和</w:t>
            </w:r>
            <w:r>
              <w:rPr>
                <w:spacing w:val="3"/>
              </w:rPr>
              <w:t xml:space="preserve"> </w:t>
            </w:r>
            <w:r>
              <w:rPr>
                <w:spacing w:val="7"/>
              </w:rPr>
              <w:t>保修要求</w:t>
            </w:r>
          </w:p>
        </w:tc>
        <w:tc>
          <w:tcPr>
            <w:tcW w:w="6436" w:type="dxa"/>
            <w:vAlign w:val="top"/>
          </w:tcPr>
          <w:p w14:paraId="4B6D9560">
            <w:pPr>
              <w:pStyle w:val="15"/>
              <w:spacing w:before="33" w:line="363" w:lineRule="auto"/>
              <w:ind w:left="113" w:right="108"/>
            </w:pPr>
            <w:r>
              <w:rPr>
                <w:spacing w:val="7"/>
              </w:rPr>
              <w:t>质量标准：</w:t>
            </w:r>
            <w:r>
              <w:rPr>
                <w:color w:val="0000FF"/>
                <w:spacing w:val="7"/>
              </w:rPr>
              <w:t>按现行国家有关工程施工验收规范，达到合格工程验</w:t>
            </w:r>
            <w:r>
              <w:rPr>
                <w:color w:val="0000FF"/>
                <w:spacing w:val="6"/>
              </w:rPr>
              <w:t>收标</w:t>
            </w:r>
            <w:r>
              <w:rPr>
                <w:color w:val="0000FF"/>
              </w:rPr>
              <w:t xml:space="preserve"> </w:t>
            </w:r>
            <w:r>
              <w:rPr>
                <w:color w:val="0000FF"/>
                <w:spacing w:val="-1"/>
              </w:rPr>
              <w:t>准</w:t>
            </w:r>
            <w:r>
              <w:rPr>
                <w:spacing w:val="-1"/>
              </w:rPr>
              <w:t>；</w:t>
            </w:r>
          </w:p>
          <w:p w14:paraId="1D63C029">
            <w:pPr>
              <w:pStyle w:val="15"/>
              <w:spacing w:before="30" w:line="359" w:lineRule="auto"/>
              <w:ind w:left="110" w:right="110" w:firstLine="2"/>
            </w:pPr>
            <w:r>
              <w:rPr>
                <w:spacing w:val="4"/>
              </w:rPr>
              <w:t>保修要求：</w:t>
            </w:r>
            <w:r>
              <w:rPr>
                <w:color w:val="0000FF"/>
                <w:spacing w:val="4"/>
              </w:rPr>
              <w:t>按建设部2000年80号令</w:t>
            </w:r>
            <w:r>
              <w:rPr>
                <w:color w:val="0000FF"/>
                <w:spacing w:val="3"/>
              </w:rPr>
              <w:t>规定和国务院2000年279号令</w:t>
            </w:r>
            <w:r>
              <w:rPr>
                <w:color w:val="0000FF"/>
                <w:spacing w:val="6"/>
              </w:rPr>
              <w:t>进行保修</w:t>
            </w:r>
            <w:r>
              <w:rPr>
                <w:spacing w:val="6"/>
              </w:rPr>
              <w:t>。</w:t>
            </w:r>
          </w:p>
        </w:tc>
      </w:tr>
      <w:tr w14:paraId="6B7BD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1069" w:type="dxa"/>
            <w:vAlign w:val="top"/>
          </w:tcPr>
          <w:p w14:paraId="21ACEBE1">
            <w:pPr>
              <w:spacing w:line="284" w:lineRule="auto"/>
              <w:rPr>
                <w:rFonts w:ascii="Arial"/>
                <w:sz w:val="21"/>
              </w:rPr>
            </w:pPr>
          </w:p>
          <w:p w14:paraId="389529EF">
            <w:pPr>
              <w:spacing w:line="284" w:lineRule="auto"/>
              <w:rPr>
                <w:rFonts w:ascii="Arial"/>
                <w:sz w:val="21"/>
              </w:rPr>
            </w:pPr>
          </w:p>
          <w:p w14:paraId="6CBED984">
            <w:pPr>
              <w:spacing w:line="284" w:lineRule="auto"/>
              <w:rPr>
                <w:rFonts w:ascii="Arial"/>
                <w:sz w:val="21"/>
              </w:rPr>
            </w:pPr>
          </w:p>
          <w:p w14:paraId="6CC66EC1">
            <w:pPr>
              <w:spacing w:line="284" w:lineRule="auto"/>
              <w:rPr>
                <w:rFonts w:ascii="Arial"/>
                <w:sz w:val="21"/>
              </w:rPr>
            </w:pPr>
          </w:p>
          <w:p w14:paraId="4BC9E792">
            <w:pPr>
              <w:spacing w:line="285" w:lineRule="auto"/>
              <w:rPr>
                <w:rFonts w:ascii="Arial"/>
                <w:sz w:val="21"/>
              </w:rPr>
            </w:pPr>
          </w:p>
          <w:p w14:paraId="67A27107">
            <w:pPr>
              <w:pStyle w:val="15"/>
              <w:spacing w:before="65" w:line="190" w:lineRule="auto"/>
              <w:ind w:left="292"/>
            </w:pPr>
            <w:r>
              <w:t>1.4.1</w:t>
            </w:r>
          </w:p>
        </w:tc>
        <w:tc>
          <w:tcPr>
            <w:tcW w:w="1769" w:type="dxa"/>
            <w:vAlign w:val="top"/>
          </w:tcPr>
          <w:p w14:paraId="01791773">
            <w:pPr>
              <w:spacing w:line="277" w:lineRule="auto"/>
              <w:rPr>
                <w:rFonts w:ascii="Arial"/>
                <w:sz w:val="21"/>
              </w:rPr>
            </w:pPr>
          </w:p>
          <w:p w14:paraId="6E3C0E3F">
            <w:pPr>
              <w:spacing w:line="278" w:lineRule="auto"/>
              <w:rPr>
                <w:rFonts w:ascii="Arial"/>
                <w:sz w:val="21"/>
              </w:rPr>
            </w:pPr>
          </w:p>
          <w:p w14:paraId="0CA9B7A0">
            <w:pPr>
              <w:spacing w:line="278" w:lineRule="auto"/>
              <w:rPr>
                <w:rFonts w:ascii="Arial"/>
                <w:sz w:val="21"/>
              </w:rPr>
            </w:pPr>
          </w:p>
          <w:p w14:paraId="4824BB65">
            <w:pPr>
              <w:spacing w:line="278" w:lineRule="auto"/>
              <w:rPr>
                <w:rFonts w:ascii="Arial"/>
                <w:sz w:val="21"/>
              </w:rPr>
            </w:pPr>
          </w:p>
          <w:p w14:paraId="374A431F">
            <w:pPr>
              <w:spacing w:line="278" w:lineRule="auto"/>
              <w:rPr>
                <w:rFonts w:ascii="Arial"/>
                <w:sz w:val="21"/>
              </w:rPr>
            </w:pPr>
          </w:p>
          <w:p w14:paraId="1BD77772">
            <w:pPr>
              <w:pStyle w:val="15"/>
              <w:spacing w:before="65" w:line="228" w:lineRule="auto"/>
              <w:ind w:left="476"/>
            </w:pPr>
            <w:r>
              <w:rPr>
                <w:spacing w:val="5"/>
              </w:rPr>
              <w:t>资质条件</w:t>
            </w:r>
          </w:p>
        </w:tc>
        <w:tc>
          <w:tcPr>
            <w:tcW w:w="6436" w:type="dxa"/>
            <w:vAlign w:val="top"/>
          </w:tcPr>
          <w:p w14:paraId="3C5840E7">
            <w:pPr>
              <w:pStyle w:val="15"/>
              <w:spacing w:before="34" w:line="367" w:lineRule="auto"/>
              <w:ind w:left="11" w:right="56" w:firstLine="12"/>
              <w:jc w:val="both"/>
            </w:pPr>
            <w:r>
              <w:rPr>
                <w:spacing w:val="5"/>
              </w:rPr>
              <w:t>1.具有独立法人资格并依法取得企业营业执照</w:t>
            </w:r>
            <w:r>
              <w:rPr>
                <w:spacing w:val="4"/>
              </w:rPr>
              <w:t>，营业执照处于有效期；</w:t>
            </w:r>
            <w:r>
              <w:t xml:space="preserve"> </w:t>
            </w:r>
            <w:r>
              <w:rPr>
                <w:spacing w:val="10"/>
              </w:rPr>
              <w:t>2.具有住房城乡建设主管部门颁发的</w:t>
            </w:r>
            <w:r>
              <w:rPr>
                <w:rFonts w:hint="eastAsia"/>
                <w:color w:val="0000FF"/>
                <w:spacing w:val="10"/>
              </w:rPr>
              <w:t>市政公用工程施工总承包叁级及以上</w:t>
            </w:r>
            <w:r>
              <w:rPr>
                <w:spacing w:val="8"/>
              </w:rPr>
              <w:t>资质，</w:t>
            </w:r>
            <w:r>
              <w:rPr>
                <w:color w:val="0000FF"/>
                <w:spacing w:val="8"/>
              </w:rPr>
              <w:t>安全生产许可证处于有效期</w:t>
            </w:r>
            <w:r>
              <w:rPr>
                <w:spacing w:val="8"/>
              </w:rPr>
              <w:t>；</w:t>
            </w:r>
          </w:p>
          <w:p w14:paraId="544E9E15">
            <w:pPr>
              <w:pStyle w:val="15"/>
              <w:spacing w:before="31" w:line="364" w:lineRule="auto"/>
              <w:ind w:left="13" w:right="107"/>
            </w:pPr>
            <w:r>
              <w:rPr>
                <w:spacing w:val="10"/>
              </w:rPr>
              <w:t>3. 拟任项目经理具备</w:t>
            </w:r>
            <w:r>
              <w:rPr>
                <w:rFonts w:hint="eastAsia"/>
                <w:color w:val="0000FF"/>
                <w:spacing w:val="10"/>
              </w:rPr>
              <w:t>市政公用工程</w:t>
            </w:r>
            <w:r>
              <w:rPr>
                <w:spacing w:val="10"/>
              </w:rPr>
              <w:t>专业</w:t>
            </w:r>
            <w:r>
              <w:rPr>
                <w:color w:val="0000FF"/>
                <w:spacing w:val="10"/>
              </w:rPr>
              <w:t>贰级及以</w:t>
            </w:r>
            <w:r>
              <w:rPr>
                <w:color w:val="0000FF"/>
                <w:spacing w:val="9"/>
              </w:rPr>
              <w:t>上注册建造师执业</w:t>
            </w:r>
            <w:r>
              <w:rPr>
                <w:spacing w:val="9"/>
              </w:rPr>
              <w:t>资格,</w:t>
            </w:r>
            <w:r>
              <w:t xml:space="preserve"> </w:t>
            </w:r>
            <w:r>
              <w:rPr>
                <w:spacing w:val="8"/>
              </w:rPr>
              <w:t>具备项目负责人安全生产考核合格证书。</w:t>
            </w:r>
          </w:p>
          <w:p w14:paraId="4470CCDB">
            <w:pPr>
              <w:pStyle w:val="15"/>
              <w:spacing w:before="29" w:line="228" w:lineRule="auto"/>
              <w:ind w:left="8"/>
            </w:pPr>
            <w:r>
              <w:rPr>
                <w:spacing w:val="8"/>
              </w:rPr>
              <w:t>4.类似工程业绩要求</w:t>
            </w:r>
          </w:p>
          <w:p w14:paraId="39FF5BFF">
            <w:pPr>
              <w:pStyle w:val="15"/>
              <w:spacing w:before="161" w:line="227" w:lineRule="auto"/>
              <w:ind w:left="13"/>
            </w:pPr>
            <w:r>
              <w:rPr>
                <w:spacing w:val="5"/>
              </w:rPr>
              <w:t>具体要求详见本表第</w:t>
            </w:r>
            <w:r>
              <w:rPr>
                <w:spacing w:val="-9"/>
              </w:rPr>
              <w:t xml:space="preserve"> </w:t>
            </w:r>
            <w:r>
              <w:rPr>
                <w:spacing w:val="5"/>
              </w:rPr>
              <w:t>10.1.1 项</w:t>
            </w:r>
          </w:p>
          <w:p w14:paraId="102A6B49">
            <w:pPr>
              <w:pStyle w:val="15"/>
              <w:spacing w:before="161" w:line="228" w:lineRule="auto"/>
              <w:ind w:left="13"/>
            </w:pPr>
            <w:r>
              <w:rPr>
                <w:spacing w:val="20"/>
              </w:rPr>
              <w:t xml:space="preserve">5.其他 </w:t>
            </w:r>
            <w:r>
              <w:rPr>
                <w:color w:val="0000FF"/>
                <w:spacing w:val="20"/>
              </w:rPr>
              <w:t>1.项</w:t>
            </w:r>
            <w:r>
              <w:rPr>
                <w:color w:val="0000FF"/>
                <w:spacing w:val="-16"/>
              </w:rPr>
              <w:t xml:space="preserve"> </w:t>
            </w:r>
            <w:r>
              <w:rPr>
                <w:color w:val="0000FF"/>
                <w:spacing w:val="20"/>
              </w:rPr>
              <w:t>目其它关键</w:t>
            </w:r>
            <w:r>
              <w:rPr>
                <w:color w:val="0000FF"/>
                <w:spacing w:val="-42"/>
              </w:rPr>
              <w:t xml:space="preserve"> </w:t>
            </w:r>
            <w:r>
              <w:rPr>
                <w:color w:val="0000FF"/>
                <w:spacing w:val="20"/>
              </w:rPr>
              <w:t>岗位人员应满足湖南省住建厅</w:t>
            </w:r>
            <w:r>
              <w:rPr>
                <w:color w:val="0000FF"/>
                <w:spacing w:val="-68"/>
              </w:rPr>
              <w:t xml:space="preserve"> </w:t>
            </w:r>
            <w:r>
              <w:rPr>
                <w:color w:val="0000FF"/>
                <w:spacing w:val="20"/>
              </w:rPr>
              <w:t>“</w:t>
            </w:r>
            <w:r>
              <w:rPr>
                <w:color w:val="0000FF"/>
                <w:spacing w:val="-68"/>
              </w:rPr>
              <w:t xml:space="preserve"> </w:t>
            </w:r>
            <w:r>
              <w:rPr>
                <w:color w:val="0000FF"/>
                <w:spacing w:val="20"/>
              </w:rPr>
              <w:t>湘建建</w:t>
            </w:r>
          </w:p>
        </w:tc>
      </w:tr>
    </w:tbl>
    <w:p w14:paraId="737AC170">
      <w:pPr>
        <w:pStyle w:val="6"/>
      </w:pPr>
    </w:p>
    <w:p w14:paraId="6FB421AF">
      <w:pPr>
        <w:sectPr>
          <w:pgSz w:w="11907" w:h="16840"/>
          <w:pgMar w:top="1004" w:right="1612" w:bottom="1029" w:left="1015" w:header="0" w:footer="850" w:gutter="0"/>
          <w:pgNumType w:fmt="decimal"/>
          <w:cols w:space="720" w:num="1"/>
        </w:sectPr>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769"/>
        <w:gridCol w:w="6436"/>
      </w:tblGrid>
      <w:tr w14:paraId="3F608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69" w:type="dxa"/>
            <w:vAlign w:val="top"/>
          </w:tcPr>
          <w:p w14:paraId="04398D25">
            <w:pPr>
              <w:pStyle w:val="15"/>
              <w:spacing w:before="68" w:line="228" w:lineRule="auto"/>
              <w:ind w:left="225"/>
            </w:pPr>
            <w:r>
              <w:rPr>
                <w:spacing w:val="6"/>
              </w:rPr>
              <w:t>条款号</w:t>
            </w:r>
          </w:p>
        </w:tc>
        <w:tc>
          <w:tcPr>
            <w:tcW w:w="1769" w:type="dxa"/>
            <w:vAlign w:val="top"/>
          </w:tcPr>
          <w:p w14:paraId="47D8394A">
            <w:pPr>
              <w:pStyle w:val="15"/>
              <w:spacing w:before="68" w:line="228" w:lineRule="auto"/>
              <w:ind w:left="469"/>
            </w:pPr>
            <w:r>
              <w:rPr>
                <w:spacing w:val="6"/>
              </w:rPr>
              <w:t>条款名称</w:t>
            </w:r>
          </w:p>
        </w:tc>
        <w:tc>
          <w:tcPr>
            <w:tcW w:w="6436" w:type="dxa"/>
            <w:vAlign w:val="top"/>
          </w:tcPr>
          <w:p w14:paraId="1FAAACD2">
            <w:pPr>
              <w:pStyle w:val="15"/>
              <w:spacing w:before="68" w:line="228" w:lineRule="auto"/>
              <w:ind w:left="2962"/>
            </w:pPr>
            <w:r>
              <w:rPr>
                <w:spacing w:val="6"/>
              </w:rPr>
              <w:t>编列内容</w:t>
            </w:r>
          </w:p>
        </w:tc>
      </w:tr>
      <w:tr w14:paraId="1E50A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9" w:hRule="atLeast"/>
        </w:trPr>
        <w:tc>
          <w:tcPr>
            <w:tcW w:w="1069" w:type="dxa"/>
            <w:vAlign w:val="top"/>
          </w:tcPr>
          <w:p w14:paraId="4EE0AFA1">
            <w:pPr>
              <w:rPr>
                <w:rFonts w:ascii="Arial"/>
                <w:sz w:val="21"/>
              </w:rPr>
            </w:pPr>
          </w:p>
        </w:tc>
        <w:tc>
          <w:tcPr>
            <w:tcW w:w="1769" w:type="dxa"/>
            <w:vAlign w:val="top"/>
          </w:tcPr>
          <w:p w14:paraId="1F40E28E">
            <w:pPr>
              <w:rPr>
                <w:rFonts w:ascii="Arial"/>
                <w:sz w:val="21"/>
              </w:rPr>
            </w:pPr>
          </w:p>
        </w:tc>
        <w:tc>
          <w:tcPr>
            <w:tcW w:w="6436" w:type="dxa"/>
            <w:vAlign w:val="top"/>
          </w:tcPr>
          <w:p w14:paraId="7615F264">
            <w:pPr>
              <w:pStyle w:val="15"/>
              <w:spacing w:before="27" w:line="374" w:lineRule="auto"/>
              <w:ind w:left="8" w:right="108" w:firstLine="33"/>
              <w:jc w:val="both"/>
            </w:pPr>
            <w:r>
              <w:rPr>
                <w:color w:val="0000FF"/>
                <w:spacing w:val="7"/>
              </w:rPr>
              <w:t>[2020]208  号</w:t>
            </w:r>
            <w:r>
              <w:rPr>
                <w:color w:val="0000FF"/>
                <w:spacing w:val="-70"/>
              </w:rPr>
              <w:t xml:space="preserve"> </w:t>
            </w:r>
            <w:r>
              <w:rPr>
                <w:color w:val="0000FF"/>
                <w:spacing w:val="7"/>
              </w:rPr>
              <w:t>”文件要求配备； 2.项目关键</w:t>
            </w:r>
            <w:r>
              <w:rPr>
                <w:color w:val="0000FF"/>
                <w:spacing w:val="6"/>
              </w:rPr>
              <w:t>岗位人员必须是投标企</w:t>
            </w:r>
            <w:r>
              <w:rPr>
                <w:color w:val="0000FF"/>
              </w:rPr>
              <w:t xml:space="preserve"> </w:t>
            </w:r>
            <w:r>
              <w:rPr>
                <w:color w:val="0000FF"/>
                <w:spacing w:val="6"/>
              </w:rPr>
              <w:t>业在 职人员，且无在建工程(指在建施工项目)  ；3.技术负责人、施</w:t>
            </w:r>
            <w:r>
              <w:rPr>
                <w:color w:val="0000FF"/>
                <w:spacing w:val="9"/>
              </w:rPr>
              <w:t xml:space="preserve"> </w:t>
            </w:r>
            <w:r>
              <w:rPr>
                <w:color w:val="0000FF"/>
                <w:spacing w:val="10"/>
              </w:rPr>
              <w:t>工员、 安全员、质量员采用承诺制，不再进行资格审查(相关要求详</w:t>
            </w:r>
            <w:r>
              <w:rPr>
                <w:color w:val="0000FF"/>
                <w:spacing w:val="3"/>
              </w:rPr>
              <w:t xml:space="preserve"> </w:t>
            </w:r>
            <w:r>
              <w:rPr>
                <w:color w:val="0000FF"/>
                <w:spacing w:val="9"/>
              </w:rPr>
              <w:t>见招标文 件)  ；4.省外企业关键岗位人员如持有外省住房和城乡建</w:t>
            </w:r>
            <w:r>
              <w:rPr>
                <w:color w:val="0000FF"/>
                <w:spacing w:val="16"/>
              </w:rPr>
              <w:t xml:space="preserve"> </w:t>
            </w:r>
            <w:r>
              <w:rPr>
                <w:color w:val="0000FF"/>
                <w:spacing w:val="7"/>
              </w:rPr>
              <w:t>设主管部门颁 发的岗位资格证书，应提供由省级住房和城乡</w:t>
            </w:r>
            <w:r>
              <w:rPr>
                <w:color w:val="0000FF"/>
                <w:spacing w:val="6"/>
              </w:rPr>
              <w:t>建设主管</w:t>
            </w:r>
            <w:r>
              <w:rPr>
                <w:color w:val="0000FF"/>
              </w:rPr>
              <w:t xml:space="preserve"> </w:t>
            </w:r>
            <w:r>
              <w:rPr>
                <w:color w:val="0000FF"/>
                <w:spacing w:val="9"/>
              </w:rPr>
              <w:t>部门出具的证 书真实性证明(如不能提供真实性</w:t>
            </w:r>
            <w:r>
              <w:rPr>
                <w:color w:val="0000FF"/>
                <w:spacing w:val="8"/>
              </w:rPr>
              <w:t>证明的，</w:t>
            </w:r>
            <w:r>
              <w:rPr>
                <w:color w:val="0000FF"/>
                <w:spacing w:val="-57"/>
              </w:rPr>
              <w:t xml:space="preserve"> </w:t>
            </w:r>
            <w:r>
              <w:rPr>
                <w:color w:val="0000FF"/>
                <w:spacing w:val="8"/>
              </w:rPr>
              <w:t>则在投标函</w:t>
            </w:r>
            <w:r>
              <w:rPr>
                <w:color w:val="0000FF"/>
              </w:rPr>
              <w:t xml:space="preserve"> </w:t>
            </w:r>
            <w:r>
              <w:rPr>
                <w:color w:val="0000FF"/>
                <w:spacing w:val="10"/>
              </w:rPr>
              <w:t>部分规定处提供 证书真伪查询官方查询网址及结果)。省外企业应提</w:t>
            </w:r>
            <w:r>
              <w:rPr>
                <w:color w:val="0000FF"/>
                <w:spacing w:val="3"/>
              </w:rPr>
              <w:t xml:space="preserve"> </w:t>
            </w:r>
            <w:r>
              <w:rPr>
                <w:color w:val="0000FF"/>
                <w:spacing w:val="12"/>
              </w:rPr>
              <w:t>供由企业所在地地</w:t>
            </w:r>
            <w:r>
              <w:rPr>
                <w:color w:val="0000FF"/>
                <w:spacing w:val="60"/>
              </w:rPr>
              <w:t xml:space="preserve"> </w:t>
            </w:r>
            <w:r>
              <w:rPr>
                <w:color w:val="0000FF"/>
                <w:spacing w:val="12"/>
              </w:rPr>
              <w:t>(市)级及以上建设行政主管部门</w:t>
            </w:r>
            <w:r>
              <w:rPr>
                <w:color w:val="0000FF"/>
                <w:spacing w:val="11"/>
              </w:rPr>
              <w:t>出具的施工项目</w:t>
            </w:r>
            <w:r>
              <w:rPr>
                <w:color w:val="0000FF"/>
              </w:rPr>
              <w:t xml:space="preserve"> </w:t>
            </w:r>
            <w:r>
              <w:rPr>
                <w:color w:val="0000FF"/>
                <w:spacing w:val="10"/>
              </w:rPr>
              <w:t>部关键岗位人员无在建工程证明(如不能提供无在建证明的， 则在投</w:t>
            </w:r>
            <w:r>
              <w:rPr>
                <w:color w:val="0000FF"/>
                <w:spacing w:val="3"/>
              </w:rPr>
              <w:t xml:space="preserve"> </w:t>
            </w:r>
            <w:r>
              <w:rPr>
                <w:color w:val="0000FF"/>
                <w:spacing w:val="9"/>
              </w:rPr>
              <w:t>标函部分规定处提供其 查询网址及结果)</w:t>
            </w:r>
          </w:p>
        </w:tc>
      </w:tr>
      <w:tr w14:paraId="3B2A1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069" w:type="dxa"/>
            <w:vAlign w:val="top"/>
          </w:tcPr>
          <w:p w14:paraId="70D6C66D">
            <w:pPr>
              <w:spacing w:line="403" w:lineRule="auto"/>
              <w:rPr>
                <w:rFonts w:ascii="Arial"/>
                <w:sz w:val="21"/>
              </w:rPr>
            </w:pPr>
          </w:p>
          <w:p w14:paraId="1C4B8D93">
            <w:pPr>
              <w:pStyle w:val="15"/>
              <w:spacing w:before="65" w:line="190" w:lineRule="auto"/>
              <w:ind w:left="292"/>
            </w:pPr>
            <w:r>
              <w:t>1.4.2</w:t>
            </w:r>
          </w:p>
        </w:tc>
        <w:tc>
          <w:tcPr>
            <w:tcW w:w="1769" w:type="dxa"/>
            <w:vAlign w:val="top"/>
          </w:tcPr>
          <w:p w14:paraId="7BD4C5EC">
            <w:pPr>
              <w:pStyle w:val="15"/>
              <w:spacing w:before="236" w:line="362" w:lineRule="auto"/>
              <w:ind w:left="415" w:right="308" w:firstLine="160"/>
            </w:pPr>
            <w:r>
              <w:rPr>
                <w:spacing w:val="6"/>
              </w:rPr>
              <w:t>是否接受</w:t>
            </w:r>
            <w:r>
              <w:rPr>
                <w:spacing w:val="1"/>
              </w:rPr>
              <w:t xml:space="preserve"> </w:t>
            </w:r>
            <w:r>
              <w:rPr>
                <w:spacing w:val="7"/>
              </w:rPr>
              <w:t>联合体投标</w:t>
            </w:r>
          </w:p>
        </w:tc>
        <w:tc>
          <w:tcPr>
            <w:tcW w:w="6436" w:type="dxa"/>
            <w:vAlign w:val="top"/>
          </w:tcPr>
          <w:p w14:paraId="1D10E865">
            <w:pPr>
              <w:pStyle w:val="15"/>
              <w:spacing w:before="30" w:line="363" w:lineRule="auto"/>
              <w:ind w:left="133" w:right="5486" w:hanging="13"/>
            </w:pPr>
            <w:r>
              <w:rPr>
                <w:rFonts w:ascii="MS Gothic" w:hAnsi="MS Gothic" w:eastAsia="MS Gothic" w:cs="MS Gothic"/>
                <w:color w:val="0000FF"/>
                <w:spacing w:val="5"/>
              </w:rPr>
              <w:t>☑</w:t>
            </w:r>
            <w:r>
              <w:rPr>
                <w:spacing w:val="5"/>
              </w:rPr>
              <w:t>不接受</w:t>
            </w:r>
            <w:r>
              <w:rPr>
                <w:spacing w:val="2"/>
              </w:rPr>
              <w:t xml:space="preserve"> </w:t>
            </w:r>
            <w:r>
              <w:rPr>
                <w:color w:val="0000FF"/>
                <w:spacing w:val="-1"/>
              </w:rPr>
              <w:t>□</w:t>
            </w:r>
            <w:r>
              <w:rPr>
                <w:spacing w:val="-1"/>
              </w:rPr>
              <w:t>接受</w:t>
            </w:r>
          </w:p>
          <w:p w14:paraId="12F7E6DF">
            <w:pPr>
              <w:pStyle w:val="15"/>
              <w:spacing w:before="32" w:line="228" w:lineRule="auto"/>
              <w:ind w:left="112"/>
            </w:pPr>
            <w:r>
              <w:rPr>
                <w:spacing w:val="8"/>
              </w:rPr>
              <w:t>应满足下列要求：</w:t>
            </w:r>
            <w:r>
              <w:rPr>
                <w:color w:val="0000FF"/>
                <w:spacing w:val="8"/>
              </w:rPr>
              <w:t>/</w:t>
            </w:r>
          </w:p>
        </w:tc>
      </w:tr>
      <w:tr w14:paraId="4002F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69" w:type="dxa"/>
            <w:vAlign w:val="top"/>
          </w:tcPr>
          <w:p w14:paraId="34B77009">
            <w:pPr>
              <w:spacing w:line="303" w:lineRule="auto"/>
              <w:rPr>
                <w:rFonts w:ascii="Arial"/>
                <w:sz w:val="21"/>
              </w:rPr>
            </w:pPr>
          </w:p>
          <w:p w14:paraId="1C42AF43">
            <w:pPr>
              <w:spacing w:line="304" w:lineRule="auto"/>
              <w:rPr>
                <w:rFonts w:ascii="Arial"/>
                <w:sz w:val="21"/>
              </w:rPr>
            </w:pPr>
          </w:p>
          <w:p w14:paraId="00A1B22F">
            <w:pPr>
              <w:pStyle w:val="15"/>
              <w:spacing w:before="65" w:line="190" w:lineRule="auto"/>
              <w:ind w:left="292"/>
            </w:pPr>
            <w:r>
              <w:t>1.9.1</w:t>
            </w:r>
          </w:p>
        </w:tc>
        <w:tc>
          <w:tcPr>
            <w:tcW w:w="1769" w:type="dxa"/>
            <w:vAlign w:val="top"/>
          </w:tcPr>
          <w:p w14:paraId="3AA4B9FB">
            <w:pPr>
              <w:spacing w:line="287" w:lineRule="auto"/>
              <w:rPr>
                <w:rFonts w:ascii="Arial"/>
                <w:sz w:val="21"/>
              </w:rPr>
            </w:pPr>
          </w:p>
          <w:p w14:paraId="48D06D39">
            <w:pPr>
              <w:spacing w:line="288" w:lineRule="auto"/>
              <w:rPr>
                <w:rFonts w:ascii="Arial"/>
                <w:sz w:val="21"/>
              </w:rPr>
            </w:pPr>
          </w:p>
          <w:p w14:paraId="6339AD74">
            <w:pPr>
              <w:pStyle w:val="15"/>
              <w:spacing w:before="65" w:line="228" w:lineRule="auto"/>
              <w:ind w:left="468"/>
            </w:pPr>
            <w:r>
              <w:rPr>
                <w:spacing w:val="7"/>
              </w:rPr>
              <w:t>踏勘现场</w:t>
            </w:r>
          </w:p>
        </w:tc>
        <w:tc>
          <w:tcPr>
            <w:tcW w:w="6436" w:type="dxa"/>
            <w:vAlign w:val="top"/>
          </w:tcPr>
          <w:p w14:paraId="509B0CF0">
            <w:pPr>
              <w:pStyle w:val="15"/>
              <w:spacing w:before="32" w:line="364" w:lineRule="auto"/>
              <w:ind w:left="133" w:right="5486" w:hanging="13"/>
            </w:pPr>
            <w:r>
              <w:rPr>
                <w:rFonts w:ascii="MS Gothic" w:hAnsi="MS Gothic" w:eastAsia="MS Gothic" w:cs="MS Gothic"/>
                <w:color w:val="0000FF"/>
                <w:spacing w:val="5"/>
              </w:rPr>
              <w:t>☑</w:t>
            </w:r>
            <w:r>
              <w:rPr>
                <w:spacing w:val="5"/>
              </w:rPr>
              <w:t>不组织</w:t>
            </w:r>
            <w:r>
              <w:rPr>
                <w:spacing w:val="2"/>
              </w:rPr>
              <w:t xml:space="preserve"> </w:t>
            </w:r>
            <w:r>
              <w:rPr>
                <w:color w:val="0000FF"/>
                <w:spacing w:val="-1"/>
              </w:rPr>
              <w:t>□</w:t>
            </w:r>
            <w:r>
              <w:rPr>
                <w:spacing w:val="-1"/>
              </w:rPr>
              <w:t>组织</w:t>
            </w:r>
          </w:p>
          <w:p w14:paraId="03A28341">
            <w:pPr>
              <w:pStyle w:val="15"/>
              <w:spacing w:before="26" w:line="228" w:lineRule="auto"/>
              <w:ind w:left="113"/>
            </w:pPr>
            <w:r>
              <w:t>踏勘时间</w:t>
            </w:r>
            <w:r>
              <w:rPr>
                <w:color w:val="0000FF"/>
              </w:rPr>
              <w:t>年</w:t>
            </w:r>
            <w:r>
              <w:rPr>
                <w:color w:val="0000FF"/>
                <w:spacing w:val="12"/>
              </w:rPr>
              <w:t xml:space="preserve">  </w:t>
            </w:r>
            <w:r>
              <w:rPr>
                <w:color w:val="0000FF"/>
              </w:rPr>
              <w:t>月</w:t>
            </w:r>
            <w:r>
              <w:rPr>
                <w:color w:val="0000FF"/>
                <w:spacing w:val="20"/>
              </w:rPr>
              <w:t xml:space="preserve">   </w:t>
            </w:r>
            <w:r>
              <w:rPr>
                <w:color w:val="0000FF"/>
              </w:rPr>
              <w:t>日</w:t>
            </w:r>
            <w:r>
              <w:t>，</w:t>
            </w:r>
          </w:p>
          <w:p w14:paraId="43E37520">
            <w:pPr>
              <w:pStyle w:val="15"/>
              <w:spacing w:before="160" w:line="228" w:lineRule="auto"/>
              <w:ind w:left="113"/>
            </w:pPr>
            <w:r>
              <w:rPr>
                <w:spacing w:val="8"/>
              </w:rPr>
              <w:t>踏勘地点：</w:t>
            </w:r>
            <w:r>
              <w:rPr>
                <w:color w:val="0000FF"/>
                <w:spacing w:val="8"/>
              </w:rPr>
              <w:t>/</w:t>
            </w:r>
          </w:p>
        </w:tc>
      </w:tr>
      <w:tr w14:paraId="39D02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69" w:type="dxa"/>
            <w:vAlign w:val="top"/>
          </w:tcPr>
          <w:p w14:paraId="6B9A7D74">
            <w:pPr>
              <w:spacing w:line="270" w:lineRule="auto"/>
              <w:rPr>
                <w:rFonts w:ascii="Arial"/>
                <w:sz w:val="21"/>
              </w:rPr>
            </w:pPr>
          </w:p>
          <w:p w14:paraId="75C45134">
            <w:pPr>
              <w:spacing w:line="270" w:lineRule="auto"/>
              <w:rPr>
                <w:rFonts w:ascii="Arial"/>
                <w:sz w:val="21"/>
              </w:rPr>
            </w:pPr>
          </w:p>
          <w:p w14:paraId="32668038">
            <w:pPr>
              <w:spacing w:line="271" w:lineRule="auto"/>
              <w:rPr>
                <w:rFonts w:ascii="Arial"/>
                <w:sz w:val="21"/>
              </w:rPr>
            </w:pPr>
          </w:p>
          <w:p w14:paraId="49960156">
            <w:pPr>
              <w:pStyle w:val="15"/>
              <w:spacing w:before="65" w:line="190" w:lineRule="auto"/>
              <w:ind w:left="345"/>
            </w:pPr>
            <w:r>
              <w:rPr>
                <w:spacing w:val="-1"/>
              </w:rPr>
              <w:t>1.11</w:t>
            </w:r>
          </w:p>
        </w:tc>
        <w:tc>
          <w:tcPr>
            <w:tcW w:w="1769" w:type="dxa"/>
            <w:vAlign w:val="top"/>
          </w:tcPr>
          <w:p w14:paraId="531B380F">
            <w:pPr>
              <w:spacing w:line="260" w:lineRule="auto"/>
              <w:rPr>
                <w:rFonts w:ascii="Arial"/>
                <w:sz w:val="21"/>
              </w:rPr>
            </w:pPr>
          </w:p>
          <w:p w14:paraId="31F02F38">
            <w:pPr>
              <w:spacing w:line="260" w:lineRule="auto"/>
              <w:rPr>
                <w:rFonts w:ascii="Arial"/>
                <w:sz w:val="21"/>
              </w:rPr>
            </w:pPr>
          </w:p>
          <w:p w14:paraId="582FC222">
            <w:pPr>
              <w:spacing w:line="260" w:lineRule="auto"/>
              <w:rPr>
                <w:rFonts w:ascii="Arial"/>
                <w:sz w:val="21"/>
              </w:rPr>
            </w:pPr>
          </w:p>
          <w:p w14:paraId="79C7018A">
            <w:pPr>
              <w:pStyle w:val="15"/>
              <w:spacing w:before="65" w:line="228" w:lineRule="auto"/>
              <w:ind w:left="575"/>
            </w:pPr>
            <w:r>
              <w:rPr>
                <w:spacing w:val="-1"/>
              </w:rPr>
              <w:t>分</w:t>
            </w:r>
            <w:r>
              <w:rPr>
                <w:spacing w:val="9"/>
              </w:rPr>
              <w:t xml:space="preserve">  </w:t>
            </w:r>
            <w:r>
              <w:rPr>
                <w:spacing w:val="-1"/>
              </w:rPr>
              <w:t>包</w:t>
            </w:r>
          </w:p>
        </w:tc>
        <w:tc>
          <w:tcPr>
            <w:tcW w:w="6436" w:type="dxa"/>
            <w:vAlign w:val="top"/>
          </w:tcPr>
          <w:p w14:paraId="7E523295">
            <w:pPr>
              <w:pStyle w:val="15"/>
              <w:spacing w:before="33" w:line="362" w:lineRule="auto"/>
              <w:ind w:left="133" w:right="5486" w:hanging="13"/>
            </w:pPr>
            <w:r>
              <w:rPr>
                <w:rFonts w:ascii="MS Gothic" w:hAnsi="MS Gothic" w:eastAsia="MS Gothic" w:cs="MS Gothic"/>
                <w:color w:val="0000FF"/>
                <w:spacing w:val="5"/>
              </w:rPr>
              <w:t>☑</w:t>
            </w:r>
            <w:r>
              <w:rPr>
                <w:spacing w:val="5"/>
              </w:rPr>
              <w:t>不允许</w:t>
            </w:r>
            <w:r>
              <w:rPr>
                <w:spacing w:val="2"/>
              </w:rPr>
              <w:t xml:space="preserve"> </w:t>
            </w:r>
            <w:r>
              <w:rPr>
                <w:color w:val="0000FF"/>
                <w:spacing w:val="-1"/>
              </w:rPr>
              <w:t>□</w:t>
            </w:r>
            <w:r>
              <w:rPr>
                <w:spacing w:val="-1"/>
              </w:rPr>
              <w:t>允许</w:t>
            </w:r>
          </w:p>
          <w:p w14:paraId="620C49D1">
            <w:pPr>
              <w:pStyle w:val="15"/>
              <w:spacing w:before="31" w:line="362" w:lineRule="auto"/>
              <w:ind w:left="114" w:right="4751"/>
            </w:pPr>
            <w:r>
              <w:rPr>
                <w:spacing w:val="8"/>
              </w:rPr>
              <w:t>分包内容要求：</w:t>
            </w:r>
            <w:r>
              <w:rPr>
                <w:color w:val="0000FF"/>
                <w:spacing w:val="8"/>
              </w:rPr>
              <w:t>/</w:t>
            </w:r>
            <w:r>
              <w:rPr>
                <w:color w:val="0000FF"/>
              </w:rPr>
              <w:t xml:space="preserve"> </w:t>
            </w:r>
            <w:r>
              <w:rPr>
                <w:spacing w:val="8"/>
              </w:rPr>
              <w:t>分包金额要求：</w:t>
            </w:r>
            <w:r>
              <w:rPr>
                <w:color w:val="0000FF"/>
                <w:spacing w:val="8"/>
              </w:rPr>
              <w:t>/</w:t>
            </w:r>
          </w:p>
          <w:p w14:paraId="4D2D2852">
            <w:pPr>
              <w:pStyle w:val="15"/>
              <w:spacing w:before="33" w:line="228" w:lineRule="auto"/>
              <w:ind w:left="111"/>
            </w:pPr>
            <w:r>
              <w:rPr>
                <w:spacing w:val="9"/>
              </w:rPr>
              <w:t>接受分包的第三人资质要求：</w:t>
            </w:r>
            <w:r>
              <w:rPr>
                <w:color w:val="0000FF"/>
                <w:spacing w:val="9"/>
              </w:rPr>
              <w:t>/</w:t>
            </w:r>
          </w:p>
        </w:tc>
      </w:tr>
      <w:tr w14:paraId="12A0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69" w:type="dxa"/>
            <w:vAlign w:val="top"/>
          </w:tcPr>
          <w:p w14:paraId="7A9DFE65">
            <w:pPr>
              <w:spacing w:line="304" w:lineRule="auto"/>
              <w:rPr>
                <w:rFonts w:ascii="Arial"/>
                <w:sz w:val="21"/>
              </w:rPr>
            </w:pPr>
          </w:p>
          <w:p w14:paraId="71856898">
            <w:pPr>
              <w:spacing w:line="305" w:lineRule="auto"/>
              <w:rPr>
                <w:rFonts w:ascii="Arial"/>
                <w:sz w:val="21"/>
              </w:rPr>
            </w:pPr>
          </w:p>
          <w:p w14:paraId="63BA5CDC">
            <w:pPr>
              <w:pStyle w:val="15"/>
              <w:spacing w:before="65" w:line="190" w:lineRule="auto"/>
              <w:ind w:left="345"/>
            </w:pPr>
            <w:r>
              <w:rPr>
                <w:spacing w:val="-1"/>
              </w:rPr>
              <w:t>1.12</w:t>
            </w:r>
          </w:p>
        </w:tc>
        <w:tc>
          <w:tcPr>
            <w:tcW w:w="1769" w:type="dxa"/>
            <w:vAlign w:val="top"/>
          </w:tcPr>
          <w:p w14:paraId="44ED6177">
            <w:pPr>
              <w:spacing w:line="288" w:lineRule="auto"/>
              <w:rPr>
                <w:rFonts w:ascii="Arial"/>
                <w:sz w:val="21"/>
              </w:rPr>
            </w:pPr>
          </w:p>
          <w:p w14:paraId="7503E765">
            <w:pPr>
              <w:spacing w:line="289" w:lineRule="auto"/>
              <w:rPr>
                <w:rFonts w:ascii="Arial"/>
                <w:sz w:val="21"/>
              </w:rPr>
            </w:pPr>
          </w:p>
          <w:p w14:paraId="428386F4">
            <w:pPr>
              <w:pStyle w:val="15"/>
              <w:spacing w:before="65" w:line="228" w:lineRule="auto"/>
              <w:ind w:left="573"/>
            </w:pPr>
            <w:r>
              <w:t>偏</w:t>
            </w:r>
            <w:r>
              <w:rPr>
                <w:spacing w:val="11"/>
              </w:rPr>
              <w:t xml:space="preserve">  </w:t>
            </w:r>
            <w:r>
              <w:t>离</w:t>
            </w:r>
          </w:p>
        </w:tc>
        <w:tc>
          <w:tcPr>
            <w:tcW w:w="6436" w:type="dxa"/>
            <w:vAlign w:val="top"/>
          </w:tcPr>
          <w:p w14:paraId="7000DB8E">
            <w:pPr>
              <w:pStyle w:val="15"/>
              <w:spacing w:before="34" w:line="362" w:lineRule="auto"/>
              <w:ind w:left="133" w:right="5486" w:hanging="13"/>
            </w:pPr>
            <w:r>
              <w:rPr>
                <w:rFonts w:ascii="MS Gothic" w:hAnsi="MS Gothic" w:eastAsia="MS Gothic" w:cs="MS Gothic"/>
                <w:color w:val="0000FF"/>
                <w:spacing w:val="5"/>
              </w:rPr>
              <w:t>☑</w:t>
            </w:r>
            <w:r>
              <w:rPr>
                <w:spacing w:val="5"/>
              </w:rPr>
              <w:t>不允许</w:t>
            </w:r>
            <w:r>
              <w:rPr>
                <w:spacing w:val="2"/>
              </w:rPr>
              <w:t xml:space="preserve"> </w:t>
            </w:r>
            <w:r>
              <w:rPr>
                <w:color w:val="0000FF"/>
                <w:spacing w:val="-1"/>
              </w:rPr>
              <w:t>□</w:t>
            </w:r>
            <w:r>
              <w:rPr>
                <w:spacing w:val="-1"/>
              </w:rPr>
              <w:t>允许</w:t>
            </w:r>
          </w:p>
          <w:p w14:paraId="264F1ADE">
            <w:pPr>
              <w:pStyle w:val="15"/>
              <w:spacing w:before="33" w:line="358" w:lineRule="auto"/>
              <w:ind w:left="112" w:right="5171"/>
            </w:pPr>
            <w:r>
              <w:rPr>
                <w:spacing w:val="7"/>
              </w:rPr>
              <w:t>偏差范围：</w:t>
            </w:r>
            <w:r>
              <w:rPr>
                <w:color w:val="0000FF"/>
                <w:spacing w:val="7"/>
              </w:rPr>
              <w:t>/</w:t>
            </w:r>
            <w:r>
              <w:rPr>
                <w:color w:val="0000FF"/>
                <w:spacing w:val="4"/>
              </w:rPr>
              <w:t xml:space="preserve"> </w:t>
            </w:r>
            <w:r>
              <w:rPr>
                <w:spacing w:val="7"/>
              </w:rPr>
              <w:t>偏差幅度：</w:t>
            </w:r>
            <w:r>
              <w:rPr>
                <w:color w:val="0000FF"/>
                <w:spacing w:val="7"/>
              </w:rPr>
              <w:t>/</w:t>
            </w:r>
          </w:p>
        </w:tc>
      </w:tr>
      <w:tr w14:paraId="5248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69" w:type="dxa"/>
            <w:vAlign w:val="top"/>
          </w:tcPr>
          <w:p w14:paraId="0092D7C7">
            <w:pPr>
              <w:pStyle w:val="15"/>
              <w:spacing w:before="271" w:line="190" w:lineRule="auto"/>
              <w:ind w:left="384"/>
            </w:pPr>
            <w:r>
              <w:rPr>
                <w:spacing w:val="1"/>
              </w:rPr>
              <w:t>2.1</w:t>
            </w:r>
          </w:p>
        </w:tc>
        <w:tc>
          <w:tcPr>
            <w:tcW w:w="1769" w:type="dxa"/>
            <w:vAlign w:val="top"/>
          </w:tcPr>
          <w:p w14:paraId="55974FB1">
            <w:pPr>
              <w:pStyle w:val="15"/>
              <w:spacing w:before="36" w:line="358" w:lineRule="auto"/>
              <w:ind w:left="467" w:right="149" w:hanging="312"/>
            </w:pPr>
            <w:r>
              <w:rPr>
                <w:spacing w:val="8"/>
              </w:rPr>
              <w:t>构成招标文件的</w:t>
            </w:r>
            <w:r>
              <w:rPr>
                <w:spacing w:val="1"/>
              </w:rPr>
              <w:t xml:space="preserve"> </w:t>
            </w:r>
            <w:r>
              <w:rPr>
                <w:spacing w:val="7"/>
              </w:rPr>
              <w:t>其他资料</w:t>
            </w:r>
          </w:p>
        </w:tc>
        <w:tc>
          <w:tcPr>
            <w:tcW w:w="6436" w:type="dxa"/>
            <w:vAlign w:val="top"/>
          </w:tcPr>
          <w:p w14:paraId="55ED45DE">
            <w:pPr>
              <w:pStyle w:val="15"/>
              <w:spacing w:before="239" w:line="228" w:lineRule="auto"/>
              <w:ind w:left="112"/>
            </w:pPr>
            <w:r>
              <w:rPr>
                <w:color w:val="0000FF"/>
                <w:spacing w:val="9"/>
              </w:rPr>
              <w:t>澄清及答疑、补充、修改文件等</w:t>
            </w:r>
          </w:p>
        </w:tc>
      </w:tr>
      <w:tr w14:paraId="4330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069" w:type="dxa"/>
            <w:vAlign w:val="top"/>
          </w:tcPr>
          <w:p w14:paraId="24A31B71">
            <w:pPr>
              <w:spacing w:line="408" w:lineRule="auto"/>
              <w:rPr>
                <w:rFonts w:ascii="Arial"/>
                <w:sz w:val="21"/>
              </w:rPr>
            </w:pPr>
          </w:p>
          <w:p w14:paraId="0A75511D">
            <w:pPr>
              <w:pStyle w:val="15"/>
              <w:spacing w:before="65" w:line="190" w:lineRule="auto"/>
              <w:ind w:left="279"/>
            </w:pPr>
            <w:r>
              <w:rPr>
                <w:spacing w:val="2"/>
              </w:rPr>
              <w:t>2.2.1</w:t>
            </w:r>
          </w:p>
        </w:tc>
        <w:tc>
          <w:tcPr>
            <w:tcW w:w="1769" w:type="dxa"/>
            <w:vAlign w:val="top"/>
          </w:tcPr>
          <w:p w14:paraId="12F27D10">
            <w:pPr>
              <w:pStyle w:val="15"/>
              <w:spacing w:before="37" w:line="228" w:lineRule="auto"/>
              <w:ind w:left="155"/>
            </w:pPr>
            <w:r>
              <w:rPr>
                <w:spacing w:val="8"/>
              </w:rPr>
              <w:t>投标人要求澄清</w:t>
            </w:r>
          </w:p>
          <w:p w14:paraId="02307E99">
            <w:pPr>
              <w:pStyle w:val="15"/>
              <w:spacing w:before="160" w:line="228" w:lineRule="auto"/>
              <w:ind w:left="154"/>
            </w:pPr>
            <w:r>
              <w:rPr>
                <w:spacing w:val="8"/>
              </w:rPr>
              <w:t>招标文件的时间</w:t>
            </w:r>
          </w:p>
          <w:p w14:paraId="7D632239">
            <w:pPr>
              <w:pStyle w:val="15"/>
              <w:spacing w:before="161" w:line="229" w:lineRule="auto"/>
              <w:ind w:left="574"/>
            </w:pPr>
            <w:r>
              <w:rPr>
                <w:spacing w:val="6"/>
              </w:rPr>
              <w:t>和方式</w:t>
            </w:r>
          </w:p>
        </w:tc>
        <w:tc>
          <w:tcPr>
            <w:tcW w:w="6436" w:type="dxa"/>
            <w:vAlign w:val="top"/>
          </w:tcPr>
          <w:p w14:paraId="46B226C1">
            <w:pPr>
              <w:ind w:left="-103" w:leftChars="-49" w:firstLine="422" w:firstLineChars="201"/>
              <w:rPr>
                <w:rFonts w:hint="eastAsia" w:ascii="宋体" w:hAnsi="宋体" w:eastAsia="宋体" w:cs="宋体"/>
                <w:color w:val="auto"/>
                <w:szCs w:val="21"/>
                <w:highlight w:val="none"/>
              </w:rPr>
            </w:pPr>
          </w:p>
          <w:p w14:paraId="089FA83D">
            <w:pPr>
              <w:ind w:left="-103" w:leftChars="-49" w:firstLine="422" w:firstLineChars="201"/>
              <w:rPr>
                <w:rFonts w:hint="eastAsia" w:ascii="宋体" w:hAnsi="宋体" w:eastAsia="宋体" w:cs="宋体"/>
                <w:color w:val="0000FF"/>
                <w:szCs w:val="21"/>
                <w:highlight w:val="none"/>
              </w:rPr>
            </w:pPr>
            <w:r>
              <w:rPr>
                <w:rFonts w:hint="eastAsia" w:ascii="宋体" w:hAnsi="宋体" w:eastAsia="宋体" w:cs="宋体"/>
                <w:color w:val="0000FF"/>
                <w:szCs w:val="21"/>
                <w:highlight w:val="none"/>
              </w:rPr>
              <w:t>截止时间：</w:t>
            </w:r>
            <w:r>
              <w:rPr>
                <w:rFonts w:hint="eastAsia" w:ascii="宋体" w:hAnsi="宋体" w:eastAsia="宋体" w:cs="宋体"/>
                <w:color w:val="0000FF"/>
                <w:szCs w:val="21"/>
                <w:highlight w:val="none"/>
                <w:u w:val="single"/>
              </w:rPr>
              <w:t>在投标截止时间3天前</w:t>
            </w:r>
            <w:r>
              <w:rPr>
                <w:rFonts w:hint="eastAsia" w:ascii="宋体" w:hAnsi="宋体" w:eastAsia="宋体" w:cs="宋体"/>
                <w:color w:val="0000FF"/>
                <w:szCs w:val="21"/>
                <w:highlight w:val="none"/>
              </w:rPr>
              <w:t xml:space="preserve">  </w:t>
            </w:r>
          </w:p>
          <w:p w14:paraId="4160808A">
            <w:pPr>
              <w:pStyle w:val="15"/>
              <w:spacing w:before="160" w:line="225" w:lineRule="auto"/>
              <w:ind w:left="128"/>
            </w:pPr>
            <w:r>
              <w:rPr>
                <w:rFonts w:hint="eastAsia" w:ascii="宋体" w:hAnsi="宋体" w:eastAsia="宋体" w:cs="宋体"/>
                <w:color w:val="0000FF"/>
                <w:szCs w:val="21"/>
                <w:highlight w:val="none"/>
                <w:lang w:eastAsia="zh-CN"/>
              </w:rPr>
              <w:t>☑</w:t>
            </w:r>
            <w:r>
              <w:rPr>
                <w:rFonts w:hint="eastAsia" w:ascii="宋体" w:hAnsi="宋体" w:eastAsia="宋体" w:cs="宋体"/>
                <w:color w:val="0000FF"/>
                <w:szCs w:val="21"/>
                <w:highlight w:val="none"/>
              </w:rPr>
              <w:t>书面方式，提交至招标代理机构</w:t>
            </w:r>
            <w:r>
              <w:rPr>
                <w:rFonts w:hint="eastAsia" w:ascii="宋体" w:hAnsi="宋体" w:eastAsia="宋体" w:cs="宋体"/>
                <w:color w:val="0000FF"/>
                <w:szCs w:val="21"/>
                <w:highlight w:val="none"/>
                <w:lang w:val="en-US" w:eastAsia="zh-CN"/>
              </w:rPr>
              <w:t>邮箱（594380948@qq.com）</w:t>
            </w:r>
          </w:p>
        </w:tc>
      </w:tr>
      <w:tr w14:paraId="63B81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069" w:type="dxa"/>
            <w:vAlign w:val="top"/>
          </w:tcPr>
          <w:p w14:paraId="303371F0">
            <w:pPr>
              <w:pStyle w:val="15"/>
              <w:spacing w:before="107" w:line="189" w:lineRule="auto"/>
              <w:ind w:left="279"/>
            </w:pPr>
            <w:r>
              <w:rPr>
                <w:spacing w:val="2"/>
              </w:rPr>
              <w:t>2.2.2</w:t>
            </w:r>
          </w:p>
        </w:tc>
        <w:tc>
          <w:tcPr>
            <w:tcW w:w="1769" w:type="dxa"/>
            <w:vAlign w:val="top"/>
          </w:tcPr>
          <w:p w14:paraId="0D5736B1">
            <w:pPr>
              <w:pStyle w:val="15"/>
              <w:spacing w:before="75" w:line="228" w:lineRule="auto"/>
              <w:ind w:left="261"/>
            </w:pPr>
            <w:r>
              <w:rPr>
                <w:spacing w:val="7"/>
              </w:rPr>
              <w:t>投标截止时间</w:t>
            </w:r>
          </w:p>
        </w:tc>
        <w:tc>
          <w:tcPr>
            <w:tcW w:w="6436" w:type="dxa"/>
            <w:vAlign w:val="top"/>
          </w:tcPr>
          <w:p w14:paraId="0C7DF7E5">
            <w:pPr>
              <w:pStyle w:val="15"/>
              <w:spacing w:before="74" w:line="228" w:lineRule="auto"/>
              <w:ind w:left="114"/>
            </w:pPr>
            <w:r>
              <w:rPr>
                <w:rFonts w:hint="eastAsia" w:asciiTheme="minorEastAsia" w:hAnsiTheme="minorEastAsia" w:eastAsiaTheme="minorEastAsia" w:cstheme="minorEastAsia"/>
                <w:b/>
                <w:bCs/>
                <w:color w:val="0000FF"/>
                <w:spacing w:val="-4"/>
                <w:sz w:val="21"/>
                <w:szCs w:val="21"/>
              </w:rPr>
              <w:t>2024</w:t>
            </w:r>
            <w:r>
              <w:rPr>
                <w:rFonts w:hint="eastAsia" w:asciiTheme="minorEastAsia" w:hAnsiTheme="minorEastAsia" w:eastAsiaTheme="minorEastAsia" w:cstheme="minorEastAsia"/>
                <w:b/>
                <w:bCs/>
                <w:color w:val="0000FF"/>
                <w:spacing w:val="-38"/>
                <w:sz w:val="21"/>
                <w:szCs w:val="21"/>
              </w:rPr>
              <w:t xml:space="preserve"> </w:t>
            </w:r>
            <w:r>
              <w:rPr>
                <w:rFonts w:hint="eastAsia" w:asciiTheme="minorEastAsia" w:hAnsiTheme="minorEastAsia" w:eastAsiaTheme="minorEastAsia" w:cstheme="minorEastAsia"/>
                <w:b/>
                <w:bCs/>
                <w:color w:val="0000FF"/>
                <w:spacing w:val="-4"/>
                <w:sz w:val="21"/>
                <w:szCs w:val="21"/>
              </w:rPr>
              <w:t>年</w:t>
            </w:r>
            <w:r>
              <w:rPr>
                <w:rFonts w:hint="eastAsia" w:asciiTheme="minorEastAsia" w:hAnsiTheme="minorEastAsia" w:eastAsiaTheme="minorEastAsia" w:cstheme="minorEastAsia"/>
                <w:b/>
                <w:bCs/>
                <w:color w:val="0000FF"/>
                <w:spacing w:val="-4"/>
                <w:sz w:val="21"/>
                <w:szCs w:val="21"/>
                <w:lang w:val="en-US" w:eastAsia="zh-CN"/>
              </w:rPr>
              <w:t>08</w:t>
            </w:r>
            <w:r>
              <w:rPr>
                <w:rFonts w:hint="eastAsia" w:asciiTheme="minorEastAsia" w:hAnsiTheme="minorEastAsia" w:eastAsiaTheme="minorEastAsia" w:cstheme="minorEastAsia"/>
                <w:b/>
                <w:bCs/>
                <w:color w:val="0000FF"/>
                <w:spacing w:val="-4"/>
                <w:sz w:val="21"/>
                <w:szCs w:val="21"/>
              </w:rPr>
              <w:t>月</w:t>
            </w:r>
            <w:r>
              <w:rPr>
                <w:rFonts w:hint="eastAsia" w:asciiTheme="minorEastAsia" w:hAnsiTheme="minorEastAsia" w:eastAsiaTheme="minorEastAsia" w:cstheme="minorEastAsia"/>
                <w:b/>
                <w:bCs/>
                <w:color w:val="0000FF"/>
                <w:spacing w:val="-37"/>
                <w:sz w:val="21"/>
                <w:szCs w:val="21"/>
              </w:rPr>
              <w:t xml:space="preserve"> </w:t>
            </w:r>
            <w:r>
              <w:rPr>
                <w:rFonts w:hint="eastAsia" w:asciiTheme="minorEastAsia" w:hAnsiTheme="minorEastAsia" w:eastAsiaTheme="minorEastAsia" w:cstheme="minorEastAsia"/>
                <w:b/>
                <w:bCs/>
                <w:color w:val="0000FF"/>
                <w:spacing w:val="-4"/>
                <w:sz w:val="21"/>
                <w:szCs w:val="21"/>
                <w:lang w:val="en-US" w:eastAsia="zh-CN"/>
              </w:rPr>
              <w:t>01</w:t>
            </w:r>
            <w:r>
              <w:rPr>
                <w:rFonts w:hint="eastAsia" w:asciiTheme="minorEastAsia" w:hAnsiTheme="minorEastAsia" w:eastAsiaTheme="minorEastAsia" w:cstheme="minorEastAsia"/>
                <w:b/>
                <w:bCs/>
                <w:color w:val="0000FF"/>
                <w:spacing w:val="-4"/>
                <w:sz w:val="21"/>
                <w:szCs w:val="21"/>
              </w:rPr>
              <w:t>日</w:t>
            </w:r>
            <w:r>
              <w:rPr>
                <w:rFonts w:hint="eastAsia" w:asciiTheme="minorEastAsia" w:hAnsiTheme="minorEastAsia" w:eastAsiaTheme="minorEastAsia" w:cstheme="minorEastAsia"/>
                <w:b/>
                <w:bCs/>
                <w:color w:val="0000FF"/>
                <w:spacing w:val="-38"/>
                <w:sz w:val="21"/>
                <w:szCs w:val="21"/>
              </w:rPr>
              <w:t xml:space="preserve"> </w:t>
            </w:r>
            <w:r>
              <w:rPr>
                <w:rFonts w:hint="eastAsia" w:asciiTheme="minorEastAsia" w:hAnsiTheme="minorEastAsia" w:eastAsiaTheme="minorEastAsia" w:cstheme="minorEastAsia"/>
                <w:b/>
                <w:bCs/>
                <w:color w:val="0000FF"/>
                <w:spacing w:val="-4"/>
                <w:sz w:val="21"/>
                <w:szCs w:val="21"/>
              </w:rPr>
              <w:t>9</w:t>
            </w:r>
            <w:r>
              <w:rPr>
                <w:rFonts w:hint="eastAsia" w:asciiTheme="minorEastAsia" w:hAnsiTheme="minorEastAsia" w:eastAsiaTheme="minorEastAsia" w:cstheme="minorEastAsia"/>
                <w:b/>
                <w:bCs/>
                <w:color w:val="0000FF"/>
                <w:spacing w:val="-29"/>
                <w:sz w:val="21"/>
                <w:szCs w:val="21"/>
              </w:rPr>
              <w:t xml:space="preserve"> </w:t>
            </w:r>
            <w:r>
              <w:rPr>
                <w:rFonts w:hint="eastAsia" w:asciiTheme="minorEastAsia" w:hAnsiTheme="minorEastAsia" w:eastAsiaTheme="minorEastAsia" w:cstheme="minorEastAsia"/>
                <w:b/>
                <w:bCs/>
                <w:color w:val="0000FF"/>
                <w:spacing w:val="-4"/>
                <w:sz w:val="21"/>
                <w:szCs w:val="21"/>
              </w:rPr>
              <w:t>时</w:t>
            </w:r>
            <w:r>
              <w:rPr>
                <w:rFonts w:hint="eastAsia" w:asciiTheme="minorEastAsia" w:hAnsiTheme="minorEastAsia" w:eastAsiaTheme="minorEastAsia" w:cstheme="minorEastAsia"/>
                <w:b/>
                <w:bCs/>
                <w:color w:val="0000FF"/>
                <w:spacing w:val="-35"/>
                <w:sz w:val="21"/>
                <w:szCs w:val="21"/>
              </w:rPr>
              <w:t xml:space="preserve"> </w:t>
            </w:r>
            <w:r>
              <w:rPr>
                <w:rFonts w:hint="eastAsia" w:asciiTheme="minorEastAsia" w:hAnsiTheme="minorEastAsia" w:eastAsiaTheme="minorEastAsia" w:cstheme="minorEastAsia"/>
                <w:b/>
                <w:bCs/>
                <w:color w:val="0000FF"/>
                <w:spacing w:val="-4"/>
                <w:sz w:val="21"/>
                <w:szCs w:val="21"/>
              </w:rPr>
              <w:t>30</w:t>
            </w:r>
            <w:r>
              <w:rPr>
                <w:rFonts w:hint="eastAsia" w:asciiTheme="minorEastAsia" w:hAnsiTheme="minorEastAsia" w:eastAsiaTheme="minorEastAsia" w:cstheme="minorEastAsia"/>
                <w:b/>
                <w:bCs/>
                <w:color w:val="0000FF"/>
                <w:spacing w:val="-35"/>
                <w:sz w:val="21"/>
                <w:szCs w:val="21"/>
              </w:rPr>
              <w:t xml:space="preserve"> </w:t>
            </w:r>
            <w:r>
              <w:rPr>
                <w:rFonts w:hint="eastAsia" w:asciiTheme="minorEastAsia" w:hAnsiTheme="minorEastAsia" w:eastAsiaTheme="minorEastAsia" w:cstheme="minorEastAsia"/>
                <w:b/>
                <w:bCs/>
                <w:color w:val="0000FF"/>
                <w:spacing w:val="-4"/>
                <w:sz w:val="21"/>
                <w:szCs w:val="21"/>
              </w:rPr>
              <w:t>分</w:t>
            </w:r>
          </w:p>
        </w:tc>
      </w:tr>
      <w:tr w14:paraId="38F9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069" w:type="dxa"/>
            <w:vAlign w:val="top"/>
          </w:tcPr>
          <w:p w14:paraId="757BEB84">
            <w:pPr>
              <w:spacing w:line="251" w:lineRule="auto"/>
              <w:rPr>
                <w:rFonts w:ascii="Arial"/>
                <w:sz w:val="21"/>
              </w:rPr>
            </w:pPr>
          </w:p>
          <w:p w14:paraId="0AEE9B69">
            <w:pPr>
              <w:pStyle w:val="15"/>
              <w:spacing w:before="65" w:line="189" w:lineRule="auto"/>
              <w:ind w:left="279"/>
            </w:pPr>
            <w:r>
              <w:rPr>
                <w:spacing w:val="2"/>
              </w:rPr>
              <w:t>2.2.3</w:t>
            </w:r>
          </w:p>
        </w:tc>
        <w:tc>
          <w:tcPr>
            <w:tcW w:w="1769" w:type="dxa"/>
            <w:vAlign w:val="top"/>
          </w:tcPr>
          <w:p w14:paraId="0F04AD43">
            <w:pPr>
              <w:pStyle w:val="15"/>
              <w:spacing w:before="81" w:line="240" w:lineRule="auto"/>
              <w:ind w:left="364" w:right="358"/>
              <w:rPr>
                <w:rFonts w:hint="eastAsia" w:eastAsia="宋体"/>
                <w:lang w:val="en-US" w:eastAsia="zh-CN"/>
              </w:rPr>
            </w:pPr>
            <w:r>
              <w:rPr>
                <w:spacing w:val="7"/>
              </w:rPr>
              <w:t>澄清和修改</w:t>
            </w:r>
            <w:r>
              <w:rPr>
                <w:spacing w:val="2"/>
              </w:rPr>
              <w:t xml:space="preserve"> </w:t>
            </w:r>
            <w:r>
              <w:rPr>
                <w:spacing w:val="7"/>
              </w:rPr>
              <w:t>招标文件的</w:t>
            </w:r>
            <w:r>
              <w:rPr>
                <w:rFonts w:hint="eastAsia"/>
                <w:spacing w:val="7"/>
                <w:lang w:val="en-US" w:eastAsia="zh-CN"/>
              </w:rPr>
              <w:t>方式</w:t>
            </w:r>
          </w:p>
        </w:tc>
        <w:tc>
          <w:tcPr>
            <w:tcW w:w="6436" w:type="dxa"/>
            <w:vAlign w:val="top"/>
          </w:tcPr>
          <w:p w14:paraId="6984D246">
            <w:pPr>
              <w:pStyle w:val="15"/>
              <w:spacing w:before="285" w:line="227" w:lineRule="auto"/>
              <w:ind w:left="111"/>
            </w:pPr>
            <w:r>
              <w:rPr>
                <w:spacing w:val="9"/>
              </w:rPr>
              <w:t>在</w:t>
            </w:r>
            <w:r>
              <w:rPr>
                <w:rFonts w:hint="eastAsia"/>
                <w:color w:val="0000FF"/>
                <w:spacing w:val="9"/>
              </w:rPr>
              <w:t>江华瑶族自治县人民政府网</w:t>
            </w:r>
            <w:r>
              <w:rPr>
                <w:spacing w:val="9"/>
              </w:rPr>
              <w:t>发布。</w:t>
            </w:r>
          </w:p>
        </w:tc>
      </w:tr>
    </w:tbl>
    <w:p w14:paraId="5263971C">
      <w:pPr>
        <w:pStyle w:val="6"/>
        <w:spacing w:line="135" w:lineRule="exact"/>
        <w:rPr>
          <w:sz w:val="11"/>
        </w:rPr>
      </w:pPr>
    </w:p>
    <w:p w14:paraId="65E68FFC">
      <w:pPr>
        <w:spacing w:line="135" w:lineRule="exact"/>
        <w:rPr>
          <w:sz w:val="11"/>
          <w:szCs w:val="11"/>
        </w:rPr>
        <w:sectPr>
          <w:footerReference r:id="rId6" w:type="default"/>
          <w:pgSz w:w="11907" w:h="16840"/>
          <w:pgMar w:top="1020" w:right="1612" w:bottom="1029" w:left="1015" w:header="0" w:footer="850" w:gutter="0"/>
          <w:pgNumType w:fmt="decimal"/>
          <w:cols w:space="720" w:num="1"/>
        </w:sectPr>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769"/>
        <w:gridCol w:w="6436"/>
      </w:tblGrid>
      <w:tr w14:paraId="3C23F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69" w:type="dxa"/>
            <w:vAlign w:val="top"/>
          </w:tcPr>
          <w:p w14:paraId="55C09B0F">
            <w:pPr>
              <w:pStyle w:val="15"/>
              <w:spacing w:before="68" w:line="228" w:lineRule="auto"/>
              <w:ind w:left="225"/>
            </w:pPr>
            <w:r>
              <w:rPr>
                <w:spacing w:val="6"/>
              </w:rPr>
              <w:t>条款号</w:t>
            </w:r>
          </w:p>
        </w:tc>
        <w:tc>
          <w:tcPr>
            <w:tcW w:w="1769" w:type="dxa"/>
            <w:vAlign w:val="top"/>
          </w:tcPr>
          <w:p w14:paraId="33607D6C">
            <w:pPr>
              <w:pStyle w:val="15"/>
              <w:spacing w:before="68" w:line="228" w:lineRule="auto"/>
              <w:ind w:left="469"/>
            </w:pPr>
            <w:r>
              <w:rPr>
                <w:spacing w:val="6"/>
              </w:rPr>
              <w:t>条款名称</w:t>
            </w:r>
          </w:p>
        </w:tc>
        <w:tc>
          <w:tcPr>
            <w:tcW w:w="6436" w:type="dxa"/>
            <w:vAlign w:val="top"/>
          </w:tcPr>
          <w:p w14:paraId="1EADB9BE">
            <w:pPr>
              <w:pStyle w:val="15"/>
              <w:spacing w:before="68" w:line="228" w:lineRule="auto"/>
              <w:ind w:left="2962"/>
            </w:pPr>
            <w:r>
              <w:rPr>
                <w:spacing w:val="6"/>
              </w:rPr>
              <w:t>编列内容</w:t>
            </w:r>
          </w:p>
        </w:tc>
      </w:tr>
      <w:tr w14:paraId="419FD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69" w:type="dxa"/>
            <w:vAlign w:val="top"/>
          </w:tcPr>
          <w:p w14:paraId="3CF1D395">
            <w:pPr>
              <w:pStyle w:val="15"/>
              <w:spacing w:before="268" w:line="190" w:lineRule="auto"/>
              <w:ind w:left="280"/>
            </w:pPr>
            <w:r>
              <w:rPr>
                <w:spacing w:val="2"/>
              </w:rPr>
              <w:t>3.1.1</w:t>
            </w:r>
          </w:p>
        </w:tc>
        <w:tc>
          <w:tcPr>
            <w:tcW w:w="1769" w:type="dxa"/>
            <w:vAlign w:val="top"/>
          </w:tcPr>
          <w:p w14:paraId="7F2E0301">
            <w:pPr>
              <w:pStyle w:val="15"/>
              <w:spacing w:before="31" w:line="360" w:lineRule="auto"/>
              <w:ind w:left="380" w:right="149" w:hanging="225"/>
            </w:pPr>
            <w:r>
              <w:rPr>
                <w:spacing w:val="8"/>
              </w:rPr>
              <w:t>构成投标文件的</w:t>
            </w:r>
            <w:r>
              <w:rPr>
                <w:spacing w:val="1"/>
              </w:rPr>
              <w:t xml:space="preserve"> </w:t>
            </w:r>
            <w:r>
              <w:rPr>
                <w:spacing w:val="4"/>
              </w:rPr>
              <w:t>的其他材料</w:t>
            </w:r>
          </w:p>
        </w:tc>
        <w:tc>
          <w:tcPr>
            <w:tcW w:w="6436" w:type="dxa"/>
            <w:vAlign w:val="top"/>
          </w:tcPr>
          <w:p w14:paraId="7489746A">
            <w:pPr>
              <w:pStyle w:val="15"/>
              <w:spacing w:before="236" w:line="233" w:lineRule="auto"/>
              <w:ind w:left="111"/>
              <w:rPr>
                <w:rFonts w:hint="eastAsia" w:eastAsia="宋体"/>
                <w:lang w:eastAsia="zh-CN"/>
              </w:rPr>
            </w:pPr>
            <w:r>
              <w:rPr>
                <w:rFonts w:hint="eastAsia"/>
                <w:color w:val="0000FF"/>
                <w:lang w:val="en-US" w:eastAsia="zh-CN"/>
              </w:rPr>
              <w:t>/</w:t>
            </w:r>
          </w:p>
        </w:tc>
      </w:tr>
      <w:tr w14:paraId="087FD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69" w:type="dxa"/>
            <w:vAlign w:val="top"/>
          </w:tcPr>
          <w:p w14:paraId="2AC50877">
            <w:pPr>
              <w:pStyle w:val="15"/>
              <w:spacing w:before="94" w:line="190" w:lineRule="auto"/>
              <w:ind w:left="280"/>
            </w:pPr>
            <w:r>
              <w:rPr>
                <w:spacing w:val="2"/>
              </w:rPr>
              <w:t>3.3.1</w:t>
            </w:r>
          </w:p>
        </w:tc>
        <w:tc>
          <w:tcPr>
            <w:tcW w:w="1769" w:type="dxa"/>
            <w:vAlign w:val="top"/>
          </w:tcPr>
          <w:p w14:paraId="22DECC98">
            <w:pPr>
              <w:pStyle w:val="15"/>
              <w:spacing w:before="63" w:line="228" w:lineRule="auto"/>
              <w:ind w:left="367"/>
            </w:pPr>
            <w:r>
              <w:rPr>
                <w:spacing w:val="7"/>
              </w:rPr>
              <w:t>投标有效期</w:t>
            </w:r>
          </w:p>
        </w:tc>
        <w:tc>
          <w:tcPr>
            <w:tcW w:w="6436" w:type="dxa"/>
            <w:vAlign w:val="top"/>
          </w:tcPr>
          <w:p w14:paraId="160A420D">
            <w:pPr>
              <w:pStyle w:val="15"/>
              <w:spacing w:before="63" w:line="228" w:lineRule="auto"/>
              <w:ind w:left="146"/>
            </w:pPr>
            <w:r>
              <w:rPr>
                <w:spacing w:val="-1"/>
              </w:rPr>
              <w:t>自投标截止之日起</w:t>
            </w:r>
            <w:r>
              <w:rPr>
                <w:spacing w:val="-25"/>
              </w:rPr>
              <w:t xml:space="preserve"> </w:t>
            </w:r>
            <w:r>
              <w:rPr>
                <w:color w:val="0000FF"/>
                <w:spacing w:val="-1"/>
              </w:rPr>
              <w:t>90</w:t>
            </w:r>
            <w:r>
              <w:rPr>
                <w:color w:val="0000FF"/>
                <w:spacing w:val="-36"/>
              </w:rPr>
              <w:t xml:space="preserve"> </w:t>
            </w:r>
            <w:r>
              <w:rPr>
                <w:spacing w:val="-1"/>
              </w:rPr>
              <w:t>天（</w:t>
            </w:r>
            <w:r>
              <w:rPr>
                <w:spacing w:val="-24"/>
              </w:rPr>
              <w:t xml:space="preserve"> </w:t>
            </w:r>
            <w:r>
              <w:rPr>
                <w:spacing w:val="-1"/>
              </w:rPr>
              <w:t>日历天）</w:t>
            </w:r>
          </w:p>
        </w:tc>
      </w:tr>
      <w:tr w14:paraId="3B47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2" w:hRule="atLeast"/>
        </w:trPr>
        <w:tc>
          <w:tcPr>
            <w:tcW w:w="1069" w:type="dxa"/>
            <w:vAlign w:val="top"/>
          </w:tcPr>
          <w:p w14:paraId="3B83B5C3">
            <w:pPr>
              <w:spacing w:line="249" w:lineRule="auto"/>
              <w:rPr>
                <w:rFonts w:ascii="Arial"/>
                <w:sz w:val="21"/>
              </w:rPr>
            </w:pPr>
          </w:p>
          <w:p w14:paraId="209ADA67">
            <w:pPr>
              <w:spacing w:line="249" w:lineRule="auto"/>
              <w:rPr>
                <w:rFonts w:ascii="Arial"/>
                <w:sz w:val="21"/>
              </w:rPr>
            </w:pPr>
          </w:p>
          <w:p w14:paraId="5A3E24E2">
            <w:pPr>
              <w:spacing w:line="249" w:lineRule="auto"/>
              <w:rPr>
                <w:rFonts w:ascii="Arial"/>
                <w:sz w:val="21"/>
              </w:rPr>
            </w:pPr>
          </w:p>
          <w:p w14:paraId="04677BB4">
            <w:pPr>
              <w:spacing w:line="249" w:lineRule="auto"/>
              <w:rPr>
                <w:rFonts w:ascii="Arial"/>
                <w:sz w:val="21"/>
              </w:rPr>
            </w:pPr>
          </w:p>
          <w:p w14:paraId="2A278103">
            <w:pPr>
              <w:spacing w:line="249" w:lineRule="auto"/>
              <w:rPr>
                <w:rFonts w:ascii="Arial"/>
                <w:sz w:val="21"/>
              </w:rPr>
            </w:pPr>
          </w:p>
          <w:p w14:paraId="4B362EFB">
            <w:pPr>
              <w:spacing w:line="249" w:lineRule="auto"/>
              <w:rPr>
                <w:rFonts w:ascii="Arial"/>
                <w:sz w:val="21"/>
              </w:rPr>
            </w:pPr>
          </w:p>
          <w:p w14:paraId="5C7B4EA6">
            <w:pPr>
              <w:spacing w:line="249" w:lineRule="auto"/>
              <w:rPr>
                <w:rFonts w:ascii="Arial"/>
                <w:sz w:val="21"/>
              </w:rPr>
            </w:pPr>
          </w:p>
          <w:p w14:paraId="54CBEDD9">
            <w:pPr>
              <w:spacing w:line="249" w:lineRule="auto"/>
              <w:rPr>
                <w:rFonts w:ascii="Arial"/>
                <w:sz w:val="21"/>
              </w:rPr>
            </w:pPr>
          </w:p>
          <w:p w14:paraId="4A7F2804">
            <w:pPr>
              <w:spacing w:line="249" w:lineRule="auto"/>
              <w:rPr>
                <w:rFonts w:ascii="Arial"/>
                <w:sz w:val="21"/>
              </w:rPr>
            </w:pPr>
          </w:p>
          <w:p w14:paraId="6F5F7548">
            <w:pPr>
              <w:spacing w:line="249" w:lineRule="auto"/>
              <w:rPr>
                <w:rFonts w:ascii="Arial"/>
                <w:sz w:val="21"/>
              </w:rPr>
            </w:pPr>
          </w:p>
          <w:p w14:paraId="78F506A3">
            <w:pPr>
              <w:spacing w:line="249" w:lineRule="auto"/>
              <w:rPr>
                <w:rFonts w:ascii="Arial"/>
                <w:sz w:val="21"/>
              </w:rPr>
            </w:pPr>
          </w:p>
          <w:p w14:paraId="1BDC8AFF">
            <w:pPr>
              <w:spacing w:line="249" w:lineRule="auto"/>
              <w:rPr>
                <w:rFonts w:ascii="Arial"/>
                <w:sz w:val="21"/>
              </w:rPr>
            </w:pPr>
          </w:p>
          <w:p w14:paraId="22881AC7">
            <w:pPr>
              <w:spacing w:line="249" w:lineRule="auto"/>
              <w:rPr>
                <w:rFonts w:ascii="Arial"/>
                <w:sz w:val="21"/>
              </w:rPr>
            </w:pPr>
          </w:p>
          <w:p w14:paraId="129BD8C9">
            <w:pPr>
              <w:spacing w:line="249" w:lineRule="auto"/>
              <w:rPr>
                <w:rFonts w:ascii="Arial"/>
                <w:sz w:val="21"/>
              </w:rPr>
            </w:pPr>
          </w:p>
          <w:p w14:paraId="0F89FE8E">
            <w:pPr>
              <w:spacing w:line="249" w:lineRule="auto"/>
              <w:rPr>
                <w:rFonts w:ascii="Arial"/>
                <w:sz w:val="21"/>
              </w:rPr>
            </w:pPr>
          </w:p>
          <w:p w14:paraId="06D06EBC">
            <w:pPr>
              <w:spacing w:line="249" w:lineRule="auto"/>
              <w:rPr>
                <w:rFonts w:ascii="Arial"/>
                <w:sz w:val="21"/>
              </w:rPr>
            </w:pPr>
          </w:p>
          <w:p w14:paraId="57C98C10">
            <w:pPr>
              <w:spacing w:line="249" w:lineRule="auto"/>
              <w:rPr>
                <w:rFonts w:ascii="Arial"/>
                <w:sz w:val="21"/>
              </w:rPr>
            </w:pPr>
          </w:p>
          <w:p w14:paraId="1968E945">
            <w:pPr>
              <w:spacing w:line="249" w:lineRule="auto"/>
              <w:rPr>
                <w:rFonts w:ascii="Arial"/>
                <w:sz w:val="21"/>
              </w:rPr>
            </w:pPr>
          </w:p>
          <w:p w14:paraId="67E21292">
            <w:pPr>
              <w:spacing w:line="249" w:lineRule="auto"/>
              <w:rPr>
                <w:rFonts w:ascii="Arial"/>
                <w:sz w:val="21"/>
              </w:rPr>
            </w:pPr>
          </w:p>
          <w:p w14:paraId="7E192AA6">
            <w:pPr>
              <w:spacing w:line="249" w:lineRule="auto"/>
              <w:rPr>
                <w:rFonts w:ascii="Arial"/>
                <w:sz w:val="21"/>
              </w:rPr>
            </w:pPr>
          </w:p>
          <w:p w14:paraId="79C96301">
            <w:pPr>
              <w:spacing w:line="250" w:lineRule="auto"/>
              <w:rPr>
                <w:rFonts w:ascii="Arial"/>
                <w:sz w:val="21"/>
              </w:rPr>
            </w:pPr>
          </w:p>
          <w:p w14:paraId="3A21B077">
            <w:pPr>
              <w:spacing w:line="250" w:lineRule="auto"/>
              <w:rPr>
                <w:rFonts w:ascii="Arial"/>
                <w:sz w:val="21"/>
              </w:rPr>
            </w:pPr>
          </w:p>
          <w:p w14:paraId="7EAA4727">
            <w:pPr>
              <w:pStyle w:val="15"/>
              <w:spacing w:before="65" w:line="190" w:lineRule="auto"/>
              <w:ind w:left="280"/>
            </w:pPr>
            <w:r>
              <w:rPr>
                <w:spacing w:val="2"/>
              </w:rPr>
              <w:t>3.4.1</w:t>
            </w:r>
          </w:p>
        </w:tc>
        <w:tc>
          <w:tcPr>
            <w:tcW w:w="1769" w:type="dxa"/>
            <w:vAlign w:val="top"/>
          </w:tcPr>
          <w:p w14:paraId="16E001A9">
            <w:pPr>
              <w:spacing w:line="247" w:lineRule="auto"/>
              <w:rPr>
                <w:rFonts w:ascii="Arial"/>
                <w:sz w:val="21"/>
              </w:rPr>
            </w:pPr>
          </w:p>
          <w:p w14:paraId="6F151780">
            <w:pPr>
              <w:spacing w:line="247" w:lineRule="auto"/>
              <w:rPr>
                <w:rFonts w:ascii="Arial"/>
                <w:sz w:val="21"/>
              </w:rPr>
            </w:pPr>
          </w:p>
          <w:p w14:paraId="449BF713">
            <w:pPr>
              <w:spacing w:line="247" w:lineRule="auto"/>
              <w:rPr>
                <w:rFonts w:ascii="Arial"/>
                <w:sz w:val="21"/>
              </w:rPr>
            </w:pPr>
          </w:p>
          <w:p w14:paraId="45BCEE64">
            <w:pPr>
              <w:spacing w:line="247" w:lineRule="auto"/>
              <w:rPr>
                <w:rFonts w:ascii="Arial"/>
                <w:sz w:val="21"/>
              </w:rPr>
            </w:pPr>
          </w:p>
          <w:p w14:paraId="37609FD4">
            <w:pPr>
              <w:spacing w:line="247" w:lineRule="auto"/>
              <w:rPr>
                <w:rFonts w:ascii="Arial"/>
                <w:sz w:val="21"/>
              </w:rPr>
            </w:pPr>
          </w:p>
          <w:p w14:paraId="50BA15F9">
            <w:pPr>
              <w:spacing w:line="247" w:lineRule="auto"/>
              <w:rPr>
                <w:rFonts w:ascii="Arial"/>
                <w:sz w:val="21"/>
              </w:rPr>
            </w:pPr>
          </w:p>
          <w:p w14:paraId="54244F2A">
            <w:pPr>
              <w:spacing w:line="247" w:lineRule="auto"/>
              <w:rPr>
                <w:rFonts w:ascii="Arial"/>
                <w:sz w:val="21"/>
              </w:rPr>
            </w:pPr>
          </w:p>
          <w:p w14:paraId="790A51CD">
            <w:pPr>
              <w:spacing w:line="248" w:lineRule="auto"/>
              <w:rPr>
                <w:rFonts w:ascii="Arial"/>
                <w:sz w:val="21"/>
              </w:rPr>
            </w:pPr>
          </w:p>
          <w:p w14:paraId="7989F0FB">
            <w:pPr>
              <w:spacing w:line="248" w:lineRule="auto"/>
              <w:rPr>
                <w:rFonts w:ascii="Arial"/>
                <w:sz w:val="21"/>
              </w:rPr>
            </w:pPr>
          </w:p>
          <w:p w14:paraId="2CC88AB3">
            <w:pPr>
              <w:spacing w:line="248" w:lineRule="auto"/>
              <w:rPr>
                <w:rFonts w:ascii="Arial"/>
                <w:sz w:val="21"/>
              </w:rPr>
            </w:pPr>
          </w:p>
          <w:p w14:paraId="7C1C89DF">
            <w:pPr>
              <w:spacing w:line="248" w:lineRule="auto"/>
              <w:rPr>
                <w:rFonts w:ascii="Arial"/>
                <w:sz w:val="21"/>
              </w:rPr>
            </w:pPr>
          </w:p>
          <w:p w14:paraId="04FE5F3E">
            <w:pPr>
              <w:spacing w:line="248" w:lineRule="auto"/>
              <w:rPr>
                <w:rFonts w:ascii="Arial"/>
                <w:sz w:val="21"/>
              </w:rPr>
            </w:pPr>
          </w:p>
          <w:p w14:paraId="6FB941F8">
            <w:pPr>
              <w:spacing w:line="248" w:lineRule="auto"/>
              <w:rPr>
                <w:rFonts w:ascii="Arial"/>
                <w:sz w:val="21"/>
              </w:rPr>
            </w:pPr>
          </w:p>
          <w:p w14:paraId="6FC5110F">
            <w:pPr>
              <w:spacing w:line="248" w:lineRule="auto"/>
              <w:rPr>
                <w:rFonts w:ascii="Arial"/>
                <w:sz w:val="21"/>
              </w:rPr>
            </w:pPr>
          </w:p>
          <w:p w14:paraId="49243DE4">
            <w:pPr>
              <w:spacing w:line="248" w:lineRule="auto"/>
              <w:rPr>
                <w:rFonts w:ascii="Arial"/>
                <w:sz w:val="21"/>
              </w:rPr>
            </w:pPr>
          </w:p>
          <w:p w14:paraId="354A1F7D">
            <w:pPr>
              <w:spacing w:line="248" w:lineRule="auto"/>
              <w:rPr>
                <w:rFonts w:ascii="Arial"/>
                <w:sz w:val="21"/>
              </w:rPr>
            </w:pPr>
          </w:p>
          <w:p w14:paraId="2DC27EBB">
            <w:pPr>
              <w:spacing w:line="248" w:lineRule="auto"/>
              <w:rPr>
                <w:rFonts w:ascii="Arial"/>
                <w:sz w:val="21"/>
              </w:rPr>
            </w:pPr>
          </w:p>
          <w:p w14:paraId="741CA5B1">
            <w:pPr>
              <w:spacing w:line="248" w:lineRule="auto"/>
              <w:rPr>
                <w:rFonts w:ascii="Arial"/>
                <w:sz w:val="21"/>
              </w:rPr>
            </w:pPr>
          </w:p>
          <w:p w14:paraId="1BAA3B0C">
            <w:pPr>
              <w:spacing w:line="248" w:lineRule="auto"/>
              <w:rPr>
                <w:rFonts w:ascii="Arial"/>
                <w:sz w:val="21"/>
              </w:rPr>
            </w:pPr>
          </w:p>
          <w:p w14:paraId="245D8BE1">
            <w:pPr>
              <w:spacing w:line="248" w:lineRule="auto"/>
              <w:rPr>
                <w:rFonts w:ascii="Arial"/>
                <w:sz w:val="21"/>
              </w:rPr>
            </w:pPr>
          </w:p>
          <w:p w14:paraId="697BFCFC">
            <w:pPr>
              <w:spacing w:line="248" w:lineRule="auto"/>
              <w:rPr>
                <w:rFonts w:ascii="Arial"/>
                <w:sz w:val="21"/>
              </w:rPr>
            </w:pPr>
          </w:p>
          <w:p w14:paraId="387AFDE6">
            <w:pPr>
              <w:spacing w:line="248" w:lineRule="auto"/>
              <w:rPr>
                <w:rFonts w:ascii="Arial"/>
                <w:sz w:val="21"/>
              </w:rPr>
            </w:pPr>
          </w:p>
          <w:p w14:paraId="7C9A375A">
            <w:pPr>
              <w:pStyle w:val="15"/>
              <w:spacing w:before="65" w:line="228" w:lineRule="auto"/>
              <w:ind w:left="470"/>
            </w:pPr>
            <w:r>
              <w:rPr>
                <w:spacing w:val="6"/>
              </w:rPr>
              <w:t>投标保证</w:t>
            </w:r>
          </w:p>
        </w:tc>
        <w:tc>
          <w:tcPr>
            <w:tcW w:w="6436" w:type="dxa"/>
            <w:vAlign w:val="top"/>
          </w:tcPr>
          <w:p w14:paraId="439200B8">
            <w:pPr>
              <w:pStyle w:val="15"/>
              <w:spacing w:before="35" w:line="362" w:lineRule="auto"/>
              <w:ind w:left="120" w:right="4226" w:firstLine="13"/>
            </w:pPr>
            <w:r>
              <w:rPr>
                <w:color w:val="0000FF"/>
                <w:spacing w:val="7"/>
              </w:rPr>
              <w:t>□</w:t>
            </w:r>
            <w:r>
              <w:rPr>
                <w:spacing w:val="7"/>
              </w:rPr>
              <w:t>不要求提交投标担保</w:t>
            </w:r>
            <w:r>
              <w:t xml:space="preserve"> </w:t>
            </w:r>
            <w:r>
              <w:rPr>
                <w:rFonts w:ascii="MS Gothic" w:hAnsi="MS Gothic" w:eastAsia="MS Gothic" w:cs="MS Gothic"/>
                <w:color w:val="0000FF"/>
                <w:spacing w:val="8"/>
              </w:rPr>
              <w:t>☑</w:t>
            </w:r>
            <w:r>
              <w:rPr>
                <w:spacing w:val="8"/>
              </w:rPr>
              <w:t>要求提交投标担保</w:t>
            </w:r>
          </w:p>
          <w:p w14:paraId="08932FC5">
            <w:pPr>
              <w:pStyle w:val="15"/>
              <w:spacing w:before="31" w:line="229" w:lineRule="auto"/>
              <w:ind w:left="127"/>
            </w:pPr>
            <w:r>
              <w:rPr>
                <w:spacing w:val="1"/>
              </w:rPr>
              <w:t>1.形式：</w:t>
            </w:r>
          </w:p>
          <w:p w14:paraId="7AE10F07">
            <w:pPr>
              <w:pStyle w:val="15"/>
              <w:spacing w:before="160" w:line="228" w:lineRule="auto"/>
              <w:ind w:left="122"/>
            </w:pPr>
            <w:r>
              <w:rPr>
                <w:spacing w:val="5"/>
              </w:rPr>
              <w:t>（1）现金</w:t>
            </w:r>
          </w:p>
          <w:p w14:paraId="1744047E">
            <w:pPr>
              <w:pStyle w:val="15"/>
              <w:spacing w:before="160" w:line="302" w:lineRule="auto"/>
              <w:ind w:left="111" w:right="108" w:firstLine="10"/>
            </w:pPr>
            <w:r>
              <w:rPr>
                <w:spacing w:val="10"/>
              </w:rPr>
              <w:t>（2）保函（银行业金融机构、专业担保公司开立的无条件的、</w:t>
            </w:r>
            <w:r>
              <w:rPr>
                <w:spacing w:val="9"/>
              </w:rPr>
              <w:t>不可</w:t>
            </w:r>
            <w:r>
              <w:t xml:space="preserve"> </w:t>
            </w:r>
            <w:r>
              <w:rPr>
                <w:spacing w:val="9"/>
              </w:rPr>
              <w:t>撤销的独立保函、保险公司开具的见索即付的保证保险）</w:t>
            </w:r>
          </w:p>
          <w:p w14:paraId="2B05720A">
            <w:pPr>
              <w:pStyle w:val="15"/>
              <w:spacing w:before="163" w:line="228" w:lineRule="auto"/>
              <w:ind w:left="122"/>
            </w:pPr>
            <w:r>
              <w:rPr>
                <w:spacing w:val="5"/>
              </w:rPr>
              <w:t>（3）承诺</w:t>
            </w:r>
          </w:p>
          <w:p w14:paraId="1696593A">
            <w:pPr>
              <w:pStyle w:val="15"/>
              <w:spacing w:before="161" w:line="228" w:lineRule="auto"/>
              <w:ind w:left="133"/>
            </w:pPr>
            <w:r>
              <w:rPr>
                <w:color w:val="0000FF"/>
                <w:spacing w:val="5"/>
              </w:rPr>
              <w:t>□</w:t>
            </w:r>
            <w:r>
              <w:rPr>
                <w:spacing w:val="5"/>
              </w:rPr>
              <w:t>不接受承诺</w:t>
            </w:r>
          </w:p>
          <w:p w14:paraId="76E83543">
            <w:pPr>
              <w:pStyle w:val="15"/>
              <w:spacing w:before="161" w:line="228" w:lineRule="auto"/>
              <w:ind w:left="133"/>
            </w:pPr>
            <w:r>
              <w:rPr>
                <w:color w:val="0000FF"/>
                <w:spacing w:val="7"/>
              </w:rPr>
              <w:t>□</w:t>
            </w:r>
            <w:r>
              <w:rPr>
                <w:spacing w:val="7"/>
              </w:rPr>
              <w:t>接受承诺，适用于所有投标人</w:t>
            </w:r>
          </w:p>
          <w:p w14:paraId="69E61CCC">
            <w:pPr>
              <w:pStyle w:val="15"/>
              <w:spacing w:before="161" w:line="370" w:lineRule="auto"/>
              <w:ind w:left="114" w:right="108" w:firstLine="5"/>
              <w:jc w:val="both"/>
              <w:rPr>
                <w:rFonts w:ascii="Arial"/>
                <w:sz w:val="21"/>
              </w:rPr>
            </w:pPr>
            <w:r>
              <w:rPr>
                <w:rFonts w:ascii="MS Gothic" w:hAnsi="MS Gothic" w:eastAsia="MS Gothic" w:cs="MS Gothic"/>
                <w:color w:val="0000FF"/>
                <w:spacing w:val="6"/>
              </w:rPr>
              <w:t>☑</w:t>
            </w:r>
            <w:r>
              <w:rPr>
                <w:spacing w:val="6"/>
              </w:rPr>
              <w:t>接受承诺，仅适用于获得“湖南省建筑强企称</w:t>
            </w:r>
            <w:r>
              <w:rPr>
                <w:spacing w:val="5"/>
              </w:rPr>
              <w:t>号</w:t>
            </w:r>
            <w:r>
              <w:rPr>
                <w:spacing w:val="-73"/>
              </w:rPr>
              <w:t xml:space="preserve"> </w:t>
            </w:r>
            <w:r>
              <w:rPr>
                <w:spacing w:val="5"/>
              </w:rPr>
              <w:t>”或者参加“湖南</w:t>
            </w:r>
            <w:r>
              <w:t xml:space="preserve"> </w:t>
            </w:r>
            <w:r>
              <w:rPr>
                <w:spacing w:val="13"/>
              </w:rPr>
              <w:t>省房屋建筑和市政基础设施工程施工及监理招标投标信用评</w:t>
            </w:r>
            <w:r>
              <w:rPr>
                <w:spacing w:val="12"/>
              </w:rPr>
              <w:t>价</w:t>
            </w:r>
            <w:r>
              <w:rPr>
                <w:spacing w:val="-68"/>
              </w:rPr>
              <w:t xml:space="preserve"> </w:t>
            </w:r>
            <w:r>
              <w:rPr>
                <w:spacing w:val="12"/>
              </w:rPr>
              <w:t>”且</w:t>
            </w:r>
            <w:r>
              <w:t xml:space="preserve"> </w:t>
            </w:r>
            <w:r>
              <w:rPr>
                <w:spacing w:val="14"/>
              </w:rPr>
              <w:t>取得提交投标文件截止之时最新公布的信用评价结果满分的投标人</w:t>
            </w:r>
            <w:r>
              <w:t xml:space="preserve"> </w:t>
            </w:r>
            <w:r>
              <w:rPr>
                <w:spacing w:val="8"/>
              </w:rPr>
              <w:t>以承诺形式递交的投标担保。</w:t>
            </w:r>
          </w:p>
          <w:p w14:paraId="1D1BCEA3">
            <w:pPr>
              <w:pStyle w:val="15"/>
              <w:spacing w:before="65" w:line="362" w:lineRule="auto"/>
              <w:ind w:left="118" w:right="108" w:hanging="107"/>
            </w:pPr>
            <w:r>
              <w:rPr>
                <w:spacing w:val="11"/>
              </w:rPr>
              <w:t>2.现金和保函的担保金额（最高不超过</w:t>
            </w:r>
            <w:r>
              <w:rPr>
                <w:spacing w:val="-28"/>
              </w:rPr>
              <w:t xml:space="preserve"> </w:t>
            </w:r>
            <w:r>
              <w:rPr>
                <w:spacing w:val="11"/>
              </w:rPr>
              <w:t>50</w:t>
            </w:r>
            <w:r>
              <w:rPr>
                <w:spacing w:val="-30"/>
              </w:rPr>
              <w:t xml:space="preserve"> </w:t>
            </w:r>
            <w:r>
              <w:rPr>
                <w:spacing w:val="11"/>
              </w:rPr>
              <w:t>万元</w:t>
            </w:r>
            <w:r>
              <w:rPr>
                <w:spacing w:val="1"/>
              </w:rPr>
              <w:t>）</w:t>
            </w:r>
            <w:r>
              <w:rPr>
                <w:spacing w:val="-53"/>
              </w:rPr>
              <w:t xml:space="preserve"> </w:t>
            </w:r>
            <w:r>
              <w:rPr>
                <w:spacing w:val="1"/>
              </w:rPr>
              <w:t>：</w:t>
            </w:r>
            <w:r>
              <w:rPr>
                <w:spacing w:val="11"/>
              </w:rPr>
              <w:t>人民币</w:t>
            </w:r>
            <w:r>
              <w:rPr>
                <w:rFonts w:hint="eastAsia"/>
                <w:color w:val="0000FF"/>
                <w:spacing w:val="11"/>
                <w:lang w:val="en-US" w:eastAsia="zh-CN"/>
              </w:rPr>
              <w:t>柒</w:t>
            </w:r>
            <w:r>
              <w:rPr>
                <w:color w:val="0000FF"/>
                <w:spacing w:val="11"/>
              </w:rPr>
              <w:t>万</w:t>
            </w:r>
            <w:r>
              <w:rPr>
                <w:spacing w:val="11"/>
              </w:rPr>
              <w:t>元</w:t>
            </w:r>
            <w:r>
              <w:t xml:space="preserve"> </w:t>
            </w:r>
            <w:r>
              <w:rPr>
                <w:spacing w:val="3"/>
              </w:rPr>
              <w:t>(￥</w:t>
            </w:r>
            <w:r>
              <w:rPr>
                <w:rFonts w:hint="eastAsia"/>
                <w:color w:val="0000FF"/>
                <w:spacing w:val="3"/>
                <w:lang w:val="en-US" w:eastAsia="zh-CN"/>
              </w:rPr>
              <w:t>7</w:t>
            </w:r>
            <w:r>
              <w:rPr>
                <w:color w:val="0000FF"/>
                <w:spacing w:val="3"/>
              </w:rPr>
              <w:t>0000.00</w:t>
            </w:r>
            <w:r>
              <w:rPr>
                <w:color w:val="0000FF"/>
                <w:spacing w:val="-34"/>
              </w:rPr>
              <w:t xml:space="preserve"> </w:t>
            </w:r>
            <w:r>
              <w:rPr>
                <w:spacing w:val="3"/>
              </w:rPr>
              <w:t>元）。</w:t>
            </w:r>
          </w:p>
          <w:p w14:paraId="4E50AB61">
            <w:pPr>
              <w:pStyle w:val="15"/>
              <w:spacing w:before="34" w:line="228" w:lineRule="auto"/>
              <w:ind w:left="116"/>
            </w:pPr>
            <w:r>
              <w:rPr>
                <w:spacing w:val="5"/>
              </w:rPr>
              <w:t>3.提交方式：</w:t>
            </w:r>
          </w:p>
          <w:p w14:paraId="1AB19238">
            <w:pPr>
              <w:pStyle w:val="15"/>
              <w:spacing w:before="161" w:line="362" w:lineRule="auto"/>
              <w:ind w:left="9" w:right="110" w:firstLine="9"/>
            </w:pPr>
            <w:r>
              <w:rPr>
                <w:spacing w:val="6"/>
              </w:rPr>
              <w:t>（1）采用现金的，在投标截止时间前（含</w:t>
            </w:r>
            <w:r>
              <w:rPr>
                <w:spacing w:val="13"/>
              </w:rPr>
              <w:t>），</w:t>
            </w:r>
            <w:r>
              <w:rPr>
                <w:spacing w:val="6"/>
              </w:rPr>
              <w:t>由投标人通过其基本账</w:t>
            </w:r>
            <w:r>
              <w:t xml:space="preserve"> </w:t>
            </w:r>
            <w:r>
              <w:rPr>
                <w:spacing w:val="8"/>
              </w:rPr>
              <w:t>户转账到达如下账户</w:t>
            </w:r>
          </w:p>
          <w:p w14:paraId="2FE3922A">
            <w:pPr>
              <w:pStyle w:val="15"/>
              <w:spacing w:before="31" w:line="364" w:lineRule="auto"/>
              <w:ind w:left="432" w:right="127"/>
              <w:rPr>
                <w:color w:val="0000FF"/>
              </w:rPr>
            </w:pPr>
            <w:r>
              <w:rPr>
                <w:spacing w:val="9"/>
              </w:rPr>
              <w:t>户    名：</w:t>
            </w:r>
            <w:r>
              <w:rPr>
                <w:rFonts w:hint="eastAsia"/>
                <w:color w:val="0000FF"/>
                <w:spacing w:val="9"/>
              </w:rPr>
              <w:t>江华瑶族自治县公共资源交易中心</w:t>
            </w:r>
            <w:r>
              <w:rPr>
                <w:color w:val="0000FF"/>
              </w:rPr>
              <w:t xml:space="preserve"> </w:t>
            </w:r>
          </w:p>
          <w:p w14:paraId="30B96EF5">
            <w:pPr>
              <w:pStyle w:val="15"/>
              <w:spacing w:before="31" w:line="364" w:lineRule="auto"/>
              <w:ind w:left="432" w:right="127"/>
              <w:rPr>
                <w:color w:val="0000FF"/>
                <w:spacing w:val="9"/>
              </w:rPr>
            </w:pPr>
            <w:r>
              <w:rPr>
                <w:spacing w:val="9"/>
              </w:rPr>
              <w:t>开户银行：</w:t>
            </w:r>
            <w:r>
              <w:rPr>
                <w:rFonts w:hint="eastAsia"/>
                <w:color w:val="0000FF"/>
                <w:spacing w:val="9"/>
              </w:rPr>
              <w:t>中国建设银行永州市江华县支行</w:t>
            </w:r>
          </w:p>
          <w:p w14:paraId="6D7B8ED6">
            <w:pPr>
              <w:pStyle w:val="15"/>
              <w:spacing w:before="30" w:line="227" w:lineRule="auto"/>
              <w:ind w:left="434"/>
            </w:pPr>
            <w:r>
              <w:rPr>
                <w:spacing w:val="9"/>
              </w:rPr>
              <w:t>账    号：</w:t>
            </w:r>
            <w:r>
              <w:rPr>
                <w:rFonts w:hint="eastAsia"/>
                <w:color w:val="0000FF"/>
                <w:spacing w:val="9"/>
              </w:rPr>
              <w:t>4305 0171 7508 0000 0033</w:t>
            </w:r>
          </w:p>
          <w:p w14:paraId="148E8734">
            <w:pPr>
              <w:pStyle w:val="15"/>
              <w:spacing w:before="162" w:line="362" w:lineRule="auto"/>
              <w:ind w:right="108" w:firstLine="20"/>
            </w:pPr>
            <w:r>
              <w:rPr>
                <w:spacing w:val="13"/>
              </w:rPr>
              <w:t>（2）采用承诺或保函的，符合招标文件第七章投标文件格式第一节</w:t>
            </w:r>
            <w:r>
              <w:rPr>
                <w:spacing w:val="11"/>
              </w:rPr>
              <w:t xml:space="preserve"> </w:t>
            </w:r>
            <w:r>
              <w:rPr>
                <w:spacing w:val="6"/>
              </w:rPr>
              <w:t>“投标函格式</w:t>
            </w:r>
            <w:r>
              <w:rPr>
                <w:spacing w:val="-71"/>
              </w:rPr>
              <w:t xml:space="preserve"> </w:t>
            </w:r>
            <w:r>
              <w:rPr>
                <w:spacing w:val="6"/>
              </w:rPr>
              <w:t>”规定。</w:t>
            </w:r>
          </w:p>
          <w:p w14:paraId="7837A9B1">
            <w:pPr>
              <w:pStyle w:val="15"/>
              <w:spacing w:before="34" w:line="227" w:lineRule="auto"/>
              <w:ind w:left="8"/>
            </w:pPr>
            <w:r>
              <w:rPr>
                <w:spacing w:val="8"/>
              </w:rPr>
              <w:t>4.联合体投标的，由牵头人递交。</w:t>
            </w:r>
          </w:p>
          <w:p w14:paraId="4B15693A">
            <w:pPr>
              <w:pStyle w:val="15"/>
              <w:spacing w:before="162" w:line="362" w:lineRule="auto"/>
              <w:ind w:left="9" w:right="37" w:firstLine="3"/>
            </w:pPr>
            <w:r>
              <w:rPr>
                <w:spacing w:val="6"/>
              </w:rPr>
              <w:t>5.本项目投标保证金已委托</w:t>
            </w:r>
            <w:r>
              <w:rPr>
                <w:rFonts w:hint="eastAsia"/>
                <w:color w:val="0000FF"/>
                <w:spacing w:val="6"/>
              </w:rPr>
              <w:t>江华瑶族自治县公共资源交易中心</w:t>
            </w:r>
            <w:r>
              <w:rPr>
                <w:spacing w:val="5"/>
              </w:rPr>
              <w:t>进行收退、保密、</w:t>
            </w:r>
            <w:r>
              <w:rPr>
                <w:spacing w:val="2"/>
              </w:rPr>
              <w:t>保管。</w:t>
            </w:r>
          </w:p>
          <w:p w14:paraId="76B4BC94">
            <w:pPr>
              <w:pStyle w:val="15"/>
              <w:spacing w:before="32" w:line="228" w:lineRule="auto"/>
              <w:ind w:left="114"/>
            </w:pPr>
            <w:r>
              <w:rPr>
                <w:spacing w:val="6"/>
              </w:rPr>
              <w:t>6.其他：</w:t>
            </w:r>
            <w:r>
              <w:rPr>
                <w:color w:val="0000FF"/>
                <w:spacing w:val="6"/>
              </w:rPr>
              <w:t>/</w:t>
            </w:r>
          </w:p>
        </w:tc>
      </w:tr>
    </w:tbl>
    <w:p w14:paraId="26509110">
      <w:pPr>
        <w:pStyle w:val="6"/>
      </w:pPr>
    </w:p>
    <w:p w14:paraId="553F8606">
      <w:pPr>
        <w:sectPr>
          <w:footerReference r:id="rId7" w:type="default"/>
          <w:pgSz w:w="11907" w:h="16840"/>
          <w:pgMar w:top="1020" w:right="1612" w:bottom="1029" w:left="1015" w:header="0" w:footer="794" w:gutter="0"/>
          <w:pgNumType w:fmt="decimal"/>
          <w:cols w:space="720" w:num="1"/>
        </w:sectPr>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769"/>
        <w:gridCol w:w="6436"/>
      </w:tblGrid>
      <w:tr w14:paraId="2B8C2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69" w:type="dxa"/>
            <w:vAlign w:val="top"/>
          </w:tcPr>
          <w:p w14:paraId="183576A9">
            <w:pPr>
              <w:pStyle w:val="15"/>
              <w:spacing w:before="68" w:line="228" w:lineRule="auto"/>
              <w:ind w:left="225"/>
            </w:pPr>
            <w:r>
              <w:rPr>
                <w:spacing w:val="6"/>
              </w:rPr>
              <w:t>条款号</w:t>
            </w:r>
          </w:p>
        </w:tc>
        <w:tc>
          <w:tcPr>
            <w:tcW w:w="1769" w:type="dxa"/>
            <w:vAlign w:val="top"/>
          </w:tcPr>
          <w:p w14:paraId="438EFBEC">
            <w:pPr>
              <w:pStyle w:val="15"/>
              <w:spacing w:before="68" w:line="228" w:lineRule="auto"/>
              <w:ind w:left="469"/>
            </w:pPr>
            <w:r>
              <w:rPr>
                <w:spacing w:val="6"/>
              </w:rPr>
              <w:t>条款名称</w:t>
            </w:r>
          </w:p>
        </w:tc>
        <w:tc>
          <w:tcPr>
            <w:tcW w:w="6436" w:type="dxa"/>
            <w:vAlign w:val="top"/>
          </w:tcPr>
          <w:p w14:paraId="2F526A0B">
            <w:pPr>
              <w:pStyle w:val="15"/>
              <w:spacing w:before="68" w:line="228" w:lineRule="auto"/>
              <w:ind w:left="2962"/>
            </w:pPr>
            <w:r>
              <w:rPr>
                <w:spacing w:val="6"/>
              </w:rPr>
              <w:t>编列内容</w:t>
            </w:r>
          </w:p>
        </w:tc>
      </w:tr>
      <w:tr w14:paraId="6FA19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69" w:type="dxa"/>
            <w:vAlign w:val="top"/>
          </w:tcPr>
          <w:p w14:paraId="1C61B480">
            <w:pPr>
              <w:pStyle w:val="15"/>
              <w:spacing w:before="269" w:line="189" w:lineRule="auto"/>
              <w:ind w:left="386"/>
            </w:pPr>
            <w:r>
              <w:rPr>
                <w:spacing w:val="1"/>
              </w:rPr>
              <w:t>3.6</w:t>
            </w:r>
          </w:p>
        </w:tc>
        <w:tc>
          <w:tcPr>
            <w:tcW w:w="1769" w:type="dxa"/>
            <w:vAlign w:val="top"/>
          </w:tcPr>
          <w:p w14:paraId="5F52685E">
            <w:pPr>
              <w:pStyle w:val="15"/>
              <w:spacing w:before="31" w:line="240" w:lineRule="auto"/>
              <w:ind w:left="363" w:right="149" w:hanging="207"/>
            </w:pPr>
            <w:r>
              <w:rPr>
                <w:spacing w:val="8"/>
              </w:rPr>
              <w:t>是否允许递交备</w:t>
            </w:r>
            <w:r>
              <w:t xml:space="preserve"> </w:t>
            </w:r>
            <w:r>
              <w:rPr>
                <w:spacing w:val="8"/>
              </w:rPr>
              <w:t>选投标方案</w:t>
            </w:r>
          </w:p>
        </w:tc>
        <w:tc>
          <w:tcPr>
            <w:tcW w:w="6436" w:type="dxa"/>
            <w:vAlign w:val="top"/>
          </w:tcPr>
          <w:p w14:paraId="1B81DD12">
            <w:pPr>
              <w:pStyle w:val="15"/>
              <w:spacing w:before="31" w:line="240" w:lineRule="auto"/>
              <w:ind w:left="133" w:right="5486" w:hanging="13"/>
            </w:pPr>
            <w:r>
              <w:rPr>
                <w:rFonts w:ascii="MS Gothic" w:hAnsi="MS Gothic" w:eastAsia="MS Gothic" w:cs="MS Gothic"/>
                <w:color w:val="0000FF"/>
                <w:spacing w:val="5"/>
              </w:rPr>
              <w:t>☑</w:t>
            </w:r>
            <w:r>
              <w:rPr>
                <w:spacing w:val="5"/>
              </w:rPr>
              <w:t>不允许</w:t>
            </w:r>
            <w:r>
              <w:rPr>
                <w:spacing w:val="2"/>
              </w:rPr>
              <w:t xml:space="preserve"> </w:t>
            </w:r>
            <w:r>
              <w:rPr>
                <w:color w:val="0000FF"/>
                <w:spacing w:val="-1"/>
              </w:rPr>
              <w:t>□</w:t>
            </w:r>
            <w:r>
              <w:rPr>
                <w:spacing w:val="-1"/>
              </w:rPr>
              <w:t>允许</w:t>
            </w:r>
          </w:p>
        </w:tc>
      </w:tr>
      <w:tr w14:paraId="234C9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1069" w:type="dxa"/>
            <w:vAlign w:val="top"/>
          </w:tcPr>
          <w:p w14:paraId="7D1102FB">
            <w:pPr>
              <w:spacing w:line="304" w:lineRule="auto"/>
              <w:rPr>
                <w:rFonts w:ascii="Arial"/>
                <w:sz w:val="21"/>
              </w:rPr>
            </w:pPr>
          </w:p>
          <w:p w14:paraId="53C50F75">
            <w:pPr>
              <w:spacing w:line="305" w:lineRule="auto"/>
              <w:rPr>
                <w:rFonts w:ascii="Arial"/>
                <w:sz w:val="21"/>
              </w:rPr>
            </w:pPr>
          </w:p>
          <w:p w14:paraId="4CCA7E94">
            <w:pPr>
              <w:pStyle w:val="15"/>
              <w:spacing w:before="65" w:line="189" w:lineRule="auto"/>
              <w:ind w:left="280"/>
            </w:pPr>
            <w:r>
              <w:rPr>
                <w:spacing w:val="2"/>
              </w:rPr>
              <w:t>3.7.3</w:t>
            </w:r>
          </w:p>
        </w:tc>
        <w:tc>
          <w:tcPr>
            <w:tcW w:w="1769" w:type="dxa"/>
            <w:vAlign w:val="top"/>
          </w:tcPr>
          <w:p w14:paraId="58061A1E">
            <w:pPr>
              <w:spacing w:line="373" w:lineRule="auto"/>
              <w:rPr>
                <w:rFonts w:ascii="Arial"/>
                <w:sz w:val="21"/>
              </w:rPr>
            </w:pPr>
          </w:p>
          <w:p w14:paraId="744CB702">
            <w:pPr>
              <w:pStyle w:val="15"/>
              <w:spacing w:before="65" w:line="362" w:lineRule="auto"/>
              <w:ind w:left="580" w:right="149" w:hanging="427"/>
            </w:pPr>
            <w:r>
              <w:rPr>
                <w:spacing w:val="8"/>
              </w:rPr>
              <w:t>签字和（或）盖</w:t>
            </w:r>
            <w:r>
              <w:rPr>
                <w:spacing w:val="3"/>
              </w:rPr>
              <w:t xml:space="preserve"> </w:t>
            </w:r>
            <w:r>
              <w:rPr>
                <w:spacing w:val="4"/>
              </w:rPr>
              <w:t>章要求</w:t>
            </w:r>
          </w:p>
        </w:tc>
        <w:tc>
          <w:tcPr>
            <w:tcW w:w="6436" w:type="dxa"/>
            <w:vAlign w:val="top"/>
          </w:tcPr>
          <w:p w14:paraId="75AE4789">
            <w:pPr>
              <w:pStyle w:val="15"/>
              <w:spacing w:before="33" w:line="368" w:lineRule="auto"/>
              <w:ind w:left="9" w:right="108" w:firstLine="213"/>
              <w:jc w:val="both"/>
            </w:pPr>
            <w:r>
              <w:rPr>
                <w:rFonts w:hint="eastAsia"/>
                <w:spacing w:val="8"/>
              </w:rPr>
              <w:t>投标文件应当由法定代表人（或其委托代理人）签名（或加盖印章），并加盖投标人的单位公章。投标人加盖的单位公章与其营业执照的单位名称应当一致。</w:t>
            </w:r>
          </w:p>
        </w:tc>
      </w:tr>
      <w:tr w14:paraId="078C5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1069" w:type="dxa"/>
            <w:vAlign w:val="center"/>
          </w:tcPr>
          <w:p w14:paraId="1C7B0C4D">
            <w:pPr>
              <w:pStyle w:val="15"/>
              <w:spacing w:before="271" w:line="189" w:lineRule="auto"/>
              <w:ind w:left="280"/>
              <w:jc w:val="center"/>
            </w:pPr>
            <w:r>
              <w:rPr>
                <w:spacing w:val="2"/>
              </w:rPr>
              <w:t>3.7.4</w:t>
            </w:r>
          </w:p>
        </w:tc>
        <w:tc>
          <w:tcPr>
            <w:tcW w:w="1769" w:type="dxa"/>
            <w:vAlign w:val="center"/>
          </w:tcPr>
          <w:p w14:paraId="19046CA1">
            <w:pPr>
              <w:pStyle w:val="15"/>
              <w:spacing w:before="237" w:line="228" w:lineRule="auto"/>
              <w:ind w:left="261"/>
              <w:jc w:val="center"/>
            </w:pPr>
            <w:r>
              <w:rPr>
                <w:spacing w:val="7"/>
              </w:rPr>
              <w:t>投标文件份数</w:t>
            </w:r>
          </w:p>
        </w:tc>
        <w:tc>
          <w:tcPr>
            <w:tcW w:w="6436" w:type="dxa"/>
            <w:vAlign w:val="top"/>
          </w:tcPr>
          <w:p w14:paraId="7D0DFC5F">
            <w:pPr>
              <w:ind w:left="-103" w:leftChars="-49" w:firstLine="422" w:firstLineChars="201"/>
              <w:rPr>
                <w:rFonts w:hint="eastAsia"/>
                <w:color w:val="0000FF"/>
                <w:szCs w:val="21"/>
                <w:lang w:eastAsia="zh-CN"/>
              </w:rPr>
            </w:pPr>
            <w:r>
              <w:rPr>
                <w:rFonts w:hint="eastAsia" w:eastAsia="宋体"/>
                <w:color w:val="0000FF"/>
                <w:szCs w:val="21"/>
                <w:lang w:val="en-US" w:eastAsia="zh-CN"/>
              </w:rPr>
              <w:t>投标文件</w:t>
            </w:r>
            <w:r>
              <w:rPr>
                <w:color w:val="0000FF"/>
                <w:szCs w:val="21"/>
              </w:rPr>
              <w:t>一式</w:t>
            </w:r>
            <w:r>
              <w:rPr>
                <w:rFonts w:hint="eastAsia"/>
                <w:color w:val="0000FF"/>
                <w:szCs w:val="21"/>
                <w:u w:val="single"/>
                <w:lang w:val="en-US" w:eastAsia="zh-CN"/>
              </w:rPr>
              <w:t>伍</w:t>
            </w:r>
            <w:r>
              <w:rPr>
                <w:color w:val="0000FF"/>
                <w:szCs w:val="21"/>
              </w:rPr>
              <w:t>份，其中：正本</w:t>
            </w:r>
            <w:r>
              <w:rPr>
                <w:rFonts w:hint="eastAsia"/>
                <w:color w:val="0000FF"/>
                <w:szCs w:val="21"/>
                <w:u w:val="single"/>
                <w:lang w:eastAsia="zh-CN"/>
              </w:rPr>
              <w:t>壹</w:t>
            </w:r>
            <w:r>
              <w:rPr>
                <w:color w:val="0000FF"/>
                <w:szCs w:val="21"/>
              </w:rPr>
              <w:t>份，副本</w:t>
            </w:r>
            <w:r>
              <w:rPr>
                <w:rFonts w:hint="eastAsia"/>
                <w:color w:val="0000FF"/>
                <w:szCs w:val="21"/>
                <w:u w:val="single"/>
                <w:lang w:val="en-US" w:eastAsia="zh-CN"/>
              </w:rPr>
              <w:t>肆</w:t>
            </w:r>
            <w:r>
              <w:rPr>
                <w:color w:val="0000FF"/>
                <w:szCs w:val="21"/>
              </w:rPr>
              <w:t>份</w:t>
            </w:r>
            <w:r>
              <w:rPr>
                <w:rFonts w:hint="eastAsia"/>
                <w:color w:val="0000FF"/>
                <w:szCs w:val="21"/>
                <w:lang w:eastAsia="zh-CN"/>
              </w:rPr>
              <w:t>，</w:t>
            </w:r>
          </w:p>
          <w:p w14:paraId="26263656">
            <w:pPr>
              <w:ind w:left="-103" w:leftChars="-49" w:firstLine="422" w:firstLineChars="201"/>
              <w:rPr>
                <w:rFonts w:hint="eastAsia" w:ascii="宋体" w:hAnsi="宋体" w:cs="宋体"/>
                <w:b/>
                <w:color w:val="0000FF"/>
                <w:szCs w:val="21"/>
              </w:rPr>
            </w:pPr>
          </w:p>
          <w:p w14:paraId="6F46D0B5">
            <w:pPr>
              <w:pStyle w:val="15"/>
              <w:spacing w:before="34" w:line="240" w:lineRule="auto"/>
              <w:ind w:left="9" w:right="108" w:firstLine="212"/>
            </w:pPr>
            <w:r>
              <w:rPr>
                <w:rFonts w:hint="eastAsia" w:ascii="宋体" w:hAnsi="宋体" w:eastAsia="宋体" w:cs="宋体"/>
                <w:b/>
                <w:color w:val="0000FF"/>
                <w:szCs w:val="21"/>
                <w:highlight w:val="none"/>
                <w:lang w:eastAsia="zh-CN"/>
              </w:rPr>
              <w:t>投标文件电子版一份，</w:t>
            </w:r>
            <w:r>
              <w:rPr>
                <w:rFonts w:hint="eastAsia" w:ascii="宋体" w:hAnsi="宋体" w:eastAsia="宋体" w:cs="宋体"/>
                <w:color w:val="0000FF"/>
                <w:szCs w:val="21"/>
                <w:highlight w:val="none"/>
              </w:rPr>
              <w:t>单独放入一个密封套中，加贴封条，</w:t>
            </w:r>
            <w:r>
              <w:rPr>
                <w:rFonts w:hint="eastAsia" w:ascii="宋体" w:hAnsi="宋体" w:eastAsia="宋体" w:cs="宋体"/>
                <w:color w:val="0000FF"/>
                <w:spacing w:val="6"/>
                <w:szCs w:val="21"/>
                <w:highlight w:val="none"/>
              </w:rPr>
              <w:t>并在封套封口处加盖投标人</w:t>
            </w:r>
            <w:r>
              <w:rPr>
                <w:rFonts w:hint="eastAsia" w:ascii="宋体" w:hAnsi="宋体" w:eastAsia="宋体" w:cs="宋体"/>
                <w:color w:val="0000FF"/>
                <w:szCs w:val="21"/>
                <w:highlight w:val="none"/>
              </w:rPr>
              <w:t>单位章，在封套上标记“投标文件电子版”字</w:t>
            </w:r>
          </w:p>
        </w:tc>
      </w:tr>
      <w:tr w14:paraId="3159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trPr>
        <w:tc>
          <w:tcPr>
            <w:tcW w:w="1069" w:type="dxa"/>
            <w:vAlign w:val="center"/>
          </w:tcPr>
          <w:p w14:paraId="2EFF6E37">
            <w:pPr>
              <w:pStyle w:val="15"/>
              <w:spacing w:before="271" w:line="189" w:lineRule="auto"/>
              <w:ind w:left="280"/>
              <w:jc w:val="center"/>
              <w:rPr>
                <w:rFonts w:hint="default" w:eastAsia="宋体"/>
                <w:spacing w:val="2"/>
                <w:lang w:val="en-US" w:eastAsia="zh-CN"/>
              </w:rPr>
            </w:pPr>
            <w:r>
              <w:rPr>
                <w:rFonts w:hint="eastAsia"/>
                <w:spacing w:val="2"/>
                <w:lang w:val="en-US" w:eastAsia="zh-CN"/>
              </w:rPr>
              <w:t>3.7.5</w:t>
            </w:r>
          </w:p>
        </w:tc>
        <w:tc>
          <w:tcPr>
            <w:tcW w:w="1769" w:type="dxa"/>
            <w:vAlign w:val="center"/>
          </w:tcPr>
          <w:p w14:paraId="0075006C">
            <w:pPr>
              <w:pStyle w:val="15"/>
              <w:spacing w:before="237" w:line="228" w:lineRule="auto"/>
              <w:ind w:left="261"/>
              <w:jc w:val="center"/>
              <w:rPr>
                <w:spacing w:val="7"/>
              </w:rPr>
            </w:pPr>
            <w:r>
              <w:rPr>
                <w:rFonts w:hint="eastAsia" w:ascii="宋体" w:hAnsi="宋体" w:eastAsia="宋体" w:cs="宋体"/>
                <w:color w:val="auto"/>
                <w:szCs w:val="21"/>
                <w:highlight w:val="none"/>
              </w:rPr>
              <w:t>装订要求</w:t>
            </w:r>
          </w:p>
        </w:tc>
        <w:tc>
          <w:tcPr>
            <w:tcW w:w="6436" w:type="dxa"/>
            <w:vAlign w:val="top"/>
          </w:tcPr>
          <w:p w14:paraId="13A7F4F2">
            <w:pPr>
              <w:keepNext w:val="0"/>
              <w:keepLines w:val="0"/>
              <w:pageBreakBefore w:val="0"/>
              <w:widowControl w:val="0"/>
              <w:kinsoku/>
              <w:wordWrap/>
              <w:overflowPunct/>
              <w:topLinePunct w:val="0"/>
              <w:autoSpaceDE/>
              <w:autoSpaceDN/>
              <w:bidi w:val="0"/>
              <w:adjustRightInd/>
              <w:snapToGrid/>
              <w:spacing w:line="280" w:lineRule="exact"/>
              <w:ind w:firstLine="211" w:firstLineChars="100"/>
              <w:textAlignment w:val="auto"/>
              <w:outlineLvl w:val="9"/>
              <w:rPr>
                <w:rFonts w:hint="eastAsia" w:ascii="宋体" w:hAnsi="宋体" w:eastAsia="宋体" w:cs="宋体"/>
                <w:color w:val="0000FF"/>
                <w:szCs w:val="21"/>
                <w:highlight w:val="none"/>
              </w:rPr>
            </w:pPr>
            <w:r>
              <w:rPr>
                <w:rFonts w:hint="eastAsia" w:ascii="宋体" w:hAnsi="宋体" w:eastAsia="宋体" w:cs="宋体"/>
                <w:b/>
                <w:bCs/>
                <w:color w:val="0000FF"/>
                <w:szCs w:val="21"/>
                <w:highlight w:val="none"/>
              </w:rPr>
              <w:t>分册装订，共分</w:t>
            </w:r>
            <w:r>
              <w:rPr>
                <w:rFonts w:hint="eastAsia" w:ascii="宋体" w:hAnsi="宋体" w:eastAsia="宋体" w:cs="宋体"/>
                <w:b/>
                <w:bCs/>
                <w:color w:val="0000FF"/>
                <w:szCs w:val="21"/>
                <w:highlight w:val="none"/>
                <w:u w:val="single"/>
                <w:lang w:val="en-US" w:eastAsia="zh-CN"/>
              </w:rPr>
              <w:t>3</w:t>
            </w:r>
            <w:r>
              <w:rPr>
                <w:rFonts w:hint="eastAsia" w:ascii="宋体" w:hAnsi="宋体" w:eastAsia="宋体" w:cs="宋体"/>
                <w:b/>
                <w:bCs/>
                <w:color w:val="0000FF"/>
                <w:szCs w:val="21"/>
                <w:highlight w:val="none"/>
              </w:rPr>
              <w:t>册，</w:t>
            </w:r>
            <w:r>
              <w:rPr>
                <w:rFonts w:hint="eastAsia" w:ascii="宋体" w:hAnsi="宋体" w:eastAsia="宋体" w:cs="宋体"/>
                <w:color w:val="0000FF"/>
                <w:szCs w:val="21"/>
                <w:highlight w:val="none"/>
              </w:rPr>
              <w:t>分别为：</w:t>
            </w:r>
          </w:p>
          <w:p w14:paraId="7002C4F8">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eastAsia="宋体" w:cs="宋体"/>
                <w:color w:val="0000FF"/>
                <w:szCs w:val="21"/>
                <w:highlight w:val="none"/>
              </w:rPr>
            </w:pPr>
            <w:r>
              <w:rPr>
                <w:rFonts w:hint="eastAsia" w:ascii="宋体" w:hAnsi="宋体" w:eastAsia="宋体" w:cs="宋体"/>
                <w:color w:val="0000FF"/>
                <w:szCs w:val="21"/>
                <w:highlight w:val="none"/>
              </w:rPr>
              <w:t xml:space="preserve">  投标函：包括投标函封面和目录的内容；</w:t>
            </w:r>
          </w:p>
          <w:p w14:paraId="306531D2">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outlineLvl w:val="9"/>
              <w:rPr>
                <w:rFonts w:hint="eastAsia" w:ascii="宋体" w:hAnsi="宋体" w:eastAsia="宋体" w:cs="宋体"/>
                <w:color w:val="0000FF"/>
                <w:szCs w:val="21"/>
                <w:highlight w:val="none"/>
              </w:rPr>
            </w:pPr>
            <w:r>
              <w:rPr>
                <w:rFonts w:hint="eastAsia" w:ascii="宋体" w:hAnsi="宋体" w:eastAsia="宋体" w:cs="宋体"/>
                <w:color w:val="0000FF"/>
                <w:szCs w:val="21"/>
                <w:highlight w:val="none"/>
              </w:rPr>
              <w:t>投标报价：包括投标报价封面和目录内容；</w:t>
            </w:r>
          </w:p>
          <w:p w14:paraId="2CC93D51">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outlineLvl w:val="9"/>
              <w:rPr>
                <w:rFonts w:hint="eastAsia" w:ascii="宋体" w:hAnsi="宋体" w:eastAsia="宋体" w:cs="宋体"/>
                <w:color w:val="0000FF"/>
                <w:szCs w:val="21"/>
                <w:highlight w:val="none"/>
                <w:lang w:val="en-US" w:eastAsia="zh-CN"/>
              </w:rPr>
            </w:pPr>
            <w:r>
              <w:rPr>
                <w:rFonts w:hint="eastAsia" w:ascii="宋体" w:hAnsi="宋体" w:eastAsia="宋体" w:cs="宋体"/>
                <w:color w:val="0000FF"/>
                <w:szCs w:val="21"/>
                <w:highlight w:val="none"/>
                <w:lang w:val="en-US" w:eastAsia="zh-CN"/>
              </w:rPr>
              <w:t>施工组织设计：</w:t>
            </w:r>
            <w:r>
              <w:rPr>
                <w:rFonts w:hint="eastAsia" w:ascii="宋体" w:hAnsi="宋体" w:eastAsia="宋体" w:cs="宋体"/>
                <w:color w:val="0000FF"/>
                <w:szCs w:val="21"/>
                <w:highlight w:val="none"/>
              </w:rPr>
              <w:t>包括</w:t>
            </w:r>
            <w:r>
              <w:rPr>
                <w:rFonts w:hint="eastAsia" w:ascii="宋体" w:hAnsi="宋体" w:eastAsia="宋体" w:cs="宋体"/>
                <w:color w:val="0000FF"/>
                <w:szCs w:val="21"/>
                <w:highlight w:val="none"/>
                <w:lang w:val="en-US" w:eastAsia="zh-CN"/>
              </w:rPr>
              <w:t>施工组织设计</w:t>
            </w:r>
            <w:r>
              <w:rPr>
                <w:rFonts w:hint="eastAsia" w:ascii="宋体" w:hAnsi="宋体" w:eastAsia="宋体" w:cs="宋体"/>
                <w:color w:val="0000FF"/>
                <w:szCs w:val="21"/>
                <w:highlight w:val="none"/>
              </w:rPr>
              <w:t>封面和目录的内容</w:t>
            </w:r>
          </w:p>
          <w:p w14:paraId="0EF36673">
            <w:pPr>
              <w:pStyle w:val="15"/>
              <w:spacing w:before="34" w:line="240" w:lineRule="auto"/>
              <w:ind w:left="9" w:right="108" w:firstLine="212"/>
              <w:rPr>
                <w:rFonts w:hint="eastAsia" w:ascii="宋体" w:hAnsi="宋体" w:eastAsia="宋体" w:cs="宋体"/>
                <w:b/>
                <w:color w:val="auto"/>
                <w:szCs w:val="21"/>
                <w:highlight w:val="none"/>
                <w:lang w:eastAsia="zh-CN"/>
              </w:rPr>
            </w:pPr>
            <w:r>
              <w:rPr>
                <w:rFonts w:hint="eastAsia" w:ascii="宋体" w:hAnsi="宋体" w:eastAsia="宋体" w:cs="宋体"/>
                <w:b/>
                <w:color w:val="0000FF"/>
                <w:kern w:val="0"/>
                <w:szCs w:val="21"/>
                <w:highlight w:val="none"/>
              </w:rPr>
              <w:t>注：投标函部分中的“投标函”“投标函附录”另行单独准备一份，用信封包装密封后附于投标文件密封袋上与投标文件一同递交。以便于开标时唱标和查询。</w:t>
            </w:r>
          </w:p>
        </w:tc>
      </w:tr>
      <w:tr w14:paraId="5021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69" w:type="dxa"/>
            <w:vAlign w:val="top"/>
          </w:tcPr>
          <w:p w14:paraId="28192C6D">
            <w:pPr>
              <w:pStyle w:val="15"/>
              <w:spacing w:before="268" w:line="190" w:lineRule="auto"/>
              <w:ind w:left="275"/>
            </w:pPr>
            <w:r>
              <w:rPr>
                <w:spacing w:val="3"/>
              </w:rPr>
              <w:t>4.1.1</w:t>
            </w:r>
          </w:p>
        </w:tc>
        <w:tc>
          <w:tcPr>
            <w:tcW w:w="1769" w:type="dxa"/>
            <w:vAlign w:val="top"/>
          </w:tcPr>
          <w:p w14:paraId="7AA31518">
            <w:pPr>
              <w:pStyle w:val="15"/>
              <w:spacing w:before="31" w:line="240" w:lineRule="auto"/>
              <w:ind w:left="679" w:right="255" w:hanging="418"/>
            </w:pPr>
            <w:r>
              <w:rPr>
                <w:spacing w:val="7"/>
              </w:rPr>
              <w:t>投标文件加密</w:t>
            </w:r>
            <w:r>
              <w:rPr>
                <w:spacing w:val="4"/>
              </w:rPr>
              <w:t xml:space="preserve"> 要求</w:t>
            </w:r>
          </w:p>
        </w:tc>
        <w:tc>
          <w:tcPr>
            <w:tcW w:w="6436" w:type="dxa"/>
            <w:vAlign w:val="top"/>
          </w:tcPr>
          <w:p w14:paraId="36756E64">
            <w:pPr>
              <w:pStyle w:val="15"/>
              <w:spacing w:before="237" w:line="228" w:lineRule="auto"/>
              <w:ind w:left="136"/>
              <w:rPr>
                <w:rFonts w:hint="eastAsia" w:eastAsia="宋体"/>
                <w:lang w:eastAsia="zh-CN"/>
              </w:rPr>
            </w:pPr>
            <w:r>
              <w:rPr>
                <w:rFonts w:hint="eastAsia"/>
                <w:spacing w:val="6"/>
                <w:lang w:val="en-US" w:eastAsia="zh-CN"/>
              </w:rPr>
              <w:t>无</w:t>
            </w:r>
          </w:p>
        </w:tc>
      </w:tr>
      <w:tr w14:paraId="20894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69" w:type="dxa"/>
            <w:vAlign w:val="top"/>
          </w:tcPr>
          <w:p w14:paraId="78A8E124">
            <w:pPr>
              <w:pStyle w:val="15"/>
              <w:spacing w:before="270" w:line="189" w:lineRule="auto"/>
              <w:ind w:left="275"/>
            </w:pPr>
            <w:r>
              <w:rPr>
                <w:spacing w:val="3"/>
              </w:rPr>
              <w:t>4.2.2</w:t>
            </w:r>
          </w:p>
        </w:tc>
        <w:tc>
          <w:tcPr>
            <w:tcW w:w="1769" w:type="dxa"/>
            <w:vAlign w:val="top"/>
          </w:tcPr>
          <w:p w14:paraId="0101BD55">
            <w:pPr>
              <w:pStyle w:val="15"/>
              <w:spacing w:before="34" w:line="359" w:lineRule="auto"/>
              <w:ind w:left="678" w:right="255" w:hanging="419"/>
            </w:pPr>
            <w:r>
              <w:rPr>
                <w:spacing w:val="8"/>
              </w:rPr>
              <w:t>递交投标文件</w:t>
            </w:r>
            <w:r>
              <w:t xml:space="preserve"> </w:t>
            </w:r>
            <w:r>
              <w:rPr>
                <w:spacing w:val="4"/>
              </w:rPr>
              <w:t>地点</w:t>
            </w:r>
          </w:p>
        </w:tc>
        <w:tc>
          <w:tcPr>
            <w:tcW w:w="6436" w:type="dxa"/>
            <w:vAlign w:val="top"/>
          </w:tcPr>
          <w:p w14:paraId="1148C11C">
            <w:pPr>
              <w:pStyle w:val="15"/>
              <w:spacing w:before="237" w:line="227" w:lineRule="auto"/>
              <w:ind w:left="136"/>
            </w:pPr>
            <w:r>
              <w:rPr>
                <w:rFonts w:hint="eastAsia" w:ascii="宋体" w:hAnsi="宋体" w:eastAsia="宋体" w:cs="宋体"/>
                <w:color w:val="auto"/>
                <w:szCs w:val="21"/>
                <w:highlight w:val="none"/>
              </w:rPr>
              <w:t>纸质投标文件递交至</w:t>
            </w:r>
            <w:r>
              <w:rPr>
                <w:rFonts w:hint="eastAsia" w:ascii="宋体" w:hAnsi="宋体" w:eastAsia="宋体" w:cs="宋体"/>
                <w:color w:val="0000FF"/>
                <w:szCs w:val="21"/>
                <w:highlight w:val="none"/>
                <w:u w:val="single"/>
                <w:lang w:eastAsia="zh-CN"/>
              </w:rPr>
              <w:t>江华瑶族自治县重点项目服务中心</w:t>
            </w:r>
            <w:r>
              <w:rPr>
                <w:rFonts w:hint="eastAsia" w:ascii="宋体" w:hAnsi="宋体" w:eastAsia="宋体" w:cs="宋体"/>
                <w:color w:val="0000FF"/>
                <w:szCs w:val="21"/>
                <w:highlight w:val="none"/>
                <w:u w:val="single"/>
              </w:rPr>
              <w:t>（江华县交通警察大队综合楼7楼</w:t>
            </w:r>
            <w:r>
              <w:rPr>
                <w:rFonts w:hint="eastAsia" w:ascii="宋体" w:hAnsi="宋体" w:eastAsia="宋体" w:cs="宋体"/>
                <w:color w:val="0000FF"/>
                <w:szCs w:val="21"/>
                <w:highlight w:val="none"/>
                <w:u w:val="single"/>
                <w:lang w:eastAsia="zh-CN"/>
              </w:rPr>
              <w:t>开标</w:t>
            </w:r>
            <w:r>
              <w:rPr>
                <w:rFonts w:hint="eastAsia" w:ascii="宋体" w:hAnsi="宋体" w:eastAsia="宋体" w:cs="宋体"/>
                <w:color w:val="0000FF"/>
                <w:szCs w:val="21"/>
                <w:highlight w:val="none"/>
                <w:u w:val="single"/>
              </w:rPr>
              <w:t>室）</w:t>
            </w:r>
          </w:p>
        </w:tc>
      </w:tr>
      <w:tr w14:paraId="23320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069" w:type="dxa"/>
            <w:vAlign w:val="top"/>
          </w:tcPr>
          <w:p w14:paraId="22DF36E2">
            <w:pPr>
              <w:spacing w:line="405" w:lineRule="auto"/>
              <w:rPr>
                <w:rFonts w:ascii="Arial"/>
                <w:sz w:val="21"/>
              </w:rPr>
            </w:pPr>
          </w:p>
          <w:p w14:paraId="347ADA93">
            <w:pPr>
              <w:pStyle w:val="15"/>
              <w:spacing w:before="65" w:line="189" w:lineRule="auto"/>
              <w:ind w:left="275"/>
            </w:pPr>
            <w:r>
              <w:rPr>
                <w:spacing w:val="3"/>
              </w:rPr>
              <w:t>4.2.3</w:t>
            </w:r>
          </w:p>
        </w:tc>
        <w:tc>
          <w:tcPr>
            <w:tcW w:w="1769" w:type="dxa"/>
            <w:vAlign w:val="top"/>
          </w:tcPr>
          <w:p w14:paraId="1612967D">
            <w:pPr>
              <w:pStyle w:val="15"/>
              <w:spacing w:before="236" w:line="362" w:lineRule="auto"/>
              <w:ind w:left="680" w:right="255" w:hanging="418"/>
            </w:pPr>
            <w:r>
              <w:rPr>
                <w:spacing w:val="7"/>
              </w:rPr>
              <w:t>是否退还投标</w:t>
            </w:r>
            <w:r>
              <w:rPr>
                <w:spacing w:val="3"/>
              </w:rPr>
              <w:t xml:space="preserve"> 文件</w:t>
            </w:r>
          </w:p>
        </w:tc>
        <w:tc>
          <w:tcPr>
            <w:tcW w:w="6436" w:type="dxa"/>
            <w:vAlign w:val="top"/>
          </w:tcPr>
          <w:p w14:paraId="40D9ABED">
            <w:pPr>
              <w:pStyle w:val="15"/>
              <w:spacing w:before="31" w:line="364" w:lineRule="auto"/>
              <w:ind w:left="133" w:right="5906" w:hanging="13"/>
            </w:pPr>
            <w:r>
              <w:rPr>
                <w:rFonts w:ascii="MS Gothic" w:hAnsi="MS Gothic" w:eastAsia="MS Gothic" w:cs="MS Gothic"/>
                <w:color w:val="0000FF"/>
                <w:spacing w:val="1"/>
              </w:rPr>
              <w:t>☑</w:t>
            </w:r>
            <w:r>
              <w:rPr>
                <w:spacing w:val="1"/>
              </w:rPr>
              <w:t>否</w:t>
            </w:r>
            <w:r>
              <w:t xml:space="preserve"> </w:t>
            </w:r>
            <w:r>
              <w:rPr>
                <w:color w:val="0000FF"/>
                <w:spacing w:val="-5"/>
              </w:rPr>
              <w:t>□</w:t>
            </w:r>
            <w:r>
              <w:rPr>
                <w:spacing w:val="-5"/>
              </w:rPr>
              <w:t>是</w:t>
            </w:r>
          </w:p>
          <w:p w14:paraId="5D6292C3">
            <w:pPr>
              <w:pStyle w:val="15"/>
              <w:spacing w:before="30" w:line="230" w:lineRule="auto"/>
              <w:ind w:left="113"/>
            </w:pPr>
            <w:r>
              <w:rPr>
                <w:spacing w:val="8"/>
              </w:rPr>
              <w:t>退还时间：</w:t>
            </w:r>
            <w:r>
              <w:rPr>
                <w:color w:val="0000FF"/>
                <w:spacing w:val="8"/>
              </w:rPr>
              <w:t>/</w:t>
            </w:r>
          </w:p>
        </w:tc>
      </w:tr>
      <w:tr w14:paraId="12BF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069" w:type="dxa"/>
            <w:vAlign w:val="top"/>
          </w:tcPr>
          <w:p w14:paraId="2D8A8DEB">
            <w:pPr>
              <w:spacing w:line="254" w:lineRule="auto"/>
              <w:rPr>
                <w:rFonts w:ascii="Arial"/>
                <w:sz w:val="21"/>
              </w:rPr>
            </w:pPr>
          </w:p>
          <w:p w14:paraId="6137390F">
            <w:pPr>
              <w:spacing w:line="254" w:lineRule="auto"/>
              <w:rPr>
                <w:rFonts w:ascii="Arial"/>
                <w:sz w:val="21"/>
              </w:rPr>
            </w:pPr>
          </w:p>
          <w:p w14:paraId="63D4FD5A">
            <w:pPr>
              <w:pStyle w:val="15"/>
              <w:spacing w:before="65" w:line="190" w:lineRule="auto"/>
              <w:ind w:left="386"/>
            </w:pPr>
            <w:r>
              <w:rPr>
                <w:spacing w:val="1"/>
              </w:rPr>
              <w:t>5.1</w:t>
            </w:r>
          </w:p>
        </w:tc>
        <w:tc>
          <w:tcPr>
            <w:tcW w:w="1769" w:type="dxa"/>
            <w:vAlign w:val="top"/>
          </w:tcPr>
          <w:p w14:paraId="5B99C1E1">
            <w:pPr>
              <w:spacing w:line="477" w:lineRule="auto"/>
              <w:rPr>
                <w:rFonts w:ascii="Arial"/>
                <w:sz w:val="21"/>
              </w:rPr>
            </w:pPr>
          </w:p>
          <w:p w14:paraId="538DD3E3">
            <w:pPr>
              <w:pStyle w:val="15"/>
              <w:spacing w:before="65" w:line="228" w:lineRule="auto"/>
              <w:ind w:left="154"/>
            </w:pPr>
            <w:r>
              <w:rPr>
                <w:spacing w:val="8"/>
              </w:rPr>
              <w:t>开标时间和地点</w:t>
            </w:r>
          </w:p>
        </w:tc>
        <w:tc>
          <w:tcPr>
            <w:tcW w:w="6436" w:type="dxa"/>
            <w:vAlign w:val="top"/>
          </w:tcPr>
          <w:p w14:paraId="370B34A3">
            <w:pPr>
              <w:ind w:firstLine="211" w:firstLineChars="100"/>
              <w:rPr>
                <w:rFonts w:hint="eastAsia" w:ascii="宋体" w:hAnsi="宋体" w:eastAsia="宋体" w:cs="宋体"/>
                <w:b/>
                <w:bCs/>
                <w:color w:val="0000FF"/>
                <w:szCs w:val="21"/>
                <w:highlight w:val="none"/>
                <w:u w:val="single"/>
              </w:rPr>
            </w:pPr>
            <w:r>
              <w:rPr>
                <w:rFonts w:hint="eastAsia" w:ascii="宋体" w:hAnsi="宋体" w:eastAsia="宋体" w:cs="宋体"/>
                <w:b/>
                <w:bCs/>
                <w:color w:val="0000FF"/>
                <w:szCs w:val="21"/>
                <w:highlight w:val="none"/>
              </w:rPr>
              <w:t>开标时间：</w:t>
            </w:r>
            <w:r>
              <w:rPr>
                <w:rFonts w:hint="eastAsia" w:ascii="宋体" w:hAnsi="宋体" w:eastAsia="宋体" w:cs="宋体"/>
                <w:b/>
                <w:bCs/>
                <w:color w:val="0000FF"/>
                <w:szCs w:val="21"/>
                <w:highlight w:val="none"/>
                <w:lang w:val="en-US" w:eastAsia="zh-CN"/>
              </w:rPr>
              <w:t>2024</w:t>
            </w:r>
            <w:r>
              <w:rPr>
                <w:rFonts w:hint="eastAsia" w:ascii="宋体" w:hAnsi="宋体" w:eastAsia="宋体" w:cs="宋体"/>
                <w:b/>
                <w:bCs/>
                <w:color w:val="0000FF"/>
                <w:szCs w:val="21"/>
                <w:highlight w:val="none"/>
              </w:rPr>
              <w:t>年</w:t>
            </w:r>
            <w:r>
              <w:rPr>
                <w:rFonts w:hint="eastAsia" w:ascii="宋体" w:hAnsi="宋体" w:eastAsia="宋体" w:cs="宋体"/>
                <w:b/>
                <w:bCs/>
                <w:color w:val="0000FF"/>
                <w:szCs w:val="21"/>
                <w:highlight w:val="none"/>
                <w:lang w:val="en-US" w:eastAsia="zh-CN"/>
              </w:rPr>
              <w:t>08</w:t>
            </w:r>
            <w:r>
              <w:rPr>
                <w:rFonts w:hint="eastAsia" w:ascii="宋体" w:hAnsi="宋体" w:eastAsia="宋体" w:cs="宋体"/>
                <w:b/>
                <w:bCs/>
                <w:color w:val="0000FF"/>
                <w:szCs w:val="21"/>
                <w:highlight w:val="none"/>
              </w:rPr>
              <w:t>月</w:t>
            </w:r>
            <w:r>
              <w:rPr>
                <w:rFonts w:hint="eastAsia" w:ascii="宋体" w:hAnsi="宋体" w:eastAsia="宋体" w:cs="宋体"/>
                <w:b/>
                <w:bCs/>
                <w:color w:val="0000FF"/>
                <w:szCs w:val="21"/>
                <w:highlight w:val="none"/>
                <w:lang w:val="en-US" w:eastAsia="zh-CN"/>
              </w:rPr>
              <w:t>01</w:t>
            </w:r>
            <w:r>
              <w:rPr>
                <w:rFonts w:hint="eastAsia" w:ascii="宋体" w:hAnsi="宋体" w:eastAsia="宋体" w:cs="宋体"/>
                <w:b/>
                <w:bCs/>
                <w:color w:val="0000FF"/>
                <w:szCs w:val="21"/>
                <w:highlight w:val="none"/>
              </w:rPr>
              <w:t>日</w:t>
            </w:r>
            <w:r>
              <w:rPr>
                <w:rFonts w:hint="eastAsia" w:ascii="宋体" w:hAnsi="宋体" w:eastAsia="宋体" w:cs="宋体"/>
                <w:b/>
                <w:bCs/>
                <w:color w:val="0000FF"/>
                <w:szCs w:val="21"/>
                <w:highlight w:val="none"/>
                <w:lang w:val="en-US" w:eastAsia="zh-CN"/>
              </w:rPr>
              <w:t xml:space="preserve"> 9 </w:t>
            </w:r>
            <w:r>
              <w:rPr>
                <w:rFonts w:hint="eastAsia" w:ascii="宋体" w:hAnsi="宋体" w:eastAsia="宋体" w:cs="宋体"/>
                <w:b/>
                <w:bCs/>
                <w:color w:val="0000FF"/>
                <w:szCs w:val="21"/>
                <w:highlight w:val="none"/>
              </w:rPr>
              <w:t>时</w:t>
            </w:r>
            <w:r>
              <w:rPr>
                <w:rFonts w:hint="eastAsia" w:ascii="宋体" w:hAnsi="宋体" w:eastAsia="宋体" w:cs="宋体"/>
                <w:b/>
                <w:bCs/>
                <w:color w:val="0000FF"/>
                <w:szCs w:val="21"/>
                <w:highlight w:val="none"/>
                <w:lang w:val="en-US" w:eastAsia="zh-CN"/>
              </w:rPr>
              <w:t>30</w:t>
            </w:r>
            <w:r>
              <w:rPr>
                <w:rFonts w:hint="eastAsia" w:ascii="宋体" w:hAnsi="宋体" w:eastAsia="宋体" w:cs="宋体"/>
                <w:b/>
                <w:bCs/>
                <w:color w:val="0000FF"/>
                <w:szCs w:val="21"/>
                <w:highlight w:val="none"/>
              </w:rPr>
              <w:t>分  (北京时间)</w:t>
            </w:r>
          </w:p>
          <w:p w14:paraId="2E6D0F50">
            <w:pPr>
              <w:pStyle w:val="15"/>
              <w:spacing w:before="160" w:line="364" w:lineRule="auto"/>
              <w:ind w:left="113" w:right="110"/>
            </w:pPr>
            <w:r>
              <w:rPr>
                <w:rFonts w:hint="eastAsia" w:ascii="宋体" w:hAnsi="宋体" w:eastAsia="宋体" w:cs="宋体"/>
                <w:b/>
                <w:bCs/>
                <w:color w:val="0000FF"/>
                <w:szCs w:val="21"/>
                <w:highlight w:val="none"/>
              </w:rPr>
              <w:t xml:space="preserve">开标地点： </w:t>
            </w:r>
            <w:r>
              <w:rPr>
                <w:rFonts w:hint="eastAsia" w:ascii="宋体" w:hAnsi="宋体" w:eastAsia="宋体" w:cs="宋体"/>
                <w:b/>
                <w:bCs/>
                <w:color w:val="0000FF"/>
                <w:szCs w:val="21"/>
                <w:highlight w:val="none"/>
                <w:u w:val="none"/>
                <w:lang w:eastAsia="zh-CN"/>
              </w:rPr>
              <w:t>江华瑶族自治县重点项目服务中心</w:t>
            </w:r>
            <w:r>
              <w:rPr>
                <w:rFonts w:hint="eastAsia" w:ascii="宋体" w:hAnsi="宋体" w:eastAsia="宋体" w:cs="宋体"/>
                <w:b/>
                <w:bCs/>
                <w:color w:val="0000FF"/>
                <w:szCs w:val="21"/>
                <w:highlight w:val="none"/>
                <w:u w:val="none"/>
              </w:rPr>
              <w:t>（江华县交通警察大队综合楼7楼</w:t>
            </w:r>
            <w:r>
              <w:rPr>
                <w:rFonts w:hint="eastAsia" w:ascii="宋体" w:hAnsi="宋体" w:eastAsia="宋体" w:cs="宋体"/>
                <w:b/>
                <w:bCs/>
                <w:color w:val="0000FF"/>
                <w:szCs w:val="21"/>
                <w:highlight w:val="none"/>
                <w:u w:val="none"/>
                <w:lang w:eastAsia="zh-CN"/>
              </w:rPr>
              <w:t>开标</w:t>
            </w:r>
            <w:r>
              <w:rPr>
                <w:rFonts w:hint="eastAsia" w:ascii="宋体" w:hAnsi="宋体" w:eastAsia="宋体" w:cs="宋体"/>
                <w:b/>
                <w:bCs/>
                <w:color w:val="0000FF"/>
                <w:szCs w:val="21"/>
                <w:highlight w:val="none"/>
                <w:u w:val="none"/>
              </w:rPr>
              <w:t>室）</w:t>
            </w:r>
          </w:p>
        </w:tc>
      </w:tr>
      <w:tr w14:paraId="60D72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069" w:type="dxa"/>
            <w:vAlign w:val="top"/>
          </w:tcPr>
          <w:p w14:paraId="726CDDE8">
            <w:pPr>
              <w:spacing w:line="286" w:lineRule="auto"/>
              <w:rPr>
                <w:rFonts w:ascii="Arial"/>
                <w:sz w:val="21"/>
              </w:rPr>
            </w:pPr>
          </w:p>
          <w:p w14:paraId="74CF2BA9">
            <w:pPr>
              <w:pStyle w:val="15"/>
              <w:spacing w:before="65" w:line="190" w:lineRule="auto"/>
              <w:ind w:left="278"/>
            </w:pPr>
            <w:r>
              <w:rPr>
                <w:spacing w:val="2"/>
              </w:rPr>
              <w:t>6.1.1</w:t>
            </w:r>
          </w:p>
        </w:tc>
        <w:tc>
          <w:tcPr>
            <w:tcW w:w="1769" w:type="dxa"/>
            <w:vAlign w:val="top"/>
          </w:tcPr>
          <w:p w14:paraId="27F1A63F">
            <w:pPr>
              <w:pStyle w:val="15"/>
              <w:spacing w:before="116" w:line="363" w:lineRule="auto"/>
              <w:ind w:left="681" w:right="255" w:hanging="423"/>
            </w:pPr>
            <w:r>
              <w:drawing>
                <wp:anchor distT="0" distB="0" distL="0" distR="0" simplePos="0" relativeHeight="251660288" behindDoc="1" locked="0" layoutInCell="1" allowOverlap="1">
                  <wp:simplePos x="0" y="0"/>
                  <wp:positionH relativeFrom="rightMargin">
                    <wp:posOffset>-27305</wp:posOffset>
                  </wp:positionH>
                  <wp:positionV relativeFrom="topMargin">
                    <wp:posOffset>53975</wp:posOffset>
                  </wp:positionV>
                  <wp:extent cx="29210" cy="17272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2"/>
                          <a:stretch>
                            <a:fillRect/>
                          </a:stretch>
                        </pic:blipFill>
                        <pic:spPr>
                          <a:xfrm>
                            <a:off x="0" y="0"/>
                            <a:ext cx="29210" cy="172720"/>
                          </a:xfrm>
                          <a:prstGeom prst="rect">
                            <a:avLst/>
                          </a:prstGeom>
                        </pic:spPr>
                      </pic:pic>
                    </a:graphicData>
                  </a:graphic>
                </wp:anchor>
              </w:drawing>
            </w:r>
            <w:r>
              <w:rPr>
                <w:spacing w:val="8"/>
              </w:rPr>
              <w:t>评标委员会的</w:t>
            </w:r>
            <w:r>
              <w:rPr>
                <w:spacing w:val="1"/>
              </w:rPr>
              <w:t xml:space="preserve"> </w:t>
            </w:r>
            <w:r>
              <w:rPr>
                <w:spacing w:val="3"/>
              </w:rPr>
              <w:t>组建</w:t>
            </w:r>
          </w:p>
        </w:tc>
        <w:tc>
          <w:tcPr>
            <w:tcW w:w="6436" w:type="dxa"/>
            <w:vAlign w:val="top"/>
          </w:tcPr>
          <w:p w14:paraId="7F675644">
            <w:pPr>
              <w:pStyle w:val="15"/>
              <w:spacing w:before="116" w:line="362" w:lineRule="auto"/>
              <w:ind w:left="111" w:right="901"/>
            </w:pPr>
            <w:r>
              <w:rPr>
                <w:spacing w:val="6"/>
              </w:rPr>
              <w:t>评标委员会成员</w:t>
            </w:r>
            <w:r>
              <w:rPr>
                <w:spacing w:val="-29"/>
              </w:rPr>
              <w:t xml:space="preserve"> </w:t>
            </w:r>
            <w:r>
              <w:rPr>
                <w:color w:val="0000FF"/>
                <w:spacing w:val="6"/>
              </w:rPr>
              <w:t>5</w:t>
            </w:r>
            <w:r>
              <w:rPr>
                <w:color w:val="0000FF"/>
                <w:spacing w:val="-37"/>
              </w:rPr>
              <w:t xml:space="preserve"> </w:t>
            </w:r>
            <w:r>
              <w:rPr>
                <w:spacing w:val="6"/>
              </w:rPr>
              <w:t>人或以上单数，其中：招标人代表</w:t>
            </w:r>
            <w:r>
              <w:rPr>
                <w:spacing w:val="-37"/>
              </w:rPr>
              <w:t xml:space="preserve"> </w:t>
            </w:r>
            <w:r>
              <w:rPr>
                <w:color w:val="0000FF"/>
                <w:spacing w:val="6"/>
              </w:rPr>
              <w:t>0</w:t>
            </w:r>
            <w:r>
              <w:rPr>
                <w:color w:val="0000FF"/>
                <w:spacing w:val="-36"/>
              </w:rPr>
              <w:t xml:space="preserve"> </w:t>
            </w:r>
            <w:r>
              <w:rPr>
                <w:spacing w:val="6"/>
              </w:rPr>
              <w:t>人。</w:t>
            </w:r>
            <w:r>
              <w:t xml:space="preserve"> </w:t>
            </w:r>
            <w:r>
              <w:rPr>
                <w:spacing w:val="9"/>
              </w:rPr>
              <w:t>评标专家确定方式：</w:t>
            </w:r>
            <w:r>
              <w:rPr>
                <w:color w:val="0000FF"/>
                <w:spacing w:val="9"/>
              </w:rPr>
              <w:t>通过湖南省综合评标专家库随机抽取</w:t>
            </w:r>
          </w:p>
        </w:tc>
      </w:tr>
      <w:tr w14:paraId="2270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2" w:hRule="atLeast"/>
        </w:trPr>
        <w:tc>
          <w:tcPr>
            <w:tcW w:w="1069" w:type="dxa"/>
            <w:vAlign w:val="top"/>
          </w:tcPr>
          <w:p w14:paraId="1188CE45">
            <w:pPr>
              <w:spacing w:line="270" w:lineRule="auto"/>
              <w:rPr>
                <w:rFonts w:ascii="Arial"/>
                <w:sz w:val="21"/>
              </w:rPr>
            </w:pPr>
          </w:p>
          <w:p w14:paraId="09DFFB12">
            <w:pPr>
              <w:spacing w:line="271" w:lineRule="auto"/>
              <w:rPr>
                <w:rFonts w:ascii="Arial"/>
                <w:sz w:val="21"/>
              </w:rPr>
            </w:pPr>
          </w:p>
          <w:p w14:paraId="6DBBF231">
            <w:pPr>
              <w:spacing w:line="271" w:lineRule="auto"/>
              <w:rPr>
                <w:rFonts w:ascii="Arial"/>
                <w:sz w:val="21"/>
              </w:rPr>
            </w:pPr>
          </w:p>
          <w:p w14:paraId="01C2451C">
            <w:pPr>
              <w:spacing w:line="271" w:lineRule="auto"/>
              <w:rPr>
                <w:rFonts w:ascii="Arial"/>
                <w:sz w:val="21"/>
              </w:rPr>
            </w:pPr>
          </w:p>
          <w:p w14:paraId="229606C0">
            <w:pPr>
              <w:spacing w:line="271" w:lineRule="auto"/>
              <w:rPr>
                <w:rFonts w:ascii="Arial"/>
                <w:sz w:val="21"/>
              </w:rPr>
            </w:pPr>
          </w:p>
          <w:p w14:paraId="51B4E24B">
            <w:pPr>
              <w:spacing w:line="271" w:lineRule="auto"/>
              <w:rPr>
                <w:rFonts w:ascii="Arial"/>
                <w:sz w:val="21"/>
              </w:rPr>
            </w:pPr>
          </w:p>
          <w:p w14:paraId="587E52BD">
            <w:pPr>
              <w:pStyle w:val="15"/>
              <w:spacing w:before="65" w:line="190" w:lineRule="auto"/>
              <w:ind w:left="387"/>
            </w:pPr>
            <w:r>
              <w:t>7.1</w:t>
            </w:r>
          </w:p>
        </w:tc>
        <w:tc>
          <w:tcPr>
            <w:tcW w:w="1769" w:type="dxa"/>
            <w:vAlign w:val="top"/>
          </w:tcPr>
          <w:p w14:paraId="0B8BE6E7">
            <w:pPr>
              <w:spacing w:line="297" w:lineRule="auto"/>
              <w:rPr>
                <w:rFonts w:ascii="Arial"/>
                <w:sz w:val="21"/>
              </w:rPr>
            </w:pPr>
          </w:p>
          <w:p w14:paraId="692EABC3">
            <w:pPr>
              <w:spacing w:line="297" w:lineRule="auto"/>
              <w:rPr>
                <w:rFonts w:ascii="Arial"/>
                <w:sz w:val="21"/>
              </w:rPr>
            </w:pPr>
          </w:p>
          <w:p w14:paraId="3B9D3543">
            <w:pPr>
              <w:spacing w:line="297" w:lineRule="auto"/>
              <w:rPr>
                <w:rFonts w:ascii="Arial"/>
                <w:sz w:val="21"/>
              </w:rPr>
            </w:pPr>
          </w:p>
          <w:p w14:paraId="4D244569">
            <w:pPr>
              <w:spacing w:line="297" w:lineRule="auto"/>
              <w:rPr>
                <w:rFonts w:ascii="Arial"/>
                <w:sz w:val="21"/>
              </w:rPr>
            </w:pPr>
          </w:p>
          <w:p w14:paraId="6BF3088B">
            <w:pPr>
              <w:pStyle w:val="15"/>
              <w:spacing w:before="65" w:line="227" w:lineRule="auto"/>
              <w:ind w:left="153"/>
            </w:pPr>
            <w:r>
              <w:rPr>
                <w:spacing w:val="8"/>
              </w:rPr>
              <w:t>推荐中标候选人</w:t>
            </w:r>
          </w:p>
          <w:p w14:paraId="2EE7596D">
            <w:pPr>
              <w:pStyle w:val="15"/>
              <w:spacing w:before="162" w:line="228" w:lineRule="auto"/>
              <w:ind w:left="259"/>
            </w:pPr>
            <w:r>
              <w:rPr>
                <w:spacing w:val="8"/>
              </w:rPr>
              <w:t>和确定中标人</w:t>
            </w:r>
          </w:p>
          <w:p w14:paraId="2F0B41CB">
            <w:pPr>
              <w:pStyle w:val="15"/>
              <w:spacing w:before="160" w:line="229" w:lineRule="auto"/>
              <w:ind w:left="679"/>
            </w:pPr>
            <w:r>
              <w:rPr>
                <w:spacing w:val="4"/>
              </w:rPr>
              <w:t>方式</w:t>
            </w:r>
          </w:p>
        </w:tc>
        <w:tc>
          <w:tcPr>
            <w:tcW w:w="6436" w:type="dxa"/>
            <w:vAlign w:val="top"/>
          </w:tcPr>
          <w:p w14:paraId="25BB96F6">
            <w:pPr>
              <w:pStyle w:val="15"/>
              <w:spacing w:before="33" w:line="362" w:lineRule="auto"/>
              <w:ind w:left="15" w:right="159" w:firstLine="1"/>
            </w:pPr>
            <w:r>
              <w:rPr>
                <w:rFonts w:ascii="MS Gothic" w:hAnsi="MS Gothic" w:eastAsia="MS Gothic" w:cs="MS Gothic"/>
                <w:color w:val="0000FF"/>
                <w:spacing w:val="6"/>
              </w:rPr>
              <w:t>☑</w:t>
            </w:r>
            <w:r>
              <w:rPr>
                <w:spacing w:val="6"/>
              </w:rPr>
              <w:t>排序法，即：</w:t>
            </w:r>
            <w:r>
              <w:rPr>
                <w:spacing w:val="-57"/>
              </w:rPr>
              <w:t xml:space="preserve"> </w:t>
            </w:r>
            <w:r>
              <w:rPr>
                <w:spacing w:val="6"/>
              </w:rPr>
              <w:t>由评标委员会推荐不超过</w:t>
            </w:r>
            <w:r>
              <w:rPr>
                <w:spacing w:val="-32"/>
              </w:rPr>
              <w:t xml:space="preserve"> </w:t>
            </w:r>
            <w:r>
              <w:rPr>
                <w:spacing w:val="6"/>
              </w:rPr>
              <w:t>3</w:t>
            </w:r>
            <w:r>
              <w:rPr>
                <w:spacing w:val="-38"/>
              </w:rPr>
              <w:t xml:space="preserve"> </w:t>
            </w:r>
            <w:r>
              <w:rPr>
                <w:spacing w:val="6"/>
              </w:rPr>
              <w:t>个有排序的中标候选人，</w:t>
            </w:r>
            <w:r>
              <w:t xml:space="preserve"> </w:t>
            </w:r>
            <w:r>
              <w:rPr>
                <w:spacing w:val="8"/>
              </w:rPr>
              <w:t>公示期满后招标人按照相关规定确定中标人。</w:t>
            </w:r>
          </w:p>
          <w:p w14:paraId="65F1C67E">
            <w:pPr>
              <w:pStyle w:val="15"/>
              <w:spacing w:before="34" w:line="302" w:lineRule="auto"/>
              <w:ind w:left="10" w:right="108" w:firstLine="19"/>
            </w:pPr>
            <w:r>
              <w:rPr>
                <w:color w:val="0000FF"/>
                <w:spacing w:val="9"/>
              </w:rPr>
              <w:t>□</w:t>
            </w:r>
            <w:r>
              <w:rPr>
                <w:spacing w:val="9"/>
              </w:rPr>
              <w:t>评定分离法，即：由评标委员会推荐不超过</w:t>
            </w:r>
            <w:r>
              <w:rPr>
                <w:spacing w:val="-35"/>
              </w:rPr>
              <w:t xml:space="preserve"> </w:t>
            </w:r>
            <w:r>
              <w:rPr>
                <w:spacing w:val="9"/>
              </w:rPr>
              <w:t>3</w:t>
            </w:r>
            <w:r>
              <w:rPr>
                <w:spacing w:val="-38"/>
              </w:rPr>
              <w:t xml:space="preserve"> </w:t>
            </w:r>
            <w:r>
              <w:rPr>
                <w:spacing w:val="9"/>
              </w:rPr>
              <w:t>个不排</w:t>
            </w:r>
            <w:r>
              <w:rPr>
                <w:spacing w:val="8"/>
              </w:rPr>
              <w:t>序的中标候选</w:t>
            </w:r>
            <w:r>
              <w:t xml:space="preserve"> </w:t>
            </w:r>
            <w:r>
              <w:rPr>
                <w:spacing w:val="8"/>
              </w:rPr>
              <w:t>人，招标人按下列第</w:t>
            </w:r>
            <w:r>
              <w:rPr>
                <w:color w:val="0000FF"/>
                <w:spacing w:val="8"/>
              </w:rPr>
              <w:t>/</w:t>
            </w:r>
            <w:r>
              <w:rPr>
                <w:spacing w:val="8"/>
              </w:rPr>
              <w:t>种方式确定中标人。</w:t>
            </w:r>
          </w:p>
          <w:p w14:paraId="6E566DB5">
            <w:pPr>
              <w:pStyle w:val="15"/>
              <w:spacing w:before="160" w:line="228" w:lineRule="auto"/>
              <w:ind w:left="122"/>
            </w:pPr>
            <w:r>
              <w:rPr>
                <w:spacing w:val="7"/>
              </w:rPr>
              <w:t>（1）票决法：投票决定。</w:t>
            </w:r>
          </w:p>
          <w:p w14:paraId="47725B1D">
            <w:pPr>
              <w:pStyle w:val="15"/>
              <w:spacing w:before="162" w:line="226" w:lineRule="auto"/>
              <w:ind w:left="122"/>
            </w:pPr>
            <w:r>
              <w:rPr>
                <w:spacing w:val="8"/>
              </w:rPr>
              <w:t>（2）报价竞争法：按最低投标价确定；</w:t>
            </w:r>
          </w:p>
          <w:p w14:paraId="65EE64A3">
            <w:pPr>
              <w:pStyle w:val="15"/>
              <w:spacing w:before="162" w:line="328" w:lineRule="auto"/>
              <w:ind w:left="111" w:right="108" w:firstLine="10"/>
            </w:pPr>
            <w:r>
              <w:rPr>
                <w:spacing w:val="8"/>
              </w:rPr>
              <w:t>（3）因素法：</w:t>
            </w:r>
            <w:r>
              <w:rPr>
                <w:spacing w:val="-41"/>
              </w:rPr>
              <w:t xml:space="preserve"> </w:t>
            </w:r>
            <w:r>
              <w:rPr>
                <w:color w:val="0000FF"/>
                <w:spacing w:val="8"/>
              </w:rPr>
              <w:t>□</w:t>
            </w:r>
            <w:r>
              <w:rPr>
                <w:spacing w:val="8"/>
              </w:rPr>
              <w:t>施工组织设计和企业资信及履约能力两项得分乘以</w:t>
            </w:r>
            <w:r>
              <w:t xml:space="preserve"> </w:t>
            </w:r>
            <w:r>
              <w:rPr>
                <w:spacing w:val="7"/>
              </w:rPr>
              <w:t>相应权重之和由高至低排序确定；</w:t>
            </w:r>
            <w:r>
              <w:rPr>
                <w:color w:val="0000FF"/>
                <w:spacing w:val="7"/>
              </w:rPr>
              <w:t>□</w:t>
            </w:r>
            <w:r>
              <w:rPr>
                <w:spacing w:val="7"/>
              </w:rPr>
              <w:t>企业资信及履约能力得分由高至</w:t>
            </w:r>
            <w:r>
              <w:t xml:space="preserve"> </w:t>
            </w:r>
            <w:r>
              <w:rPr>
                <w:spacing w:val="6"/>
              </w:rPr>
              <w:t>低排序确定。</w:t>
            </w:r>
          </w:p>
        </w:tc>
      </w:tr>
      <w:tr w14:paraId="264DD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69" w:type="dxa"/>
            <w:vAlign w:val="top"/>
          </w:tcPr>
          <w:p w14:paraId="07843734">
            <w:pPr>
              <w:pStyle w:val="15"/>
              <w:spacing w:before="68" w:line="228" w:lineRule="auto"/>
              <w:ind w:left="225"/>
            </w:pPr>
            <w:r>
              <w:rPr>
                <w:spacing w:val="6"/>
              </w:rPr>
              <w:t>条款号</w:t>
            </w:r>
          </w:p>
        </w:tc>
        <w:tc>
          <w:tcPr>
            <w:tcW w:w="1769" w:type="dxa"/>
            <w:vAlign w:val="top"/>
          </w:tcPr>
          <w:p w14:paraId="719A2DF1">
            <w:pPr>
              <w:pStyle w:val="15"/>
              <w:spacing w:before="68" w:line="228" w:lineRule="auto"/>
              <w:ind w:left="469"/>
            </w:pPr>
            <w:r>
              <w:rPr>
                <w:spacing w:val="6"/>
              </w:rPr>
              <w:t>条款名称</w:t>
            </w:r>
          </w:p>
        </w:tc>
        <w:tc>
          <w:tcPr>
            <w:tcW w:w="6436" w:type="dxa"/>
            <w:vAlign w:val="top"/>
          </w:tcPr>
          <w:p w14:paraId="28F68FCA">
            <w:pPr>
              <w:pStyle w:val="15"/>
              <w:spacing w:before="68" w:line="228" w:lineRule="auto"/>
              <w:ind w:left="2962"/>
            </w:pPr>
            <w:r>
              <w:rPr>
                <w:spacing w:val="6"/>
              </w:rPr>
              <w:t>编列内容</w:t>
            </w:r>
          </w:p>
        </w:tc>
      </w:tr>
      <w:tr w14:paraId="5623B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5" w:hRule="atLeast"/>
        </w:trPr>
        <w:tc>
          <w:tcPr>
            <w:tcW w:w="1069" w:type="dxa"/>
            <w:vAlign w:val="top"/>
          </w:tcPr>
          <w:p w14:paraId="2EC88B10">
            <w:pPr>
              <w:spacing w:line="247" w:lineRule="auto"/>
              <w:rPr>
                <w:rFonts w:ascii="Arial"/>
                <w:sz w:val="21"/>
              </w:rPr>
            </w:pPr>
          </w:p>
          <w:p w14:paraId="454A8715">
            <w:pPr>
              <w:spacing w:line="248" w:lineRule="auto"/>
              <w:rPr>
                <w:rFonts w:ascii="Arial"/>
                <w:sz w:val="21"/>
              </w:rPr>
            </w:pPr>
          </w:p>
          <w:p w14:paraId="3E8B2155">
            <w:pPr>
              <w:spacing w:line="248" w:lineRule="auto"/>
              <w:rPr>
                <w:rFonts w:ascii="Arial"/>
                <w:sz w:val="21"/>
              </w:rPr>
            </w:pPr>
          </w:p>
          <w:p w14:paraId="4D24A635">
            <w:pPr>
              <w:spacing w:line="248" w:lineRule="auto"/>
              <w:rPr>
                <w:rFonts w:ascii="Arial"/>
                <w:sz w:val="21"/>
              </w:rPr>
            </w:pPr>
          </w:p>
          <w:p w14:paraId="369BF63C">
            <w:pPr>
              <w:spacing w:line="248" w:lineRule="auto"/>
              <w:rPr>
                <w:rFonts w:ascii="Arial"/>
                <w:sz w:val="21"/>
              </w:rPr>
            </w:pPr>
          </w:p>
          <w:p w14:paraId="4337D8A3">
            <w:pPr>
              <w:spacing w:line="248" w:lineRule="auto"/>
              <w:rPr>
                <w:rFonts w:ascii="Arial"/>
                <w:sz w:val="21"/>
              </w:rPr>
            </w:pPr>
          </w:p>
          <w:p w14:paraId="4DC11E30">
            <w:pPr>
              <w:spacing w:line="248" w:lineRule="auto"/>
              <w:rPr>
                <w:rFonts w:ascii="Arial"/>
                <w:sz w:val="21"/>
              </w:rPr>
            </w:pPr>
          </w:p>
          <w:p w14:paraId="6519EDE9">
            <w:pPr>
              <w:spacing w:line="248" w:lineRule="auto"/>
              <w:rPr>
                <w:rFonts w:ascii="Arial"/>
                <w:sz w:val="21"/>
              </w:rPr>
            </w:pPr>
          </w:p>
          <w:p w14:paraId="2D1854BE">
            <w:pPr>
              <w:spacing w:line="248" w:lineRule="auto"/>
              <w:rPr>
                <w:rFonts w:ascii="Arial"/>
                <w:sz w:val="21"/>
              </w:rPr>
            </w:pPr>
          </w:p>
          <w:p w14:paraId="7D29E945">
            <w:pPr>
              <w:pStyle w:val="15"/>
              <w:spacing w:before="65" w:line="190" w:lineRule="auto"/>
              <w:ind w:left="387"/>
            </w:pPr>
            <w:r>
              <w:rPr>
                <w:spacing w:val="2"/>
              </w:rPr>
              <w:t>7.3.1</w:t>
            </w:r>
          </w:p>
        </w:tc>
        <w:tc>
          <w:tcPr>
            <w:tcW w:w="1769" w:type="dxa"/>
            <w:vAlign w:val="top"/>
          </w:tcPr>
          <w:p w14:paraId="2B5062F0">
            <w:pPr>
              <w:spacing w:line="244" w:lineRule="auto"/>
              <w:rPr>
                <w:rFonts w:ascii="Arial"/>
                <w:sz w:val="21"/>
              </w:rPr>
            </w:pPr>
          </w:p>
          <w:p w14:paraId="11FFEE2F">
            <w:pPr>
              <w:spacing w:line="244" w:lineRule="auto"/>
              <w:rPr>
                <w:rFonts w:ascii="Arial"/>
                <w:sz w:val="21"/>
              </w:rPr>
            </w:pPr>
          </w:p>
          <w:p w14:paraId="57240802">
            <w:pPr>
              <w:spacing w:line="244" w:lineRule="auto"/>
              <w:rPr>
                <w:rFonts w:ascii="Arial"/>
                <w:sz w:val="21"/>
              </w:rPr>
            </w:pPr>
          </w:p>
          <w:p w14:paraId="02A316BA">
            <w:pPr>
              <w:spacing w:line="244" w:lineRule="auto"/>
              <w:rPr>
                <w:rFonts w:ascii="Arial"/>
                <w:sz w:val="21"/>
              </w:rPr>
            </w:pPr>
          </w:p>
          <w:p w14:paraId="329610E6">
            <w:pPr>
              <w:spacing w:line="244" w:lineRule="auto"/>
              <w:rPr>
                <w:rFonts w:ascii="Arial"/>
                <w:sz w:val="21"/>
              </w:rPr>
            </w:pPr>
          </w:p>
          <w:p w14:paraId="51B02726">
            <w:pPr>
              <w:spacing w:line="245" w:lineRule="auto"/>
              <w:rPr>
                <w:rFonts w:ascii="Arial"/>
                <w:sz w:val="21"/>
              </w:rPr>
            </w:pPr>
          </w:p>
          <w:p w14:paraId="51F67A4E">
            <w:pPr>
              <w:spacing w:line="245" w:lineRule="auto"/>
              <w:rPr>
                <w:rFonts w:ascii="Arial"/>
                <w:sz w:val="21"/>
              </w:rPr>
            </w:pPr>
          </w:p>
          <w:p w14:paraId="26C7D9E9">
            <w:pPr>
              <w:spacing w:line="245" w:lineRule="auto"/>
              <w:rPr>
                <w:rFonts w:ascii="Arial"/>
                <w:sz w:val="21"/>
              </w:rPr>
            </w:pPr>
          </w:p>
          <w:p w14:paraId="0D8D903B">
            <w:pPr>
              <w:spacing w:line="245" w:lineRule="auto"/>
              <w:rPr>
                <w:rFonts w:ascii="Arial"/>
                <w:sz w:val="21"/>
              </w:rPr>
            </w:pPr>
          </w:p>
          <w:p w14:paraId="7A93841D">
            <w:pPr>
              <w:pStyle w:val="15"/>
              <w:spacing w:before="65" w:line="228" w:lineRule="auto"/>
              <w:ind w:left="682"/>
            </w:pPr>
            <w:r>
              <w:rPr>
                <w:spacing w:val="6"/>
              </w:rPr>
              <w:t>履约担保</w:t>
            </w:r>
          </w:p>
        </w:tc>
        <w:tc>
          <w:tcPr>
            <w:tcW w:w="6436" w:type="dxa"/>
            <w:vAlign w:val="top"/>
          </w:tcPr>
          <w:p w14:paraId="5FEC6BF2">
            <w:pPr>
              <w:pStyle w:val="15"/>
              <w:spacing w:before="32" w:line="226" w:lineRule="auto"/>
              <w:ind w:left="120"/>
              <w:rPr>
                <w:rFonts w:hint="eastAsia" w:eastAsia="宋体"/>
                <w:lang w:eastAsia="zh-CN"/>
              </w:rPr>
            </w:pPr>
            <w:r>
              <w:rPr>
                <w:rFonts w:ascii="MS Gothic" w:hAnsi="MS Gothic" w:eastAsia="MS Gothic" w:cs="MS Gothic"/>
                <w:color w:val="0000FF"/>
                <w:spacing w:val="8"/>
              </w:rPr>
              <w:t>☑</w:t>
            </w:r>
            <w:r>
              <w:rPr>
                <w:spacing w:val="8"/>
              </w:rPr>
              <w:t>经评审的最低投标价法，应当提供履约担保</w:t>
            </w:r>
            <w:r>
              <w:rPr>
                <w:rFonts w:hint="eastAsia"/>
                <w:spacing w:val="8"/>
                <w:lang w:eastAsia="zh-CN"/>
              </w:rPr>
              <w:t>：</w:t>
            </w:r>
          </w:p>
          <w:p w14:paraId="24325E8D">
            <w:pPr>
              <w:pStyle w:val="15"/>
              <w:spacing w:before="163" w:line="362" w:lineRule="auto"/>
              <w:ind w:left="113" w:right="110" w:firstLine="14"/>
            </w:pPr>
            <w:r>
              <w:rPr>
                <w:spacing w:val="6"/>
              </w:rPr>
              <w:t>1.保函形式：包括银行业金融机构保函、担保公司担保 (</w:t>
            </w:r>
            <w:r>
              <w:rPr>
                <w:rFonts w:hint="eastAsia"/>
                <w:color w:val="0000FF"/>
                <w:spacing w:val="6"/>
                <w:lang w:eastAsia="zh-CN"/>
              </w:rPr>
              <w:t>□</w:t>
            </w:r>
            <w:r>
              <w:rPr>
                <w:spacing w:val="6"/>
              </w:rPr>
              <w:t>融资性担</w:t>
            </w:r>
            <w:r>
              <w:t xml:space="preserve"> </w:t>
            </w:r>
            <w:r>
              <w:rPr>
                <w:spacing w:val="9"/>
              </w:rPr>
              <w:t>保公司保函</w:t>
            </w:r>
            <w:r>
              <w:rPr>
                <w:rFonts w:ascii="MS Gothic" w:hAnsi="MS Gothic" w:eastAsia="MS Gothic" w:cs="MS Gothic"/>
                <w:color w:val="0000FF"/>
                <w:spacing w:val="9"/>
              </w:rPr>
              <w:t>☑</w:t>
            </w:r>
            <w:r>
              <w:rPr>
                <w:spacing w:val="9"/>
              </w:rPr>
              <w:t>非融资性担保公司保函）、保险公司保证保险</w:t>
            </w:r>
          </w:p>
          <w:p w14:paraId="5FBBF32A">
            <w:pPr>
              <w:pStyle w:val="15"/>
              <w:spacing w:before="32" w:line="367" w:lineRule="auto"/>
              <w:ind w:left="126" w:right="108" w:hanging="12"/>
              <w:jc w:val="both"/>
            </w:pPr>
            <w:r>
              <w:rPr>
                <w:spacing w:val="7"/>
              </w:rPr>
              <w:t>2.担保金额：中标金额低于最高投标限价10%以内的，不超过中标合</w:t>
            </w:r>
            <w:r>
              <w:t xml:space="preserve"> </w:t>
            </w:r>
            <w:r>
              <w:rPr>
                <w:spacing w:val="7"/>
              </w:rPr>
              <w:t>同金额的10%。中标金额低于最高投标限价10%以上的，为最高投标</w:t>
            </w:r>
            <w:r>
              <w:t xml:space="preserve"> </w:t>
            </w:r>
            <w:r>
              <w:rPr>
                <w:spacing w:val="7"/>
              </w:rPr>
              <w:t>限价减去中标合同金额后的差额。</w:t>
            </w:r>
          </w:p>
          <w:p w14:paraId="74885FB3">
            <w:pPr>
              <w:pStyle w:val="15"/>
              <w:spacing w:before="32" w:line="226" w:lineRule="auto"/>
              <w:ind w:left="133"/>
            </w:pPr>
            <w:r>
              <w:rPr>
                <w:color w:val="0000FF"/>
                <w:spacing w:val="4"/>
              </w:rPr>
              <w:t>□</w:t>
            </w:r>
            <w:r>
              <w:rPr>
                <w:spacing w:val="4"/>
              </w:rPr>
              <w:t>综合评估法：</w:t>
            </w:r>
          </w:p>
          <w:p w14:paraId="7C59EC03">
            <w:pPr>
              <w:pStyle w:val="15"/>
              <w:spacing w:before="162" w:line="227" w:lineRule="auto"/>
              <w:ind w:left="133"/>
            </w:pPr>
            <w:r>
              <w:rPr>
                <w:color w:val="0000FF"/>
                <w:spacing w:val="6"/>
              </w:rPr>
              <w:t>□</w:t>
            </w:r>
            <w:r>
              <w:rPr>
                <w:spacing w:val="6"/>
              </w:rPr>
              <w:t>不要求提供履约担保；</w:t>
            </w:r>
          </w:p>
          <w:p w14:paraId="3B7DF4ED">
            <w:pPr>
              <w:pStyle w:val="15"/>
              <w:spacing w:before="166" w:line="327" w:lineRule="auto"/>
              <w:ind w:left="113" w:right="108" w:firstLine="20"/>
            </w:pPr>
            <w:r>
              <w:rPr>
                <w:color w:val="0000FF"/>
                <w:spacing w:val="10"/>
              </w:rPr>
              <w:t>□</w:t>
            </w:r>
            <w:r>
              <w:rPr>
                <w:spacing w:val="10"/>
              </w:rPr>
              <w:t>要求提供履约担保</w:t>
            </w:r>
            <w:r>
              <w:rPr>
                <w:spacing w:val="-12"/>
              </w:rPr>
              <w:t xml:space="preserve"> </w:t>
            </w:r>
            <w:r>
              <w:rPr>
                <w:spacing w:val="10"/>
              </w:rPr>
              <w:t>1.保函形式：银行业金融机构保函、担保公司</w:t>
            </w:r>
            <w:r>
              <w:t xml:space="preserve"> </w:t>
            </w:r>
            <w:r>
              <w:rPr>
                <w:spacing w:val="7"/>
              </w:rPr>
              <w:t>担保 (</w:t>
            </w:r>
            <w:r>
              <w:rPr>
                <w:color w:val="0000FF"/>
                <w:spacing w:val="7"/>
              </w:rPr>
              <w:t>□</w:t>
            </w:r>
            <w:r>
              <w:rPr>
                <w:spacing w:val="7"/>
              </w:rPr>
              <w:t>融资性担保公司保函</w:t>
            </w:r>
            <w:r>
              <w:rPr>
                <w:color w:val="0000FF"/>
                <w:spacing w:val="7"/>
              </w:rPr>
              <w:t>□</w:t>
            </w:r>
            <w:r>
              <w:rPr>
                <w:spacing w:val="7"/>
              </w:rPr>
              <w:t>非融资性担</w:t>
            </w:r>
            <w:r>
              <w:rPr>
                <w:spacing w:val="6"/>
              </w:rPr>
              <w:t>保公司保函）、保险公司</w:t>
            </w:r>
            <w:r>
              <w:t xml:space="preserve"> </w:t>
            </w:r>
            <w:r>
              <w:rPr>
                <w:spacing w:val="7"/>
              </w:rPr>
              <w:t>保证保险</w:t>
            </w:r>
          </w:p>
          <w:p w14:paraId="46410C95">
            <w:pPr>
              <w:pStyle w:val="15"/>
              <w:spacing w:before="160" w:line="228" w:lineRule="auto"/>
              <w:ind w:left="114"/>
            </w:pPr>
            <w:r>
              <w:rPr>
                <w:spacing w:val="6"/>
              </w:rPr>
              <w:t>2. 担保金额：</w:t>
            </w:r>
            <w:r>
              <w:rPr>
                <w:color w:val="0000FF"/>
                <w:spacing w:val="6"/>
              </w:rPr>
              <w:t>/</w:t>
            </w:r>
          </w:p>
        </w:tc>
      </w:tr>
      <w:tr w14:paraId="40EC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274" w:type="dxa"/>
            <w:gridSpan w:val="3"/>
            <w:vAlign w:val="top"/>
          </w:tcPr>
          <w:p w14:paraId="41783B9D">
            <w:pPr>
              <w:pStyle w:val="15"/>
              <w:spacing w:before="106" w:line="228" w:lineRule="auto"/>
              <w:ind w:left="4105"/>
            </w:pPr>
            <w:r>
              <w:rPr>
                <w:spacing w:val="3"/>
              </w:rPr>
              <w:t>10.1</w:t>
            </w:r>
            <w:r>
              <w:rPr>
                <w:spacing w:val="-39"/>
              </w:rPr>
              <w:t xml:space="preserve"> </w:t>
            </w:r>
            <w:r>
              <w:rPr>
                <w:spacing w:val="3"/>
              </w:rPr>
              <w:t>补充内容</w:t>
            </w:r>
          </w:p>
        </w:tc>
      </w:tr>
      <w:tr w14:paraId="5E707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4" w:hRule="atLeast"/>
        </w:trPr>
        <w:tc>
          <w:tcPr>
            <w:tcW w:w="1069" w:type="dxa"/>
            <w:vAlign w:val="top"/>
          </w:tcPr>
          <w:p w14:paraId="64F97584">
            <w:pPr>
              <w:spacing w:line="253" w:lineRule="auto"/>
              <w:rPr>
                <w:rFonts w:ascii="Arial"/>
                <w:sz w:val="21"/>
              </w:rPr>
            </w:pPr>
          </w:p>
          <w:p w14:paraId="460B541C">
            <w:pPr>
              <w:spacing w:line="253" w:lineRule="auto"/>
              <w:rPr>
                <w:rFonts w:ascii="Arial"/>
                <w:sz w:val="21"/>
              </w:rPr>
            </w:pPr>
          </w:p>
          <w:p w14:paraId="2E9C66EB">
            <w:pPr>
              <w:spacing w:line="253" w:lineRule="auto"/>
              <w:rPr>
                <w:rFonts w:ascii="Arial"/>
                <w:sz w:val="21"/>
              </w:rPr>
            </w:pPr>
          </w:p>
          <w:p w14:paraId="30A449E7">
            <w:pPr>
              <w:spacing w:line="253" w:lineRule="auto"/>
              <w:rPr>
                <w:rFonts w:ascii="Arial"/>
                <w:sz w:val="21"/>
              </w:rPr>
            </w:pPr>
          </w:p>
          <w:p w14:paraId="1A3092D4">
            <w:pPr>
              <w:spacing w:line="254" w:lineRule="auto"/>
              <w:rPr>
                <w:rFonts w:ascii="Arial"/>
                <w:sz w:val="21"/>
              </w:rPr>
            </w:pPr>
          </w:p>
          <w:p w14:paraId="78D1EFD7">
            <w:pPr>
              <w:spacing w:line="254" w:lineRule="auto"/>
              <w:rPr>
                <w:rFonts w:ascii="Arial"/>
                <w:sz w:val="21"/>
              </w:rPr>
            </w:pPr>
          </w:p>
          <w:p w14:paraId="2F8D2D00">
            <w:pPr>
              <w:spacing w:line="254" w:lineRule="auto"/>
              <w:rPr>
                <w:rFonts w:ascii="Arial"/>
                <w:sz w:val="21"/>
              </w:rPr>
            </w:pPr>
          </w:p>
          <w:p w14:paraId="3E063B63">
            <w:pPr>
              <w:spacing w:line="254" w:lineRule="auto"/>
              <w:rPr>
                <w:rFonts w:ascii="Arial"/>
                <w:sz w:val="21"/>
              </w:rPr>
            </w:pPr>
          </w:p>
          <w:p w14:paraId="728DA029">
            <w:pPr>
              <w:spacing w:line="254" w:lineRule="auto"/>
              <w:rPr>
                <w:rFonts w:ascii="Arial"/>
                <w:sz w:val="21"/>
              </w:rPr>
            </w:pPr>
          </w:p>
          <w:p w14:paraId="00E6C1C4">
            <w:pPr>
              <w:spacing w:line="254" w:lineRule="auto"/>
              <w:rPr>
                <w:rFonts w:ascii="Arial"/>
                <w:sz w:val="21"/>
              </w:rPr>
            </w:pPr>
          </w:p>
          <w:p w14:paraId="117FD242">
            <w:pPr>
              <w:spacing w:line="254" w:lineRule="auto"/>
              <w:rPr>
                <w:rFonts w:ascii="Arial"/>
                <w:sz w:val="21"/>
              </w:rPr>
            </w:pPr>
          </w:p>
          <w:p w14:paraId="28FF24E4">
            <w:pPr>
              <w:spacing w:line="254" w:lineRule="auto"/>
              <w:rPr>
                <w:rFonts w:ascii="Arial"/>
                <w:sz w:val="21"/>
              </w:rPr>
            </w:pPr>
          </w:p>
          <w:p w14:paraId="69BE7043">
            <w:pPr>
              <w:spacing w:line="254" w:lineRule="auto"/>
              <w:rPr>
                <w:rFonts w:ascii="Arial"/>
                <w:sz w:val="21"/>
              </w:rPr>
            </w:pPr>
          </w:p>
          <w:p w14:paraId="61E436B1">
            <w:pPr>
              <w:spacing w:line="254" w:lineRule="auto"/>
              <w:rPr>
                <w:rFonts w:ascii="Arial"/>
                <w:sz w:val="21"/>
              </w:rPr>
            </w:pPr>
          </w:p>
          <w:p w14:paraId="081484C4">
            <w:pPr>
              <w:spacing w:line="254" w:lineRule="auto"/>
              <w:rPr>
                <w:rFonts w:ascii="Arial"/>
                <w:sz w:val="21"/>
              </w:rPr>
            </w:pPr>
          </w:p>
          <w:p w14:paraId="1D2A94D4">
            <w:pPr>
              <w:spacing w:line="254" w:lineRule="auto"/>
              <w:rPr>
                <w:rFonts w:ascii="Arial"/>
                <w:sz w:val="21"/>
              </w:rPr>
            </w:pPr>
          </w:p>
          <w:p w14:paraId="2B72801E">
            <w:pPr>
              <w:pStyle w:val="15"/>
              <w:spacing w:before="65" w:line="190" w:lineRule="auto"/>
              <w:ind w:left="239"/>
            </w:pPr>
            <w:r>
              <w:rPr>
                <w:spacing w:val="1"/>
              </w:rPr>
              <w:t>10.1.1</w:t>
            </w:r>
          </w:p>
        </w:tc>
        <w:tc>
          <w:tcPr>
            <w:tcW w:w="1769" w:type="dxa"/>
            <w:vAlign w:val="top"/>
          </w:tcPr>
          <w:p w14:paraId="45E5C9C3">
            <w:pPr>
              <w:spacing w:line="251" w:lineRule="auto"/>
              <w:rPr>
                <w:rFonts w:ascii="Arial"/>
                <w:sz w:val="21"/>
              </w:rPr>
            </w:pPr>
          </w:p>
          <w:p w14:paraId="42A94B81">
            <w:pPr>
              <w:spacing w:line="251" w:lineRule="auto"/>
              <w:rPr>
                <w:rFonts w:ascii="Arial"/>
                <w:sz w:val="21"/>
              </w:rPr>
            </w:pPr>
          </w:p>
          <w:p w14:paraId="1EB57787">
            <w:pPr>
              <w:spacing w:line="251" w:lineRule="auto"/>
              <w:rPr>
                <w:rFonts w:ascii="Arial"/>
                <w:sz w:val="21"/>
              </w:rPr>
            </w:pPr>
          </w:p>
          <w:p w14:paraId="7DE89AB9">
            <w:pPr>
              <w:spacing w:line="251" w:lineRule="auto"/>
              <w:rPr>
                <w:rFonts w:ascii="Arial"/>
                <w:sz w:val="21"/>
              </w:rPr>
            </w:pPr>
          </w:p>
          <w:p w14:paraId="207FF1BE">
            <w:pPr>
              <w:spacing w:line="252" w:lineRule="auto"/>
              <w:rPr>
                <w:rFonts w:ascii="Arial"/>
                <w:sz w:val="21"/>
              </w:rPr>
            </w:pPr>
          </w:p>
          <w:p w14:paraId="7052BF2D">
            <w:pPr>
              <w:spacing w:line="252" w:lineRule="auto"/>
              <w:rPr>
                <w:rFonts w:ascii="Arial"/>
                <w:sz w:val="21"/>
              </w:rPr>
            </w:pPr>
          </w:p>
          <w:p w14:paraId="0C06501D">
            <w:pPr>
              <w:spacing w:line="252" w:lineRule="auto"/>
              <w:rPr>
                <w:rFonts w:ascii="Arial"/>
                <w:sz w:val="21"/>
              </w:rPr>
            </w:pPr>
          </w:p>
          <w:p w14:paraId="01E7ACE8">
            <w:pPr>
              <w:spacing w:line="252" w:lineRule="auto"/>
              <w:rPr>
                <w:rFonts w:ascii="Arial"/>
                <w:sz w:val="21"/>
              </w:rPr>
            </w:pPr>
          </w:p>
          <w:p w14:paraId="48744C62">
            <w:pPr>
              <w:spacing w:line="252" w:lineRule="auto"/>
              <w:rPr>
                <w:rFonts w:ascii="Arial"/>
                <w:sz w:val="21"/>
              </w:rPr>
            </w:pPr>
          </w:p>
          <w:p w14:paraId="5153CA2A">
            <w:pPr>
              <w:spacing w:line="252" w:lineRule="auto"/>
              <w:rPr>
                <w:rFonts w:ascii="Arial"/>
                <w:sz w:val="21"/>
              </w:rPr>
            </w:pPr>
          </w:p>
          <w:p w14:paraId="5211A769">
            <w:pPr>
              <w:spacing w:line="252" w:lineRule="auto"/>
              <w:rPr>
                <w:rFonts w:ascii="Arial"/>
                <w:sz w:val="21"/>
              </w:rPr>
            </w:pPr>
          </w:p>
          <w:p w14:paraId="112C7CCD">
            <w:pPr>
              <w:spacing w:line="252" w:lineRule="auto"/>
              <w:rPr>
                <w:rFonts w:ascii="Arial"/>
                <w:sz w:val="21"/>
              </w:rPr>
            </w:pPr>
          </w:p>
          <w:p w14:paraId="11A66B1E">
            <w:pPr>
              <w:spacing w:line="252" w:lineRule="auto"/>
              <w:rPr>
                <w:rFonts w:ascii="Arial"/>
                <w:sz w:val="21"/>
              </w:rPr>
            </w:pPr>
          </w:p>
          <w:p w14:paraId="6E99CB66">
            <w:pPr>
              <w:spacing w:line="252" w:lineRule="auto"/>
              <w:rPr>
                <w:rFonts w:ascii="Arial"/>
                <w:sz w:val="21"/>
              </w:rPr>
            </w:pPr>
          </w:p>
          <w:p w14:paraId="0CF5B566">
            <w:pPr>
              <w:spacing w:line="252" w:lineRule="auto"/>
              <w:rPr>
                <w:rFonts w:ascii="Arial"/>
                <w:sz w:val="21"/>
              </w:rPr>
            </w:pPr>
          </w:p>
          <w:p w14:paraId="11EE0130">
            <w:pPr>
              <w:spacing w:line="252" w:lineRule="auto"/>
              <w:rPr>
                <w:rFonts w:ascii="Arial"/>
                <w:sz w:val="21"/>
              </w:rPr>
            </w:pPr>
          </w:p>
          <w:p w14:paraId="21DE45B9">
            <w:pPr>
              <w:pStyle w:val="15"/>
              <w:spacing w:before="65" w:line="228" w:lineRule="auto"/>
              <w:ind w:left="258"/>
            </w:pPr>
            <w:r>
              <w:rPr>
                <w:spacing w:val="8"/>
              </w:rPr>
              <w:t>类似工程业绩</w:t>
            </w:r>
          </w:p>
        </w:tc>
        <w:tc>
          <w:tcPr>
            <w:tcW w:w="6436" w:type="dxa"/>
            <w:vAlign w:val="top"/>
          </w:tcPr>
          <w:p w14:paraId="22C9C612">
            <w:pPr>
              <w:pStyle w:val="15"/>
              <w:spacing w:before="33" w:line="228" w:lineRule="auto"/>
              <w:ind w:left="127"/>
            </w:pPr>
            <w:r>
              <w:rPr>
                <w:spacing w:val="3"/>
              </w:rPr>
              <w:t>1.资格要求：</w:t>
            </w:r>
          </w:p>
          <w:p w14:paraId="4A344777">
            <w:pPr>
              <w:pStyle w:val="15"/>
              <w:spacing w:before="160" w:line="228" w:lineRule="auto"/>
              <w:ind w:left="331"/>
            </w:pPr>
            <w:r>
              <w:rPr>
                <w:rFonts w:ascii="MS Gothic" w:hAnsi="MS Gothic" w:eastAsia="MS Gothic" w:cs="MS Gothic"/>
                <w:color w:val="0000FF"/>
                <w:spacing w:val="8"/>
              </w:rPr>
              <w:t>☑</w:t>
            </w:r>
            <w:r>
              <w:rPr>
                <w:spacing w:val="8"/>
              </w:rPr>
              <w:t>不要求类似工程业绩</w:t>
            </w:r>
          </w:p>
          <w:p w14:paraId="2D687CC1">
            <w:pPr>
              <w:pStyle w:val="15"/>
              <w:spacing w:before="163" w:line="228" w:lineRule="auto"/>
              <w:ind w:left="344"/>
            </w:pPr>
            <w:r>
              <w:rPr>
                <w:color w:val="0000FF"/>
                <w:spacing w:val="18"/>
              </w:rPr>
              <w:t>□</w:t>
            </w:r>
            <w:r>
              <w:rPr>
                <w:spacing w:val="18"/>
              </w:rPr>
              <w:t>要求类似工程业绩（</w:t>
            </w:r>
            <w:r>
              <w:rPr>
                <w:spacing w:val="-22"/>
              </w:rPr>
              <w:t xml:space="preserve"> </w:t>
            </w:r>
            <w:r>
              <w:rPr>
                <w:spacing w:val="18"/>
              </w:rPr>
              <w:t>由招标人在以下工程业绩</w:t>
            </w:r>
            <w:r>
              <w:rPr>
                <w:spacing w:val="17"/>
              </w:rPr>
              <w:t>中勾选一项）</w:t>
            </w:r>
          </w:p>
          <w:p w14:paraId="04BF7059">
            <w:pPr>
              <w:pStyle w:val="15"/>
              <w:spacing w:before="161" w:line="302" w:lineRule="auto"/>
              <w:ind w:left="114" w:right="2652" w:firstLine="438"/>
            </w:pPr>
            <w:r>
              <w:rPr>
                <w:color w:val="0000FF"/>
              </w:rPr>
              <w:t>□</w:t>
            </w:r>
            <w:r>
              <w:t>投标人</w:t>
            </w:r>
            <w:r>
              <w:rPr>
                <w:spacing w:val="-21"/>
              </w:rPr>
              <w:t xml:space="preserve"> </w:t>
            </w:r>
            <w:r>
              <w:t>1</w:t>
            </w:r>
            <w:r>
              <w:rPr>
                <w:spacing w:val="-34"/>
              </w:rPr>
              <w:t xml:space="preserve"> </w:t>
            </w:r>
            <w:r>
              <w:t>项</w:t>
            </w:r>
            <w:r>
              <w:rPr>
                <w:spacing w:val="35"/>
              </w:rPr>
              <w:t xml:space="preserve"> </w:t>
            </w:r>
            <w:r>
              <w:rPr>
                <w:color w:val="0000FF"/>
              </w:rPr>
              <w:t>□</w:t>
            </w:r>
            <w:r>
              <w:t>拟任项目经理</w:t>
            </w:r>
            <w:r>
              <w:rPr>
                <w:spacing w:val="-22"/>
              </w:rPr>
              <w:t xml:space="preserve"> </w:t>
            </w:r>
            <w:r>
              <w:t>1</w:t>
            </w:r>
            <w:r>
              <w:rPr>
                <w:spacing w:val="-34"/>
              </w:rPr>
              <w:t xml:space="preserve"> </w:t>
            </w:r>
            <w:r>
              <w:t xml:space="preserve">项 </w:t>
            </w:r>
            <w:r>
              <w:rPr>
                <w:spacing w:val="8"/>
              </w:rPr>
              <w:t>2.评审加分要求的类似工程业绩个数</w:t>
            </w:r>
          </w:p>
          <w:p w14:paraId="74447979">
            <w:pPr>
              <w:pStyle w:val="15"/>
              <w:spacing w:before="161" w:line="228" w:lineRule="auto"/>
              <w:ind w:left="326"/>
            </w:pPr>
            <w:r>
              <w:rPr>
                <w:spacing w:val="-1"/>
              </w:rPr>
              <w:t>2.1</w:t>
            </w:r>
            <w:r>
              <w:rPr>
                <w:spacing w:val="-38"/>
              </w:rPr>
              <w:t xml:space="preserve"> </w:t>
            </w:r>
            <w:r>
              <w:rPr>
                <w:spacing w:val="-1"/>
              </w:rPr>
              <w:t>投标人：</w:t>
            </w:r>
            <w:r>
              <w:rPr>
                <w:spacing w:val="-73"/>
              </w:rPr>
              <w:t xml:space="preserve"> </w:t>
            </w:r>
            <w:r>
              <w:rPr>
                <w:rFonts w:ascii="MS Gothic" w:hAnsi="MS Gothic" w:eastAsia="MS Gothic" w:cs="MS Gothic"/>
                <w:color w:val="0000FF"/>
                <w:spacing w:val="-1"/>
              </w:rPr>
              <w:t>☑</w:t>
            </w:r>
            <w:r>
              <w:rPr>
                <w:spacing w:val="-1"/>
              </w:rPr>
              <w:t>0</w:t>
            </w:r>
            <w:r>
              <w:rPr>
                <w:spacing w:val="-38"/>
              </w:rPr>
              <w:t xml:space="preserve"> </w:t>
            </w:r>
            <w:r>
              <w:rPr>
                <w:spacing w:val="-1"/>
              </w:rPr>
              <w:t>个</w:t>
            </w:r>
            <w:r>
              <w:rPr>
                <w:spacing w:val="35"/>
              </w:rPr>
              <w:t xml:space="preserve"> </w:t>
            </w:r>
            <w:r>
              <w:rPr>
                <w:color w:val="0000FF"/>
                <w:spacing w:val="-1"/>
              </w:rPr>
              <w:t>□</w:t>
            </w:r>
            <w:r>
              <w:rPr>
                <w:spacing w:val="-1"/>
              </w:rPr>
              <w:t>1</w:t>
            </w:r>
            <w:r>
              <w:rPr>
                <w:spacing w:val="-40"/>
              </w:rPr>
              <w:t xml:space="preserve"> </w:t>
            </w:r>
            <w:r>
              <w:rPr>
                <w:spacing w:val="-1"/>
              </w:rPr>
              <w:t>个</w:t>
            </w:r>
            <w:r>
              <w:rPr>
                <w:spacing w:val="20"/>
              </w:rPr>
              <w:t xml:space="preserve">  </w:t>
            </w:r>
            <w:r>
              <w:rPr>
                <w:color w:val="0000FF"/>
                <w:spacing w:val="-1"/>
              </w:rPr>
              <w:t>□</w:t>
            </w:r>
            <w:r>
              <w:rPr>
                <w:spacing w:val="-1"/>
              </w:rPr>
              <w:t>2</w:t>
            </w:r>
            <w:r>
              <w:rPr>
                <w:spacing w:val="-40"/>
              </w:rPr>
              <w:t xml:space="preserve"> </w:t>
            </w:r>
            <w:r>
              <w:rPr>
                <w:spacing w:val="-1"/>
              </w:rPr>
              <w:t>个</w:t>
            </w:r>
            <w:r>
              <w:rPr>
                <w:spacing w:val="20"/>
              </w:rPr>
              <w:t xml:space="preserve">  </w:t>
            </w:r>
            <w:r>
              <w:rPr>
                <w:color w:val="0000FF"/>
                <w:spacing w:val="-1"/>
              </w:rPr>
              <w:t>□</w:t>
            </w:r>
            <w:r>
              <w:rPr>
                <w:spacing w:val="-1"/>
              </w:rPr>
              <w:t>3</w:t>
            </w:r>
            <w:r>
              <w:rPr>
                <w:spacing w:val="-40"/>
              </w:rPr>
              <w:t xml:space="preserve"> </w:t>
            </w:r>
            <w:r>
              <w:rPr>
                <w:spacing w:val="-1"/>
              </w:rPr>
              <w:t>个</w:t>
            </w:r>
          </w:p>
          <w:p w14:paraId="6BCF76F4">
            <w:pPr>
              <w:pStyle w:val="15"/>
              <w:spacing w:before="162" w:line="302" w:lineRule="auto"/>
              <w:ind w:left="116" w:right="3019" w:firstLine="209"/>
            </w:pPr>
            <w:r>
              <w:rPr>
                <w:spacing w:val="2"/>
              </w:rPr>
              <w:t>2.2</w:t>
            </w:r>
            <w:r>
              <w:rPr>
                <w:spacing w:val="-34"/>
              </w:rPr>
              <w:t xml:space="preserve"> </w:t>
            </w:r>
            <w:r>
              <w:rPr>
                <w:spacing w:val="2"/>
              </w:rPr>
              <w:t>拟任项目经理：</w:t>
            </w:r>
            <w:r>
              <w:rPr>
                <w:spacing w:val="-73"/>
              </w:rPr>
              <w:t xml:space="preserve"> </w:t>
            </w:r>
            <w:r>
              <w:rPr>
                <w:rFonts w:ascii="MS Gothic" w:hAnsi="MS Gothic" w:eastAsia="MS Gothic" w:cs="MS Gothic"/>
                <w:color w:val="0000FF"/>
                <w:spacing w:val="2"/>
              </w:rPr>
              <w:t>☑</w:t>
            </w:r>
            <w:r>
              <w:rPr>
                <w:spacing w:val="2"/>
              </w:rPr>
              <w:t>0</w:t>
            </w:r>
            <w:r>
              <w:rPr>
                <w:spacing w:val="-40"/>
              </w:rPr>
              <w:t xml:space="preserve"> </w:t>
            </w:r>
            <w:r>
              <w:rPr>
                <w:spacing w:val="2"/>
              </w:rPr>
              <w:t>个</w:t>
            </w:r>
            <w:r>
              <w:rPr>
                <w:spacing w:val="37"/>
              </w:rPr>
              <w:t xml:space="preserve"> </w:t>
            </w:r>
            <w:r>
              <w:rPr>
                <w:color w:val="0000FF"/>
                <w:spacing w:val="2"/>
              </w:rPr>
              <w:t>□</w:t>
            </w:r>
            <w:r>
              <w:rPr>
                <w:spacing w:val="2"/>
              </w:rPr>
              <w:t>1</w:t>
            </w:r>
            <w:r>
              <w:rPr>
                <w:spacing w:val="-38"/>
              </w:rPr>
              <w:t xml:space="preserve"> </w:t>
            </w:r>
            <w:r>
              <w:rPr>
                <w:spacing w:val="2"/>
              </w:rPr>
              <w:t>个</w:t>
            </w:r>
            <w:r>
              <w:t xml:space="preserve"> </w:t>
            </w:r>
            <w:r>
              <w:rPr>
                <w:spacing w:val="5"/>
              </w:rPr>
              <w:t>3.类似工程业绩应当符合以下规定：</w:t>
            </w:r>
          </w:p>
          <w:p w14:paraId="73BEEBB6">
            <w:pPr>
              <w:pStyle w:val="15"/>
              <w:spacing w:before="163" w:line="305" w:lineRule="auto"/>
              <w:ind w:left="111" w:right="3336" w:firstLine="10"/>
            </w:pPr>
            <w:r>
              <w:rPr>
                <w:spacing w:val="4"/>
              </w:rPr>
              <w:t>（1）资格要求的类似工程业绩：</w:t>
            </w:r>
            <w:r>
              <w:rPr>
                <w:spacing w:val="11"/>
              </w:rPr>
              <w:t xml:space="preserve"> </w:t>
            </w:r>
            <w:r>
              <w:rPr>
                <w:color w:val="0000FF"/>
                <w:spacing w:val="-2"/>
              </w:rPr>
              <w:t>/</w:t>
            </w:r>
            <w:r>
              <w:rPr>
                <w:spacing w:val="-2"/>
              </w:rPr>
              <w:t>。</w:t>
            </w:r>
          </w:p>
          <w:p w14:paraId="59C1EE50">
            <w:pPr>
              <w:pStyle w:val="15"/>
              <w:spacing w:before="155" w:line="305" w:lineRule="auto"/>
              <w:ind w:left="8" w:right="2913" w:firstLine="116"/>
            </w:pPr>
            <w:r>
              <w:rPr>
                <w:spacing w:val="5"/>
              </w:rPr>
              <w:t>（2）评审加分要求的类似工程业绩：</w:t>
            </w:r>
            <w:r>
              <w:rPr>
                <w:spacing w:val="6"/>
              </w:rPr>
              <w:t xml:space="preserve"> </w:t>
            </w:r>
            <w:r>
              <w:rPr>
                <w:color w:val="0000FF"/>
                <w:spacing w:val="-2"/>
              </w:rPr>
              <w:t>/</w:t>
            </w:r>
            <w:r>
              <w:rPr>
                <w:spacing w:val="-2"/>
              </w:rPr>
              <w:t>。</w:t>
            </w:r>
          </w:p>
          <w:p w14:paraId="7D569CB8">
            <w:pPr>
              <w:pStyle w:val="15"/>
              <w:spacing w:before="158" w:line="373" w:lineRule="auto"/>
              <w:ind w:left="8" w:right="53" w:firstLine="433"/>
              <w:jc w:val="both"/>
            </w:pPr>
            <w:r>
              <w:rPr>
                <w:spacing w:val="10"/>
              </w:rPr>
              <w:t>（由招标人根据招标项目的特点和实际需要提出要求，并符合以</w:t>
            </w:r>
            <w:r>
              <w:t xml:space="preserve"> </w:t>
            </w:r>
            <w:r>
              <w:rPr>
                <w:spacing w:val="10"/>
              </w:rPr>
              <w:t>下规定：①投标人资格要求的类似工程业绩原则上不超过招标项目相</w:t>
            </w:r>
            <w:r>
              <w:rPr>
                <w:spacing w:val="13"/>
              </w:rPr>
              <w:t xml:space="preserve"> </w:t>
            </w:r>
            <w:r>
              <w:rPr>
                <w:spacing w:val="6"/>
              </w:rPr>
              <w:t>关指标的</w:t>
            </w:r>
            <w:r>
              <w:rPr>
                <w:spacing w:val="-25"/>
              </w:rPr>
              <w:t xml:space="preserve"> </w:t>
            </w:r>
            <w:r>
              <w:rPr>
                <w:spacing w:val="6"/>
              </w:rPr>
              <w:t>50%［四舍五入取整数，下同］②评审加分的类似工程业绩，</w:t>
            </w:r>
            <w:r>
              <w:t xml:space="preserve"> </w:t>
            </w:r>
            <w:r>
              <w:rPr>
                <w:spacing w:val="11"/>
              </w:rPr>
              <w:t>原则上为招标项目相关指标的</w:t>
            </w:r>
            <w:r>
              <w:rPr>
                <w:spacing w:val="-28"/>
              </w:rPr>
              <w:t xml:space="preserve"> </w:t>
            </w:r>
            <w:r>
              <w:rPr>
                <w:spacing w:val="11"/>
              </w:rPr>
              <w:t>70%。其中：房屋建筑工程，采用建筑</w:t>
            </w:r>
            <w:r>
              <w:t xml:space="preserve"> </w:t>
            </w:r>
            <w:r>
              <w:rPr>
                <w:spacing w:val="10"/>
              </w:rPr>
              <w:t>类型、结构、层数、高度、建筑面积、跨度、单项合同额等指标、特</w:t>
            </w:r>
            <w:r>
              <w:rPr>
                <w:spacing w:val="13"/>
              </w:rPr>
              <w:t xml:space="preserve"> </w:t>
            </w:r>
            <w:r>
              <w:rPr>
                <w:spacing w:val="7"/>
              </w:rPr>
              <w:t>征中的</w:t>
            </w:r>
            <w:r>
              <w:rPr>
                <w:spacing w:val="35"/>
              </w:rPr>
              <w:t xml:space="preserve"> </w:t>
            </w:r>
            <w:r>
              <w:rPr>
                <w:spacing w:val="7"/>
              </w:rPr>
              <w:t>1-2</w:t>
            </w:r>
            <w:r>
              <w:rPr>
                <w:spacing w:val="-39"/>
              </w:rPr>
              <w:t xml:space="preserve"> </w:t>
            </w:r>
            <w:r>
              <w:rPr>
                <w:spacing w:val="7"/>
              </w:rPr>
              <w:t>项。市政基础设施工程，采用道路长度或者面积、桥梁长</w:t>
            </w:r>
            <w:r>
              <w:t xml:space="preserve"> </w:t>
            </w:r>
            <w:r>
              <w:rPr>
                <w:spacing w:val="10"/>
              </w:rPr>
              <w:t>度或者面积或者跨度或者结构、管道直径或者压力、隧道和地下交通</w:t>
            </w:r>
            <w:r>
              <w:rPr>
                <w:spacing w:val="13"/>
              </w:rPr>
              <w:t xml:space="preserve"> </w:t>
            </w:r>
            <w:r>
              <w:rPr>
                <w:spacing w:val="10"/>
              </w:rPr>
              <w:t>工程断面面积、供水能力、供气能力、供热能力、污水处理能力、垃</w:t>
            </w:r>
            <w:r>
              <w:rPr>
                <w:spacing w:val="13"/>
              </w:rPr>
              <w:t xml:space="preserve"> </w:t>
            </w:r>
            <w:r>
              <w:rPr>
                <w:spacing w:val="16"/>
              </w:rPr>
              <w:t>圾处理能力、</w:t>
            </w:r>
            <w:r>
              <w:rPr>
                <w:spacing w:val="-54"/>
              </w:rPr>
              <w:t xml:space="preserve"> </w:t>
            </w:r>
            <w:r>
              <w:rPr>
                <w:spacing w:val="16"/>
              </w:rPr>
              <w:t>园林绿化规模以及单项合同额等指标、特征中的</w:t>
            </w:r>
            <w:r>
              <w:rPr>
                <w:spacing w:val="-12"/>
              </w:rPr>
              <w:t xml:space="preserve"> </w:t>
            </w:r>
            <w:r>
              <w:rPr>
                <w:spacing w:val="16"/>
              </w:rPr>
              <w:t>1-2</w:t>
            </w:r>
          </w:p>
        </w:tc>
      </w:tr>
    </w:tbl>
    <w:p w14:paraId="233D35D7">
      <w:pPr>
        <w:pStyle w:val="6"/>
        <w:spacing w:line="225" w:lineRule="exact"/>
        <w:rPr>
          <w:sz w:val="19"/>
        </w:rPr>
      </w:pPr>
    </w:p>
    <w:p w14:paraId="63554088">
      <w:pPr>
        <w:spacing w:line="225" w:lineRule="exact"/>
        <w:rPr>
          <w:sz w:val="19"/>
          <w:szCs w:val="19"/>
        </w:rPr>
        <w:sectPr>
          <w:pgSz w:w="11907" w:h="16840"/>
          <w:pgMar w:top="1020" w:right="1612" w:bottom="1029" w:left="1015" w:header="0" w:footer="850" w:gutter="0"/>
          <w:pgNumType w:fmt="decimal"/>
          <w:cols w:space="720" w:num="1"/>
        </w:sectPr>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769"/>
        <w:gridCol w:w="6436"/>
      </w:tblGrid>
      <w:tr w14:paraId="15D6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69" w:type="dxa"/>
            <w:vAlign w:val="top"/>
          </w:tcPr>
          <w:p w14:paraId="75D5B925">
            <w:pPr>
              <w:pStyle w:val="15"/>
              <w:spacing w:before="68" w:line="228" w:lineRule="auto"/>
              <w:ind w:left="225"/>
            </w:pPr>
            <w:r>
              <w:rPr>
                <w:spacing w:val="6"/>
              </w:rPr>
              <w:t>条款号</w:t>
            </w:r>
          </w:p>
        </w:tc>
        <w:tc>
          <w:tcPr>
            <w:tcW w:w="1769" w:type="dxa"/>
            <w:vAlign w:val="top"/>
          </w:tcPr>
          <w:p w14:paraId="4DAFB7CD">
            <w:pPr>
              <w:pStyle w:val="15"/>
              <w:spacing w:before="68" w:line="228" w:lineRule="auto"/>
              <w:ind w:left="469"/>
            </w:pPr>
            <w:r>
              <w:rPr>
                <w:spacing w:val="6"/>
              </w:rPr>
              <w:t>条款名称</w:t>
            </w:r>
          </w:p>
        </w:tc>
        <w:tc>
          <w:tcPr>
            <w:tcW w:w="6436" w:type="dxa"/>
            <w:vAlign w:val="top"/>
          </w:tcPr>
          <w:p w14:paraId="17C89071">
            <w:pPr>
              <w:pStyle w:val="15"/>
              <w:spacing w:before="68" w:line="228" w:lineRule="auto"/>
              <w:ind w:left="2962"/>
            </w:pPr>
            <w:r>
              <w:rPr>
                <w:spacing w:val="6"/>
              </w:rPr>
              <w:t>编列内容</w:t>
            </w:r>
          </w:p>
        </w:tc>
      </w:tr>
      <w:tr w14:paraId="5FB3D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0" w:hRule="atLeast"/>
        </w:trPr>
        <w:tc>
          <w:tcPr>
            <w:tcW w:w="1069" w:type="dxa"/>
            <w:vAlign w:val="top"/>
          </w:tcPr>
          <w:p w14:paraId="33A96C30">
            <w:pPr>
              <w:rPr>
                <w:rFonts w:ascii="Arial"/>
                <w:sz w:val="21"/>
              </w:rPr>
            </w:pPr>
          </w:p>
        </w:tc>
        <w:tc>
          <w:tcPr>
            <w:tcW w:w="1769" w:type="dxa"/>
            <w:vAlign w:val="top"/>
          </w:tcPr>
          <w:p w14:paraId="191370F2">
            <w:pPr>
              <w:rPr>
                <w:rFonts w:ascii="Arial"/>
                <w:sz w:val="21"/>
              </w:rPr>
            </w:pPr>
          </w:p>
        </w:tc>
        <w:tc>
          <w:tcPr>
            <w:tcW w:w="6436" w:type="dxa"/>
            <w:vAlign w:val="top"/>
          </w:tcPr>
          <w:p w14:paraId="7E6C13D4">
            <w:pPr>
              <w:pStyle w:val="15"/>
              <w:spacing w:before="32" w:line="228" w:lineRule="auto"/>
              <w:ind w:left="12"/>
            </w:pPr>
            <w:r>
              <w:rPr>
                <w:spacing w:val="-1"/>
              </w:rPr>
              <w:t>项）。</w:t>
            </w:r>
          </w:p>
          <w:p w14:paraId="589CEE45">
            <w:pPr>
              <w:pStyle w:val="15"/>
              <w:spacing w:before="160" w:line="228" w:lineRule="auto"/>
              <w:ind w:left="111"/>
            </w:pPr>
            <w:r>
              <w:rPr>
                <w:spacing w:val="8"/>
              </w:rPr>
              <w:t>4.类似工程业绩的考核要求：</w:t>
            </w:r>
          </w:p>
          <w:p w14:paraId="7EE4D14C">
            <w:pPr>
              <w:pStyle w:val="15"/>
              <w:spacing w:before="163" w:line="371" w:lineRule="auto"/>
              <w:ind w:left="113" w:right="37" w:firstLine="9"/>
            </w:pPr>
            <w:r>
              <w:rPr>
                <w:spacing w:val="5"/>
              </w:rPr>
              <w:t>（1）考核依据：以投标文件中提供的中标通知书（招标工程提交）、</w:t>
            </w:r>
            <w:r>
              <w:rPr>
                <w:spacing w:val="15"/>
              </w:rPr>
              <w:t xml:space="preserve"> </w:t>
            </w:r>
            <w:r>
              <w:rPr>
                <w:spacing w:val="14"/>
              </w:rPr>
              <w:t>合同和竣工验收资料以及本项目答疑文件明确可以作为考核依据的</w:t>
            </w:r>
            <w:r>
              <w:rPr>
                <w:spacing w:val="2"/>
              </w:rPr>
              <w:t xml:space="preserve"> </w:t>
            </w:r>
            <w:r>
              <w:rPr>
                <w:spacing w:val="7"/>
              </w:rPr>
              <w:t>资料的复印件为准，并提供“湖南省智慧住建云—湖南省建</w:t>
            </w:r>
            <w:r>
              <w:rPr>
                <w:spacing w:val="6"/>
              </w:rPr>
              <w:t>筑市场监</w:t>
            </w:r>
            <w:r>
              <w:t xml:space="preserve"> </w:t>
            </w:r>
            <w:r>
              <w:rPr>
                <w:spacing w:val="5"/>
              </w:rPr>
              <w:t>管公共服务平台</w:t>
            </w:r>
            <w:r>
              <w:rPr>
                <w:spacing w:val="-70"/>
              </w:rPr>
              <w:t xml:space="preserve"> </w:t>
            </w:r>
            <w:r>
              <w:rPr>
                <w:spacing w:val="5"/>
              </w:rPr>
              <w:t>”或者“全国建筑市场监管公共服务平台</w:t>
            </w:r>
            <w:r>
              <w:rPr>
                <w:spacing w:val="-70"/>
              </w:rPr>
              <w:t xml:space="preserve"> </w:t>
            </w:r>
            <w:r>
              <w:rPr>
                <w:spacing w:val="5"/>
              </w:rPr>
              <w:t>”</w:t>
            </w:r>
            <w:r>
              <w:rPr>
                <w:spacing w:val="4"/>
              </w:rPr>
              <w:t>上体现其</w:t>
            </w:r>
            <w:r>
              <w:t xml:space="preserve"> </w:t>
            </w:r>
            <w:r>
              <w:rPr>
                <w:spacing w:val="9"/>
              </w:rPr>
              <w:t>作为相应承包人（项目经理）的项目网页截</w:t>
            </w:r>
            <w:r>
              <w:rPr>
                <w:spacing w:val="8"/>
              </w:rPr>
              <w:t>图。</w:t>
            </w:r>
          </w:p>
          <w:p w14:paraId="20683EDE">
            <w:pPr>
              <w:pStyle w:val="15"/>
              <w:spacing w:before="30" w:line="370" w:lineRule="auto"/>
              <w:ind w:left="111" w:right="108"/>
            </w:pPr>
            <w:r>
              <w:rPr>
                <w:spacing w:val="7"/>
              </w:rPr>
              <w:t>相关指标不一致时，依次按照中标通知书、合同、竣工验收资</w:t>
            </w:r>
            <w:r>
              <w:rPr>
                <w:spacing w:val="6"/>
              </w:rPr>
              <w:t>料的顺</w:t>
            </w:r>
            <w:r>
              <w:t xml:space="preserve"> </w:t>
            </w:r>
            <w:r>
              <w:rPr>
                <w:spacing w:val="7"/>
              </w:rPr>
              <w:t>序认定。竣工验收资料是指竣工验收备案表（经建设工程质量</w:t>
            </w:r>
            <w:r>
              <w:rPr>
                <w:spacing w:val="6"/>
              </w:rPr>
              <w:t>监督部</w:t>
            </w:r>
            <w:r>
              <w:t xml:space="preserve"> </w:t>
            </w:r>
            <w:r>
              <w:rPr>
                <w:spacing w:val="7"/>
              </w:rPr>
              <w:t>门签字或盖章确认，下同）或者竣工验收证明（由建设单位、施工单</w:t>
            </w:r>
            <w:r>
              <w:t xml:space="preserve"> </w:t>
            </w:r>
            <w:r>
              <w:rPr>
                <w:spacing w:val="8"/>
              </w:rPr>
              <w:t>位、监理单位、设计单位盖章认可，下同）。</w:t>
            </w:r>
          </w:p>
          <w:p w14:paraId="236FF715">
            <w:pPr>
              <w:pStyle w:val="15"/>
              <w:spacing w:before="31" w:line="370" w:lineRule="auto"/>
              <w:ind w:left="112" w:right="108" w:firstLine="2"/>
            </w:pPr>
            <w:r>
              <w:rPr>
                <w:spacing w:val="7"/>
              </w:rPr>
              <w:t>投标人提供的类似工程业绩同时包含多种类型（专业）</w:t>
            </w:r>
            <w:r>
              <w:rPr>
                <w:spacing w:val="6"/>
              </w:rPr>
              <w:t>的，其工程类</w:t>
            </w:r>
            <w:r>
              <w:t xml:space="preserve"> </w:t>
            </w:r>
            <w:r>
              <w:rPr>
                <w:spacing w:val="7"/>
              </w:rPr>
              <w:t>型（专业）所对应的工程量应当根据中标通知书、合同、竣工验收资</w:t>
            </w:r>
            <w:r>
              <w:t xml:space="preserve"> </w:t>
            </w:r>
            <w:r>
              <w:rPr>
                <w:spacing w:val="7"/>
              </w:rPr>
              <w:t>料，以及本项目答疑文件明确可以作为考核依据的资料进行认定；以</w:t>
            </w:r>
            <w:r>
              <w:t xml:space="preserve"> </w:t>
            </w:r>
            <w:r>
              <w:rPr>
                <w:spacing w:val="7"/>
              </w:rPr>
              <w:t>上资料均不能明确区分的，</w:t>
            </w:r>
            <w:r>
              <w:rPr>
                <w:spacing w:val="-53"/>
              </w:rPr>
              <w:t xml:space="preserve"> </w:t>
            </w:r>
            <w:r>
              <w:rPr>
                <w:spacing w:val="7"/>
              </w:rPr>
              <w:t>由评标委员会进行认定。</w:t>
            </w:r>
          </w:p>
          <w:p w14:paraId="0C704E2C">
            <w:pPr>
              <w:pStyle w:val="15"/>
              <w:spacing w:before="31" w:line="370" w:lineRule="auto"/>
              <w:ind w:left="112" w:right="108" w:firstLine="10"/>
            </w:pPr>
            <w:r>
              <w:rPr>
                <w:spacing w:val="9"/>
              </w:rPr>
              <w:t>（2）考核期限：投标截止时间之日前</w:t>
            </w:r>
            <w:r>
              <w:rPr>
                <w:spacing w:val="-34"/>
              </w:rPr>
              <w:t xml:space="preserve"> </w:t>
            </w:r>
            <w:r>
              <w:rPr>
                <w:spacing w:val="9"/>
              </w:rPr>
              <w:t>3</w:t>
            </w:r>
            <w:r>
              <w:rPr>
                <w:spacing w:val="-37"/>
              </w:rPr>
              <w:t xml:space="preserve"> </w:t>
            </w:r>
            <w:r>
              <w:rPr>
                <w:spacing w:val="9"/>
              </w:rPr>
              <w:t>年，按工程竣工验收文件中</w:t>
            </w:r>
            <w:r>
              <w:t xml:space="preserve"> </w:t>
            </w:r>
            <w:r>
              <w:rPr>
                <w:spacing w:val="7"/>
              </w:rPr>
              <w:t>建设单位签字之日起计算。类似工程业绩考核依据中竣工验</w:t>
            </w:r>
            <w:r>
              <w:rPr>
                <w:spacing w:val="6"/>
              </w:rPr>
              <w:t>收备案表</w:t>
            </w:r>
            <w:r>
              <w:t xml:space="preserve"> </w:t>
            </w:r>
            <w:r>
              <w:rPr>
                <w:spacing w:val="6"/>
              </w:rPr>
              <w:t>未体现建设单位签字之日的以竣工验收备案表“竣工验收日期</w:t>
            </w:r>
            <w:r>
              <w:rPr>
                <w:spacing w:val="-70"/>
              </w:rPr>
              <w:t xml:space="preserve"> </w:t>
            </w:r>
            <w:r>
              <w:rPr>
                <w:spacing w:val="5"/>
              </w:rPr>
              <w:t>”栏中</w:t>
            </w:r>
            <w:r>
              <w:t xml:space="preserve"> </w:t>
            </w:r>
            <w:r>
              <w:rPr>
                <w:spacing w:val="7"/>
              </w:rPr>
              <w:t>注明的时间为准。</w:t>
            </w:r>
          </w:p>
          <w:p w14:paraId="1DC1DE4A">
            <w:pPr>
              <w:pStyle w:val="15"/>
              <w:spacing w:before="31" w:line="365" w:lineRule="auto"/>
              <w:ind w:left="114" w:right="80"/>
              <w:jc w:val="both"/>
            </w:pPr>
            <w:r>
              <w:rPr>
                <w:spacing w:val="7"/>
              </w:rPr>
              <w:t>投标人提供的类似工程业绩不符合上述规定时，涉及投标人</w:t>
            </w:r>
            <w:r>
              <w:rPr>
                <w:spacing w:val="6"/>
              </w:rPr>
              <w:t>资格条件</w:t>
            </w:r>
            <w:r>
              <w:t xml:space="preserve"> </w:t>
            </w:r>
            <w:r>
              <w:rPr>
                <w:spacing w:val="8"/>
              </w:rPr>
              <w:t>的，应当认定该投标人资格条件不符合招标文件要求，否</w:t>
            </w:r>
            <w:r>
              <w:rPr>
                <w:spacing w:val="7"/>
              </w:rPr>
              <w:t>决其投标；</w:t>
            </w:r>
            <w:r>
              <w:t xml:space="preserve"> </w:t>
            </w:r>
            <w:r>
              <w:rPr>
                <w:spacing w:val="9"/>
              </w:rPr>
              <w:t>涉及评审加分的，投标人类似工程业绩不予计分。</w:t>
            </w:r>
          </w:p>
        </w:tc>
      </w:tr>
    </w:tbl>
    <w:p w14:paraId="2C4DC861">
      <w:pPr>
        <w:pStyle w:val="6"/>
      </w:pPr>
    </w:p>
    <w:p w14:paraId="43101583">
      <w:pPr>
        <w:sectPr>
          <w:footerReference r:id="rId8" w:type="default"/>
          <w:pgSz w:w="11907" w:h="16840"/>
          <w:pgMar w:top="1020" w:right="1612" w:bottom="1029" w:left="1015" w:header="0" w:footer="850" w:gutter="0"/>
          <w:pgNumType w:fmt="decimal"/>
          <w:cols w:space="720" w:num="1"/>
        </w:sectPr>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769"/>
        <w:gridCol w:w="6436"/>
      </w:tblGrid>
      <w:tr w14:paraId="70EC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69" w:type="dxa"/>
            <w:vAlign w:val="top"/>
          </w:tcPr>
          <w:p w14:paraId="7628620F">
            <w:pPr>
              <w:pStyle w:val="15"/>
              <w:spacing w:before="68" w:line="228" w:lineRule="auto"/>
              <w:ind w:left="225"/>
            </w:pPr>
            <w:r>
              <w:rPr>
                <w:spacing w:val="6"/>
              </w:rPr>
              <w:t>条款号</w:t>
            </w:r>
          </w:p>
        </w:tc>
        <w:tc>
          <w:tcPr>
            <w:tcW w:w="1769" w:type="dxa"/>
            <w:vAlign w:val="top"/>
          </w:tcPr>
          <w:p w14:paraId="069FBF33">
            <w:pPr>
              <w:pStyle w:val="15"/>
              <w:spacing w:before="68" w:line="228" w:lineRule="auto"/>
              <w:ind w:left="469"/>
            </w:pPr>
            <w:r>
              <w:rPr>
                <w:spacing w:val="6"/>
              </w:rPr>
              <w:t>条款名称</w:t>
            </w:r>
          </w:p>
        </w:tc>
        <w:tc>
          <w:tcPr>
            <w:tcW w:w="6436" w:type="dxa"/>
            <w:vAlign w:val="top"/>
          </w:tcPr>
          <w:p w14:paraId="086F34A1">
            <w:pPr>
              <w:pStyle w:val="15"/>
              <w:spacing w:before="68" w:line="228" w:lineRule="auto"/>
              <w:ind w:left="2962"/>
            </w:pPr>
            <w:r>
              <w:rPr>
                <w:spacing w:val="6"/>
              </w:rPr>
              <w:t>编列内容</w:t>
            </w:r>
          </w:p>
        </w:tc>
      </w:tr>
      <w:tr w14:paraId="77E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2" w:hRule="atLeast"/>
        </w:trPr>
        <w:tc>
          <w:tcPr>
            <w:tcW w:w="1069" w:type="dxa"/>
            <w:vAlign w:val="top"/>
          </w:tcPr>
          <w:p w14:paraId="386DCE64">
            <w:pPr>
              <w:spacing w:line="241" w:lineRule="auto"/>
              <w:rPr>
                <w:rFonts w:ascii="Arial"/>
                <w:sz w:val="21"/>
              </w:rPr>
            </w:pPr>
          </w:p>
          <w:p w14:paraId="77735225">
            <w:pPr>
              <w:spacing w:line="241" w:lineRule="auto"/>
              <w:rPr>
                <w:rFonts w:ascii="Arial"/>
                <w:sz w:val="21"/>
              </w:rPr>
            </w:pPr>
          </w:p>
          <w:p w14:paraId="783213F5">
            <w:pPr>
              <w:spacing w:line="241" w:lineRule="auto"/>
              <w:rPr>
                <w:rFonts w:ascii="Arial"/>
                <w:sz w:val="21"/>
              </w:rPr>
            </w:pPr>
          </w:p>
          <w:p w14:paraId="320837B6">
            <w:pPr>
              <w:spacing w:line="241" w:lineRule="auto"/>
              <w:rPr>
                <w:rFonts w:ascii="Arial"/>
                <w:sz w:val="21"/>
              </w:rPr>
            </w:pPr>
          </w:p>
          <w:p w14:paraId="1043D2E0">
            <w:pPr>
              <w:spacing w:line="241" w:lineRule="auto"/>
              <w:rPr>
                <w:rFonts w:ascii="Arial"/>
                <w:sz w:val="21"/>
              </w:rPr>
            </w:pPr>
          </w:p>
          <w:p w14:paraId="26EFA838">
            <w:pPr>
              <w:spacing w:line="241" w:lineRule="auto"/>
              <w:rPr>
                <w:rFonts w:ascii="Arial"/>
                <w:sz w:val="21"/>
              </w:rPr>
            </w:pPr>
          </w:p>
          <w:p w14:paraId="414A03F1">
            <w:pPr>
              <w:spacing w:line="241" w:lineRule="auto"/>
              <w:rPr>
                <w:rFonts w:ascii="Arial"/>
                <w:sz w:val="21"/>
              </w:rPr>
            </w:pPr>
          </w:p>
          <w:p w14:paraId="3D539E97">
            <w:pPr>
              <w:spacing w:line="241" w:lineRule="auto"/>
              <w:rPr>
                <w:rFonts w:ascii="Arial"/>
                <w:sz w:val="21"/>
              </w:rPr>
            </w:pPr>
          </w:p>
          <w:p w14:paraId="5C81944D">
            <w:pPr>
              <w:spacing w:line="241" w:lineRule="auto"/>
              <w:rPr>
                <w:rFonts w:ascii="Arial"/>
                <w:sz w:val="21"/>
              </w:rPr>
            </w:pPr>
          </w:p>
          <w:p w14:paraId="12E537BC">
            <w:pPr>
              <w:spacing w:line="242" w:lineRule="auto"/>
              <w:rPr>
                <w:rFonts w:ascii="Arial"/>
                <w:sz w:val="21"/>
              </w:rPr>
            </w:pPr>
          </w:p>
          <w:p w14:paraId="7C984755">
            <w:pPr>
              <w:spacing w:line="242" w:lineRule="auto"/>
              <w:rPr>
                <w:rFonts w:ascii="Arial"/>
                <w:sz w:val="21"/>
              </w:rPr>
            </w:pPr>
          </w:p>
          <w:p w14:paraId="2C2670CB">
            <w:pPr>
              <w:spacing w:line="242" w:lineRule="auto"/>
              <w:rPr>
                <w:rFonts w:ascii="Arial"/>
                <w:sz w:val="21"/>
              </w:rPr>
            </w:pPr>
          </w:p>
          <w:p w14:paraId="70167516">
            <w:pPr>
              <w:spacing w:line="242" w:lineRule="auto"/>
              <w:rPr>
                <w:rFonts w:ascii="Arial"/>
                <w:sz w:val="21"/>
              </w:rPr>
            </w:pPr>
          </w:p>
          <w:p w14:paraId="2B7B0E9E">
            <w:pPr>
              <w:spacing w:line="242" w:lineRule="auto"/>
              <w:rPr>
                <w:rFonts w:ascii="Arial"/>
                <w:sz w:val="21"/>
              </w:rPr>
            </w:pPr>
          </w:p>
          <w:p w14:paraId="05A1CF13">
            <w:pPr>
              <w:spacing w:line="242" w:lineRule="auto"/>
              <w:rPr>
                <w:rFonts w:ascii="Arial"/>
                <w:sz w:val="21"/>
              </w:rPr>
            </w:pPr>
          </w:p>
          <w:p w14:paraId="2934D5D2">
            <w:pPr>
              <w:spacing w:line="242" w:lineRule="auto"/>
              <w:rPr>
                <w:rFonts w:ascii="Arial"/>
                <w:sz w:val="21"/>
              </w:rPr>
            </w:pPr>
          </w:p>
          <w:p w14:paraId="05D90C73">
            <w:pPr>
              <w:spacing w:line="242" w:lineRule="auto"/>
              <w:rPr>
                <w:rFonts w:ascii="Arial"/>
                <w:sz w:val="21"/>
              </w:rPr>
            </w:pPr>
          </w:p>
          <w:p w14:paraId="2C106046">
            <w:pPr>
              <w:spacing w:line="242" w:lineRule="auto"/>
              <w:rPr>
                <w:rFonts w:ascii="Arial"/>
                <w:sz w:val="21"/>
              </w:rPr>
            </w:pPr>
          </w:p>
          <w:p w14:paraId="0E7EDE12">
            <w:pPr>
              <w:spacing w:line="242" w:lineRule="auto"/>
              <w:rPr>
                <w:rFonts w:ascii="Arial"/>
                <w:sz w:val="21"/>
              </w:rPr>
            </w:pPr>
          </w:p>
          <w:p w14:paraId="53030918">
            <w:pPr>
              <w:spacing w:line="242" w:lineRule="auto"/>
              <w:rPr>
                <w:rFonts w:ascii="Arial"/>
                <w:sz w:val="21"/>
              </w:rPr>
            </w:pPr>
          </w:p>
          <w:p w14:paraId="1440CF39">
            <w:pPr>
              <w:spacing w:line="242" w:lineRule="auto"/>
              <w:rPr>
                <w:rFonts w:ascii="Arial"/>
                <w:sz w:val="21"/>
              </w:rPr>
            </w:pPr>
          </w:p>
          <w:p w14:paraId="6AAE4DE8">
            <w:pPr>
              <w:pStyle w:val="15"/>
              <w:spacing w:before="65" w:line="190" w:lineRule="auto"/>
              <w:ind w:left="239"/>
            </w:pPr>
            <w:r>
              <w:rPr>
                <w:spacing w:val="1"/>
              </w:rPr>
              <w:t>10.1.2</w:t>
            </w:r>
          </w:p>
        </w:tc>
        <w:tc>
          <w:tcPr>
            <w:tcW w:w="1769" w:type="dxa"/>
            <w:vAlign w:val="top"/>
          </w:tcPr>
          <w:p w14:paraId="266E8DFB">
            <w:pPr>
              <w:spacing w:line="243" w:lineRule="auto"/>
              <w:rPr>
                <w:rFonts w:ascii="Arial"/>
                <w:sz w:val="21"/>
              </w:rPr>
            </w:pPr>
          </w:p>
          <w:p w14:paraId="07591A44">
            <w:pPr>
              <w:spacing w:line="243" w:lineRule="auto"/>
              <w:rPr>
                <w:rFonts w:ascii="Arial"/>
                <w:sz w:val="21"/>
              </w:rPr>
            </w:pPr>
          </w:p>
          <w:p w14:paraId="584CB620">
            <w:pPr>
              <w:spacing w:line="244" w:lineRule="auto"/>
              <w:rPr>
                <w:rFonts w:ascii="Arial"/>
                <w:sz w:val="21"/>
              </w:rPr>
            </w:pPr>
          </w:p>
          <w:p w14:paraId="64F8483D">
            <w:pPr>
              <w:spacing w:line="244" w:lineRule="auto"/>
              <w:rPr>
                <w:rFonts w:ascii="Arial"/>
                <w:sz w:val="21"/>
              </w:rPr>
            </w:pPr>
          </w:p>
          <w:p w14:paraId="2ED70DB1">
            <w:pPr>
              <w:spacing w:line="244" w:lineRule="auto"/>
              <w:rPr>
                <w:rFonts w:ascii="Arial"/>
                <w:sz w:val="21"/>
              </w:rPr>
            </w:pPr>
          </w:p>
          <w:p w14:paraId="7AED4C64">
            <w:pPr>
              <w:spacing w:line="244" w:lineRule="auto"/>
              <w:rPr>
                <w:rFonts w:ascii="Arial"/>
                <w:sz w:val="21"/>
              </w:rPr>
            </w:pPr>
          </w:p>
          <w:p w14:paraId="4FF25C8A">
            <w:pPr>
              <w:spacing w:line="244" w:lineRule="auto"/>
              <w:rPr>
                <w:rFonts w:ascii="Arial"/>
                <w:sz w:val="21"/>
              </w:rPr>
            </w:pPr>
          </w:p>
          <w:p w14:paraId="716AEB54">
            <w:pPr>
              <w:spacing w:line="244" w:lineRule="auto"/>
              <w:rPr>
                <w:rFonts w:ascii="Arial"/>
                <w:sz w:val="21"/>
              </w:rPr>
            </w:pPr>
          </w:p>
          <w:p w14:paraId="4AB4407C">
            <w:pPr>
              <w:spacing w:line="244" w:lineRule="auto"/>
              <w:rPr>
                <w:rFonts w:ascii="Arial"/>
                <w:sz w:val="21"/>
              </w:rPr>
            </w:pPr>
          </w:p>
          <w:p w14:paraId="4AD2EEC4">
            <w:pPr>
              <w:spacing w:line="244" w:lineRule="auto"/>
              <w:rPr>
                <w:rFonts w:ascii="Arial"/>
                <w:sz w:val="21"/>
              </w:rPr>
            </w:pPr>
          </w:p>
          <w:p w14:paraId="76F2EAA1">
            <w:pPr>
              <w:spacing w:line="244" w:lineRule="auto"/>
              <w:rPr>
                <w:rFonts w:ascii="Arial"/>
                <w:sz w:val="21"/>
              </w:rPr>
            </w:pPr>
          </w:p>
          <w:p w14:paraId="0030007F">
            <w:pPr>
              <w:spacing w:line="244" w:lineRule="auto"/>
              <w:rPr>
                <w:rFonts w:ascii="Arial"/>
                <w:sz w:val="21"/>
              </w:rPr>
            </w:pPr>
          </w:p>
          <w:p w14:paraId="63D766BA">
            <w:pPr>
              <w:spacing w:line="244" w:lineRule="auto"/>
              <w:rPr>
                <w:rFonts w:ascii="Arial"/>
                <w:sz w:val="21"/>
              </w:rPr>
            </w:pPr>
          </w:p>
          <w:p w14:paraId="4A43C0F9">
            <w:pPr>
              <w:spacing w:line="244" w:lineRule="auto"/>
              <w:rPr>
                <w:rFonts w:ascii="Arial"/>
                <w:sz w:val="21"/>
              </w:rPr>
            </w:pPr>
          </w:p>
          <w:p w14:paraId="74047471">
            <w:pPr>
              <w:spacing w:line="244" w:lineRule="auto"/>
              <w:rPr>
                <w:rFonts w:ascii="Arial"/>
                <w:sz w:val="21"/>
              </w:rPr>
            </w:pPr>
          </w:p>
          <w:p w14:paraId="2410B4CD">
            <w:pPr>
              <w:spacing w:line="244" w:lineRule="auto"/>
              <w:rPr>
                <w:rFonts w:ascii="Arial"/>
                <w:sz w:val="21"/>
              </w:rPr>
            </w:pPr>
          </w:p>
          <w:p w14:paraId="2E55ED40">
            <w:pPr>
              <w:spacing w:line="244" w:lineRule="auto"/>
              <w:rPr>
                <w:rFonts w:ascii="Arial"/>
                <w:sz w:val="21"/>
              </w:rPr>
            </w:pPr>
          </w:p>
          <w:p w14:paraId="55FCA0B8">
            <w:pPr>
              <w:spacing w:line="244" w:lineRule="auto"/>
              <w:rPr>
                <w:rFonts w:ascii="Arial"/>
                <w:sz w:val="21"/>
              </w:rPr>
            </w:pPr>
          </w:p>
          <w:p w14:paraId="44861070">
            <w:pPr>
              <w:spacing w:line="244" w:lineRule="auto"/>
              <w:rPr>
                <w:rFonts w:ascii="Arial"/>
                <w:sz w:val="21"/>
              </w:rPr>
            </w:pPr>
          </w:p>
          <w:p w14:paraId="1D41A245">
            <w:pPr>
              <w:pStyle w:val="15"/>
              <w:spacing w:before="65" w:line="228" w:lineRule="auto"/>
              <w:ind w:left="156"/>
            </w:pPr>
            <w:r>
              <w:rPr>
                <w:spacing w:val="8"/>
              </w:rPr>
              <w:t>企业资信及履约</w:t>
            </w:r>
          </w:p>
          <w:p w14:paraId="0B073D37">
            <w:pPr>
              <w:pStyle w:val="15"/>
              <w:spacing w:before="160" w:line="228" w:lineRule="auto"/>
              <w:ind w:left="267"/>
            </w:pPr>
            <w:r>
              <w:rPr>
                <w:spacing w:val="6"/>
              </w:rPr>
              <w:t>能力评审的奖</w:t>
            </w:r>
          </w:p>
          <w:p w14:paraId="39476CF7">
            <w:pPr>
              <w:pStyle w:val="15"/>
              <w:spacing w:before="164" w:line="228" w:lineRule="auto"/>
              <w:ind w:left="156"/>
            </w:pPr>
            <w:r>
              <w:rPr>
                <w:spacing w:val="8"/>
              </w:rPr>
              <w:t>项、标准化工地</w:t>
            </w:r>
          </w:p>
        </w:tc>
        <w:tc>
          <w:tcPr>
            <w:tcW w:w="6436" w:type="dxa"/>
            <w:vAlign w:val="top"/>
          </w:tcPr>
          <w:p w14:paraId="565DAC1F">
            <w:pPr>
              <w:pStyle w:val="15"/>
              <w:spacing w:before="30" w:line="228" w:lineRule="auto"/>
              <w:ind w:left="127"/>
            </w:pPr>
            <w:r>
              <w:rPr>
                <w:spacing w:val="3"/>
              </w:rPr>
              <w:t>1.奖项个数：</w:t>
            </w:r>
          </w:p>
          <w:p w14:paraId="7803C460">
            <w:pPr>
              <w:pStyle w:val="15"/>
              <w:spacing w:before="161" w:line="327" w:lineRule="auto"/>
              <w:ind w:left="534" w:right="2126" w:hanging="3"/>
            </w:pPr>
            <w:r>
              <w:rPr>
                <w:spacing w:val="9"/>
              </w:rPr>
              <w:t>①国家级（鲁班奖、国家优质工程奖</w:t>
            </w:r>
            <w:r>
              <w:rPr>
                <w:spacing w:val="13"/>
              </w:rPr>
              <w:t>）：</w:t>
            </w:r>
            <w:r>
              <w:rPr>
                <w:spacing w:val="1"/>
              </w:rPr>
              <w:t xml:space="preserve"> </w:t>
            </w:r>
            <w:r>
              <w:rPr>
                <w:spacing w:val="3"/>
              </w:rPr>
              <w:t xml:space="preserve">投标人  </w:t>
            </w:r>
            <w:r>
              <w:rPr>
                <w:rFonts w:ascii="MS Gothic" w:hAnsi="MS Gothic" w:eastAsia="MS Gothic" w:cs="MS Gothic"/>
                <w:color w:val="0000FF"/>
                <w:spacing w:val="3"/>
              </w:rPr>
              <w:t>☑</w:t>
            </w:r>
            <w:r>
              <w:rPr>
                <w:spacing w:val="3"/>
              </w:rPr>
              <w:t>0</w:t>
            </w:r>
            <w:r>
              <w:rPr>
                <w:spacing w:val="-26"/>
              </w:rPr>
              <w:t xml:space="preserve"> </w:t>
            </w:r>
            <w:r>
              <w:rPr>
                <w:spacing w:val="3"/>
              </w:rPr>
              <w:t>个</w:t>
            </w:r>
            <w:r>
              <w:rPr>
                <w:spacing w:val="20"/>
              </w:rPr>
              <w:t xml:space="preserve">  </w:t>
            </w:r>
            <w:r>
              <w:rPr>
                <w:color w:val="0000FF"/>
                <w:spacing w:val="3"/>
              </w:rPr>
              <w:t>□</w:t>
            </w:r>
            <w:r>
              <w:rPr>
                <w:spacing w:val="3"/>
              </w:rPr>
              <w:t>1个</w:t>
            </w:r>
            <w:r>
              <w:rPr>
                <w:spacing w:val="20"/>
              </w:rPr>
              <w:t xml:space="preserve">  </w:t>
            </w:r>
            <w:r>
              <w:rPr>
                <w:color w:val="0000FF"/>
                <w:spacing w:val="3"/>
              </w:rPr>
              <w:t>□</w:t>
            </w:r>
            <w:r>
              <w:rPr>
                <w:spacing w:val="3"/>
              </w:rPr>
              <w:t>2</w:t>
            </w:r>
            <w:r>
              <w:rPr>
                <w:spacing w:val="-39"/>
              </w:rPr>
              <w:t xml:space="preserve"> </w:t>
            </w:r>
            <w:r>
              <w:rPr>
                <w:spacing w:val="3"/>
              </w:rPr>
              <w:t>个</w:t>
            </w:r>
            <w:r>
              <w:rPr>
                <w:spacing w:val="20"/>
              </w:rPr>
              <w:t xml:space="preserve">  </w:t>
            </w:r>
            <w:r>
              <w:rPr>
                <w:color w:val="0000FF"/>
                <w:spacing w:val="3"/>
              </w:rPr>
              <w:t>□</w:t>
            </w:r>
            <w:r>
              <w:rPr>
                <w:spacing w:val="3"/>
              </w:rPr>
              <w:t>3</w:t>
            </w:r>
            <w:r>
              <w:rPr>
                <w:spacing w:val="-38"/>
              </w:rPr>
              <w:t xml:space="preserve"> </w:t>
            </w:r>
            <w:r>
              <w:rPr>
                <w:spacing w:val="3"/>
              </w:rPr>
              <w:t>个</w:t>
            </w:r>
            <w:r>
              <w:t xml:space="preserve"> </w:t>
            </w:r>
            <w:r>
              <w:rPr>
                <w:spacing w:val="7"/>
              </w:rPr>
              <w:t>项目经理</w:t>
            </w:r>
            <w:r>
              <w:rPr>
                <w:spacing w:val="24"/>
              </w:rPr>
              <w:t xml:space="preserve"> </w:t>
            </w:r>
            <w:r>
              <w:rPr>
                <w:rFonts w:ascii="MS Gothic" w:hAnsi="MS Gothic" w:eastAsia="MS Gothic" w:cs="MS Gothic"/>
                <w:color w:val="0000FF"/>
                <w:spacing w:val="7"/>
              </w:rPr>
              <w:t xml:space="preserve">☑ </w:t>
            </w:r>
            <w:r>
              <w:rPr>
                <w:spacing w:val="7"/>
              </w:rPr>
              <w:t>0</w:t>
            </w:r>
            <w:r>
              <w:rPr>
                <w:spacing w:val="14"/>
              </w:rPr>
              <w:t xml:space="preserve"> </w:t>
            </w:r>
            <w:r>
              <w:rPr>
                <w:spacing w:val="7"/>
              </w:rPr>
              <w:t>个</w:t>
            </w:r>
            <w:r>
              <w:rPr>
                <w:spacing w:val="20"/>
              </w:rPr>
              <w:t xml:space="preserve">  </w:t>
            </w:r>
            <w:r>
              <w:rPr>
                <w:color w:val="0000FF"/>
                <w:spacing w:val="7"/>
              </w:rPr>
              <w:t>□</w:t>
            </w:r>
            <w:r>
              <w:rPr>
                <w:spacing w:val="7"/>
              </w:rPr>
              <w:t>1个</w:t>
            </w:r>
          </w:p>
          <w:p w14:paraId="76149E5B">
            <w:pPr>
              <w:pStyle w:val="15"/>
              <w:spacing w:before="164" w:line="302" w:lineRule="auto"/>
              <w:ind w:left="534" w:right="1130" w:hanging="4"/>
            </w:pPr>
            <w:r>
              <w:rPr>
                <w:spacing w:val="9"/>
              </w:rPr>
              <w:t>②省级（省级综合工程质量奖、省级优质工程奖</w:t>
            </w:r>
            <w:r>
              <w:rPr>
                <w:spacing w:val="-11"/>
              </w:rPr>
              <w:t>）：</w:t>
            </w:r>
            <w:r>
              <w:rPr>
                <w:spacing w:val="1"/>
              </w:rPr>
              <w:t xml:space="preserve"> </w:t>
            </w:r>
            <w:r>
              <w:rPr>
                <w:spacing w:val="3"/>
              </w:rPr>
              <w:t xml:space="preserve">投标人  </w:t>
            </w:r>
            <w:r>
              <w:rPr>
                <w:rFonts w:ascii="MS Gothic" w:hAnsi="MS Gothic" w:eastAsia="MS Gothic" w:cs="MS Gothic"/>
                <w:color w:val="0000FF"/>
                <w:spacing w:val="3"/>
              </w:rPr>
              <w:t>☑</w:t>
            </w:r>
            <w:r>
              <w:rPr>
                <w:spacing w:val="3"/>
              </w:rPr>
              <w:t>0</w:t>
            </w:r>
            <w:r>
              <w:rPr>
                <w:spacing w:val="-26"/>
              </w:rPr>
              <w:t xml:space="preserve"> </w:t>
            </w:r>
            <w:r>
              <w:rPr>
                <w:spacing w:val="3"/>
              </w:rPr>
              <w:t>个</w:t>
            </w:r>
            <w:r>
              <w:rPr>
                <w:spacing w:val="20"/>
              </w:rPr>
              <w:t xml:space="preserve">  </w:t>
            </w:r>
            <w:r>
              <w:rPr>
                <w:color w:val="0000FF"/>
                <w:spacing w:val="3"/>
              </w:rPr>
              <w:t>□</w:t>
            </w:r>
            <w:r>
              <w:rPr>
                <w:spacing w:val="3"/>
              </w:rPr>
              <w:t>1个</w:t>
            </w:r>
            <w:r>
              <w:rPr>
                <w:spacing w:val="20"/>
              </w:rPr>
              <w:t xml:space="preserve">  </w:t>
            </w:r>
            <w:r>
              <w:rPr>
                <w:color w:val="0000FF"/>
                <w:spacing w:val="3"/>
              </w:rPr>
              <w:t>□</w:t>
            </w:r>
            <w:r>
              <w:rPr>
                <w:spacing w:val="3"/>
              </w:rPr>
              <w:t>2</w:t>
            </w:r>
            <w:r>
              <w:rPr>
                <w:spacing w:val="-39"/>
              </w:rPr>
              <w:t xml:space="preserve"> </w:t>
            </w:r>
            <w:r>
              <w:rPr>
                <w:spacing w:val="3"/>
              </w:rPr>
              <w:t>个</w:t>
            </w:r>
            <w:r>
              <w:rPr>
                <w:spacing w:val="20"/>
              </w:rPr>
              <w:t xml:space="preserve">  </w:t>
            </w:r>
            <w:r>
              <w:rPr>
                <w:color w:val="0000FF"/>
                <w:spacing w:val="3"/>
              </w:rPr>
              <w:t>□</w:t>
            </w:r>
            <w:r>
              <w:rPr>
                <w:spacing w:val="3"/>
              </w:rPr>
              <w:t>3</w:t>
            </w:r>
            <w:r>
              <w:rPr>
                <w:spacing w:val="-38"/>
              </w:rPr>
              <w:t xml:space="preserve"> </w:t>
            </w:r>
            <w:r>
              <w:rPr>
                <w:spacing w:val="3"/>
              </w:rPr>
              <w:t>个</w:t>
            </w:r>
          </w:p>
          <w:p w14:paraId="043CC6A6">
            <w:pPr>
              <w:pStyle w:val="15"/>
              <w:spacing w:before="161" w:line="228" w:lineRule="auto"/>
              <w:ind w:left="535"/>
            </w:pPr>
            <w:r>
              <w:rPr>
                <w:spacing w:val="6"/>
              </w:rPr>
              <w:t>项目经理</w:t>
            </w:r>
            <w:r>
              <w:rPr>
                <w:spacing w:val="33"/>
              </w:rPr>
              <w:t xml:space="preserve"> </w:t>
            </w:r>
            <w:r>
              <w:rPr>
                <w:rFonts w:ascii="MS Gothic" w:hAnsi="MS Gothic" w:eastAsia="MS Gothic" w:cs="MS Gothic"/>
                <w:color w:val="0000FF"/>
                <w:spacing w:val="6"/>
              </w:rPr>
              <w:t xml:space="preserve">☑ </w:t>
            </w:r>
            <w:r>
              <w:rPr>
                <w:spacing w:val="6"/>
              </w:rPr>
              <w:t>0</w:t>
            </w:r>
            <w:r>
              <w:rPr>
                <w:spacing w:val="15"/>
              </w:rPr>
              <w:t xml:space="preserve"> </w:t>
            </w:r>
            <w:r>
              <w:rPr>
                <w:spacing w:val="6"/>
              </w:rPr>
              <w:t>个</w:t>
            </w:r>
            <w:r>
              <w:rPr>
                <w:spacing w:val="20"/>
              </w:rPr>
              <w:t xml:space="preserve">  </w:t>
            </w:r>
            <w:r>
              <w:rPr>
                <w:color w:val="0000FF"/>
                <w:spacing w:val="6"/>
              </w:rPr>
              <w:t>□</w:t>
            </w:r>
            <w:r>
              <w:rPr>
                <w:spacing w:val="6"/>
              </w:rPr>
              <w:t>1个</w:t>
            </w:r>
          </w:p>
          <w:p w14:paraId="7B7A18AD">
            <w:pPr>
              <w:pStyle w:val="15"/>
              <w:spacing w:before="161" w:line="228" w:lineRule="auto"/>
              <w:ind w:left="114"/>
            </w:pPr>
            <w:r>
              <w:rPr>
                <w:spacing w:val="6"/>
              </w:rPr>
              <w:t>2.标准化工地个数：</w:t>
            </w:r>
          </w:p>
          <w:p w14:paraId="354609BE">
            <w:pPr>
              <w:pStyle w:val="15"/>
              <w:spacing w:before="164" w:line="302" w:lineRule="auto"/>
              <w:ind w:left="115" w:right="108" w:firstLine="415"/>
            </w:pPr>
            <w:r>
              <w:rPr>
                <w:spacing w:val="7"/>
              </w:rPr>
              <w:t>①国家级（国家建设工程项目施工工地安全生产标</w:t>
            </w:r>
            <w:r>
              <w:rPr>
                <w:spacing w:val="6"/>
              </w:rPr>
              <w:t>准化学习交流</w:t>
            </w:r>
            <w:r>
              <w:t xml:space="preserve"> </w:t>
            </w:r>
            <w:r>
              <w:rPr>
                <w:spacing w:val="-2"/>
              </w:rPr>
              <w:t>项目</w:t>
            </w:r>
            <w:r>
              <w:rPr>
                <w:spacing w:val="7"/>
              </w:rPr>
              <w:t>）：</w:t>
            </w:r>
            <w:r>
              <w:rPr>
                <w:spacing w:val="-74"/>
              </w:rPr>
              <w:t xml:space="preserve"> </w:t>
            </w:r>
            <w:r>
              <w:rPr>
                <w:rFonts w:ascii="MS Gothic" w:hAnsi="MS Gothic" w:eastAsia="MS Gothic" w:cs="MS Gothic"/>
                <w:color w:val="0000FF"/>
                <w:spacing w:val="-2"/>
              </w:rPr>
              <w:t>☑</w:t>
            </w:r>
            <w:r>
              <w:rPr>
                <w:spacing w:val="-2"/>
              </w:rPr>
              <w:t>0</w:t>
            </w:r>
            <w:r>
              <w:rPr>
                <w:spacing w:val="-41"/>
              </w:rPr>
              <w:t xml:space="preserve"> </w:t>
            </w:r>
            <w:r>
              <w:rPr>
                <w:spacing w:val="-2"/>
              </w:rPr>
              <w:t>个</w:t>
            </w:r>
            <w:r>
              <w:rPr>
                <w:spacing w:val="20"/>
              </w:rPr>
              <w:t xml:space="preserve">  </w:t>
            </w:r>
            <w:r>
              <w:rPr>
                <w:color w:val="0000FF"/>
                <w:spacing w:val="-2"/>
              </w:rPr>
              <w:t>□</w:t>
            </w:r>
            <w:r>
              <w:rPr>
                <w:spacing w:val="-2"/>
              </w:rPr>
              <w:t>1</w:t>
            </w:r>
            <w:r>
              <w:rPr>
                <w:spacing w:val="-40"/>
              </w:rPr>
              <w:t xml:space="preserve"> </w:t>
            </w:r>
            <w:r>
              <w:rPr>
                <w:spacing w:val="-2"/>
              </w:rPr>
              <w:t>个</w:t>
            </w:r>
            <w:r>
              <w:rPr>
                <w:spacing w:val="20"/>
              </w:rPr>
              <w:t xml:space="preserve">  </w:t>
            </w:r>
            <w:r>
              <w:rPr>
                <w:color w:val="0000FF"/>
                <w:spacing w:val="-2"/>
              </w:rPr>
              <w:t>□</w:t>
            </w:r>
            <w:r>
              <w:rPr>
                <w:spacing w:val="-2"/>
              </w:rPr>
              <w:t>2</w:t>
            </w:r>
            <w:r>
              <w:rPr>
                <w:spacing w:val="-39"/>
              </w:rPr>
              <w:t xml:space="preserve"> </w:t>
            </w:r>
            <w:r>
              <w:rPr>
                <w:spacing w:val="-2"/>
              </w:rPr>
              <w:t>个</w:t>
            </w:r>
          </w:p>
          <w:p w14:paraId="74E64025">
            <w:pPr>
              <w:pStyle w:val="15"/>
              <w:spacing w:before="161" w:line="302" w:lineRule="auto"/>
              <w:ind w:left="122" w:right="108" w:firstLine="408"/>
            </w:pPr>
            <w:r>
              <w:rPr>
                <w:spacing w:val="15"/>
              </w:rPr>
              <w:t>②省级建筑施工安全生产标准化年度项目考评优良工地：</w:t>
            </w:r>
            <w:r>
              <w:rPr>
                <w:color w:val="0000FF"/>
                <w:spacing w:val="15"/>
              </w:rPr>
              <w:t>0</w:t>
            </w:r>
            <w:r>
              <w:rPr>
                <w:color w:val="0000FF"/>
                <w:spacing w:val="-14"/>
              </w:rPr>
              <w:t xml:space="preserve"> </w:t>
            </w:r>
            <w:r>
              <w:rPr>
                <w:spacing w:val="15"/>
              </w:rPr>
              <w:t>个</w:t>
            </w:r>
            <w:r>
              <w:t xml:space="preserve"> </w:t>
            </w:r>
            <w:r>
              <w:rPr>
                <w:spacing w:val="1"/>
              </w:rPr>
              <w:t>（0-20</w:t>
            </w:r>
            <w:r>
              <w:rPr>
                <w:spacing w:val="-36"/>
              </w:rPr>
              <w:t xml:space="preserve"> </w:t>
            </w:r>
            <w:r>
              <w:rPr>
                <w:spacing w:val="1"/>
              </w:rPr>
              <w:t>个）</w:t>
            </w:r>
          </w:p>
          <w:p w14:paraId="05DABC7D">
            <w:pPr>
              <w:pStyle w:val="15"/>
              <w:spacing w:before="163" w:line="228" w:lineRule="auto"/>
              <w:ind w:left="116"/>
            </w:pPr>
            <w:r>
              <w:rPr>
                <w:spacing w:val="8"/>
              </w:rPr>
              <w:t>3.园林绿化工程奖项、标准化工地加分规定</w:t>
            </w:r>
          </w:p>
          <w:p w14:paraId="1C818C76">
            <w:pPr>
              <w:pStyle w:val="15"/>
              <w:spacing w:before="162" w:line="228" w:lineRule="auto"/>
              <w:ind w:left="542"/>
            </w:pPr>
            <w:r>
              <w:rPr>
                <w:spacing w:val="5"/>
              </w:rPr>
              <w:t>（1）奖项</w:t>
            </w:r>
          </w:p>
          <w:p w14:paraId="6470DFAD">
            <w:pPr>
              <w:pStyle w:val="15"/>
              <w:spacing w:before="160" w:line="302" w:lineRule="auto"/>
              <w:ind w:left="534" w:right="710" w:hanging="3"/>
            </w:pPr>
            <w:r>
              <w:rPr>
                <w:spacing w:val="9"/>
              </w:rPr>
              <w:t>①国家级，中国人居环境范例奖（园林绿化获奖项目</w:t>
            </w:r>
            <w:r>
              <w:rPr>
                <w:spacing w:val="-10"/>
              </w:rPr>
              <w:t>）：</w:t>
            </w:r>
            <w:r>
              <w:t xml:space="preserve"> </w:t>
            </w:r>
            <w:r>
              <w:rPr>
                <w:spacing w:val="3"/>
              </w:rPr>
              <w:t xml:space="preserve">投标人 </w:t>
            </w:r>
            <w:r>
              <w:rPr>
                <w:rFonts w:ascii="MS Gothic" w:hAnsi="MS Gothic" w:eastAsia="MS Gothic" w:cs="MS Gothic"/>
                <w:color w:val="0000FF"/>
                <w:spacing w:val="3"/>
              </w:rPr>
              <w:t>☑</w:t>
            </w:r>
            <w:r>
              <w:rPr>
                <w:spacing w:val="3"/>
              </w:rPr>
              <w:t>0</w:t>
            </w:r>
            <w:r>
              <w:rPr>
                <w:spacing w:val="-31"/>
              </w:rPr>
              <w:t xml:space="preserve"> </w:t>
            </w:r>
            <w:r>
              <w:rPr>
                <w:spacing w:val="3"/>
              </w:rPr>
              <w:t>个</w:t>
            </w:r>
            <w:r>
              <w:rPr>
                <w:spacing w:val="20"/>
              </w:rPr>
              <w:t xml:space="preserve">  </w:t>
            </w:r>
            <w:r>
              <w:rPr>
                <w:color w:val="0000FF"/>
                <w:spacing w:val="3"/>
              </w:rPr>
              <w:t>□</w:t>
            </w:r>
            <w:r>
              <w:rPr>
                <w:spacing w:val="3"/>
              </w:rPr>
              <w:t>1个</w:t>
            </w:r>
            <w:r>
              <w:rPr>
                <w:spacing w:val="20"/>
              </w:rPr>
              <w:t xml:space="preserve">  </w:t>
            </w:r>
            <w:r>
              <w:rPr>
                <w:color w:val="0000FF"/>
                <w:spacing w:val="3"/>
              </w:rPr>
              <w:t>□</w:t>
            </w:r>
            <w:r>
              <w:rPr>
                <w:spacing w:val="3"/>
              </w:rPr>
              <w:t>2</w:t>
            </w:r>
            <w:r>
              <w:rPr>
                <w:spacing w:val="-37"/>
              </w:rPr>
              <w:t xml:space="preserve"> </w:t>
            </w:r>
            <w:r>
              <w:rPr>
                <w:spacing w:val="3"/>
              </w:rPr>
              <w:t>个</w:t>
            </w:r>
            <w:r>
              <w:rPr>
                <w:spacing w:val="20"/>
              </w:rPr>
              <w:t xml:space="preserve">  </w:t>
            </w:r>
            <w:r>
              <w:rPr>
                <w:color w:val="0000FF"/>
                <w:spacing w:val="3"/>
              </w:rPr>
              <w:t>□</w:t>
            </w:r>
            <w:r>
              <w:rPr>
                <w:spacing w:val="3"/>
              </w:rPr>
              <w:t>3</w:t>
            </w:r>
            <w:r>
              <w:rPr>
                <w:spacing w:val="-38"/>
              </w:rPr>
              <w:t xml:space="preserve"> </w:t>
            </w:r>
            <w:r>
              <w:rPr>
                <w:spacing w:val="3"/>
              </w:rPr>
              <w:t>个</w:t>
            </w:r>
          </w:p>
          <w:p w14:paraId="431320AC">
            <w:pPr>
              <w:pStyle w:val="15"/>
              <w:spacing w:before="161" w:line="228" w:lineRule="auto"/>
              <w:ind w:left="535"/>
            </w:pPr>
            <w:r>
              <w:rPr>
                <w:spacing w:val="6"/>
              </w:rPr>
              <w:t>项目经理</w:t>
            </w:r>
            <w:r>
              <w:rPr>
                <w:spacing w:val="33"/>
              </w:rPr>
              <w:t xml:space="preserve"> </w:t>
            </w:r>
            <w:r>
              <w:rPr>
                <w:rFonts w:ascii="MS Gothic" w:hAnsi="MS Gothic" w:eastAsia="MS Gothic" w:cs="MS Gothic"/>
                <w:color w:val="0000FF"/>
                <w:spacing w:val="6"/>
              </w:rPr>
              <w:t xml:space="preserve">☑ </w:t>
            </w:r>
            <w:r>
              <w:rPr>
                <w:spacing w:val="6"/>
              </w:rPr>
              <w:t>0</w:t>
            </w:r>
            <w:r>
              <w:rPr>
                <w:spacing w:val="15"/>
              </w:rPr>
              <w:t xml:space="preserve"> </w:t>
            </w:r>
            <w:r>
              <w:rPr>
                <w:spacing w:val="6"/>
              </w:rPr>
              <w:t>个</w:t>
            </w:r>
            <w:r>
              <w:rPr>
                <w:spacing w:val="20"/>
              </w:rPr>
              <w:t xml:space="preserve">  </w:t>
            </w:r>
            <w:r>
              <w:rPr>
                <w:color w:val="0000FF"/>
                <w:spacing w:val="6"/>
              </w:rPr>
              <w:t>□</w:t>
            </w:r>
            <w:r>
              <w:rPr>
                <w:spacing w:val="6"/>
              </w:rPr>
              <w:t>1个</w:t>
            </w:r>
          </w:p>
          <w:p w14:paraId="287AF400">
            <w:pPr>
              <w:pStyle w:val="15"/>
              <w:spacing w:before="162" w:line="225" w:lineRule="auto"/>
              <w:ind w:left="530"/>
            </w:pPr>
            <w:r>
              <w:rPr>
                <w:spacing w:val="8"/>
              </w:rPr>
              <w:t>②省级园林绿化优质工程奖：</w:t>
            </w:r>
          </w:p>
          <w:p w14:paraId="492C19CE">
            <w:pPr>
              <w:pStyle w:val="15"/>
              <w:spacing w:before="166" w:line="228" w:lineRule="auto"/>
              <w:ind w:left="534"/>
            </w:pPr>
            <w:r>
              <w:rPr>
                <w:spacing w:val="3"/>
              </w:rPr>
              <w:t xml:space="preserve">投标人 </w:t>
            </w:r>
            <w:r>
              <w:rPr>
                <w:rFonts w:ascii="MS Gothic" w:hAnsi="MS Gothic" w:eastAsia="MS Gothic" w:cs="MS Gothic"/>
                <w:color w:val="0000FF"/>
                <w:spacing w:val="3"/>
              </w:rPr>
              <w:t>☑</w:t>
            </w:r>
            <w:r>
              <w:rPr>
                <w:spacing w:val="3"/>
              </w:rPr>
              <w:t>0</w:t>
            </w:r>
            <w:r>
              <w:rPr>
                <w:spacing w:val="-31"/>
              </w:rPr>
              <w:t xml:space="preserve"> </w:t>
            </w:r>
            <w:r>
              <w:rPr>
                <w:spacing w:val="3"/>
              </w:rPr>
              <w:t>个</w:t>
            </w:r>
            <w:r>
              <w:rPr>
                <w:spacing w:val="20"/>
              </w:rPr>
              <w:t xml:space="preserve">  </w:t>
            </w:r>
            <w:r>
              <w:rPr>
                <w:color w:val="0000FF"/>
                <w:spacing w:val="3"/>
              </w:rPr>
              <w:t>□</w:t>
            </w:r>
            <w:r>
              <w:rPr>
                <w:spacing w:val="3"/>
              </w:rPr>
              <w:t>1个</w:t>
            </w:r>
            <w:r>
              <w:rPr>
                <w:spacing w:val="20"/>
              </w:rPr>
              <w:t xml:space="preserve">  </w:t>
            </w:r>
            <w:r>
              <w:rPr>
                <w:color w:val="0000FF"/>
                <w:spacing w:val="3"/>
              </w:rPr>
              <w:t>□</w:t>
            </w:r>
            <w:r>
              <w:rPr>
                <w:spacing w:val="3"/>
              </w:rPr>
              <w:t>2</w:t>
            </w:r>
            <w:r>
              <w:rPr>
                <w:spacing w:val="-37"/>
              </w:rPr>
              <w:t xml:space="preserve"> </w:t>
            </w:r>
            <w:r>
              <w:rPr>
                <w:spacing w:val="3"/>
              </w:rPr>
              <w:t>个</w:t>
            </w:r>
            <w:r>
              <w:rPr>
                <w:spacing w:val="20"/>
              </w:rPr>
              <w:t xml:space="preserve">  </w:t>
            </w:r>
            <w:r>
              <w:rPr>
                <w:color w:val="0000FF"/>
                <w:spacing w:val="3"/>
              </w:rPr>
              <w:t>□</w:t>
            </w:r>
            <w:r>
              <w:rPr>
                <w:spacing w:val="3"/>
              </w:rPr>
              <w:t>3</w:t>
            </w:r>
            <w:r>
              <w:rPr>
                <w:spacing w:val="-38"/>
              </w:rPr>
              <w:t xml:space="preserve"> </w:t>
            </w:r>
            <w:r>
              <w:rPr>
                <w:spacing w:val="3"/>
              </w:rPr>
              <w:t>个</w:t>
            </w:r>
          </w:p>
          <w:p w14:paraId="3ED0864B">
            <w:pPr>
              <w:pStyle w:val="15"/>
              <w:spacing w:before="161" w:line="228" w:lineRule="auto"/>
              <w:ind w:left="535"/>
            </w:pPr>
            <w:r>
              <w:rPr>
                <w:spacing w:val="6"/>
              </w:rPr>
              <w:t>项目经理</w:t>
            </w:r>
            <w:r>
              <w:rPr>
                <w:spacing w:val="33"/>
              </w:rPr>
              <w:t xml:space="preserve"> </w:t>
            </w:r>
            <w:r>
              <w:rPr>
                <w:rFonts w:ascii="MS Gothic" w:hAnsi="MS Gothic" w:eastAsia="MS Gothic" w:cs="MS Gothic"/>
                <w:color w:val="0000FF"/>
                <w:spacing w:val="6"/>
              </w:rPr>
              <w:t xml:space="preserve">☑ </w:t>
            </w:r>
            <w:r>
              <w:rPr>
                <w:spacing w:val="6"/>
              </w:rPr>
              <w:t>0</w:t>
            </w:r>
            <w:r>
              <w:rPr>
                <w:spacing w:val="15"/>
              </w:rPr>
              <w:t xml:space="preserve"> </w:t>
            </w:r>
            <w:r>
              <w:rPr>
                <w:spacing w:val="6"/>
              </w:rPr>
              <w:t>个</w:t>
            </w:r>
            <w:r>
              <w:rPr>
                <w:spacing w:val="20"/>
              </w:rPr>
              <w:t xml:space="preserve">  </w:t>
            </w:r>
            <w:r>
              <w:rPr>
                <w:color w:val="0000FF"/>
                <w:spacing w:val="6"/>
              </w:rPr>
              <w:t>□</w:t>
            </w:r>
            <w:r>
              <w:rPr>
                <w:spacing w:val="6"/>
              </w:rPr>
              <w:t>1个</w:t>
            </w:r>
          </w:p>
          <w:p w14:paraId="5E7836E1">
            <w:pPr>
              <w:pStyle w:val="15"/>
              <w:spacing w:before="162" w:line="228" w:lineRule="auto"/>
              <w:ind w:left="542"/>
            </w:pPr>
            <w:r>
              <w:rPr>
                <w:spacing w:val="7"/>
              </w:rPr>
              <w:t>（2）标准化工地均不加分。</w:t>
            </w:r>
          </w:p>
          <w:p w14:paraId="21FDC0B5">
            <w:pPr>
              <w:pStyle w:val="15"/>
              <w:spacing w:before="160" w:line="227" w:lineRule="auto"/>
              <w:ind w:left="111"/>
            </w:pPr>
            <w:r>
              <w:rPr>
                <w:spacing w:val="8"/>
              </w:rPr>
              <w:t>4.绿色科技创新指标：</w:t>
            </w:r>
            <w:r>
              <w:rPr>
                <w:spacing w:val="-73"/>
              </w:rPr>
              <w:t xml:space="preserve"> </w:t>
            </w:r>
            <w:r>
              <w:rPr>
                <w:rFonts w:ascii="MS Gothic" w:hAnsi="MS Gothic" w:eastAsia="MS Gothic" w:cs="MS Gothic"/>
                <w:color w:val="0000FF"/>
                <w:spacing w:val="8"/>
              </w:rPr>
              <w:t>☑</w:t>
            </w:r>
            <w:r>
              <w:rPr>
                <w:spacing w:val="8"/>
              </w:rPr>
              <w:t>0</w:t>
            </w:r>
            <w:r>
              <w:rPr>
                <w:spacing w:val="-37"/>
              </w:rPr>
              <w:t xml:space="preserve"> </w:t>
            </w:r>
            <w:r>
              <w:rPr>
                <w:spacing w:val="8"/>
              </w:rPr>
              <w:t xml:space="preserve">分  </w:t>
            </w:r>
            <w:r>
              <w:rPr>
                <w:color w:val="0000FF"/>
                <w:spacing w:val="8"/>
              </w:rPr>
              <w:t>□</w:t>
            </w:r>
            <w:r>
              <w:rPr>
                <w:spacing w:val="8"/>
              </w:rPr>
              <w:t>1分</w:t>
            </w:r>
            <w:r>
              <w:rPr>
                <w:spacing w:val="20"/>
              </w:rPr>
              <w:t xml:space="preserve">  </w:t>
            </w:r>
            <w:r>
              <w:rPr>
                <w:color w:val="0000FF"/>
                <w:spacing w:val="8"/>
              </w:rPr>
              <w:t>□</w:t>
            </w:r>
            <w:r>
              <w:rPr>
                <w:spacing w:val="8"/>
              </w:rPr>
              <w:t>2分</w:t>
            </w:r>
            <w:r>
              <w:rPr>
                <w:spacing w:val="20"/>
              </w:rPr>
              <w:t xml:space="preserve">  </w:t>
            </w:r>
            <w:r>
              <w:rPr>
                <w:color w:val="0000FF"/>
                <w:spacing w:val="8"/>
              </w:rPr>
              <w:t>□</w:t>
            </w:r>
            <w:r>
              <w:rPr>
                <w:spacing w:val="7"/>
              </w:rPr>
              <w:t>3</w:t>
            </w:r>
            <w:r>
              <w:rPr>
                <w:spacing w:val="-35"/>
              </w:rPr>
              <w:t xml:space="preserve"> </w:t>
            </w:r>
            <w:r>
              <w:rPr>
                <w:spacing w:val="7"/>
              </w:rPr>
              <w:t>分</w:t>
            </w:r>
          </w:p>
          <w:p w14:paraId="115A6859">
            <w:pPr>
              <w:pStyle w:val="15"/>
              <w:spacing w:before="165" w:line="228" w:lineRule="auto"/>
              <w:ind w:left="553"/>
            </w:pPr>
            <w:r>
              <w:rPr>
                <w:color w:val="0000FF"/>
                <w:spacing w:val="7"/>
              </w:rPr>
              <w:t>□</w:t>
            </w:r>
            <w:r>
              <w:rPr>
                <w:spacing w:val="7"/>
              </w:rPr>
              <w:t>三星绿色建筑、二星绿色建筑</w:t>
            </w:r>
          </w:p>
          <w:p w14:paraId="3BB949EE">
            <w:pPr>
              <w:pStyle w:val="15"/>
              <w:spacing w:before="161" w:line="228" w:lineRule="auto"/>
              <w:ind w:left="553"/>
            </w:pPr>
            <w:r>
              <w:rPr>
                <w:color w:val="0000FF"/>
                <w:spacing w:val="7"/>
              </w:rPr>
              <w:t>□</w:t>
            </w:r>
            <w:r>
              <w:t>AAA</w:t>
            </w:r>
            <w:r>
              <w:rPr>
                <w:spacing w:val="-25"/>
              </w:rPr>
              <w:t xml:space="preserve"> </w:t>
            </w:r>
            <w:r>
              <w:rPr>
                <w:spacing w:val="7"/>
              </w:rPr>
              <w:t>级装配式建筑、</w:t>
            </w:r>
            <w:r>
              <w:t>AA</w:t>
            </w:r>
            <w:r>
              <w:rPr>
                <w:spacing w:val="-35"/>
              </w:rPr>
              <w:t xml:space="preserve"> </w:t>
            </w:r>
            <w:r>
              <w:rPr>
                <w:spacing w:val="7"/>
              </w:rPr>
              <w:t>级装配式建筑</w:t>
            </w:r>
          </w:p>
          <w:p w14:paraId="6D288390">
            <w:pPr>
              <w:pStyle w:val="15"/>
              <w:spacing w:before="161" w:line="228" w:lineRule="auto"/>
              <w:ind w:left="553"/>
            </w:pPr>
            <w:r>
              <w:rPr>
                <w:color w:val="0000FF"/>
                <w:spacing w:val="6"/>
              </w:rPr>
              <w:t>□</w:t>
            </w:r>
            <w:r>
              <w:rPr>
                <w:spacing w:val="6"/>
              </w:rPr>
              <w:t>省级绿色施工工程</w:t>
            </w:r>
          </w:p>
          <w:p w14:paraId="6911376B">
            <w:pPr>
              <w:pStyle w:val="15"/>
              <w:spacing w:before="161" w:line="228" w:lineRule="auto"/>
              <w:ind w:left="116"/>
            </w:pPr>
            <w:r>
              <w:rPr>
                <w:spacing w:val="2"/>
              </w:rPr>
              <w:t>5.</w:t>
            </w:r>
            <w:r>
              <w:rPr>
                <w:spacing w:val="15"/>
              </w:rPr>
              <w:t xml:space="preserve"> </w:t>
            </w:r>
            <w:r>
              <w:rPr>
                <w:spacing w:val="2"/>
              </w:rPr>
              <w:t>其他</w:t>
            </w:r>
            <w:r>
              <w:rPr>
                <w:color w:val="0000FF"/>
                <w:spacing w:val="2"/>
              </w:rPr>
              <w:t>/</w:t>
            </w:r>
          </w:p>
        </w:tc>
      </w:tr>
      <w:tr w14:paraId="30EB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069" w:type="dxa"/>
            <w:vAlign w:val="top"/>
          </w:tcPr>
          <w:p w14:paraId="62FE812B">
            <w:pPr>
              <w:spacing w:line="408" w:lineRule="auto"/>
              <w:rPr>
                <w:rFonts w:ascii="Arial"/>
                <w:sz w:val="21"/>
              </w:rPr>
            </w:pPr>
          </w:p>
          <w:p w14:paraId="1E09D6F4">
            <w:pPr>
              <w:pStyle w:val="15"/>
              <w:spacing w:before="65" w:line="190" w:lineRule="auto"/>
              <w:ind w:left="239"/>
            </w:pPr>
            <w:r>
              <w:rPr>
                <w:spacing w:val="1"/>
              </w:rPr>
              <w:t>10.2.1</w:t>
            </w:r>
          </w:p>
        </w:tc>
        <w:tc>
          <w:tcPr>
            <w:tcW w:w="1769" w:type="dxa"/>
            <w:vAlign w:val="top"/>
          </w:tcPr>
          <w:p w14:paraId="07A72960">
            <w:pPr>
              <w:spacing w:line="377" w:lineRule="auto"/>
              <w:rPr>
                <w:rFonts w:ascii="Arial"/>
                <w:sz w:val="21"/>
              </w:rPr>
            </w:pPr>
          </w:p>
          <w:p w14:paraId="0D1FAA28">
            <w:pPr>
              <w:pStyle w:val="15"/>
              <w:spacing w:before="65" w:line="226" w:lineRule="auto"/>
              <w:ind w:left="261"/>
            </w:pPr>
            <w:r>
              <w:rPr>
                <w:spacing w:val="7"/>
              </w:rPr>
              <w:t>最高投标限价</w:t>
            </w:r>
          </w:p>
        </w:tc>
        <w:tc>
          <w:tcPr>
            <w:tcW w:w="6436" w:type="dxa"/>
            <w:vAlign w:val="top"/>
          </w:tcPr>
          <w:p w14:paraId="1BDFEFDC">
            <w:pPr>
              <w:pStyle w:val="15"/>
              <w:spacing w:before="36" w:line="361" w:lineRule="auto"/>
              <w:ind w:left="111" w:right="108" w:firstLine="3"/>
            </w:pPr>
            <w:r>
              <w:rPr>
                <w:spacing w:val="9"/>
              </w:rPr>
              <w:t>最高投标限价总价：</w:t>
            </w:r>
            <w:r>
              <w:rPr>
                <w:color w:val="0000FF"/>
                <w:spacing w:val="9"/>
              </w:rPr>
              <w:t>¥</w:t>
            </w:r>
            <w:r>
              <w:rPr>
                <w:rFonts w:hint="eastAsia"/>
                <w:color w:val="0000FF"/>
                <w:spacing w:val="9"/>
              </w:rPr>
              <w:t>3640418.88</w:t>
            </w:r>
            <w:r>
              <w:rPr>
                <w:color w:val="0000FF"/>
                <w:spacing w:val="-36"/>
              </w:rPr>
              <w:t xml:space="preserve"> </w:t>
            </w:r>
            <w:r>
              <w:rPr>
                <w:color w:val="0000FF"/>
                <w:spacing w:val="9"/>
              </w:rPr>
              <w:t>元</w:t>
            </w:r>
            <w:r>
              <w:rPr>
                <w:color w:val="0000FF"/>
                <w:spacing w:val="-25"/>
              </w:rPr>
              <w:t>，（</w:t>
            </w:r>
            <w:r>
              <w:rPr>
                <w:color w:val="0000FF"/>
                <w:spacing w:val="9"/>
              </w:rPr>
              <w:t>大写：</w:t>
            </w:r>
            <w:r>
              <w:rPr>
                <w:rFonts w:hint="eastAsia"/>
                <w:color w:val="0000FF"/>
                <w:spacing w:val="9"/>
              </w:rPr>
              <w:t>叁佰陆拾肆万零肆佰壹拾捌元捌角捌分</w:t>
            </w:r>
            <w:r>
              <w:rPr>
                <w:color w:val="0000FF"/>
                <w:spacing w:val="19"/>
              </w:rPr>
              <w:t>）</w:t>
            </w:r>
          </w:p>
          <w:p w14:paraId="5176E44A">
            <w:pPr>
              <w:pStyle w:val="15"/>
              <w:spacing w:before="33" w:line="226" w:lineRule="auto"/>
              <w:ind w:left="114"/>
            </w:pPr>
            <w:r>
              <w:rPr>
                <w:spacing w:val="7"/>
              </w:rPr>
              <w:t>最高投标限价应公布的内容详见“第五章 工程量清单</w:t>
            </w:r>
            <w:r>
              <w:rPr>
                <w:spacing w:val="-68"/>
              </w:rPr>
              <w:t xml:space="preserve"> </w:t>
            </w:r>
            <w:r>
              <w:rPr>
                <w:spacing w:val="7"/>
              </w:rPr>
              <w:t>”第</w:t>
            </w:r>
            <w:r>
              <w:rPr>
                <w:spacing w:val="-36"/>
              </w:rPr>
              <w:t xml:space="preserve"> </w:t>
            </w:r>
            <w:r>
              <w:rPr>
                <w:spacing w:val="7"/>
              </w:rPr>
              <w:t>2.3.3</w:t>
            </w:r>
            <w:r>
              <w:rPr>
                <w:spacing w:val="-38"/>
              </w:rPr>
              <w:t xml:space="preserve"> </w:t>
            </w:r>
            <w:r>
              <w:rPr>
                <w:spacing w:val="7"/>
              </w:rPr>
              <w:t>款</w:t>
            </w:r>
          </w:p>
        </w:tc>
      </w:tr>
      <w:tr w14:paraId="595B3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069" w:type="dxa"/>
            <w:vAlign w:val="top"/>
          </w:tcPr>
          <w:p w14:paraId="442186BB">
            <w:pPr>
              <w:pStyle w:val="15"/>
              <w:spacing w:before="285" w:line="190" w:lineRule="auto"/>
              <w:ind w:left="239"/>
            </w:pPr>
            <w:r>
              <w:rPr>
                <w:spacing w:val="1"/>
              </w:rPr>
              <w:t>10.2.2</w:t>
            </w:r>
          </w:p>
        </w:tc>
        <w:tc>
          <w:tcPr>
            <w:tcW w:w="1769" w:type="dxa"/>
            <w:vAlign w:val="top"/>
          </w:tcPr>
          <w:p w14:paraId="48B51E2C">
            <w:pPr>
              <w:pStyle w:val="15"/>
              <w:spacing w:before="48" w:line="363" w:lineRule="auto"/>
              <w:ind w:left="679" w:right="255" w:hanging="418"/>
            </w:pPr>
            <w:r>
              <w:rPr>
                <w:spacing w:val="7"/>
              </w:rPr>
              <w:t>投标报价计税</w:t>
            </w:r>
            <w:r>
              <w:rPr>
                <w:spacing w:val="4"/>
              </w:rPr>
              <w:t xml:space="preserve"> 方式</w:t>
            </w:r>
          </w:p>
        </w:tc>
        <w:tc>
          <w:tcPr>
            <w:tcW w:w="6436" w:type="dxa"/>
            <w:vAlign w:val="top"/>
          </w:tcPr>
          <w:p w14:paraId="5DEE7506">
            <w:pPr>
              <w:pStyle w:val="15"/>
              <w:spacing w:before="49" w:line="228" w:lineRule="auto"/>
              <w:ind w:left="120"/>
            </w:pPr>
            <w:r>
              <w:rPr>
                <w:rFonts w:ascii="MS Gothic" w:hAnsi="MS Gothic" w:eastAsia="MS Gothic" w:cs="MS Gothic"/>
                <w:color w:val="0000FF"/>
                <w:spacing w:val="7"/>
              </w:rPr>
              <w:t>☑</w:t>
            </w:r>
            <w:r>
              <w:rPr>
                <w:spacing w:val="7"/>
              </w:rPr>
              <w:t>一般计税法</w:t>
            </w:r>
          </w:p>
          <w:p w14:paraId="0E03ABD8">
            <w:pPr>
              <w:pStyle w:val="15"/>
              <w:spacing w:before="160" w:line="227" w:lineRule="auto"/>
              <w:ind w:left="133"/>
            </w:pPr>
            <w:r>
              <w:rPr>
                <w:color w:val="0000FF"/>
                <w:spacing w:val="5"/>
              </w:rPr>
              <w:t>□</w:t>
            </w:r>
            <w:r>
              <w:rPr>
                <w:spacing w:val="5"/>
              </w:rPr>
              <w:t>简易计税法</w:t>
            </w:r>
          </w:p>
        </w:tc>
      </w:tr>
      <w:tr w14:paraId="36B0E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1069" w:type="dxa"/>
            <w:vAlign w:val="top"/>
          </w:tcPr>
          <w:p w14:paraId="78041C2C">
            <w:pPr>
              <w:spacing w:line="407" w:lineRule="auto"/>
              <w:rPr>
                <w:rFonts w:ascii="Arial"/>
                <w:sz w:val="21"/>
              </w:rPr>
            </w:pPr>
          </w:p>
          <w:p w14:paraId="36BE3EB9">
            <w:pPr>
              <w:pStyle w:val="15"/>
              <w:spacing w:before="65" w:line="190" w:lineRule="auto"/>
              <w:ind w:left="239"/>
            </w:pPr>
            <w:r>
              <w:rPr>
                <w:spacing w:val="1"/>
              </w:rPr>
              <w:t>10.2.3</w:t>
            </w:r>
          </w:p>
        </w:tc>
        <w:tc>
          <w:tcPr>
            <w:tcW w:w="1769" w:type="dxa"/>
            <w:vAlign w:val="top"/>
          </w:tcPr>
          <w:p w14:paraId="30FD682F">
            <w:pPr>
              <w:pStyle w:val="15"/>
              <w:spacing w:before="36" w:line="365" w:lineRule="auto"/>
              <w:ind w:left="111" w:right="38" w:firstLine="42"/>
              <w:jc w:val="both"/>
            </w:pPr>
            <w:r>
              <w:rPr>
                <w:spacing w:val="8"/>
              </w:rPr>
              <w:t>联合体奖项、标</w:t>
            </w:r>
            <w:r>
              <w:rPr>
                <w:spacing w:val="1"/>
              </w:rPr>
              <w:t xml:space="preserve">  </w:t>
            </w:r>
            <w:r>
              <w:rPr>
                <w:spacing w:val="14"/>
              </w:rPr>
              <w:t>准化工地、加分</w:t>
            </w:r>
            <w:r>
              <w:rPr>
                <w:spacing w:val="1"/>
              </w:rPr>
              <w:t xml:space="preserve">  业绩、信用评价、</w:t>
            </w:r>
          </w:p>
        </w:tc>
        <w:tc>
          <w:tcPr>
            <w:tcW w:w="6436" w:type="dxa"/>
            <w:vAlign w:val="top"/>
          </w:tcPr>
          <w:p w14:paraId="5F25E807">
            <w:pPr>
              <w:pStyle w:val="15"/>
              <w:spacing w:before="36" w:line="365" w:lineRule="auto"/>
              <w:ind w:left="9" w:right="108" w:firstLine="211"/>
              <w:jc w:val="both"/>
            </w:pPr>
            <w:r>
              <w:rPr>
                <w:spacing w:val="14"/>
              </w:rPr>
              <w:t>招标项目存在不同类型工程内容的,招标人应根据项</w:t>
            </w:r>
            <w:r>
              <w:rPr>
                <w:spacing w:val="13"/>
              </w:rPr>
              <w:t>目实际情况在</w:t>
            </w:r>
            <w:r>
              <w:t xml:space="preserve"> </w:t>
            </w:r>
            <w:r>
              <w:rPr>
                <w:spacing w:val="7"/>
              </w:rPr>
              <w:t>招标文件中明确主要类型（专业）,奖项、标准化工地、</w:t>
            </w:r>
            <w:r>
              <w:rPr>
                <w:spacing w:val="6"/>
              </w:rPr>
              <w:t>加分业绩、信</w:t>
            </w:r>
            <w:r>
              <w:t xml:space="preserve"> </w:t>
            </w:r>
            <w:r>
              <w:rPr>
                <w:spacing w:val="10"/>
              </w:rPr>
              <w:t>用评价、综合优良率、绿色科技创新得分为联合体主要类型(专业)单</w:t>
            </w:r>
          </w:p>
        </w:tc>
      </w:tr>
    </w:tbl>
    <w:p w14:paraId="04C0A52B">
      <w:pPr>
        <w:pStyle w:val="6"/>
      </w:pPr>
    </w:p>
    <w:p w14:paraId="3FD7E334">
      <w:pPr>
        <w:sectPr>
          <w:footerReference r:id="rId9" w:type="default"/>
          <w:pgSz w:w="11907" w:h="16840"/>
          <w:pgMar w:top="1020" w:right="1612" w:bottom="1029" w:left="1015" w:header="0" w:footer="850" w:gutter="0"/>
          <w:pgNumType w:fmt="decimal"/>
          <w:cols w:space="720" w:num="1"/>
        </w:sectPr>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769"/>
        <w:gridCol w:w="6436"/>
      </w:tblGrid>
      <w:tr w14:paraId="712C6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69" w:type="dxa"/>
            <w:vAlign w:val="top"/>
          </w:tcPr>
          <w:p w14:paraId="72C0E134">
            <w:pPr>
              <w:pStyle w:val="15"/>
              <w:spacing w:before="68" w:line="228" w:lineRule="auto"/>
              <w:ind w:left="225"/>
            </w:pPr>
            <w:r>
              <w:rPr>
                <w:spacing w:val="6"/>
              </w:rPr>
              <w:t>条款号</w:t>
            </w:r>
          </w:p>
        </w:tc>
        <w:tc>
          <w:tcPr>
            <w:tcW w:w="1769" w:type="dxa"/>
            <w:vAlign w:val="top"/>
          </w:tcPr>
          <w:p w14:paraId="586753FC">
            <w:pPr>
              <w:pStyle w:val="15"/>
              <w:spacing w:before="68" w:line="228" w:lineRule="auto"/>
              <w:ind w:left="469"/>
            </w:pPr>
            <w:r>
              <w:rPr>
                <w:spacing w:val="6"/>
              </w:rPr>
              <w:t>条款名称</w:t>
            </w:r>
          </w:p>
        </w:tc>
        <w:tc>
          <w:tcPr>
            <w:tcW w:w="6436" w:type="dxa"/>
            <w:vAlign w:val="top"/>
          </w:tcPr>
          <w:p w14:paraId="10FCE63A">
            <w:pPr>
              <w:pStyle w:val="15"/>
              <w:spacing w:before="68" w:line="228" w:lineRule="auto"/>
              <w:ind w:left="2962"/>
            </w:pPr>
            <w:r>
              <w:rPr>
                <w:spacing w:val="6"/>
              </w:rPr>
              <w:t>编列内容</w:t>
            </w:r>
          </w:p>
        </w:tc>
      </w:tr>
      <w:tr w14:paraId="2AB9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69" w:type="dxa"/>
            <w:vAlign w:val="top"/>
          </w:tcPr>
          <w:p w14:paraId="354CFDA0">
            <w:pPr>
              <w:rPr>
                <w:rFonts w:ascii="Arial"/>
                <w:sz w:val="21"/>
              </w:rPr>
            </w:pPr>
          </w:p>
        </w:tc>
        <w:tc>
          <w:tcPr>
            <w:tcW w:w="1769" w:type="dxa"/>
            <w:vAlign w:val="top"/>
          </w:tcPr>
          <w:p w14:paraId="36389D90">
            <w:pPr>
              <w:pStyle w:val="15"/>
              <w:spacing w:before="30" w:line="228" w:lineRule="auto"/>
              <w:ind w:left="155"/>
            </w:pPr>
            <w:r>
              <w:rPr>
                <w:spacing w:val="8"/>
              </w:rPr>
              <w:t>综合优良率、绿</w:t>
            </w:r>
          </w:p>
          <w:p w14:paraId="3A05EEAF">
            <w:pPr>
              <w:pStyle w:val="15"/>
              <w:spacing w:before="161" w:line="227" w:lineRule="auto"/>
              <w:ind w:left="155"/>
            </w:pPr>
            <w:r>
              <w:rPr>
                <w:spacing w:val="8"/>
              </w:rPr>
              <w:t>色科技创新得分</w:t>
            </w:r>
          </w:p>
          <w:p w14:paraId="22385B91">
            <w:pPr>
              <w:pStyle w:val="15"/>
              <w:spacing w:before="162" w:line="228" w:lineRule="auto"/>
              <w:ind w:left="381"/>
            </w:pPr>
            <w:r>
              <w:rPr>
                <w:spacing w:val="4"/>
              </w:rPr>
              <w:t>的计分方式</w:t>
            </w:r>
          </w:p>
        </w:tc>
        <w:tc>
          <w:tcPr>
            <w:tcW w:w="6436" w:type="dxa"/>
            <w:vAlign w:val="top"/>
          </w:tcPr>
          <w:p w14:paraId="48B155EF">
            <w:pPr>
              <w:pStyle w:val="15"/>
              <w:spacing w:before="31" w:line="227" w:lineRule="auto"/>
              <w:ind w:left="9"/>
            </w:pPr>
            <w:r>
              <w:rPr>
                <w:spacing w:val="8"/>
              </w:rPr>
              <w:t>位的得分。本项目主要类型（专业</w:t>
            </w:r>
            <w:r>
              <w:rPr>
                <w:spacing w:val="20"/>
              </w:rPr>
              <w:t>）：</w:t>
            </w:r>
            <w:r>
              <w:rPr>
                <w:color w:val="0000FF"/>
                <w:spacing w:val="8"/>
              </w:rPr>
              <w:t>/</w:t>
            </w:r>
          </w:p>
          <w:p w14:paraId="5C47659C">
            <w:pPr>
              <w:pStyle w:val="15"/>
              <w:spacing w:before="161" w:line="366" w:lineRule="auto"/>
              <w:ind w:left="9" w:right="108" w:firstLine="212"/>
              <w:jc w:val="both"/>
            </w:pPr>
            <w:r>
              <w:rPr>
                <w:spacing w:val="10"/>
              </w:rPr>
              <w:t>联合体中同一类型(专业)或者主要类型（专业）的施工企业有两家</w:t>
            </w:r>
            <w:r>
              <w:t xml:space="preserve"> </w:t>
            </w:r>
            <w:r>
              <w:rPr>
                <w:spacing w:val="7"/>
              </w:rPr>
              <w:t>以上的,奖项、标准化工地、加分业绩、信用评价、综</w:t>
            </w:r>
            <w:r>
              <w:rPr>
                <w:spacing w:val="6"/>
              </w:rPr>
              <w:t>合优良率、绿色</w:t>
            </w:r>
            <w:r>
              <w:t xml:space="preserve"> </w:t>
            </w:r>
            <w:r>
              <w:rPr>
                <w:spacing w:val="9"/>
              </w:rPr>
              <w:t>科技创新得分分别为该类型(专业)联合体各方得分的平均</w:t>
            </w:r>
            <w:r>
              <w:rPr>
                <w:spacing w:val="8"/>
              </w:rPr>
              <w:t>值。</w:t>
            </w:r>
          </w:p>
        </w:tc>
      </w:tr>
      <w:tr w14:paraId="3E787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9" w:hRule="atLeast"/>
        </w:trPr>
        <w:tc>
          <w:tcPr>
            <w:tcW w:w="1069" w:type="dxa"/>
            <w:vAlign w:val="top"/>
          </w:tcPr>
          <w:p w14:paraId="38907226">
            <w:pPr>
              <w:spacing w:line="253" w:lineRule="auto"/>
              <w:rPr>
                <w:rFonts w:ascii="Arial"/>
                <w:sz w:val="21"/>
              </w:rPr>
            </w:pPr>
          </w:p>
          <w:p w14:paraId="7196B2A9">
            <w:pPr>
              <w:spacing w:line="253" w:lineRule="auto"/>
              <w:rPr>
                <w:rFonts w:ascii="Arial"/>
                <w:sz w:val="21"/>
              </w:rPr>
            </w:pPr>
          </w:p>
          <w:p w14:paraId="74C20560">
            <w:pPr>
              <w:spacing w:line="253" w:lineRule="auto"/>
              <w:rPr>
                <w:rFonts w:ascii="Arial"/>
                <w:sz w:val="21"/>
              </w:rPr>
            </w:pPr>
          </w:p>
          <w:p w14:paraId="5ECB22C5">
            <w:pPr>
              <w:spacing w:line="253" w:lineRule="auto"/>
              <w:rPr>
                <w:rFonts w:ascii="Arial"/>
                <w:sz w:val="21"/>
              </w:rPr>
            </w:pPr>
          </w:p>
          <w:p w14:paraId="05148A77">
            <w:pPr>
              <w:spacing w:line="253" w:lineRule="auto"/>
              <w:rPr>
                <w:rFonts w:ascii="Arial"/>
                <w:sz w:val="21"/>
              </w:rPr>
            </w:pPr>
          </w:p>
          <w:p w14:paraId="561E846F">
            <w:pPr>
              <w:spacing w:line="253" w:lineRule="auto"/>
              <w:rPr>
                <w:rFonts w:ascii="Arial"/>
                <w:sz w:val="21"/>
              </w:rPr>
            </w:pPr>
          </w:p>
          <w:p w14:paraId="71CFE20B">
            <w:pPr>
              <w:spacing w:line="254" w:lineRule="auto"/>
              <w:rPr>
                <w:rFonts w:ascii="Arial"/>
                <w:sz w:val="21"/>
              </w:rPr>
            </w:pPr>
          </w:p>
          <w:p w14:paraId="4DCCB27F">
            <w:pPr>
              <w:spacing w:line="254" w:lineRule="auto"/>
              <w:rPr>
                <w:rFonts w:ascii="Arial"/>
                <w:sz w:val="21"/>
              </w:rPr>
            </w:pPr>
          </w:p>
          <w:p w14:paraId="0CAF9731">
            <w:pPr>
              <w:spacing w:line="254" w:lineRule="auto"/>
              <w:rPr>
                <w:rFonts w:ascii="Arial"/>
                <w:sz w:val="21"/>
              </w:rPr>
            </w:pPr>
          </w:p>
          <w:p w14:paraId="68E06217">
            <w:pPr>
              <w:spacing w:line="254" w:lineRule="auto"/>
              <w:rPr>
                <w:rFonts w:ascii="Arial"/>
                <w:sz w:val="21"/>
              </w:rPr>
            </w:pPr>
          </w:p>
          <w:p w14:paraId="64C2BCAD">
            <w:pPr>
              <w:spacing w:line="254" w:lineRule="auto"/>
              <w:rPr>
                <w:rFonts w:ascii="Arial"/>
                <w:sz w:val="21"/>
              </w:rPr>
            </w:pPr>
          </w:p>
          <w:p w14:paraId="6A2AA3D2">
            <w:pPr>
              <w:spacing w:line="254" w:lineRule="auto"/>
              <w:rPr>
                <w:rFonts w:ascii="Arial"/>
                <w:sz w:val="21"/>
              </w:rPr>
            </w:pPr>
          </w:p>
          <w:p w14:paraId="3644A9A6">
            <w:pPr>
              <w:pStyle w:val="15"/>
              <w:spacing w:before="65" w:line="190" w:lineRule="auto"/>
              <w:ind w:left="239"/>
            </w:pPr>
            <w:r>
              <w:rPr>
                <w:spacing w:val="1"/>
              </w:rPr>
              <w:t>10.2.4</w:t>
            </w:r>
          </w:p>
        </w:tc>
        <w:tc>
          <w:tcPr>
            <w:tcW w:w="1769" w:type="dxa"/>
            <w:vAlign w:val="top"/>
          </w:tcPr>
          <w:p w14:paraId="60BFF1DF">
            <w:pPr>
              <w:spacing w:line="260" w:lineRule="auto"/>
              <w:rPr>
                <w:rFonts w:ascii="Arial"/>
                <w:sz w:val="21"/>
              </w:rPr>
            </w:pPr>
          </w:p>
          <w:p w14:paraId="637407E7">
            <w:pPr>
              <w:spacing w:line="260" w:lineRule="auto"/>
              <w:rPr>
                <w:rFonts w:ascii="Arial"/>
                <w:sz w:val="21"/>
              </w:rPr>
            </w:pPr>
          </w:p>
          <w:p w14:paraId="1A551BC9">
            <w:pPr>
              <w:spacing w:line="260" w:lineRule="auto"/>
              <w:rPr>
                <w:rFonts w:ascii="Arial"/>
                <w:sz w:val="21"/>
              </w:rPr>
            </w:pPr>
          </w:p>
          <w:p w14:paraId="73652D12">
            <w:pPr>
              <w:spacing w:line="260" w:lineRule="auto"/>
              <w:rPr>
                <w:rFonts w:ascii="Arial"/>
                <w:sz w:val="21"/>
              </w:rPr>
            </w:pPr>
          </w:p>
          <w:p w14:paraId="078D8395">
            <w:pPr>
              <w:spacing w:line="260" w:lineRule="auto"/>
              <w:rPr>
                <w:rFonts w:ascii="Arial"/>
                <w:sz w:val="21"/>
              </w:rPr>
            </w:pPr>
          </w:p>
          <w:p w14:paraId="704E16F0">
            <w:pPr>
              <w:spacing w:line="261" w:lineRule="auto"/>
              <w:rPr>
                <w:rFonts w:ascii="Arial"/>
                <w:sz w:val="21"/>
              </w:rPr>
            </w:pPr>
          </w:p>
          <w:p w14:paraId="7831215E">
            <w:pPr>
              <w:spacing w:line="261" w:lineRule="auto"/>
              <w:rPr>
                <w:rFonts w:ascii="Arial"/>
                <w:sz w:val="21"/>
              </w:rPr>
            </w:pPr>
          </w:p>
          <w:p w14:paraId="7593823F">
            <w:pPr>
              <w:spacing w:line="261" w:lineRule="auto"/>
              <w:rPr>
                <w:rFonts w:ascii="Arial"/>
                <w:sz w:val="21"/>
              </w:rPr>
            </w:pPr>
          </w:p>
          <w:p w14:paraId="11865A0E">
            <w:pPr>
              <w:spacing w:line="261" w:lineRule="auto"/>
              <w:rPr>
                <w:rFonts w:ascii="Arial"/>
                <w:sz w:val="21"/>
              </w:rPr>
            </w:pPr>
          </w:p>
          <w:p w14:paraId="044EF539">
            <w:pPr>
              <w:spacing w:line="261" w:lineRule="auto"/>
              <w:rPr>
                <w:rFonts w:ascii="Arial"/>
                <w:sz w:val="21"/>
              </w:rPr>
            </w:pPr>
          </w:p>
          <w:p w14:paraId="5F1D516D">
            <w:pPr>
              <w:pStyle w:val="15"/>
              <w:spacing w:before="65" w:line="226" w:lineRule="auto"/>
              <w:ind w:left="151"/>
            </w:pPr>
            <w:r>
              <w:rPr>
                <w:spacing w:val="8"/>
              </w:rPr>
              <w:t>进入投标报价评</w:t>
            </w:r>
          </w:p>
          <w:p w14:paraId="4E2D2D68">
            <w:pPr>
              <w:pStyle w:val="15"/>
              <w:spacing w:before="162" w:line="228" w:lineRule="auto"/>
              <w:ind w:left="164"/>
            </w:pPr>
            <w:r>
              <w:rPr>
                <w:spacing w:val="7"/>
              </w:rPr>
              <w:t>审阶段投标人数</w:t>
            </w:r>
          </w:p>
          <w:p w14:paraId="5AB9F84C">
            <w:pPr>
              <w:pStyle w:val="15"/>
              <w:spacing w:before="164" w:line="228" w:lineRule="auto"/>
              <w:ind w:left="258"/>
            </w:pPr>
            <w:r>
              <w:rPr>
                <w:spacing w:val="8"/>
              </w:rPr>
              <w:t>量的确定方式</w:t>
            </w:r>
          </w:p>
        </w:tc>
        <w:tc>
          <w:tcPr>
            <w:tcW w:w="6436" w:type="dxa"/>
            <w:vAlign w:val="top"/>
          </w:tcPr>
          <w:p w14:paraId="608F80B3">
            <w:pPr>
              <w:pStyle w:val="15"/>
              <w:spacing w:before="32" w:line="226" w:lineRule="auto"/>
              <w:ind w:left="127"/>
            </w:pPr>
            <w:r>
              <w:rPr>
                <w:spacing w:val="7"/>
              </w:rPr>
              <w:t>1.采用经评审的最低投标价法评标的：</w:t>
            </w:r>
          </w:p>
          <w:p w14:paraId="584A8F4F">
            <w:pPr>
              <w:pStyle w:val="15"/>
              <w:spacing w:before="162" w:line="228" w:lineRule="auto"/>
              <w:ind w:left="133"/>
            </w:pPr>
            <w:r>
              <w:rPr>
                <w:rFonts w:hint="eastAsia"/>
                <w:color w:val="0000FF"/>
                <w:spacing w:val="7"/>
                <w:lang w:eastAsia="zh-CN"/>
              </w:rPr>
              <w:t>☑</w:t>
            </w:r>
            <w:r>
              <w:rPr>
                <w:spacing w:val="7"/>
              </w:rPr>
              <w:t>对所有合格投标人进入下一步评审；</w:t>
            </w:r>
          </w:p>
          <w:p w14:paraId="794FEC70">
            <w:pPr>
              <w:pStyle w:val="15"/>
              <w:spacing w:before="161" w:line="370" w:lineRule="auto"/>
              <w:ind w:left="111" w:firstLine="8"/>
            </w:pPr>
            <w:r>
              <w:rPr>
                <w:rFonts w:hint="eastAsia" w:ascii="MS Gothic" w:hAnsi="MS Gothic" w:eastAsia="宋体" w:cs="MS Gothic"/>
                <w:color w:val="0000FF"/>
                <w:spacing w:val="4"/>
                <w:lang w:eastAsia="zh-CN"/>
              </w:rPr>
              <w:t>□</w:t>
            </w:r>
            <w:r>
              <w:rPr>
                <w:spacing w:val="4"/>
              </w:rPr>
              <w:t>合格投标人超过</w:t>
            </w:r>
            <w:r>
              <w:rPr>
                <w:spacing w:val="-36"/>
              </w:rPr>
              <w:t xml:space="preserve"> </w:t>
            </w:r>
            <w:r>
              <w:rPr>
                <w:spacing w:val="4"/>
              </w:rPr>
              <w:t>25</w:t>
            </w:r>
            <w:r>
              <w:rPr>
                <w:spacing w:val="-40"/>
              </w:rPr>
              <w:t xml:space="preserve"> </w:t>
            </w:r>
            <w:r>
              <w:rPr>
                <w:spacing w:val="4"/>
              </w:rPr>
              <w:t>个的（不足</w:t>
            </w:r>
            <w:r>
              <w:rPr>
                <w:spacing w:val="-35"/>
              </w:rPr>
              <w:t xml:space="preserve"> </w:t>
            </w:r>
            <w:r>
              <w:rPr>
                <w:spacing w:val="4"/>
              </w:rPr>
              <w:t>25</w:t>
            </w:r>
            <w:r>
              <w:rPr>
                <w:spacing w:val="-38"/>
              </w:rPr>
              <w:t xml:space="preserve"> </w:t>
            </w:r>
            <w:r>
              <w:rPr>
                <w:spacing w:val="4"/>
              </w:rPr>
              <w:t>个时，全部进入投标报价评审</w:t>
            </w:r>
            <w:r>
              <w:rPr>
                <w:spacing w:val="-31"/>
              </w:rPr>
              <w:t>），</w:t>
            </w:r>
            <w:r>
              <w:t xml:space="preserve"> </w:t>
            </w:r>
            <w:r>
              <w:rPr>
                <w:spacing w:val="8"/>
              </w:rPr>
              <w:t>按照投标报价由低至高的顺序确定</w:t>
            </w:r>
            <w:r>
              <w:rPr>
                <w:spacing w:val="-17"/>
              </w:rPr>
              <w:t xml:space="preserve"> </w:t>
            </w:r>
            <w:r>
              <w:rPr>
                <w:spacing w:val="8"/>
              </w:rPr>
              <w:t>25</w:t>
            </w:r>
            <w:r>
              <w:rPr>
                <w:spacing w:val="-41"/>
              </w:rPr>
              <w:t xml:space="preserve"> </w:t>
            </w:r>
            <w:r>
              <w:rPr>
                <w:spacing w:val="8"/>
              </w:rPr>
              <w:t>个投标人进入下一步评审，报</w:t>
            </w:r>
            <w:r>
              <w:t xml:space="preserve">  </w:t>
            </w:r>
            <w:r>
              <w:rPr>
                <w:spacing w:val="8"/>
              </w:rPr>
              <w:t>价相同无法确定前</w:t>
            </w:r>
            <w:r>
              <w:rPr>
                <w:spacing w:val="-17"/>
              </w:rPr>
              <w:t xml:space="preserve"> </w:t>
            </w:r>
            <w:r>
              <w:rPr>
                <w:spacing w:val="8"/>
              </w:rPr>
              <w:t>25</w:t>
            </w:r>
            <w:r>
              <w:rPr>
                <w:spacing w:val="-41"/>
              </w:rPr>
              <w:t xml:space="preserve"> </w:t>
            </w:r>
            <w:r>
              <w:rPr>
                <w:spacing w:val="8"/>
              </w:rPr>
              <w:t>个投标人时，其末位投标人报价相同的全部进</w:t>
            </w:r>
            <w:r>
              <w:t xml:space="preserve">  </w:t>
            </w:r>
            <w:r>
              <w:rPr>
                <w:spacing w:val="6"/>
              </w:rPr>
              <w:t>入下一步评审。</w:t>
            </w:r>
          </w:p>
          <w:p w14:paraId="70CCD9DA">
            <w:pPr>
              <w:pStyle w:val="15"/>
              <w:spacing w:before="31" w:line="226" w:lineRule="auto"/>
              <w:ind w:left="114"/>
            </w:pPr>
            <w:r>
              <w:rPr>
                <w:spacing w:val="7"/>
              </w:rPr>
              <w:t>2.采用综合评估法评标的：</w:t>
            </w:r>
          </w:p>
          <w:p w14:paraId="2D96CC43">
            <w:pPr>
              <w:pStyle w:val="15"/>
              <w:spacing w:before="163" w:line="226" w:lineRule="auto"/>
              <w:ind w:left="133"/>
            </w:pPr>
            <w:r>
              <w:rPr>
                <w:color w:val="0000FF"/>
                <w:spacing w:val="7"/>
              </w:rPr>
              <w:t>□</w:t>
            </w:r>
            <w:r>
              <w:rPr>
                <w:spacing w:val="7"/>
              </w:rPr>
              <w:t>对所有合格投标人进入投标报价评审；</w:t>
            </w:r>
          </w:p>
          <w:p w14:paraId="5A010ADD">
            <w:pPr>
              <w:pStyle w:val="15"/>
              <w:spacing w:before="169" w:line="372" w:lineRule="auto"/>
              <w:ind w:left="112" w:right="37" w:firstLine="21"/>
            </w:pPr>
            <w:r>
              <w:rPr>
                <w:color w:val="0000FF"/>
                <w:spacing w:val="13"/>
              </w:rPr>
              <w:t>□</w:t>
            </w:r>
            <w:r>
              <w:rPr>
                <w:spacing w:val="13"/>
              </w:rPr>
              <w:t>按照企业资信及履约能力评审得分与施工组织设计评审得分乘以</w:t>
            </w:r>
            <w:r>
              <w:rPr>
                <w:spacing w:val="8"/>
              </w:rPr>
              <w:t xml:space="preserve"> </w:t>
            </w:r>
            <w:r>
              <w:rPr>
                <w:spacing w:val="16"/>
              </w:rPr>
              <w:t>相应权重之和由高至低的顺序确定</w:t>
            </w:r>
            <w:r>
              <w:rPr>
                <w:spacing w:val="-14"/>
              </w:rPr>
              <w:t xml:space="preserve"> </w:t>
            </w:r>
            <w:r>
              <w:rPr>
                <w:spacing w:val="16"/>
              </w:rPr>
              <w:t>15</w:t>
            </w:r>
            <w:r>
              <w:rPr>
                <w:spacing w:val="-34"/>
              </w:rPr>
              <w:t xml:space="preserve"> </w:t>
            </w:r>
            <w:r>
              <w:rPr>
                <w:spacing w:val="16"/>
              </w:rPr>
              <w:t>个投</w:t>
            </w:r>
            <w:r>
              <w:rPr>
                <w:spacing w:val="15"/>
              </w:rPr>
              <w:t>标人进行投标报价评审</w:t>
            </w:r>
            <w:r>
              <w:t xml:space="preserve"> </w:t>
            </w:r>
            <w:r>
              <w:rPr>
                <w:spacing w:val="6"/>
              </w:rPr>
              <w:t>（不足</w:t>
            </w:r>
            <w:r>
              <w:rPr>
                <w:spacing w:val="-23"/>
              </w:rPr>
              <w:t xml:space="preserve"> </w:t>
            </w:r>
            <w:r>
              <w:rPr>
                <w:spacing w:val="6"/>
              </w:rPr>
              <w:t>15</w:t>
            </w:r>
            <w:r>
              <w:rPr>
                <w:spacing w:val="-38"/>
              </w:rPr>
              <w:t xml:space="preserve"> </w:t>
            </w:r>
            <w:r>
              <w:rPr>
                <w:spacing w:val="6"/>
              </w:rPr>
              <w:t>个时，全部进入投标报价评审</w:t>
            </w:r>
            <w:r>
              <w:rPr>
                <w:spacing w:val="9"/>
              </w:rPr>
              <w:t>），</w:t>
            </w:r>
            <w:r>
              <w:rPr>
                <w:spacing w:val="6"/>
              </w:rPr>
              <w:t>得分相同无法确定前</w:t>
            </w:r>
            <w:r>
              <w:rPr>
                <w:spacing w:val="-21"/>
              </w:rPr>
              <w:t xml:space="preserve"> </w:t>
            </w:r>
            <w:r>
              <w:rPr>
                <w:spacing w:val="6"/>
              </w:rPr>
              <w:t>15</w:t>
            </w:r>
            <w:r>
              <w:t xml:space="preserve"> </w:t>
            </w:r>
            <w:r>
              <w:rPr>
                <w:spacing w:val="7"/>
              </w:rPr>
              <w:t>个投标人时，其末位投标人得分相同的全部进入投标报价评审</w:t>
            </w:r>
            <w:r>
              <w:rPr>
                <w:spacing w:val="6"/>
              </w:rPr>
              <w:t>。其中</w:t>
            </w:r>
            <w:r>
              <w:t xml:space="preserve"> </w:t>
            </w:r>
            <w:r>
              <w:rPr>
                <w:spacing w:val="5"/>
              </w:rPr>
              <w:t>最高投标限价</w:t>
            </w:r>
            <w:r>
              <w:rPr>
                <w:spacing w:val="-32"/>
              </w:rPr>
              <w:t xml:space="preserve"> </w:t>
            </w:r>
            <w:r>
              <w:rPr>
                <w:spacing w:val="5"/>
              </w:rPr>
              <w:t>5000</w:t>
            </w:r>
            <w:r>
              <w:rPr>
                <w:spacing w:val="-36"/>
              </w:rPr>
              <w:t xml:space="preserve"> </w:t>
            </w:r>
            <w:r>
              <w:rPr>
                <w:spacing w:val="5"/>
              </w:rPr>
              <w:t>万元以下的项目，再</w:t>
            </w:r>
            <w:r>
              <w:rPr>
                <w:spacing w:val="4"/>
              </w:rPr>
              <w:t>从本次投标得分排名</w:t>
            </w:r>
            <w:r>
              <w:rPr>
                <w:spacing w:val="-32"/>
              </w:rPr>
              <w:t xml:space="preserve"> </w:t>
            </w:r>
            <w:r>
              <w:rPr>
                <w:spacing w:val="4"/>
              </w:rPr>
              <w:t>50</w:t>
            </w:r>
            <w:r>
              <w:rPr>
                <w:spacing w:val="-40"/>
              </w:rPr>
              <w:t xml:space="preserve"> </w:t>
            </w:r>
            <w:r>
              <w:rPr>
                <w:spacing w:val="4"/>
              </w:rPr>
              <w:t>个以</w:t>
            </w:r>
            <w:r>
              <w:t xml:space="preserve"> </w:t>
            </w:r>
            <w:r>
              <w:rPr>
                <w:spacing w:val="6"/>
              </w:rPr>
              <w:t>内的剩余合格投标人中随机抽取</w:t>
            </w:r>
            <w:r>
              <w:rPr>
                <w:spacing w:val="-33"/>
              </w:rPr>
              <w:t xml:space="preserve"> </w:t>
            </w:r>
            <w:r>
              <w:rPr>
                <w:spacing w:val="6"/>
              </w:rPr>
              <w:t>5</w:t>
            </w:r>
            <w:r>
              <w:rPr>
                <w:spacing w:val="-37"/>
              </w:rPr>
              <w:t xml:space="preserve"> </w:t>
            </w:r>
            <w:r>
              <w:rPr>
                <w:spacing w:val="6"/>
              </w:rPr>
              <w:t>个投标人进入投标报价评审</w:t>
            </w:r>
            <w:r>
              <w:rPr>
                <w:spacing w:val="5"/>
              </w:rPr>
              <w:t>，得分</w:t>
            </w:r>
            <w:r>
              <w:t xml:space="preserve"> </w:t>
            </w:r>
            <w:r>
              <w:rPr>
                <w:spacing w:val="9"/>
              </w:rPr>
              <w:t>相同无法确定排名</w:t>
            </w:r>
            <w:r>
              <w:rPr>
                <w:spacing w:val="-23"/>
              </w:rPr>
              <w:t xml:space="preserve"> </w:t>
            </w:r>
            <w:r>
              <w:rPr>
                <w:spacing w:val="9"/>
              </w:rPr>
              <w:t>50</w:t>
            </w:r>
            <w:r>
              <w:rPr>
                <w:spacing w:val="-41"/>
              </w:rPr>
              <w:t xml:space="preserve"> </w:t>
            </w:r>
            <w:r>
              <w:rPr>
                <w:spacing w:val="9"/>
              </w:rPr>
              <w:t>个以内时，其末位投标人得分相同的全部纳入</w:t>
            </w:r>
            <w:r>
              <w:t xml:space="preserve"> </w:t>
            </w:r>
            <w:r>
              <w:rPr>
                <w:spacing w:val="2"/>
              </w:rPr>
              <w:t>随机抽取范围，剩余合格投标人不足</w:t>
            </w:r>
            <w:r>
              <w:rPr>
                <w:spacing w:val="-35"/>
              </w:rPr>
              <w:t xml:space="preserve"> </w:t>
            </w:r>
            <w:r>
              <w:rPr>
                <w:spacing w:val="2"/>
              </w:rPr>
              <w:t>5</w:t>
            </w:r>
            <w:r>
              <w:rPr>
                <w:spacing w:val="-38"/>
              </w:rPr>
              <w:t xml:space="preserve"> </w:t>
            </w:r>
            <w:r>
              <w:rPr>
                <w:spacing w:val="2"/>
              </w:rPr>
              <w:t>个的，全部</w:t>
            </w:r>
            <w:r>
              <w:rPr>
                <w:spacing w:val="1"/>
              </w:rPr>
              <w:t>进入投标报价评审。</w:t>
            </w:r>
          </w:p>
        </w:tc>
      </w:tr>
      <w:tr w14:paraId="22F8C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1069" w:type="dxa"/>
            <w:vAlign w:val="top"/>
          </w:tcPr>
          <w:p w14:paraId="26EB3BC7">
            <w:pPr>
              <w:spacing w:line="270" w:lineRule="auto"/>
              <w:rPr>
                <w:rFonts w:ascii="Arial"/>
                <w:sz w:val="21"/>
              </w:rPr>
            </w:pPr>
          </w:p>
          <w:p w14:paraId="03D751DF">
            <w:pPr>
              <w:spacing w:line="270" w:lineRule="auto"/>
              <w:rPr>
                <w:rFonts w:ascii="Arial"/>
                <w:sz w:val="21"/>
              </w:rPr>
            </w:pPr>
          </w:p>
          <w:p w14:paraId="5E50F15A">
            <w:pPr>
              <w:spacing w:line="271" w:lineRule="auto"/>
              <w:rPr>
                <w:rFonts w:ascii="Arial"/>
                <w:sz w:val="21"/>
              </w:rPr>
            </w:pPr>
          </w:p>
          <w:p w14:paraId="14B5CDE2">
            <w:pPr>
              <w:spacing w:line="271" w:lineRule="auto"/>
              <w:rPr>
                <w:rFonts w:ascii="Arial"/>
                <w:sz w:val="21"/>
              </w:rPr>
            </w:pPr>
          </w:p>
          <w:p w14:paraId="5A667976">
            <w:pPr>
              <w:spacing w:line="271" w:lineRule="auto"/>
              <w:rPr>
                <w:rFonts w:ascii="Arial"/>
                <w:sz w:val="21"/>
              </w:rPr>
            </w:pPr>
          </w:p>
          <w:p w14:paraId="56589689">
            <w:pPr>
              <w:spacing w:line="271" w:lineRule="auto"/>
              <w:rPr>
                <w:rFonts w:ascii="Arial"/>
                <w:sz w:val="21"/>
              </w:rPr>
            </w:pPr>
          </w:p>
          <w:p w14:paraId="6B29BFBF">
            <w:pPr>
              <w:pStyle w:val="15"/>
              <w:spacing w:before="65" w:line="190" w:lineRule="auto"/>
              <w:ind w:left="345"/>
            </w:pPr>
            <w:r>
              <w:rPr>
                <w:spacing w:val="-1"/>
              </w:rPr>
              <w:t>10.3</w:t>
            </w:r>
          </w:p>
        </w:tc>
        <w:tc>
          <w:tcPr>
            <w:tcW w:w="1769" w:type="dxa"/>
            <w:vAlign w:val="top"/>
          </w:tcPr>
          <w:p w14:paraId="556C11A3">
            <w:pPr>
              <w:spacing w:line="278" w:lineRule="auto"/>
              <w:rPr>
                <w:rFonts w:ascii="Arial"/>
                <w:sz w:val="21"/>
              </w:rPr>
            </w:pPr>
            <w:r>
              <w:drawing>
                <wp:anchor distT="0" distB="0" distL="0" distR="0" simplePos="0" relativeHeight="251661312" behindDoc="1" locked="0" layoutInCell="1" allowOverlap="1">
                  <wp:simplePos x="0" y="0"/>
                  <wp:positionH relativeFrom="rightMargin">
                    <wp:posOffset>-27305</wp:posOffset>
                  </wp:positionH>
                  <wp:positionV relativeFrom="topMargin">
                    <wp:posOffset>909320</wp:posOffset>
                  </wp:positionV>
                  <wp:extent cx="29210" cy="17272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2"/>
                          <a:stretch>
                            <a:fillRect/>
                          </a:stretch>
                        </pic:blipFill>
                        <pic:spPr>
                          <a:xfrm>
                            <a:off x="0" y="0"/>
                            <a:ext cx="29210" cy="172719"/>
                          </a:xfrm>
                          <a:prstGeom prst="rect">
                            <a:avLst/>
                          </a:prstGeom>
                        </pic:spPr>
                      </pic:pic>
                    </a:graphicData>
                  </a:graphic>
                </wp:anchor>
              </w:drawing>
            </w:r>
          </w:p>
          <w:p w14:paraId="485DD868">
            <w:pPr>
              <w:spacing w:line="278" w:lineRule="auto"/>
              <w:rPr>
                <w:rFonts w:ascii="Arial"/>
                <w:sz w:val="21"/>
              </w:rPr>
            </w:pPr>
          </w:p>
          <w:p w14:paraId="53218657">
            <w:pPr>
              <w:spacing w:line="278" w:lineRule="auto"/>
              <w:rPr>
                <w:rFonts w:ascii="Arial"/>
                <w:sz w:val="21"/>
              </w:rPr>
            </w:pPr>
          </w:p>
          <w:p w14:paraId="4C255D3C">
            <w:pPr>
              <w:spacing w:line="278" w:lineRule="auto"/>
              <w:rPr>
                <w:rFonts w:ascii="Arial"/>
                <w:sz w:val="21"/>
              </w:rPr>
            </w:pPr>
          </w:p>
          <w:p w14:paraId="635C35DA">
            <w:pPr>
              <w:spacing w:line="278" w:lineRule="auto"/>
              <w:rPr>
                <w:rFonts w:ascii="Arial"/>
                <w:sz w:val="21"/>
              </w:rPr>
            </w:pPr>
          </w:p>
          <w:p w14:paraId="28181244">
            <w:pPr>
              <w:pStyle w:val="15"/>
              <w:spacing w:before="65" w:line="362" w:lineRule="auto"/>
              <w:ind w:left="590" w:right="255" w:hanging="332"/>
            </w:pPr>
            <w:r>
              <w:rPr>
                <w:spacing w:val="8"/>
              </w:rPr>
              <w:t>施工组织设计</w:t>
            </w:r>
            <w:r>
              <w:rPr>
                <w:spacing w:val="1"/>
              </w:rPr>
              <w:t xml:space="preserve"> 的评审</w:t>
            </w:r>
          </w:p>
        </w:tc>
        <w:tc>
          <w:tcPr>
            <w:tcW w:w="6436" w:type="dxa"/>
            <w:vAlign w:val="top"/>
          </w:tcPr>
          <w:p w14:paraId="77B0EF28">
            <w:pPr>
              <w:pStyle w:val="15"/>
              <w:spacing w:before="35" w:line="228" w:lineRule="auto"/>
              <w:ind w:left="111"/>
            </w:pPr>
            <w:r>
              <w:rPr>
                <w:spacing w:val="9"/>
              </w:rPr>
              <w:t>施工组织设计编制要求</w:t>
            </w:r>
          </w:p>
          <w:p w14:paraId="71EFF955">
            <w:pPr>
              <w:pStyle w:val="15"/>
              <w:spacing w:before="160" w:line="228" w:lineRule="auto"/>
              <w:ind w:left="439"/>
            </w:pPr>
            <w:r>
              <w:rPr>
                <w:rFonts w:hint="eastAsia" w:ascii="MS Gothic" w:hAnsi="MS Gothic" w:eastAsia="宋体" w:cs="MS Gothic"/>
                <w:color w:val="0000FF"/>
                <w:spacing w:val="7"/>
                <w:lang w:eastAsia="zh-CN"/>
              </w:rPr>
              <w:t>□</w:t>
            </w:r>
            <w:r>
              <w:rPr>
                <w:spacing w:val="7"/>
              </w:rPr>
              <w:t>不要求编制施工组织设计。</w:t>
            </w:r>
          </w:p>
          <w:p w14:paraId="50ED6A1F">
            <w:pPr>
              <w:pStyle w:val="15"/>
              <w:spacing w:before="161" w:line="327" w:lineRule="auto"/>
              <w:ind w:left="7" w:firstLine="438"/>
            </w:pPr>
            <w:r>
              <w:rPr>
                <w:rFonts w:hint="eastAsia"/>
                <w:color w:val="0000FF"/>
                <w:spacing w:val="6"/>
                <w:lang w:eastAsia="zh-CN"/>
              </w:rPr>
              <w:t>☑</w:t>
            </w:r>
            <w:r>
              <w:rPr>
                <w:spacing w:val="6"/>
              </w:rPr>
              <w:t>要求编制施工组织设计，采用合格性评审方式，投标人应按照</w:t>
            </w:r>
            <w:r>
              <w:rPr>
                <w:spacing w:val="4"/>
              </w:rPr>
              <w:t xml:space="preserve">   </w:t>
            </w:r>
            <w:r>
              <w:rPr>
                <w:spacing w:val="6"/>
              </w:rPr>
              <w:t>第八章投标文件格式第三节“施工组织设计格式（明标）的编制要求</w:t>
            </w:r>
            <w:r>
              <w:rPr>
                <w:spacing w:val="-64"/>
              </w:rPr>
              <w:t xml:space="preserve"> </w:t>
            </w:r>
            <w:r>
              <w:rPr>
                <w:spacing w:val="6"/>
              </w:rPr>
              <w:t>”</w:t>
            </w:r>
            <w:r>
              <w:t xml:space="preserve"> </w:t>
            </w:r>
            <w:r>
              <w:rPr>
                <w:spacing w:val="4"/>
              </w:rPr>
              <w:t>进行编制。</w:t>
            </w:r>
          </w:p>
          <w:p w14:paraId="005BFA0C">
            <w:pPr>
              <w:pStyle w:val="15"/>
              <w:spacing w:before="160" w:line="328" w:lineRule="auto"/>
              <w:ind w:left="10" w:right="108" w:firstLine="442"/>
            </w:pPr>
            <w:r>
              <w:rPr>
                <w:color w:val="0000FF"/>
                <w:spacing w:val="9"/>
              </w:rPr>
              <w:t>□</w:t>
            </w:r>
            <w:r>
              <w:rPr>
                <w:spacing w:val="9"/>
              </w:rPr>
              <w:t>要求编制施工组织设计，采用计分评审方式，投标人应按照第</w:t>
            </w:r>
            <w:r>
              <w:rPr>
                <w:spacing w:val="16"/>
              </w:rPr>
              <w:t xml:space="preserve"> </w:t>
            </w:r>
            <w:r>
              <w:rPr>
                <w:spacing w:val="9"/>
              </w:rPr>
              <w:t>八章投标文件格式第三节“施工组织设计格式（暗标）的要求</w:t>
            </w:r>
            <w:r>
              <w:rPr>
                <w:spacing w:val="-60"/>
              </w:rPr>
              <w:t xml:space="preserve"> </w:t>
            </w:r>
            <w:r>
              <w:rPr>
                <w:spacing w:val="9"/>
              </w:rPr>
              <w:t>”进行</w:t>
            </w:r>
            <w:r>
              <w:t xml:space="preserve"> </w:t>
            </w:r>
            <w:r>
              <w:rPr>
                <w:spacing w:val="2"/>
              </w:rPr>
              <w:t>编制。</w:t>
            </w:r>
          </w:p>
          <w:p w14:paraId="2EE39CC8">
            <w:pPr>
              <w:pStyle w:val="15"/>
              <w:spacing w:before="161" w:line="228" w:lineRule="auto"/>
              <w:ind w:left="430"/>
            </w:pPr>
            <w:r>
              <w:rPr>
                <w:spacing w:val="8"/>
              </w:rPr>
              <w:t>施工组织设计页数：不超过</w:t>
            </w:r>
            <w:r>
              <w:rPr>
                <w:color w:val="0000FF"/>
                <w:spacing w:val="8"/>
              </w:rPr>
              <w:t>/</w:t>
            </w:r>
            <w:r>
              <w:rPr>
                <w:spacing w:val="8"/>
              </w:rPr>
              <w:t>页。</w:t>
            </w:r>
          </w:p>
        </w:tc>
      </w:tr>
      <w:tr w14:paraId="5D51C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069" w:type="dxa"/>
            <w:vAlign w:val="top"/>
          </w:tcPr>
          <w:p w14:paraId="3DCFC848">
            <w:pPr>
              <w:spacing w:line="405" w:lineRule="auto"/>
              <w:rPr>
                <w:rFonts w:ascii="Arial"/>
                <w:sz w:val="21"/>
              </w:rPr>
            </w:pPr>
          </w:p>
          <w:p w14:paraId="3D0F5998">
            <w:pPr>
              <w:pStyle w:val="15"/>
              <w:spacing w:before="65" w:line="190" w:lineRule="auto"/>
              <w:ind w:left="345"/>
            </w:pPr>
            <w:r>
              <w:rPr>
                <w:spacing w:val="-1"/>
              </w:rPr>
              <w:t>10.4</w:t>
            </w:r>
          </w:p>
        </w:tc>
        <w:tc>
          <w:tcPr>
            <w:tcW w:w="1769" w:type="dxa"/>
            <w:vAlign w:val="top"/>
          </w:tcPr>
          <w:p w14:paraId="7EBA0E66">
            <w:pPr>
              <w:pStyle w:val="15"/>
              <w:spacing w:before="237" w:line="228" w:lineRule="auto"/>
              <w:ind w:left="471"/>
            </w:pPr>
            <w:r>
              <w:rPr>
                <w:spacing w:val="6"/>
              </w:rPr>
              <w:t>是否实行</w:t>
            </w:r>
          </w:p>
          <w:p w14:paraId="08F04F5F">
            <w:pPr>
              <w:pStyle w:val="15"/>
              <w:spacing w:before="160" w:line="227" w:lineRule="auto"/>
              <w:ind w:left="153"/>
            </w:pPr>
            <w:r>
              <w:rPr>
                <w:spacing w:val="8"/>
              </w:rPr>
              <w:t>计算机辅助评标</w:t>
            </w:r>
          </w:p>
        </w:tc>
        <w:tc>
          <w:tcPr>
            <w:tcW w:w="6436" w:type="dxa"/>
            <w:vAlign w:val="top"/>
          </w:tcPr>
          <w:p w14:paraId="6E4740F9">
            <w:pPr>
              <w:pStyle w:val="15"/>
              <w:spacing w:before="33" w:line="228" w:lineRule="auto"/>
              <w:ind w:left="133"/>
            </w:pPr>
            <w:r>
              <w:rPr>
                <w:rFonts w:hint="eastAsia"/>
                <w:color w:val="0000FF"/>
                <w:spacing w:val="-5"/>
                <w:lang w:eastAsia="zh-CN"/>
              </w:rPr>
              <w:t>☑</w:t>
            </w:r>
            <w:r>
              <w:rPr>
                <w:spacing w:val="-5"/>
              </w:rPr>
              <w:t>否</w:t>
            </w:r>
          </w:p>
          <w:p w14:paraId="4AA80762">
            <w:pPr>
              <w:pStyle w:val="15"/>
              <w:spacing w:before="161" w:line="359" w:lineRule="auto"/>
              <w:ind w:left="111" w:right="110" w:firstLine="8"/>
            </w:pPr>
            <w:r>
              <w:rPr>
                <w:rFonts w:hint="eastAsia" w:ascii="MS Gothic" w:hAnsi="MS Gothic" w:cs="MS Gothic"/>
                <w:color w:val="0000FF"/>
                <w:spacing w:val="5"/>
                <w:lang w:eastAsia="zh-CN"/>
              </w:rPr>
              <w:t>□</w:t>
            </w:r>
            <w:r>
              <w:rPr>
                <w:spacing w:val="5"/>
              </w:rPr>
              <w:t>是，按投标人须知附件</w:t>
            </w:r>
            <w:r>
              <w:rPr>
                <w:spacing w:val="-19"/>
              </w:rPr>
              <w:t xml:space="preserve"> </w:t>
            </w:r>
            <w:r>
              <w:rPr>
                <w:spacing w:val="5"/>
              </w:rPr>
              <w:t>2-1“</w:t>
            </w:r>
            <w:r>
              <w:rPr>
                <w:spacing w:val="-68"/>
              </w:rPr>
              <w:t xml:space="preserve"> </w:t>
            </w:r>
            <w:r>
              <w:rPr>
                <w:spacing w:val="5"/>
              </w:rPr>
              <w:t>电子投标文件编制及报送要求</w:t>
            </w:r>
            <w:r>
              <w:rPr>
                <w:spacing w:val="-70"/>
              </w:rPr>
              <w:t xml:space="preserve"> </w:t>
            </w:r>
            <w:r>
              <w:rPr>
                <w:spacing w:val="5"/>
              </w:rPr>
              <w:t>”编制</w:t>
            </w:r>
            <w:r>
              <w:t xml:space="preserve"> </w:t>
            </w:r>
            <w:r>
              <w:rPr>
                <w:spacing w:val="8"/>
              </w:rPr>
              <w:t>及报送电子投标文件。计算机辅助评标方法见投标人</w:t>
            </w:r>
            <w:r>
              <w:rPr>
                <w:spacing w:val="7"/>
              </w:rPr>
              <w:t>须知附件</w:t>
            </w:r>
            <w:r>
              <w:rPr>
                <w:spacing w:val="-36"/>
              </w:rPr>
              <w:t xml:space="preserve"> </w:t>
            </w:r>
            <w:r>
              <w:rPr>
                <w:spacing w:val="7"/>
              </w:rPr>
              <w:t>2-4。</w:t>
            </w:r>
          </w:p>
        </w:tc>
      </w:tr>
      <w:tr w14:paraId="1710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069" w:type="dxa"/>
            <w:vAlign w:val="top"/>
          </w:tcPr>
          <w:p w14:paraId="2A452BB2">
            <w:pPr>
              <w:pStyle w:val="15"/>
              <w:spacing w:before="270" w:line="190" w:lineRule="auto"/>
              <w:ind w:left="345"/>
            </w:pPr>
            <w:r>
              <w:rPr>
                <w:spacing w:val="-1"/>
              </w:rPr>
              <w:t>10.5</w:t>
            </w:r>
          </w:p>
        </w:tc>
        <w:tc>
          <w:tcPr>
            <w:tcW w:w="1769" w:type="dxa"/>
            <w:vAlign w:val="top"/>
          </w:tcPr>
          <w:p w14:paraId="5830112C">
            <w:pPr>
              <w:pStyle w:val="15"/>
              <w:spacing w:before="33" w:line="360" w:lineRule="auto"/>
              <w:ind w:left="152" w:right="149" w:firstLine="4"/>
            </w:pPr>
            <w:r>
              <w:rPr>
                <w:spacing w:val="8"/>
              </w:rPr>
              <w:t>是否要求投标人</w:t>
            </w:r>
            <w:r>
              <w:t xml:space="preserve"> </w:t>
            </w:r>
            <w:r>
              <w:rPr>
                <w:spacing w:val="8"/>
              </w:rPr>
              <w:t>代表出席开标会</w:t>
            </w:r>
          </w:p>
        </w:tc>
        <w:tc>
          <w:tcPr>
            <w:tcW w:w="6436" w:type="dxa"/>
            <w:vAlign w:val="top"/>
          </w:tcPr>
          <w:p w14:paraId="2F9A3175">
            <w:pPr>
              <w:pStyle w:val="15"/>
              <w:spacing w:before="0" w:line="228" w:lineRule="auto"/>
              <w:ind w:left="113"/>
            </w:pPr>
            <w:r>
              <w:rPr>
                <w:rFonts w:hint="eastAsia" w:ascii="宋体" w:hAnsi="宋体" w:eastAsia="宋体" w:cs="宋体"/>
                <w:b/>
                <w:bCs/>
                <w:color w:val="auto"/>
                <w:highlight w:val="none"/>
              </w:rPr>
              <w:t>投标人必须由企业法定代表人或拟任本项目</w:t>
            </w:r>
            <w:r>
              <w:rPr>
                <w:rFonts w:hint="eastAsia" w:ascii="宋体" w:hAnsi="宋体" w:eastAsia="宋体" w:cs="宋体"/>
                <w:b/>
                <w:bCs/>
                <w:color w:val="auto"/>
                <w:highlight w:val="none"/>
                <w:lang w:val="en-US" w:eastAsia="zh-CN"/>
              </w:rPr>
              <w:t>经理</w:t>
            </w:r>
            <w:r>
              <w:rPr>
                <w:rFonts w:hint="eastAsia" w:ascii="宋体" w:hAnsi="宋体" w:eastAsia="宋体" w:cs="宋体"/>
                <w:b/>
                <w:bCs/>
                <w:color w:val="auto"/>
                <w:highlight w:val="none"/>
              </w:rPr>
              <w:t>到场参加投标，并出示第二代身份证原件、</w:t>
            </w:r>
            <w:r>
              <w:rPr>
                <w:rFonts w:hint="eastAsia" w:ascii="宋体" w:hAnsi="宋体" w:eastAsia="宋体" w:cs="宋体"/>
                <w:b/>
                <w:bCs/>
                <w:color w:val="auto"/>
                <w:highlight w:val="none"/>
                <w:lang w:eastAsia="zh-CN"/>
              </w:rPr>
              <w:t>法定代表身份证明或法定代表身份证明和</w:t>
            </w:r>
            <w:r>
              <w:rPr>
                <w:rFonts w:hint="eastAsia" w:ascii="宋体" w:hAnsi="宋体" w:eastAsia="宋体" w:cs="宋体"/>
                <w:b/>
                <w:bCs/>
                <w:color w:val="auto"/>
                <w:highlight w:val="none"/>
              </w:rPr>
              <w:t>授权委托书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否则招标人不予受理,投标无效。委托代理人必须是本招标项目的拟任项目经理</w:t>
            </w:r>
          </w:p>
        </w:tc>
      </w:tr>
    </w:tbl>
    <w:p w14:paraId="35AEB304">
      <w:pPr>
        <w:pStyle w:val="6"/>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769"/>
        <w:gridCol w:w="6436"/>
      </w:tblGrid>
      <w:tr w14:paraId="01EA3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69" w:type="dxa"/>
            <w:vAlign w:val="top"/>
          </w:tcPr>
          <w:p w14:paraId="2D605534">
            <w:pPr>
              <w:pStyle w:val="15"/>
              <w:spacing w:before="68" w:line="228" w:lineRule="auto"/>
              <w:ind w:left="225"/>
            </w:pPr>
            <w:r>
              <w:rPr>
                <w:spacing w:val="6"/>
              </w:rPr>
              <w:t>条款号</w:t>
            </w:r>
          </w:p>
        </w:tc>
        <w:tc>
          <w:tcPr>
            <w:tcW w:w="1769" w:type="dxa"/>
            <w:vAlign w:val="top"/>
          </w:tcPr>
          <w:p w14:paraId="67D3FDC2">
            <w:pPr>
              <w:pStyle w:val="15"/>
              <w:spacing w:before="68" w:line="228" w:lineRule="auto"/>
              <w:ind w:left="469"/>
            </w:pPr>
            <w:r>
              <w:rPr>
                <w:spacing w:val="6"/>
              </w:rPr>
              <w:t>条款名称</w:t>
            </w:r>
          </w:p>
        </w:tc>
        <w:tc>
          <w:tcPr>
            <w:tcW w:w="6436" w:type="dxa"/>
            <w:vAlign w:val="top"/>
          </w:tcPr>
          <w:p w14:paraId="1A8ADCC4">
            <w:pPr>
              <w:pStyle w:val="15"/>
              <w:spacing w:before="68" w:line="228" w:lineRule="auto"/>
              <w:ind w:left="2962"/>
            </w:pPr>
            <w:r>
              <w:rPr>
                <w:spacing w:val="6"/>
              </w:rPr>
              <w:t>编列内容</w:t>
            </w:r>
          </w:p>
        </w:tc>
      </w:tr>
      <w:tr w14:paraId="2C140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069" w:type="dxa"/>
            <w:vAlign w:val="top"/>
          </w:tcPr>
          <w:p w14:paraId="57058FD0">
            <w:pPr>
              <w:pStyle w:val="15"/>
              <w:spacing w:before="284" w:line="190" w:lineRule="auto"/>
              <w:ind w:left="345"/>
            </w:pPr>
            <w:r>
              <w:rPr>
                <w:spacing w:val="-1"/>
              </w:rPr>
              <w:t>10.6</w:t>
            </w:r>
          </w:p>
        </w:tc>
        <w:tc>
          <w:tcPr>
            <w:tcW w:w="1769" w:type="dxa"/>
            <w:vAlign w:val="top"/>
          </w:tcPr>
          <w:p w14:paraId="3E3C6C3A">
            <w:pPr>
              <w:pStyle w:val="15"/>
              <w:spacing w:before="253" w:line="228" w:lineRule="auto"/>
              <w:ind w:left="698"/>
            </w:pPr>
            <w:r>
              <w:rPr>
                <w:spacing w:val="2"/>
              </w:rPr>
              <w:t>中标公示</w:t>
            </w:r>
          </w:p>
        </w:tc>
        <w:tc>
          <w:tcPr>
            <w:tcW w:w="6436" w:type="dxa"/>
            <w:vAlign w:val="top"/>
          </w:tcPr>
          <w:p w14:paraId="4DF3FACC">
            <w:pPr>
              <w:pStyle w:val="15"/>
              <w:spacing w:before="49" w:line="361" w:lineRule="auto"/>
              <w:ind w:left="12" w:right="108" w:firstLine="208"/>
            </w:pPr>
            <w:r>
              <w:rPr>
                <w:spacing w:val="8"/>
              </w:rPr>
              <w:t>招标人收到评标报告之日起</w:t>
            </w:r>
            <w:r>
              <w:rPr>
                <w:spacing w:val="-35"/>
              </w:rPr>
              <w:t xml:space="preserve"> </w:t>
            </w:r>
            <w:r>
              <w:rPr>
                <w:spacing w:val="8"/>
              </w:rPr>
              <w:t>3 日内，将中标候选人的情</w:t>
            </w:r>
            <w:r>
              <w:rPr>
                <w:spacing w:val="7"/>
              </w:rPr>
              <w:t>况在本招标</w:t>
            </w:r>
            <w:r>
              <w:t xml:space="preserve"> </w:t>
            </w:r>
            <w:r>
              <w:rPr>
                <w:spacing w:val="8"/>
              </w:rPr>
              <w:t>项目招标公告发布的同一媒介予以公示，公示期不少于</w:t>
            </w:r>
            <w:r>
              <w:rPr>
                <w:spacing w:val="-26"/>
              </w:rPr>
              <w:t xml:space="preserve"> </w:t>
            </w:r>
            <w:r>
              <w:rPr>
                <w:spacing w:val="8"/>
              </w:rPr>
              <w:t>3</w:t>
            </w:r>
            <w:r>
              <w:rPr>
                <w:spacing w:val="-38"/>
              </w:rPr>
              <w:t xml:space="preserve"> </w:t>
            </w:r>
            <w:r>
              <w:rPr>
                <w:spacing w:val="8"/>
              </w:rPr>
              <w:t>个工作日。</w:t>
            </w:r>
          </w:p>
        </w:tc>
      </w:tr>
      <w:tr w14:paraId="33971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069" w:type="dxa"/>
            <w:vAlign w:val="top"/>
          </w:tcPr>
          <w:p w14:paraId="05CF7CCE">
            <w:pPr>
              <w:spacing w:line="403" w:lineRule="auto"/>
              <w:rPr>
                <w:rFonts w:ascii="Arial"/>
                <w:sz w:val="21"/>
              </w:rPr>
            </w:pPr>
          </w:p>
          <w:p w14:paraId="3AB37402">
            <w:pPr>
              <w:pStyle w:val="15"/>
              <w:spacing w:before="65" w:line="190" w:lineRule="auto"/>
              <w:ind w:left="345"/>
            </w:pPr>
            <w:r>
              <w:rPr>
                <w:spacing w:val="-1"/>
              </w:rPr>
              <w:t>10.7</w:t>
            </w:r>
          </w:p>
        </w:tc>
        <w:tc>
          <w:tcPr>
            <w:tcW w:w="1769" w:type="dxa"/>
            <w:vAlign w:val="top"/>
          </w:tcPr>
          <w:p w14:paraId="78AEEC24">
            <w:pPr>
              <w:pStyle w:val="15"/>
              <w:spacing w:before="234" w:line="363" w:lineRule="auto"/>
              <w:ind w:left="679" w:right="255" w:hanging="417"/>
            </w:pPr>
            <w:r>
              <w:rPr>
                <w:spacing w:val="7"/>
              </w:rPr>
              <w:t>省外入湘登记</w:t>
            </w:r>
            <w:r>
              <w:rPr>
                <w:spacing w:val="3"/>
              </w:rPr>
              <w:t xml:space="preserve"> </w:t>
            </w:r>
            <w:r>
              <w:rPr>
                <w:spacing w:val="4"/>
              </w:rPr>
              <w:t>要求</w:t>
            </w:r>
          </w:p>
        </w:tc>
        <w:tc>
          <w:tcPr>
            <w:tcW w:w="6436" w:type="dxa"/>
            <w:vAlign w:val="top"/>
          </w:tcPr>
          <w:p w14:paraId="5E0C1A84">
            <w:pPr>
              <w:pStyle w:val="15"/>
              <w:spacing w:before="30" w:line="366" w:lineRule="auto"/>
              <w:ind w:left="113" w:right="8" w:firstLine="2"/>
              <w:jc w:val="both"/>
            </w:pPr>
            <w:r>
              <w:rPr>
                <w:spacing w:val="6"/>
              </w:rPr>
              <w:t>省外施工入湘企业在“湖南省住房和城乡建设网</w:t>
            </w:r>
            <w:r>
              <w:rPr>
                <w:spacing w:val="-70"/>
              </w:rPr>
              <w:t xml:space="preserve"> </w:t>
            </w:r>
            <w:r>
              <w:rPr>
                <w:spacing w:val="6"/>
              </w:rPr>
              <w:t>”进</w:t>
            </w:r>
            <w:r>
              <w:rPr>
                <w:spacing w:val="5"/>
              </w:rPr>
              <w:t>行基本信息登记</w:t>
            </w:r>
            <w:r>
              <w:t xml:space="preserve">  </w:t>
            </w:r>
            <w:r>
              <w:rPr>
                <w:spacing w:val="16"/>
              </w:rPr>
              <w:t>（按照招标文件第七章投标文件格式第一节“投标函及附录格式</w:t>
            </w:r>
            <w:r>
              <w:rPr>
                <w:spacing w:val="-56"/>
              </w:rPr>
              <w:t xml:space="preserve"> </w:t>
            </w:r>
            <w:r>
              <w:rPr>
                <w:spacing w:val="16"/>
              </w:rPr>
              <w:t>”</w:t>
            </w:r>
            <w:r>
              <w:t xml:space="preserve"> </w:t>
            </w:r>
            <w:r>
              <w:rPr>
                <w:spacing w:val="7"/>
              </w:rPr>
              <w:t>规定提供查询网页截图）。</w:t>
            </w:r>
          </w:p>
        </w:tc>
      </w:tr>
      <w:tr w14:paraId="797BC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69" w:type="dxa"/>
            <w:vAlign w:val="top"/>
          </w:tcPr>
          <w:p w14:paraId="672A2398">
            <w:pPr>
              <w:pStyle w:val="15"/>
              <w:spacing w:before="268" w:line="190" w:lineRule="auto"/>
              <w:ind w:left="345"/>
            </w:pPr>
            <w:r>
              <w:rPr>
                <w:spacing w:val="-1"/>
              </w:rPr>
              <w:t>10.8</w:t>
            </w:r>
          </w:p>
        </w:tc>
        <w:tc>
          <w:tcPr>
            <w:tcW w:w="1769" w:type="dxa"/>
            <w:vAlign w:val="top"/>
          </w:tcPr>
          <w:p w14:paraId="2DC16C47">
            <w:pPr>
              <w:pStyle w:val="15"/>
              <w:spacing w:before="236" w:line="228" w:lineRule="auto"/>
              <w:ind w:left="471"/>
            </w:pPr>
            <w:r>
              <w:rPr>
                <w:spacing w:val="6"/>
              </w:rPr>
              <w:t>知识产权</w:t>
            </w:r>
          </w:p>
        </w:tc>
        <w:tc>
          <w:tcPr>
            <w:tcW w:w="6436" w:type="dxa"/>
            <w:vAlign w:val="top"/>
          </w:tcPr>
          <w:p w14:paraId="5A54F9A8">
            <w:pPr>
              <w:pStyle w:val="15"/>
              <w:spacing w:before="31" w:line="360" w:lineRule="auto"/>
              <w:ind w:left="9" w:right="108" w:firstLine="422"/>
            </w:pPr>
            <w:r>
              <w:rPr>
                <w:spacing w:val="10"/>
              </w:rPr>
              <w:t>招标人全部或者部分使用未中标人投标文件中的技术成果或技术</w:t>
            </w:r>
            <w:r>
              <w:rPr>
                <w:spacing w:val="9"/>
              </w:rPr>
              <w:t xml:space="preserve"> 方案时，需征得其书面同意，并不得擅自复印或提供给第三人。</w:t>
            </w:r>
          </w:p>
        </w:tc>
      </w:tr>
      <w:tr w14:paraId="0EC00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069" w:type="dxa"/>
            <w:vAlign w:val="top"/>
          </w:tcPr>
          <w:p w14:paraId="16550E50">
            <w:pPr>
              <w:spacing w:line="304" w:lineRule="auto"/>
              <w:rPr>
                <w:rFonts w:ascii="Arial"/>
                <w:sz w:val="21"/>
              </w:rPr>
            </w:pPr>
          </w:p>
          <w:p w14:paraId="54FE82F8">
            <w:pPr>
              <w:spacing w:line="304" w:lineRule="auto"/>
              <w:rPr>
                <w:rFonts w:ascii="Arial"/>
                <w:sz w:val="21"/>
              </w:rPr>
            </w:pPr>
          </w:p>
          <w:p w14:paraId="3E049C2E">
            <w:pPr>
              <w:pStyle w:val="15"/>
              <w:spacing w:before="65" w:line="190" w:lineRule="auto"/>
              <w:ind w:left="345"/>
            </w:pPr>
            <w:r>
              <w:rPr>
                <w:spacing w:val="-1"/>
              </w:rPr>
              <w:t>10.9</w:t>
            </w:r>
          </w:p>
        </w:tc>
        <w:tc>
          <w:tcPr>
            <w:tcW w:w="1769" w:type="dxa"/>
            <w:vAlign w:val="top"/>
          </w:tcPr>
          <w:p w14:paraId="4D87CD4C">
            <w:pPr>
              <w:spacing w:line="288" w:lineRule="auto"/>
              <w:rPr>
                <w:rFonts w:ascii="Arial"/>
                <w:sz w:val="21"/>
              </w:rPr>
            </w:pPr>
          </w:p>
          <w:p w14:paraId="6B33B1F3">
            <w:pPr>
              <w:spacing w:line="289" w:lineRule="auto"/>
              <w:rPr>
                <w:rFonts w:ascii="Arial"/>
                <w:sz w:val="21"/>
              </w:rPr>
            </w:pPr>
          </w:p>
          <w:p w14:paraId="2C0355A5">
            <w:pPr>
              <w:pStyle w:val="15"/>
              <w:spacing w:before="65" w:line="228" w:lineRule="auto"/>
              <w:ind w:left="488"/>
            </w:pPr>
            <w:r>
              <w:rPr>
                <w:spacing w:val="2"/>
              </w:rPr>
              <w:t>同义词语</w:t>
            </w:r>
          </w:p>
        </w:tc>
        <w:tc>
          <w:tcPr>
            <w:tcW w:w="6436" w:type="dxa"/>
            <w:vAlign w:val="top"/>
          </w:tcPr>
          <w:p w14:paraId="3C68C741">
            <w:pPr>
              <w:pStyle w:val="15"/>
              <w:spacing w:before="33" w:line="368" w:lineRule="auto"/>
              <w:ind w:right="37" w:firstLine="434"/>
              <w:jc w:val="both"/>
            </w:pPr>
            <w:r>
              <w:rPr>
                <w:spacing w:val="3"/>
              </w:rPr>
              <w:t>构成招标文件组成部分的“通用合同条款</w:t>
            </w:r>
            <w:r>
              <w:rPr>
                <w:spacing w:val="-60"/>
              </w:rPr>
              <w:t xml:space="preserve"> </w:t>
            </w:r>
            <w:r>
              <w:rPr>
                <w:spacing w:val="3"/>
              </w:rPr>
              <w:t>”、“专用合同条款</w:t>
            </w:r>
            <w:r>
              <w:rPr>
                <w:spacing w:val="-70"/>
              </w:rPr>
              <w:t xml:space="preserve"> </w:t>
            </w:r>
            <w:r>
              <w:rPr>
                <w:spacing w:val="3"/>
              </w:rPr>
              <w:t>”、</w:t>
            </w:r>
            <w:r>
              <w:t xml:space="preserve"> </w:t>
            </w:r>
            <w:r>
              <w:rPr>
                <w:spacing w:val="15"/>
              </w:rPr>
              <w:t>“技术标准和要求</w:t>
            </w:r>
            <w:r>
              <w:rPr>
                <w:spacing w:val="-49"/>
              </w:rPr>
              <w:t xml:space="preserve"> </w:t>
            </w:r>
            <w:r>
              <w:rPr>
                <w:spacing w:val="15"/>
              </w:rPr>
              <w:t>”和“工程量清单</w:t>
            </w:r>
            <w:r>
              <w:rPr>
                <w:spacing w:val="-65"/>
              </w:rPr>
              <w:t xml:space="preserve"> </w:t>
            </w:r>
            <w:r>
              <w:rPr>
                <w:spacing w:val="15"/>
              </w:rPr>
              <w:t>”等章节中出现的措辞“发包</w:t>
            </w:r>
            <w:r>
              <w:t xml:space="preserve"> </w:t>
            </w:r>
            <w:r>
              <w:rPr>
                <w:spacing w:val="8"/>
              </w:rPr>
              <w:t>人</w:t>
            </w:r>
            <w:r>
              <w:rPr>
                <w:spacing w:val="-70"/>
              </w:rPr>
              <w:t xml:space="preserve"> </w:t>
            </w:r>
            <w:r>
              <w:rPr>
                <w:spacing w:val="8"/>
              </w:rPr>
              <w:t>”和“承包人</w:t>
            </w:r>
            <w:r>
              <w:rPr>
                <w:spacing w:val="-72"/>
              </w:rPr>
              <w:t xml:space="preserve"> </w:t>
            </w:r>
            <w:r>
              <w:rPr>
                <w:spacing w:val="8"/>
              </w:rPr>
              <w:t>”，在招标投标阶段应当分别按“招标人</w:t>
            </w:r>
            <w:r>
              <w:rPr>
                <w:spacing w:val="-73"/>
              </w:rPr>
              <w:t xml:space="preserve"> </w:t>
            </w:r>
            <w:r>
              <w:rPr>
                <w:spacing w:val="8"/>
              </w:rPr>
              <w:t>”</w:t>
            </w:r>
            <w:r>
              <w:rPr>
                <w:spacing w:val="7"/>
              </w:rPr>
              <w:t>和“投标</w:t>
            </w:r>
            <w:r>
              <w:t xml:space="preserve"> </w:t>
            </w:r>
            <w:r>
              <w:rPr>
                <w:spacing w:val="4"/>
              </w:rPr>
              <w:t>人</w:t>
            </w:r>
            <w:r>
              <w:rPr>
                <w:spacing w:val="-70"/>
              </w:rPr>
              <w:t xml:space="preserve"> </w:t>
            </w:r>
            <w:r>
              <w:rPr>
                <w:spacing w:val="4"/>
              </w:rPr>
              <w:t>”进行理解。</w:t>
            </w:r>
          </w:p>
        </w:tc>
      </w:tr>
      <w:tr w14:paraId="186D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069" w:type="dxa"/>
            <w:vAlign w:val="top"/>
          </w:tcPr>
          <w:p w14:paraId="005EEDD0">
            <w:pPr>
              <w:pStyle w:val="15"/>
              <w:spacing w:before="289" w:line="190" w:lineRule="auto"/>
              <w:ind w:left="292"/>
            </w:pPr>
            <w:r>
              <w:t>10.10</w:t>
            </w:r>
          </w:p>
        </w:tc>
        <w:tc>
          <w:tcPr>
            <w:tcW w:w="1769" w:type="dxa"/>
            <w:vAlign w:val="top"/>
          </w:tcPr>
          <w:p w14:paraId="3325B1C6">
            <w:pPr>
              <w:pStyle w:val="15"/>
              <w:spacing w:before="257" w:line="229" w:lineRule="auto"/>
              <w:ind w:left="785"/>
            </w:pPr>
            <w:r>
              <w:t>监</w:t>
            </w:r>
            <w:r>
              <w:rPr>
                <w:spacing w:val="11"/>
              </w:rPr>
              <w:t xml:space="preserve">  </w:t>
            </w:r>
            <w:r>
              <w:t>督</w:t>
            </w:r>
          </w:p>
        </w:tc>
        <w:tc>
          <w:tcPr>
            <w:tcW w:w="6436" w:type="dxa"/>
            <w:vAlign w:val="top"/>
          </w:tcPr>
          <w:p w14:paraId="086E5032">
            <w:pPr>
              <w:pStyle w:val="15"/>
              <w:spacing w:before="52" w:line="362" w:lineRule="auto"/>
              <w:ind w:left="11" w:right="108" w:firstLine="420"/>
            </w:pPr>
            <w:r>
              <w:rPr>
                <w:spacing w:val="10"/>
              </w:rPr>
              <w:t>本项目的招标投标活动及其相关当事人应当接受有管辖权的建设</w:t>
            </w:r>
            <w:r>
              <w:rPr>
                <w:spacing w:val="9"/>
              </w:rPr>
              <w:t xml:space="preserve"> </w:t>
            </w:r>
            <w:r>
              <w:rPr>
                <w:spacing w:val="8"/>
              </w:rPr>
              <w:t>工程招标投标行政监督部门依法实施的监督。</w:t>
            </w:r>
          </w:p>
        </w:tc>
      </w:tr>
      <w:tr w14:paraId="247E0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069" w:type="dxa"/>
            <w:vAlign w:val="top"/>
          </w:tcPr>
          <w:p w14:paraId="40513834">
            <w:pPr>
              <w:spacing w:line="284" w:lineRule="auto"/>
              <w:rPr>
                <w:rFonts w:ascii="Arial"/>
                <w:sz w:val="21"/>
              </w:rPr>
            </w:pPr>
          </w:p>
          <w:p w14:paraId="5F0FAD33">
            <w:pPr>
              <w:spacing w:line="284" w:lineRule="auto"/>
              <w:rPr>
                <w:rFonts w:ascii="Arial"/>
                <w:sz w:val="21"/>
              </w:rPr>
            </w:pPr>
          </w:p>
          <w:p w14:paraId="4B69C6F6">
            <w:pPr>
              <w:spacing w:line="284" w:lineRule="auto"/>
              <w:rPr>
                <w:rFonts w:ascii="Arial"/>
                <w:sz w:val="21"/>
              </w:rPr>
            </w:pPr>
          </w:p>
          <w:p w14:paraId="006DAFD5">
            <w:pPr>
              <w:spacing w:line="284" w:lineRule="auto"/>
              <w:rPr>
                <w:rFonts w:ascii="Arial"/>
                <w:sz w:val="21"/>
              </w:rPr>
            </w:pPr>
          </w:p>
          <w:p w14:paraId="625FE0D5">
            <w:pPr>
              <w:spacing w:line="285" w:lineRule="auto"/>
              <w:rPr>
                <w:rFonts w:ascii="Arial"/>
                <w:sz w:val="21"/>
              </w:rPr>
            </w:pPr>
          </w:p>
          <w:p w14:paraId="3CECD031">
            <w:pPr>
              <w:pStyle w:val="15"/>
              <w:spacing w:before="65" w:line="190" w:lineRule="auto"/>
              <w:ind w:left="345"/>
            </w:pPr>
            <w:r>
              <w:t>10.11</w:t>
            </w:r>
          </w:p>
        </w:tc>
        <w:tc>
          <w:tcPr>
            <w:tcW w:w="1769" w:type="dxa"/>
            <w:vAlign w:val="top"/>
          </w:tcPr>
          <w:p w14:paraId="3D0B9492">
            <w:pPr>
              <w:spacing w:line="277" w:lineRule="auto"/>
              <w:rPr>
                <w:rFonts w:ascii="Arial"/>
                <w:sz w:val="21"/>
              </w:rPr>
            </w:pPr>
          </w:p>
          <w:p w14:paraId="43A9C65B">
            <w:pPr>
              <w:spacing w:line="278" w:lineRule="auto"/>
              <w:rPr>
                <w:rFonts w:ascii="Arial"/>
                <w:sz w:val="21"/>
              </w:rPr>
            </w:pPr>
          </w:p>
          <w:p w14:paraId="5B08A431">
            <w:pPr>
              <w:spacing w:line="278" w:lineRule="auto"/>
              <w:rPr>
                <w:rFonts w:ascii="Arial"/>
                <w:sz w:val="21"/>
              </w:rPr>
            </w:pPr>
          </w:p>
          <w:p w14:paraId="1792EA11">
            <w:pPr>
              <w:spacing w:line="278" w:lineRule="auto"/>
              <w:rPr>
                <w:rFonts w:ascii="Arial"/>
                <w:sz w:val="21"/>
              </w:rPr>
            </w:pPr>
          </w:p>
          <w:p w14:paraId="6715599D">
            <w:pPr>
              <w:spacing w:line="278" w:lineRule="auto"/>
              <w:rPr>
                <w:rFonts w:ascii="Arial"/>
                <w:sz w:val="21"/>
              </w:rPr>
            </w:pPr>
          </w:p>
          <w:p w14:paraId="574050B2">
            <w:pPr>
              <w:pStyle w:val="15"/>
              <w:spacing w:before="65" w:line="228" w:lineRule="auto"/>
              <w:ind w:left="572"/>
            </w:pPr>
            <w:r>
              <w:rPr>
                <w:spacing w:val="7"/>
              </w:rPr>
              <w:t>解释权</w:t>
            </w:r>
          </w:p>
        </w:tc>
        <w:tc>
          <w:tcPr>
            <w:tcW w:w="6436" w:type="dxa"/>
            <w:vAlign w:val="top"/>
          </w:tcPr>
          <w:p w14:paraId="70CA8E2C">
            <w:pPr>
              <w:pStyle w:val="15"/>
              <w:spacing w:before="29" w:line="373" w:lineRule="auto"/>
              <w:ind w:left="8" w:right="37" w:firstLine="425"/>
              <w:jc w:val="both"/>
            </w:pPr>
            <w:r>
              <w:rPr>
                <w:spacing w:val="10"/>
              </w:rPr>
              <w:t>构成本招标文件的各个组成文件（章，下同）应互为解释，互为</w:t>
            </w:r>
            <w:r>
              <w:rPr>
                <w:spacing w:val="7"/>
              </w:rPr>
              <w:t xml:space="preserve"> </w:t>
            </w:r>
            <w:r>
              <w:rPr>
                <w:spacing w:val="9"/>
              </w:rPr>
              <w:t>说明；如有不明确或不一致，构成合同文件组成内容，</w:t>
            </w:r>
            <w:r>
              <w:rPr>
                <w:spacing w:val="-57"/>
              </w:rPr>
              <w:t xml:space="preserve"> </w:t>
            </w:r>
            <w:r>
              <w:rPr>
                <w:spacing w:val="9"/>
              </w:rPr>
              <w:t>以合同文件约</w:t>
            </w:r>
            <w:r>
              <w:t xml:space="preserve"> </w:t>
            </w:r>
            <w:r>
              <w:rPr>
                <w:spacing w:val="10"/>
              </w:rPr>
              <w:t>定内容为准，且以专用合同条款约定的合同文件优先顺序解释；除招</w:t>
            </w:r>
            <w:r>
              <w:rPr>
                <w:spacing w:val="13"/>
              </w:rPr>
              <w:t xml:space="preserve"> </w:t>
            </w:r>
            <w:r>
              <w:rPr>
                <w:spacing w:val="10"/>
              </w:rPr>
              <w:t>标文件中有特别规定外，仅适用于招标投标阶段的规定，按招标公告</w:t>
            </w:r>
            <w:r>
              <w:rPr>
                <w:spacing w:val="13"/>
              </w:rPr>
              <w:t xml:space="preserve"> </w:t>
            </w:r>
            <w:r>
              <w:rPr>
                <w:spacing w:val="10"/>
              </w:rPr>
              <w:t>（投标邀请书）、投标人须知、评标办法、投标文件格式的先后顺序</w:t>
            </w:r>
            <w:r>
              <w:rPr>
                <w:spacing w:val="13"/>
              </w:rPr>
              <w:t xml:space="preserve"> </w:t>
            </w:r>
            <w:r>
              <w:rPr>
                <w:spacing w:val="8"/>
              </w:rPr>
              <w:t>解释；</w:t>
            </w:r>
            <w:r>
              <w:rPr>
                <w:spacing w:val="-58"/>
              </w:rPr>
              <w:t xml:space="preserve"> </w:t>
            </w:r>
            <w:r>
              <w:rPr>
                <w:spacing w:val="8"/>
              </w:rPr>
              <w:t>同一组成文件中就同一事项的规定或约</w:t>
            </w:r>
            <w:r>
              <w:rPr>
                <w:spacing w:val="7"/>
              </w:rPr>
              <w:t>定不一致的，</w:t>
            </w:r>
            <w:r>
              <w:rPr>
                <w:spacing w:val="-59"/>
              </w:rPr>
              <w:t xml:space="preserve"> </w:t>
            </w:r>
            <w:r>
              <w:rPr>
                <w:spacing w:val="7"/>
              </w:rPr>
              <w:t>以编排顺</w:t>
            </w:r>
            <w:r>
              <w:t xml:space="preserve"> </w:t>
            </w:r>
            <w:r>
              <w:rPr>
                <w:spacing w:val="9"/>
              </w:rPr>
              <w:t>序在后者为准；</w:t>
            </w:r>
            <w:r>
              <w:rPr>
                <w:spacing w:val="-57"/>
              </w:rPr>
              <w:t xml:space="preserve"> </w:t>
            </w:r>
            <w:r>
              <w:rPr>
                <w:spacing w:val="9"/>
              </w:rPr>
              <w:t>同一组成文件不同版本之间有不一致的，以形成时间</w:t>
            </w:r>
            <w:r>
              <w:t xml:space="preserve"> </w:t>
            </w:r>
            <w:r>
              <w:rPr>
                <w:spacing w:val="6"/>
              </w:rPr>
              <w:t>在后者为准。按本款前述规定仍不能形成结论的，由招标人负责解</w:t>
            </w:r>
            <w:r>
              <w:rPr>
                <w:spacing w:val="5"/>
              </w:rPr>
              <w:t>释。</w:t>
            </w:r>
          </w:p>
        </w:tc>
      </w:tr>
      <w:tr w14:paraId="46EC3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274" w:type="dxa"/>
            <w:gridSpan w:val="3"/>
            <w:vAlign w:val="top"/>
          </w:tcPr>
          <w:p w14:paraId="5071D534">
            <w:pPr>
              <w:pStyle w:val="15"/>
              <w:spacing w:before="134" w:line="228" w:lineRule="auto"/>
              <w:ind w:left="3738"/>
            </w:pPr>
            <w:r>
              <w:rPr>
                <w:spacing w:val="4"/>
              </w:rPr>
              <w:t>10.12</w:t>
            </w:r>
            <w:r>
              <w:rPr>
                <w:spacing w:val="-33"/>
              </w:rPr>
              <w:t xml:space="preserve"> </w:t>
            </w:r>
            <w:r>
              <w:rPr>
                <w:spacing w:val="4"/>
              </w:rPr>
              <w:t>其他补充内容</w:t>
            </w:r>
          </w:p>
        </w:tc>
      </w:tr>
      <w:tr w14:paraId="643F0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69" w:type="dxa"/>
            <w:vAlign w:val="top"/>
          </w:tcPr>
          <w:p w14:paraId="2FE71FE4">
            <w:pPr>
              <w:pStyle w:val="15"/>
              <w:spacing w:before="277" w:line="190" w:lineRule="auto"/>
              <w:ind w:left="189"/>
            </w:pPr>
            <w:r>
              <w:rPr>
                <w:spacing w:val="1"/>
              </w:rPr>
              <w:t>10.12.1</w:t>
            </w:r>
          </w:p>
        </w:tc>
        <w:tc>
          <w:tcPr>
            <w:tcW w:w="8205" w:type="dxa"/>
            <w:gridSpan w:val="2"/>
            <w:vAlign w:val="top"/>
          </w:tcPr>
          <w:p w14:paraId="5063F7BE">
            <w:pPr>
              <w:pStyle w:val="15"/>
              <w:spacing w:before="41" w:line="362" w:lineRule="auto"/>
              <w:ind w:left="152" w:right="108" w:firstLine="403"/>
            </w:pPr>
            <w:r>
              <w:rPr>
                <w:spacing w:val="9"/>
              </w:rPr>
              <w:t>以暂估价形式包括在总承包范围内的工程、货物、服务属于依法必须进行招标的项</w:t>
            </w:r>
            <w:r>
              <w:rPr>
                <w:spacing w:val="10"/>
              </w:rPr>
              <w:t xml:space="preserve"> </w:t>
            </w:r>
            <w:r>
              <w:rPr>
                <w:spacing w:val="7"/>
              </w:rPr>
              <w:t>目范围且达到国家规定规模标准的，应当依法进行招标。</w:t>
            </w:r>
          </w:p>
        </w:tc>
      </w:tr>
      <w:tr w14:paraId="2AA21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069" w:type="dxa"/>
            <w:vAlign w:val="top"/>
          </w:tcPr>
          <w:p w14:paraId="2C3AC24D">
            <w:pPr>
              <w:spacing w:line="266" w:lineRule="auto"/>
              <w:rPr>
                <w:rFonts w:ascii="Arial"/>
                <w:sz w:val="21"/>
              </w:rPr>
            </w:pPr>
          </w:p>
          <w:p w14:paraId="5C6BE2F3">
            <w:pPr>
              <w:pStyle w:val="15"/>
              <w:spacing w:before="65" w:line="190" w:lineRule="auto"/>
              <w:ind w:left="189"/>
            </w:pPr>
            <w:r>
              <w:rPr>
                <w:spacing w:val="1"/>
              </w:rPr>
              <w:t>10.12.2</w:t>
            </w:r>
          </w:p>
        </w:tc>
        <w:tc>
          <w:tcPr>
            <w:tcW w:w="8205" w:type="dxa"/>
            <w:gridSpan w:val="2"/>
            <w:vAlign w:val="top"/>
          </w:tcPr>
          <w:p w14:paraId="6967D231">
            <w:pPr>
              <w:pStyle w:val="15"/>
              <w:spacing w:before="96" w:line="363" w:lineRule="auto"/>
              <w:ind w:left="115" w:right="1222" w:firstLine="12"/>
            </w:pPr>
            <w:r>
              <w:rPr>
                <w:spacing w:val="6"/>
              </w:rPr>
              <w:t>1.招标文件中所设置的内容、条款及未尽事宜，</w:t>
            </w:r>
            <w:r>
              <w:rPr>
                <w:spacing w:val="-56"/>
              </w:rPr>
              <w:t xml:space="preserve"> </w:t>
            </w:r>
            <w:r>
              <w:rPr>
                <w:spacing w:val="6"/>
              </w:rPr>
              <w:t>以国家或省有关规定为准；</w:t>
            </w:r>
            <w:r>
              <w:t xml:space="preserve"> </w:t>
            </w:r>
            <w:r>
              <w:rPr>
                <w:spacing w:val="6"/>
              </w:rPr>
              <w:t>2.其它：</w:t>
            </w:r>
            <w:r>
              <w:rPr>
                <w:color w:val="0000FF"/>
                <w:spacing w:val="6"/>
              </w:rPr>
              <w:t>/</w:t>
            </w:r>
          </w:p>
        </w:tc>
      </w:tr>
      <w:tr w14:paraId="0D6C2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069" w:type="dxa"/>
            <w:vAlign w:val="top"/>
          </w:tcPr>
          <w:p w14:paraId="42AED144">
            <w:pPr>
              <w:pStyle w:val="15"/>
              <w:spacing w:before="237" w:line="190" w:lineRule="auto"/>
              <w:ind w:left="189"/>
            </w:pPr>
            <w:r>
              <w:rPr>
                <w:spacing w:val="1"/>
              </w:rPr>
              <w:t>10.12.3</w:t>
            </w:r>
          </w:p>
        </w:tc>
        <w:tc>
          <w:tcPr>
            <w:tcW w:w="8205" w:type="dxa"/>
            <w:gridSpan w:val="2"/>
            <w:vAlign w:val="top"/>
          </w:tcPr>
          <w:p w14:paraId="5409288D">
            <w:pPr>
              <w:pStyle w:val="15"/>
              <w:spacing w:before="205" w:line="227" w:lineRule="auto"/>
              <w:ind w:left="113"/>
            </w:pPr>
            <w:r>
              <w:rPr>
                <w:spacing w:val="9"/>
              </w:rPr>
              <w:t>本招标文件要求的复印件是指复印件或扫描件或影印件。</w:t>
            </w:r>
          </w:p>
        </w:tc>
      </w:tr>
      <w:tr w14:paraId="33D9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1069" w:type="dxa"/>
            <w:vAlign w:val="top"/>
          </w:tcPr>
          <w:p w14:paraId="6F7D8EA6">
            <w:pPr>
              <w:spacing w:line="270" w:lineRule="auto"/>
              <w:rPr>
                <w:rFonts w:ascii="Arial"/>
                <w:sz w:val="21"/>
              </w:rPr>
            </w:pPr>
          </w:p>
          <w:p w14:paraId="20A4DD4F">
            <w:pPr>
              <w:spacing w:line="271" w:lineRule="auto"/>
              <w:rPr>
                <w:rFonts w:ascii="Arial"/>
                <w:sz w:val="21"/>
              </w:rPr>
            </w:pPr>
          </w:p>
          <w:p w14:paraId="2BCB847D">
            <w:pPr>
              <w:spacing w:line="271" w:lineRule="auto"/>
              <w:rPr>
                <w:rFonts w:ascii="Arial"/>
                <w:sz w:val="21"/>
              </w:rPr>
            </w:pPr>
          </w:p>
          <w:p w14:paraId="20261246">
            <w:pPr>
              <w:pStyle w:val="15"/>
              <w:spacing w:before="65" w:line="190" w:lineRule="auto"/>
              <w:ind w:left="189"/>
            </w:pPr>
            <w:r>
              <w:rPr>
                <w:spacing w:val="1"/>
              </w:rPr>
              <w:t>10.12.4</w:t>
            </w:r>
          </w:p>
        </w:tc>
        <w:tc>
          <w:tcPr>
            <w:tcW w:w="8205" w:type="dxa"/>
            <w:gridSpan w:val="2"/>
            <w:vAlign w:val="top"/>
          </w:tcPr>
          <w:p w14:paraId="5DF23382">
            <w:pPr>
              <w:pStyle w:val="15"/>
              <w:spacing w:before="34" w:line="370" w:lineRule="auto"/>
              <w:ind w:left="111" w:right="53" w:firstLine="424"/>
              <w:jc w:val="both"/>
            </w:pPr>
            <w:r>
              <w:rPr>
                <w:spacing w:val="10"/>
              </w:rPr>
              <w:t>省内省级综合工程质量奖为芙蓉奖，省级优质工程奖为湖南省优质工</w:t>
            </w:r>
            <w:r>
              <w:rPr>
                <w:spacing w:val="9"/>
              </w:rPr>
              <w:t>程奖。省外由</w:t>
            </w:r>
            <w:r>
              <w:t xml:space="preserve"> </w:t>
            </w:r>
            <w:r>
              <w:rPr>
                <w:spacing w:val="6"/>
              </w:rPr>
              <w:t>省级建设行政主管部门或省级建筑业协会评定的省级综合工程质量奖、省级优质工程奖，</w:t>
            </w:r>
            <w:r>
              <w:t xml:space="preserve"> </w:t>
            </w:r>
            <w:r>
              <w:rPr>
                <w:spacing w:val="10"/>
              </w:rPr>
              <w:t>在当地省级建设行政主管部门公布的评标办法中加分的，按省级优质工程奖加分；</w:t>
            </w:r>
            <w:r>
              <w:rPr>
                <w:spacing w:val="9"/>
              </w:rPr>
              <w:t>投标</w:t>
            </w:r>
            <w:r>
              <w:t xml:space="preserve"> </w:t>
            </w:r>
            <w:r>
              <w:rPr>
                <w:spacing w:val="8"/>
              </w:rPr>
              <w:t>人如能提供评奖当年省级综合工程质量奖数量控制在 100 项以内</w:t>
            </w:r>
            <w:r>
              <w:rPr>
                <w:spacing w:val="53"/>
              </w:rPr>
              <w:t xml:space="preserve"> </w:t>
            </w:r>
            <w:r>
              <w:rPr>
                <w:spacing w:val="8"/>
              </w:rPr>
              <w:t>(含)的，则该获</w:t>
            </w:r>
            <w:r>
              <w:rPr>
                <w:spacing w:val="7"/>
              </w:rPr>
              <w:t>奖工</w:t>
            </w:r>
            <w:r>
              <w:t xml:space="preserve"> </w:t>
            </w:r>
            <w:r>
              <w:rPr>
                <w:spacing w:val="10"/>
              </w:rPr>
              <w:t>程按省级综合工程质量奖加分。如该奖项年度内多批次公布的，奖项数量按上年度</w:t>
            </w:r>
            <w:r>
              <w:rPr>
                <w:spacing w:val="9"/>
              </w:rPr>
              <w:t>各批</w:t>
            </w:r>
          </w:p>
        </w:tc>
      </w:tr>
    </w:tbl>
    <w:p w14:paraId="4F833D57">
      <w:pPr>
        <w:pStyle w:val="6"/>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769"/>
        <w:gridCol w:w="6436"/>
      </w:tblGrid>
      <w:tr w14:paraId="38AB6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69" w:type="dxa"/>
            <w:vAlign w:val="top"/>
          </w:tcPr>
          <w:p w14:paraId="71AFFBDC">
            <w:pPr>
              <w:pStyle w:val="15"/>
              <w:spacing w:before="68" w:line="228" w:lineRule="auto"/>
              <w:ind w:left="225"/>
            </w:pPr>
            <w:r>
              <w:rPr>
                <w:spacing w:val="6"/>
              </w:rPr>
              <w:t>条款号</w:t>
            </w:r>
          </w:p>
        </w:tc>
        <w:tc>
          <w:tcPr>
            <w:tcW w:w="1769" w:type="dxa"/>
            <w:vAlign w:val="top"/>
          </w:tcPr>
          <w:p w14:paraId="5B7C8188">
            <w:pPr>
              <w:pStyle w:val="15"/>
              <w:spacing w:before="68" w:line="228" w:lineRule="auto"/>
              <w:ind w:left="469"/>
            </w:pPr>
            <w:r>
              <w:rPr>
                <w:spacing w:val="6"/>
              </w:rPr>
              <w:t>条款名称</w:t>
            </w:r>
          </w:p>
        </w:tc>
        <w:tc>
          <w:tcPr>
            <w:tcW w:w="6436" w:type="dxa"/>
            <w:vAlign w:val="top"/>
          </w:tcPr>
          <w:p w14:paraId="39543D48">
            <w:pPr>
              <w:pStyle w:val="15"/>
              <w:spacing w:before="68" w:line="228" w:lineRule="auto"/>
              <w:ind w:left="2962"/>
            </w:pPr>
            <w:r>
              <w:rPr>
                <w:spacing w:val="6"/>
              </w:rPr>
              <w:t>编列内容</w:t>
            </w:r>
          </w:p>
        </w:tc>
      </w:tr>
      <w:tr w14:paraId="73806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69" w:type="dxa"/>
            <w:vAlign w:val="top"/>
          </w:tcPr>
          <w:p w14:paraId="24735FAC">
            <w:pPr>
              <w:rPr>
                <w:rFonts w:ascii="Arial"/>
                <w:sz w:val="21"/>
              </w:rPr>
            </w:pPr>
          </w:p>
        </w:tc>
        <w:tc>
          <w:tcPr>
            <w:tcW w:w="8205" w:type="dxa"/>
            <w:gridSpan w:val="2"/>
            <w:vAlign w:val="top"/>
          </w:tcPr>
          <w:p w14:paraId="4E3D1051">
            <w:pPr>
              <w:pStyle w:val="15"/>
              <w:spacing w:before="31" w:line="228" w:lineRule="auto"/>
              <w:ind w:left="118"/>
            </w:pPr>
            <w:r>
              <w:rPr>
                <w:spacing w:val="6"/>
              </w:rPr>
              <w:t>次累计总数为准。</w:t>
            </w:r>
          </w:p>
        </w:tc>
      </w:tr>
      <w:tr w14:paraId="2213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1069" w:type="dxa"/>
            <w:vAlign w:val="top"/>
          </w:tcPr>
          <w:p w14:paraId="0FEB833A">
            <w:pPr>
              <w:spacing w:line="269" w:lineRule="auto"/>
              <w:rPr>
                <w:rFonts w:ascii="Arial"/>
                <w:sz w:val="21"/>
              </w:rPr>
            </w:pPr>
          </w:p>
          <w:p w14:paraId="37D715BE">
            <w:pPr>
              <w:spacing w:line="270" w:lineRule="auto"/>
              <w:rPr>
                <w:rFonts w:ascii="Arial"/>
                <w:sz w:val="21"/>
              </w:rPr>
            </w:pPr>
          </w:p>
          <w:p w14:paraId="2B478CA4">
            <w:pPr>
              <w:spacing w:line="270" w:lineRule="auto"/>
              <w:rPr>
                <w:rFonts w:ascii="Arial"/>
                <w:sz w:val="21"/>
              </w:rPr>
            </w:pPr>
          </w:p>
          <w:p w14:paraId="488636C8">
            <w:pPr>
              <w:pStyle w:val="15"/>
              <w:spacing w:before="65" w:line="190" w:lineRule="auto"/>
              <w:ind w:left="189"/>
            </w:pPr>
            <w:r>
              <w:rPr>
                <w:spacing w:val="1"/>
              </w:rPr>
              <w:t>10.12.5</w:t>
            </w:r>
          </w:p>
        </w:tc>
        <w:tc>
          <w:tcPr>
            <w:tcW w:w="8205" w:type="dxa"/>
            <w:gridSpan w:val="2"/>
            <w:vAlign w:val="top"/>
          </w:tcPr>
          <w:p w14:paraId="3CBF2549">
            <w:pPr>
              <w:pStyle w:val="15"/>
              <w:spacing w:before="31" w:line="362" w:lineRule="auto"/>
              <w:ind w:left="131" w:right="110" w:hanging="18"/>
            </w:pPr>
            <w:r>
              <w:rPr>
                <w:spacing w:val="10"/>
              </w:rPr>
              <w:t>招标代理服务费：</w:t>
            </w:r>
            <w:r>
              <w:rPr>
                <w:color w:val="0000FF"/>
                <w:spacing w:val="10"/>
              </w:rPr>
              <w:t>按招标代理合同约定收取，由中标单位在中标公示期结</w:t>
            </w:r>
            <w:r>
              <w:rPr>
                <w:color w:val="0000FF"/>
                <w:spacing w:val="9"/>
              </w:rPr>
              <w:t>束后、在领取</w:t>
            </w:r>
            <w:r>
              <w:rPr>
                <w:color w:val="0000FF"/>
              </w:rPr>
              <w:t xml:space="preserve"> </w:t>
            </w:r>
            <w:r>
              <w:rPr>
                <w:color w:val="0000FF"/>
                <w:spacing w:val="6"/>
              </w:rPr>
              <w:t>中标通知书前一次性支付。</w:t>
            </w:r>
          </w:p>
          <w:p w14:paraId="65B20C94">
            <w:pPr>
              <w:pStyle w:val="15"/>
              <w:spacing w:before="35" w:line="365" w:lineRule="auto"/>
              <w:ind w:left="113" w:right="108" w:firstLine="3"/>
            </w:pPr>
            <w:r>
              <w:rPr>
                <w:spacing w:val="10"/>
              </w:rPr>
              <w:t>交易服务费：</w:t>
            </w:r>
            <w:r>
              <w:rPr>
                <w:rFonts w:hint="eastAsia"/>
                <w:color w:val="0000FF"/>
                <w:spacing w:val="10"/>
              </w:rPr>
              <w:t>在中标通知书发出之前由中标人向江华瑶族自治县重点项目服务中心交纳，收费标准按相关文件规定</w:t>
            </w:r>
            <w:r>
              <w:rPr>
                <w:color w:val="0000FF"/>
                <w:spacing w:val="4"/>
              </w:rPr>
              <w:t>。</w:t>
            </w:r>
          </w:p>
        </w:tc>
      </w:tr>
      <w:tr w14:paraId="4AFEA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069" w:type="dxa"/>
            <w:vAlign w:val="top"/>
          </w:tcPr>
          <w:p w14:paraId="4FC5D0F6">
            <w:pPr>
              <w:spacing w:line="311" w:lineRule="auto"/>
              <w:rPr>
                <w:rFonts w:ascii="Arial"/>
                <w:sz w:val="21"/>
              </w:rPr>
            </w:pPr>
          </w:p>
          <w:p w14:paraId="6D147C05">
            <w:pPr>
              <w:pStyle w:val="15"/>
              <w:spacing w:before="65" w:line="190" w:lineRule="auto"/>
              <w:ind w:left="189"/>
            </w:pPr>
            <w:r>
              <w:rPr>
                <w:spacing w:val="1"/>
              </w:rPr>
              <w:t>10.12.6</w:t>
            </w:r>
          </w:p>
        </w:tc>
        <w:tc>
          <w:tcPr>
            <w:tcW w:w="8205" w:type="dxa"/>
            <w:gridSpan w:val="2"/>
            <w:vAlign w:val="top"/>
          </w:tcPr>
          <w:p w14:paraId="6D0A0366">
            <w:pPr>
              <w:spacing w:line="279" w:lineRule="auto"/>
              <w:rPr>
                <w:rFonts w:ascii="Arial"/>
                <w:sz w:val="21"/>
              </w:rPr>
            </w:pPr>
          </w:p>
          <w:p w14:paraId="69DF3903">
            <w:pPr>
              <w:pStyle w:val="15"/>
              <w:spacing w:before="65" w:line="227" w:lineRule="auto"/>
              <w:ind w:left="133"/>
            </w:pPr>
            <w:r>
              <w:rPr>
                <w:color w:val="0000FF"/>
                <w:spacing w:val="6"/>
              </w:rPr>
              <w:t>□</w:t>
            </w:r>
            <w:r>
              <w:rPr>
                <w:spacing w:val="6"/>
              </w:rPr>
              <w:t>本项目属于园林绿化工程。</w:t>
            </w:r>
          </w:p>
        </w:tc>
      </w:tr>
      <w:tr w14:paraId="3D36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3" w:hRule="atLeast"/>
        </w:trPr>
        <w:tc>
          <w:tcPr>
            <w:tcW w:w="1069" w:type="dxa"/>
            <w:vAlign w:val="top"/>
          </w:tcPr>
          <w:p w14:paraId="6E795FA5">
            <w:pPr>
              <w:spacing w:line="243" w:lineRule="auto"/>
              <w:rPr>
                <w:rFonts w:ascii="Arial"/>
                <w:sz w:val="21"/>
              </w:rPr>
            </w:pPr>
          </w:p>
          <w:p w14:paraId="7E766C31">
            <w:pPr>
              <w:spacing w:line="243" w:lineRule="auto"/>
              <w:rPr>
                <w:rFonts w:ascii="Arial"/>
                <w:sz w:val="21"/>
              </w:rPr>
            </w:pPr>
          </w:p>
          <w:p w14:paraId="021DC98B">
            <w:pPr>
              <w:spacing w:line="243" w:lineRule="auto"/>
              <w:rPr>
                <w:rFonts w:ascii="Arial"/>
                <w:sz w:val="21"/>
              </w:rPr>
            </w:pPr>
          </w:p>
          <w:p w14:paraId="54B05D60">
            <w:pPr>
              <w:spacing w:line="243" w:lineRule="auto"/>
              <w:rPr>
                <w:rFonts w:ascii="Arial"/>
                <w:sz w:val="21"/>
              </w:rPr>
            </w:pPr>
          </w:p>
          <w:p w14:paraId="5BC70D8B">
            <w:pPr>
              <w:spacing w:line="244" w:lineRule="auto"/>
              <w:rPr>
                <w:rFonts w:ascii="Arial"/>
                <w:sz w:val="21"/>
              </w:rPr>
            </w:pPr>
          </w:p>
          <w:p w14:paraId="13F6C8BB">
            <w:pPr>
              <w:spacing w:line="244" w:lineRule="auto"/>
              <w:rPr>
                <w:rFonts w:ascii="Arial"/>
                <w:sz w:val="21"/>
              </w:rPr>
            </w:pPr>
          </w:p>
          <w:p w14:paraId="6466068C">
            <w:pPr>
              <w:spacing w:line="244" w:lineRule="auto"/>
              <w:rPr>
                <w:rFonts w:ascii="Arial"/>
                <w:sz w:val="21"/>
              </w:rPr>
            </w:pPr>
          </w:p>
          <w:p w14:paraId="56BBDE5F">
            <w:pPr>
              <w:spacing w:line="244" w:lineRule="auto"/>
              <w:rPr>
                <w:rFonts w:ascii="Arial"/>
                <w:sz w:val="21"/>
              </w:rPr>
            </w:pPr>
          </w:p>
          <w:p w14:paraId="4C44BF72">
            <w:pPr>
              <w:spacing w:line="244" w:lineRule="auto"/>
              <w:rPr>
                <w:rFonts w:ascii="Arial"/>
                <w:sz w:val="21"/>
              </w:rPr>
            </w:pPr>
          </w:p>
          <w:p w14:paraId="746521FD">
            <w:pPr>
              <w:spacing w:line="244" w:lineRule="auto"/>
              <w:rPr>
                <w:rFonts w:ascii="Arial"/>
                <w:sz w:val="21"/>
              </w:rPr>
            </w:pPr>
          </w:p>
          <w:p w14:paraId="578EB81E">
            <w:pPr>
              <w:pStyle w:val="15"/>
              <w:spacing w:before="65" w:line="190" w:lineRule="auto"/>
              <w:ind w:left="189"/>
            </w:pPr>
            <w:r>
              <w:rPr>
                <w:spacing w:val="1"/>
              </w:rPr>
              <w:t>10.12.7</w:t>
            </w:r>
          </w:p>
        </w:tc>
        <w:tc>
          <w:tcPr>
            <w:tcW w:w="8205" w:type="dxa"/>
            <w:gridSpan w:val="2"/>
            <w:vAlign w:val="top"/>
          </w:tcPr>
          <w:p w14:paraId="361BC155">
            <w:pPr>
              <w:pStyle w:val="15"/>
              <w:spacing w:before="32" w:line="362" w:lineRule="auto"/>
              <w:ind w:left="115" w:right="108" w:firstLine="417"/>
            </w:pPr>
            <w:r>
              <w:rPr>
                <w:spacing w:val="9"/>
              </w:rPr>
              <w:t>拟任项目经理在建情况以投标截止时在“湖南省建筑工程监管信息平台</w:t>
            </w:r>
            <w:r>
              <w:rPr>
                <w:spacing w:val="-66"/>
              </w:rPr>
              <w:t xml:space="preserve"> </w:t>
            </w:r>
            <w:r>
              <w:rPr>
                <w:spacing w:val="9"/>
              </w:rPr>
              <w:t>”查询信息</w:t>
            </w:r>
            <w:r>
              <w:t xml:space="preserve"> </w:t>
            </w:r>
            <w:r>
              <w:rPr>
                <w:spacing w:val="9"/>
              </w:rPr>
              <w:t>为准，有在其他项目任关键岗位人员情形的，评标委员会应当否决其投标。</w:t>
            </w:r>
          </w:p>
          <w:p w14:paraId="31CF3F93">
            <w:pPr>
              <w:pStyle w:val="15"/>
              <w:spacing w:before="32" w:line="372" w:lineRule="auto"/>
              <w:ind w:left="111" w:right="108" w:firstLine="423"/>
            </w:pPr>
            <w:r>
              <w:rPr>
                <w:spacing w:val="9"/>
              </w:rPr>
              <w:t>投标截止时，拟任项目经理在“湖南省建筑工程监管信息平台</w:t>
            </w:r>
            <w:r>
              <w:rPr>
                <w:spacing w:val="-69"/>
              </w:rPr>
              <w:t xml:space="preserve"> </w:t>
            </w:r>
            <w:r>
              <w:rPr>
                <w:spacing w:val="9"/>
              </w:rPr>
              <w:t>”之外有在其他项目</w:t>
            </w:r>
            <w:r>
              <w:t xml:space="preserve"> </w:t>
            </w:r>
            <w:r>
              <w:rPr>
                <w:spacing w:val="10"/>
              </w:rPr>
              <w:t>任关键岗位人员情形的，其奖项、业绩不予计分，且应当在投标文件中如实注明，</w:t>
            </w:r>
            <w:r>
              <w:rPr>
                <w:spacing w:val="9"/>
              </w:rPr>
              <w:t>并承</w:t>
            </w:r>
            <w:r>
              <w:t xml:space="preserve"> </w:t>
            </w:r>
            <w:r>
              <w:rPr>
                <w:spacing w:val="10"/>
              </w:rPr>
              <w:t>诺中标后能够从该项目按期撤离。评标期间，投标文件中注明有在建，但没有承诺</w:t>
            </w:r>
            <w:r>
              <w:rPr>
                <w:spacing w:val="9"/>
              </w:rPr>
              <w:t>能够</w:t>
            </w:r>
            <w:r>
              <w:t xml:space="preserve"> </w:t>
            </w:r>
            <w:r>
              <w:rPr>
                <w:spacing w:val="10"/>
              </w:rPr>
              <w:t>按期撤离的，评标委员会应当否决其投标；中标候选公示期间，发现未如实注明有</w:t>
            </w:r>
            <w:r>
              <w:rPr>
                <w:spacing w:val="9"/>
              </w:rPr>
              <w:t>平台</w:t>
            </w:r>
            <w:r>
              <w:t xml:space="preserve"> </w:t>
            </w:r>
            <w:r>
              <w:rPr>
                <w:spacing w:val="10"/>
              </w:rPr>
              <w:t>之外的在建情况的，招标人取消其中标候选人资格，并提请住房和城乡建设主管部</w:t>
            </w:r>
            <w:r>
              <w:rPr>
                <w:spacing w:val="9"/>
              </w:rPr>
              <w:t>门按</w:t>
            </w:r>
            <w:r>
              <w:t xml:space="preserve"> </w:t>
            </w:r>
            <w:r>
              <w:rPr>
                <w:spacing w:val="8"/>
              </w:rPr>
              <w:t>规定予以信用评价扣分。</w:t>
            </w:r>
          </w:p>
          <w:p w14:paraId="47F8646F">
            <w:pPr>
              <w:pStyle w:val="15"/>
              <w:spacing w:before="31" w:line="370" w:lineRule="auto"/>
              <w:ind w:left="114" w:right="108" w:firstLine="437"/>
              <w:jc w:val="both"/>
            </w:pPr>
            <w:r>
              <w:rPr>
                <w:spacing w:val="9"/>
              </w:rPr>
              <w:t>中标候选人公示明确的公示期满之前，拟任项目经理不能按时到岗履职的（含不能</w:t>
            </w:r>
            <w:r>
              <w:rPr>
                <w:spacing w:val="14"/>
              </w:rPr>
              <w:t xml:space="preserve"> </w:t>
            </w:r>
            <w:r>
              <w:rPr>
                <w:spacing w:val="10"/>
              </w:rPr>
              <w:t>从其他项目按期撤离的</w:t>
            </w:r>
            <w:r>
              <w:rPr>
                <w:spacing w:val="15"/>
              </w:rPr>
              <w:t>），</w:t>
            </w:r>
            <w:r>
              <w:rPr>
                <w:spacing w:val="10"/>
              </w:rPr>
              <w:t>招标人取消其中标候选人</w:t>
            </w:r>
            <w:r>
              <w:rPr>
                <w:spacing w:val="9"/>
              </w:rPr>
              <w:t>资格，并提请住房和城乡建设主管</w:t>
            </w:r>
            <w:r>
              <w:rPr>
                <w:spacing w:val="1"/>
              </w:rPr>
              <w:t xml:space="preserve"> </w:t>
            </w:r>
            <w:r>
              <w:rPr>
                <w:spacing w:val="10"/>
              </w:rPr>
              <w:t>部门按规定予以信用评价扣分。中标通知书发放后，拟任项目经理不能按时到</w:t>
            </w:r>
            <w:r>
              <w:rPr>
                <w:spacing w:val="9"/>
              </w:rPr>
              <w:t>岗履职的</w:t>
            </w:r>
            <w:r>
              <w:t xml:space="preserve"> </w:t>
            </w:r>
            <w:r>
              <w:rPr>
                <w:spacing w:val="10"/>
              </w:rPr>
              <w:t>（含不能从其他项目按期撤离的</w:t>
            </w:r>
            <w:r>
              <w:rPr>
                <w:spacing w:val="15"/>
              </w:rPr>
              <w:t>），</w:t>
            </w:r>
            <w:r>
              <w:rPr>
                <w:spacing w:val="10"/>
              </w:rPr>
              <w:t>招标人取消其中</w:t>
            </w:r>
            <w:r>
              <w:rPr>
                <w:spacing w:val="9"/>
              </w:rPr>
              <w:t>标人资格，并提请住房和城乡建设</w:t>
            </w:r>
            <w:r>
              <w:rPr>
                <w:spacing w:val="1"/>
              </w:rPr>
              <w:t xml:space="preserve"> </w:t>
            </w:r>
            <w:r>
              <w:rPr>
                <w:spacing w:val="8"/>
              </w:rPr>
              <w:t>主管部门按规定记录一般不良行为。</w:t>
            </w:r>
          </w:p>
        </w:tc>
      </w:tr>
      <w:tr w14:paraId="6C5BB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1069" w:type="dxa"/>
            <w:vAlign w:val="top"/>
          </w:tcPr>
          <w:p w14:paraId="7A8E0D4C">
            <w:pPr>
              <w:spacing w:line="297" w:lineRule="auto"/>
              <w:rPr>
                <w:rFonts w:ascii="Arial"/>
                <w:sz w:val="21"/>
              </w:rPr>
            </w:pPr>
          </w:p>
          <w:p w14:paraId="65B200C6">
            <w:pPr>
              <w:spacing w:line="297" w:lineRule="auto"/>
              <w:rPr>
                <w:rFonts w:ascii="Arial"/>
                <w:sz w:val="21"/>
              </w:rPr>
            </w:pPr>
          </w:p>
          <w:p w14:paraId="5797126B">
            <w:pPr>
              <w:spacing w:line="297" w:lineRule="auto"/>
              <w:rPr>
                <w:rFonts w:ascii="Arial"/>
                <w:sz w:val="21"/>
              </w:rPr>
            </w:pPr>
          </w:p>
          <w:p w14:paraId="4CB693A5">
            <w:pPr>
              <w:spacing w:line="297" w:lineRule="auto"/>
              <w:rPr>
                <w:rFonts w:ascii="Arial"/>
                <w:sz w:val="21"/>
              </w:rPr>
            </w:pPr>
          </w:p>
          <w:p w14:paraId="372A2F90">
            <w:pPr>
              <w:pStyle w:val="15"/>
              <w:spacing w:before="65" w:line="228" w:lineRule="auto"/>
              <w:ind w:left="330"/>
            </w:pPr>
            <w:r>
              <w:rPr>
                <w:color w:val="0000FF"/>
                <w:spacing w:val="4"/>
              </w:rPr>
              <w:t>其他</w:t>
            </w:r>
          </w:p>
        </w:tc>
        <w:tc>
          <w:tcPr>
            <w:tcW w:w="8205" w:type="dxa"/>
            <w:gridSpan w:val="2"/>
            <w:vAlign w:val="top"/>
          </w:tcPr>
          <w:p w14:paraId="03D4584E">
            <w:pPr>
              <w:pStyle w:val="15"/>
              <w:spacing w:before="38" w:line="372" w:lineRule="auto"/>
              <w:ind w:left="112" w:right="63"/>
              <w:jc w:val="both"/>
            </w:pPr>
            <w:r>
              <w:rPr>
                <w:color w:val="0000FF"/>
                <w:spacing w:val="7"/>
              </w:rPr>
              <w:t>付款方式:</w:t>
            </w:r>
            <w:r>
              <w:rPr>
                <w:rFonts w:hint="eastAsia" w:ascii="宋体" w:hAnsi="宋体" w:eastAsia="宋体" w:cs="宋体"/>
                <w:color w:val="0000FF"/>
                <w:kern w:val="2"/>
                <w:sz w:val="21"/>
                <w:szCs w:val="21"/>
                <w:highlight w:val="none"/>
                <w:lang w:val="en-US" w:eastAsia="zh-CN" w:bidi="ar-SA"/>
              </w:rPr>
              <w:t>承包人进场后支付</w:t>
            </w:r>
            <w:r>
              <w:rPr>
                <w:rFonts w:hint="eastAsia" w:cs="宋体"/>
                <w:color w:val="0000FF"/>
                <w:kern w:val="2"/>
                <w:sz w:val="21"/>
                <w:szCs w:val="21"/>
                <w:highlight w:val="none"/>
                <w:lang w:val="en-US" w:eastAsia="zh-CN" w:bidi="ar-SA"/>
              </w:rPr>
              <w:t>工</w:t>
            </w:r>
            <w:r>
              <w:rPr>
                <w:rFonts w:hint="eastAsia" w:ascii="宋体" w:hAnsi="宋体" w:eastAsia="宋体" w:cs="宋体"/>
                <w:color w:val="0000FF"/>
                <w:kern w:val="2"/>
                <w:sz w:val="21"/>
                <w:szCs w:val="21"/>
                <w:highlight w:val="none"/>
                <w:lang w:val="en-US" w:eastAsia="zh-CN" w:bidi="ar-SA"/>
              </w:rPr>
              <w:t xml:space="preserve">程预付款为签约合同价的 10%，在开工后拨付进度款时按比例抵扣。根据施工进度按月拨付，按已完成工程合同价款的 80％支付进度款。工程全部竣工并验收合格后付至工程签约合同价款的 </w:t>
            </w:r>
            <w:r>
              <w:rPr>
                <w:rFonts w:hint="eastAsia" w:cs="宋体"/>
                <w:color w:val="0000FF"/>
                <w:kern w:val="2"/>
                <w:sz w:val="21"/>
                <w:szCs w:val="21"/>
                <w:highlight w:val="none"/>
                <w:lang w:val="en-US" w:eastAsia="zh-CN" w:bidi="ar-SA"/>
              </w:rPr>
              <w:t>8</w:t>
            </w:r>
            <w:r>
              <w:rPr>
                <w:rFonts w:hint="eastAsia" w:ascii="宋体" w:hAnsi="宋体" w:eastAsia="宋体" w:cs="宋体"/>
                <w:color w:val="0000FF"/>
                <w:kern w:val="2"/>
                <w:sz w:val="21"/>
                <w:szCs w:val="21"/>
                <w:highlight w:val="none"/>
                <w:lang w:val="en-US" w:eastAsia="zh-CN" w:bidi="ar-SA"/>
              </w:rPr>
              <w:t>0 %（含原拨付款）；经财政部门结算审核完成后付至工程结算审核款的 97%（含原拨付款），余款 3%留作工程质量保证金待工程验收合格一年后付清，逾期不能付清的按银行同期贷款利率计息付给乙方。</w:t>
            </w:r>
            <w:r>
              <w:rPr>
                <w:rFonts w:hint="eastAsia" w:cs="宋体"/>
                <w:color w:val="0000FF"/>
                <w:kern w:val="2"/>
                <w:sz w:val="21"/>
                <w:szCs w:val="21"/>
                <w:highlight w:val="none"/>
                <w:lang w:val="en-US" w:eastAsia="zh-CN" w:bidi="ar-SA"/>
              </w:rPr>
              <w:t>甲方</w:t>
            </w:r>
            <w:r>
              <w:rPr>
                <w:rFonts w:hint="eastAsia" w:ascii="宋体" w:hAnsi="宋体" w:eastAsia="宋体" w:cs="宋体"/>
                <w:color w:val="0000FF"/>
                <w:kern w:val="2"/>
                <w:sz w:val="21"/>
                <w:szCs w:val="21"/>
                <w:highlight w:val="none"/>
                <w:lang w:val="en-US" w:eastAsia="zh-CN" w:bidi="ar-SA"/>
              </w:rPr>
              <w:t>通过云信保理（</w:t>
            </w:r>
            <w:r>
              <w:rPr>
                <w:rFonts w:hint="eastAsia" w:cs="宋体"/>
                <w:color w:val="0000FF"/>
                <w:kern w:val="2"/>
                <w:sz w:val="21"/>
                <w:szCs w:val="21"/>
                <w:highlight w:val="none"/>
                <w:lang w:val="en-US" w:eastAsia="zh-CN" w:bidi="ar-SA"/>
              </w:rPr>
              <w:t>半</w:t>
            </w:r>
            <w:r>
              <w:rPr>
                <w:rFonts w:hint="eastAsia" w:ascii="宋体" w:hAnsi="宋体" w:eastAsia="宋体" w:cs="宋体"/>
                <w:color w:val="0000FF"/>
                <w:kern w:val="2"/>
                <w:sz w:val="21"/>
                <w:szCs w:val="21"/>
                <w:highlight w:val="none"/>
                <w:lang w:val="en-US" w:eastAsia="zh-CN" w:bidi="ar-SA"/>
              </w:rPr>
              <w:t>年期）的方式支付本项目工程款（农民工工资除外，需要以现金或银行资金转账方式支付）。</w:t>
            </w:r>
          </w:p>
        </w:tc>
      </w:tr>
    </w:tbl>
    <w:p w14:paraId="0606C508">
      <w:pPr>
        <w:pStyle w:val="6"/>
      </w:pPr>
    </w:p>
    <w:p w14:paraId="34A6B1AD">
      <w:pPr>
        <w:sectPr>
          <w:pgSz w:w="11907" w:h="16840"/>
          <w:pgMar w:top="1020" w:right="1612" w:bottom="1029" w:left="1015" w:header="0" w:footer="850" w:gutter="0"/>
          <w:pgNumType w:fmt="decimal"/>
          <w:cols w:space="720" w:num="1"/>
        </w:sectPr>
      </w:pPr>
    </w:p>
    <w:p w14:paraId="76BDB05A">
      <w:pPr>
        <w:spacing w:before="56" w:line="222" w:lineRule="auto"/>
        <w:ind w:left="4233"/>
        <w:rPr>
          <w:rFonts w:ascii="黑体" w:hAnsi="黑体" w:eastAsia="黑体" w:cs="黑体"/>
          <w:sz w:val="28"/>
          <w:szCs w:val="28"/>
        </w:rPr>
      </w:pPr>
      <w:r>
        <w:rPr>
          <w:rFonts w:ascii="黑体" w:hAnsi="黑体" w:eastAsia="黑体" w:cs="黑体"/>
          <w:spacing w:val="-2"/>
          <w:sz w:val="28"/>
          <w:szCs w:val="28"/>
        </w:rPr>
        <w:t>投标人须知</w:t>
      </w:r>
    </w:p>
    <w:p w14:paraId="0AB02C2C">
      <w:pPr>
        <w:spacing w:before="31" w:line="220" w:lineRule="auto"/>
        <w:ind w:left="24"/>
        <w:outlineLvl w:val="1"/>
        <w:rPr>
          <w:rFonts w:ascii="宋体" w:hAnsi="宋体" w:eastAsia="宋体" w:cs="宋体"/>
          <w:sz w:val="30"/>
          <w:szCs w:val="30"/>
        </w:rPr>
      </w:pPr>
      <w:bookmarkStart w:id="37" w:name="bookmark27"/>
      <w:bookmarkEnd w:id="37"/>
      <w:bookmarkStart w:id="38" w:name="_Toc6913"/>
      <w:r>
        <w:rPr>
          <w:rFonts w:ascii="宋体" w:hAnsi="宋体" w:eastAsia="宋体" w:cs="宋体"/>
          <w:spacing w:val="-9"/>
          <w:sz w:val="30"/>
          <w:szCs w:val="30"/>
        </w:rPr>
        <w:t>1.总则</w:t>
      </w:r>
      <w:bookmarkEnd w:id="38"/>
    </w:p>
    <w:p w14:paraId="71A447A8">
      <w:pPr>
        <w:spacing w:before="217" w:line="219" w:lineRule="auto"/>
        <w:ind w:left="18"/>
        <w:outlineLvl w:val="2"/>
        <w:rPr>
          <w:rFonts w:ascii="宋体" w:hAnsi="宋体" w:eastAsia="宋体" w:cs="宋体"/>
          <w:sz w:val="24"/>
          <w:szCs w:val="24"/>
        </w:rPr>
      </w:pPr>
      <w:bookmarkStart w:id="39" w:name="bookmark29"/>
      <w:bookmarkEnd w:id="39"/>
      <w:bookmarkStart w:id="40" w:name="_Toc13736"/>
      <w:r>
        <w:rPr>
          <w:rFonts w:ascii="宋体" w:hAnsi="宋体" w:eastAsia="宋体" w:cs="宋体"/>
          <w:spacing w:val="-6"/>
          <w:sz w:val="24"/>
          <w:szCs w:val="24"/>
        </w:rPr>
        <w:t>1.1</w:t>
      </w:r>
      <w:r>
        <w:rPr>
          <w:rFonts w:ascii="宋体" w:hAnsi="宋体" w:eastAsia="宋体" w:cs="宋体"/>
          <w:spacing w:val="13"/>
          <w:sz w:val="24"/>
          <w:szCs w:val="24"/>
        </w:rPr>
        <w:t xml:space="preserve"> </w:t>
      </w:r>
      <w:r>
        <w:rPr>
          <w:rFonts w:ascii="宋体" w:hAnsi="宋体" w:eastAsia="宋体" w:cs="宋体"/>
          <w:spacing w:val="-6"/>
          <w:sz w:val="24"/>
          <w:szCs w:val="24"/>
        </w:rPr>
        <w:t>项目概况</w:t>
      </w:r>
      <w:bookmarkEnd w:id="40"/>
    </w:p>
    <w:p w14:paraId="2C4BE005">
      <w:pPr>
        <w:spacing w:before="177" w:line="296" w:lineRule="auto"/>
        <w:ind w:firstLine="434"/>
        <w:rPr>
          <w:rFonts w:ascii="宋体" w:hAnsi="宋体" w:eastAsia="宋体" w:cs="宋体"/>
          <w:sz w:val="20"/>
          <w:szCs w:val="20"/>
        </w:rPr>
      </w:pPr>
      <w:r>
        <w:rPr>
          <w:rFonts w:ascii="宋体" w:hAnsi="宋体" w:eastAsia="宋体" w:cs="宋体"/>
          <w:spacing w:val="3"/>
          <w:sz w:val="20"/>
          <w:szCs w:val="20"/>
        </w:rPr>
        <w:t>1.1.1  根据《中华人民共和国招标投标法</w:t>
      </w:r>
      <w:r>
        <w:rPr>
          <w:rFonts w:ascii="宋体" w:hAnsi="宋体" w:eastAsia="宋体" w:cs="宋体"/>
          <w:spacing w:val="2"/>
          <w:sz w:val="20"/>
          <w:szCs w:val="20"/>
        </w:rPr>
        <w:t>》、</w:t>
      </w:r>
      <w:r>
        <w:rPr>
          <w:rFonts w:ascii="宋体" w:hAnsi="宋体" w:eastAsia="宋体" w:cs="宋体"/>
          <w:spacing w:val="2"/>
          <w:sz w:val="22"/>
          <w:szCs w:val="22"/>
        </w:rPr>
        <w:t xml:space="preserve">《中华人民共和国招标投标法实施条例》 </w:t>
      </w:r>
      <w:r>
        <w:rPr>
          <w:rFonts w:ascii="宋体" w:hAnsi="宋体" w:eastAsia="宋体" w:cs="宋体"/>
          <w:spacing w:val="2"/>
          <w:sz w:val="20"/>
          <w:szCs w:val="20"/>
        </w:rPr>
        <w:t>等有关法律、</w:t>
      </w:r>
      <w:r>
        <w:rPr>
          <w:rFonts w:ascii="宋体" w:hAnsi="宋体" w:eastAsia="宋体" w:cs="宋体"/>
          <w:sz w:val="20"/>
          <w:szCs w:val="20"/>
        </w:rPr>
        <w:t xml:space="preserve"> </w:t>
      </w:r>
      <w:r>
        <w:rPr>
          <w:rFonts w:ascii="宋体" w:hAnsi="宋体" w:eastAsia="宋体" w:cs="宋体"/>
          <w:spacing w:val="9"/>
          <w:sz w:val="20"/>
          <w:szCs w:val="20"/>
        </w:rPr>
        <w:t>法规和规章的规定，本招标项目已具备招标条件，现对施工进行招标。</w:t>
      </w:r>
    </w:p>
    <w:p w14:paraId="62012097">
      <w:pPr>
        <w:spacing w:before="162" w:line="227" w:lineRule="auto"/>
        <w:ind w:left="434"/>
        <w:rPr>
          <w:rFonts w:ascii="宋体" w:hAnsi="宋体" w:eastAsia="宋体" w:cs="宋体"/>
          <w:sz w:val="20"/>
          <w:szCs w:val="20"/>
        </w:rPr>
      </w:pPr>
      <w:r>
        <w:rPr>
          <w:rFonts w:ascii="宋体" w:hAnsi="宋体" w:eastAsia="宋体" w:cs="宋体"/>
          <w:spacing w:val="6"/>
          <w:sz w:val="20"/>
          <w:szCs w:val="20"/>
        </w:rPr>
        <w:t>1.1.2  招标人：见投标人须知前附表。</w:t>
      </w:r>
    </w:p>
    <w:p w14:paraId="5AA19B34">
      <w:pPr>
        <w:spacing w:before="162" w:line="227" w:lineRule="auto"/>
        <w:ind w:left="434"/>
        <w:rPr>
          <w:rFonts w:ascii="宋体" w:hAnsi="宋体" w:eastAsia="宋体" w:cs="宋体"/>
          <w:sz w:val="20"/>
          <w:szCs w:val="20"/>
        </w:rPr>
      </w:pPr>
      <w:r>
        <w:rPr>
          <w:rFonts w:ascii="宋体" w:hAnsi="宋体" w:eastAsia="宋体" w:cs="宋体"/>
          <w:spacing w:val="7"/>
          <w:sz w:val="20"/>
          <w:szCs w:val="20"/>
        </w:rPr>
        <w:t>1.1.3  招标代理机构：见投标人须知前附表。</w:t>
      </w:r>
    </w:p>
    <w:p w14:paraId="353A1026">
      <w:pPr>
        <w:spacing w:before="162" w:line="227" w:lineRule="auto"/>
        <w:ind w:left="434"/>
        <w:rPr>
          <w:rFonts w:ascii="宋体" w:hAnsi="宋体" w:eastAsia="宋体" w:cs="宋体"/>
          <w:sz w:val="20"/>
          <w:szCs w:val="20"/>
        </w:rPr>
      </w:pPr>
      <w:r>
        <w:rPr>
          <w:rFonts w:ascii="宋体" w:hAnsi="宋体" w:eastAsia="宋体" w:cs="宋体"/>
          <w:spacing w:val="7"/>
          <w:sz w:val="20"/>
          <w:szCs w:val="20"/>
        </w:rPr>
        <w:t>1.1.4  招标项目名称：见投标人须知前附表。</w:t>
      </w:r>
    </w:p>
    <w:p w14:paraId="254886C9">
      <w:pPr>
        <w:spacing w:before="162" w:line="227" w:lineRule="auto"/>
        <w:ind w:left="434"/>
        <w:rPr>
          <w:rFonts w:ascii="宋体" w:hAnsi="宋体" w:eastAsia="宋体" w:cs="宋体"/>
          <w:sz w:val="20"/>
          <w:szCs w:val="20"/>
        </w:rPr>
      </w:pPr>
      <w:r>
        <w:rPr>
          <w:rFonts w:ascii="宋体" w:hAnsi="宋体" w:eastAsia="宋体" w:cs="宋体"/>
          <w:spacing w:val="6"/>
          <w:sz w:val="20"/>
          <w:szCs w:val="20"/>
        </w:rPr>
        <w:t>1.1.5  建设地点：见投标人须知前附表。</w:t>
      </w:r>
    </w:p>
    <w:p w14:paraId="4759763D">
      <w:pPr>
        <w:spacing w:before="170" w:line="219" w:lineRule="auto"/>
        <w:ind w:left="18"/>
        <w:outlineLvl w:val="2"/>
        <w:rPr>
          <w:rFonts w:ascii="宋体" w:hAnsi="宋体" w:eastAsia="宋体" w:cs="宋体"/>
          <w:sz w:val="24"/>
          <w:szCs w:val="24"/>
        </w:rPr>
      </w:pPr>
      <w:bookmarkStart w:id="41" w:name="bookmark31"/>
      <w:bookmarkEnd w:id="41"/>
      <w:bookmarkStart w:id="42" w:name="_Toc27937"/>
      <w:r>
        <w:rPr>
          <w:rFonts w:ascii="宋体" w:hAnsi="宋体" w:eastAsia="宋体" w:cs="宋体"/>
          <w:spacing w:val="-3"/>
          <w:sz w:val="24"/>
          <w:szCs w:val="24"/>
        </w:rPr>
        <w:t>1.2 资金来源和落实情况</w:t>
      </w:r>
      <w:bookmarkEnd w:id="42"/>
    </w:p>
    <w:p w14:paraId="76C8FE55">
      <w:pPr>
        <w:spacing w:before="176" w:line="226" w:lineRule="auto"/>
        <w:ind w:left="421"/>
        <w:rPr>
          <w:rFonts w:ascii="宋体" w:hAnsi="宋体" w:eastAsia="宋体" w:cs="宋体"/>
          <w:sz w:val="20"/>
          <w:szCs w:val="20"/>
        </w:rPr>
      </w:pPr>
      <w:r>
        <w:rPr>
          <w:rFonts w:ascii="宋体" w:hAnsi="宋体" w:eastAsia="宋体" w:cs="宋体"/>
          <w:spacing w:val="8"/>
          <w:sz w:val="20"/>
          <w:szCs w:val="20"/>
        </w:rPr>
        <w:t>详见招标公告或投标邀请书 。</w:t>
      </w:r>
    </w:p>
    <w:p w14:paraId="6E15EC25">
      <w:pPr>
        <w:spacing w:before="168" w:line="220" w:lineRule="auto"/>
        <w:ind w:left="18"/>
        <w:outlineLvl w:val="2"/>
        <w:rPr>
          <w:rFonts w:ascii="宋体" w:hAnsi="宋体" w:eastAsia="宋体" w:cs="宋体"/>
          <w:sz w:val="24"/>
          <w:szCs w:val="24"/>
        </w:rPr>
      </w:pPr>
      <w:bookmarkStart w:id="43" w:name="bookmark33"/>
      <w:bookmarkEnd w:id="43"/>
      <w:bookmarkStart w:id="44" w:name="_Toc20057"/>
      <w:r>
        <w:rPr>
          <w:rFonts w:ascii="宋体" w:hAnsi="宋体" w:eastAsia="宋体" w:cs="宋体"/>
          <w:spacing w:val="-2"/>
          <w:sz w:val="24"/>
          <w:szCs w:val="24"/>
        </w:rPr>
        <w:t>1.3 招标范围、计划工期和质量要求</w:t>
      </w:r>
      <w:bookmarkEnd w:id="44"/>
    </w:p>
    <w:p w14:paraId="6E2E74EC">
      <w:pPr>
        <w:spacing w:before="177" w:line="227" w:lineRule="auto"/>
        <w:ind w:left="434"/>
        <w:rPr>
          <w:rFonts w:ascii="宋体" w:hAnsi="宋体" w:eastAsia="宋体" w:cs="宋体"/>
          <w:sz w:val="20"/>
          <w:szCs w:val="20"/>
        </w:rPr>
      </w:pPr>
      <w:r>
        <w:rPr>
          <w:rFonts w:ascii="宋体" w:hAnsi="宋体" w:eastAsia="宋体" w:cs="宋体"/>
          <w:spacing w:val="6"/>
          <w:sz w:val="20"/>
          <w:szCs w:val="20"/>
        </w:rPr>
        <w:t>1.3.1  招标范围：见投标人须知前附表。</w:t>
      </w:r>
    </w:p>
    <w:p w14:paraId="60447363">
      <w:pPr>
        <w:spacing w:before="162" w:line="227" w:lineRule="auto"/>
        <w:ind w:left="434"/>
        <w:rPr>
          <w:rFonts w:ascii="宋体" w:hAnsi="宋体" w:eastAsia="宋体" w:cs="宋体"/>
          <w:sz w:val="20"/>
          <w:szCs w:val="20"/>
        </w:rPr>
      </w:pPr>
      <w:r>
        <w:rPr>
          <w:rFonts w:ascii="宋体" w:hAnsi="宋体" w:eastAsia="宋体" w:cs="宋体"/>
          <w:spacing w:val="6"/>
          <w:sz w:val="20"/>
          <w:szCs w:val="20"/>
        </w:rPr>
        <w:t>1.3.2  计划工期：见投标人须知前附表。</w:t>
      </w:r>
    </w:p>
    <w:p w14:paraId="7A63559B">
      <w:pPr>
        <w:spacing w:before="162" w:line="227" w:lineRule="auto"/>
        <w:ind w:left="434"/>
        <w:rPr>
          <w:rFonts w:ascii="宋体" w:hAnsi="宋体" w:eastAsia="宋体" w:cs="宋体"/>
          <w:sz w:val="20"/>
          <w:szCs w:val="20"/>
        </w:rPr>
      </w:pPr>
      <w:r>
        <w:rPr>
          <w:rFonts w:ascii="宋体" w:hAnsi="宋体" w:eastAsia="宋体" w:cs="宋体"/>
          <w:spacing w:val="7"/>
          <w:sz w:val="20"/>
          <w:szCs w:val="20"/>
        </w:rPr>
        <w:t>1.3.3  质量标准和保修要求：见投标人须知前附表。</w:t>
      </w:r>
    </w:p>
    <w:p w14:paraId="2A2C2D62">
      <w:pPr>
        <w:spacing w:before="167" w:line="219" w:lineRule="auto"/>
        <w:ind w:left="18"/>
        <w:outlineLvl w:val="2"/>
        <w:rPr>
          <w:rFonts w:ascii="宋体" w:hAnsi="宋体" w:eastAsia="宋体" w:cs="宋体"/>
          <w:sz w:val="24"/>
          <w:szCs w:val="24"/>
        </w:rPr>
      </w:pPr>
      <w:bookmarkStart w:id="45" w:name="bookmark35"/>
      <w:bookmarkEnd w:id="45"/>
      <w:bookmarkStart w:id="46" w:name="_Toc31221"/>
      <w:r>
        <w:rPr>
          <w:rFonts w:ascii="宋体" w:hAnsi="宋体" w:eastAsia="宋体" w:cs="宋体"/>
          <w:spacing w:val="-3"/>
          <w:sz w:val="24"/>
          <w:szCs w:val="24"/>
        </w:rPr>
        <w:t>1.4 投标人资格要求</w:t>
      </w:r>
      <w:bookmarkEnd w:id="46"/>
    </w:p>
    <w:p w14:paraId="62549AE3">
      <w:pPr>
        <w:spacing w:before="178" w:line="302" w:lineRule="auto"/>
        <w:ind w:left="427" w:right="3040" w:firstLine="13"/>
        <w:rPr>
          <w:rFonts w:ascii="宋体" w:hAnsi="宋体" w:eastAsia="宋体" w:cs="宋体"/>
          <w:sz w:val="20"/>
          <w:szCs w:val="20"/>
        </w:rPr>
      </w:pPr>
      <w:r>
        <w:rPr>
          <w:rFonts w:ascii="宋体" w:hAnsi="宋体" w:eastAsia="宋体" w:cs="宋体"/>
          <w:color w:val="0000FF"/>
          <w:spacing w:val="8"/>
          <w:sz w:val="20"/>
          <w:szCs w:val="20"/>
        </w:rPr>
        <w:t>□</w:t>
      </w:r>
      <w:r>
        <w:rPr>
          <w:rFonts w:ascii="宋体" w:hAnsi="宋体" w:eastAsia="宋体" w:cs="宋体"/>
          <w:spacing w:val="8"/>
          <w:sz w:val="20"/>
          <w:szCs w:val="20"/>
        </w:rPr>
        <w:t>采用资格预审方式，投标人应是收到招标人发出投标邀请</w:t>
      </w:r>
      <w:r>
        <w:rPr>
          <w:rFonts w:ascii="宋体" w:hAnsi="宋体" w:eastAsia="宋体" w:cs="宋体"/>
          <w:spacing w:val="7"/>
          <w:sz w:val="20"/>
          <w:szCs w:val="20"/>
        </w:rPr>
        <w:t>书的单位。</w:t>
      </w:r>
      <w:r>
        <w:rPr>
          <w:rFonts w:ascii="宋体" w:hAnsi="宋体" w:eastAsia="宋体" w:cs="宋体"/>
          <w:sz w:val="20"/>
          <w:szCs w:val="20"/>
        </w:rPr>
        <w:t xml:space="preserve"> </w:t>
      </w:r>
      <w:r>
        <w:rPr>
          <w:rFonts w:ascii="MS Gothic" w:hAnsi="MS Gothic" w:eastAsia="MS Gothic" w:cs="MS Gothic"/>
          <w:color w:val="0000FF"/>
          <w:spacing w:val="8"/>
          <w:sz w:val="20"/>
          <w:szCs w:val="20"/>
        </w:rPr>
        <w:t>☑</w:t>
      </w:r>
      <w:r>
        <w:rPr>
          <w:rFonts w:ascii="宋体" w:hAnsi="宋体" w:eastAsia="宋体" w:cs="宋体"/>
          <w:spacing w:val="8"/>
          <w:sz w:val="20"/>
          <w:szCs w:val="20"/>
        </w:rPr>
        <w:t>采用资格后审方式，投标人资格要求</w:t>
      </w:r>
    </w:p>
    <w:p w14:paraId="2586AAAB">
      <w:pPr>
        <w:spacing w:before="162" w:line="227" w:lineRule="auto"/>
        <w:ind w:left="434"/>
        <w:rPr>
          <w:rFonts w:ascii="宋体" w:hAnsi="宋体" w:eastAsia="宋体" w:cs="宋体"/>
          <w:sz w:val="20"/>
          <w:szCs w:val="20"/>
        </w:rPr>
      </w:pPr>
      <w:r>
        <w:rPr>
          <w:rFonts w:ascii="宋体" w:hAnsi="宋体" w:eastAsia="宋体" w:cs="宋体"/>
          <w:spacing w:val="8"/>
          <w:sz w:val="20"/>
          <w:szCs w:val="20"/>
        </w:rPr>
        <w:t>1.4.1  投标人应具备承担本项目施工的资质条件：见投标人须知前附表；</w:t>
      </w:r>
    </w:p>
    <w:p w14:paraId="1C1925F6">
      <w:pPr>
        <w:spacing w:before="166" w:line="302" w:lineRule="auto"/>
        <w:ind w:right="68" w:firstLine="434"/>
        <w:rPr>
          <w:rFonts w:ascii="宋体" w:hAnsi="宋体" w:eastAsia="宋体" w:cs="宋体"/>
          <w:sz w:val="20"/>
          <w:szCs w:val="20"/>
        </w:rPr>
      </w:pPr>
      <w:r>
        <w:rPr>
          <w:rFonts w:ascii="宋体" w:hAnsi="宋体" w:eastAsia="宋体" w:cs="宋体"/>
          <w:spacing w:val="10"/>
          <w:sz w:val="20"/>
          <w:szCs w:val="20"/>
        </w:rPr>
        <w:t>1.4.2  投标人须知前附表规定接受联合体投标的</w:t>
      </w:r>
      <w:r>
        <w:rPr>
          <w:rFonts w:ascii="宋体" w:hAnsi="宋体" w:eastAsia="宋体" w:cs="宋体"/>
          <w:spacing w:val="9"/>
          <w:sz w:val="20"/>
          <w:szCs w:val="20"/>
        </w:rPr>
        <w:t>，除应符合本须知第</w:t>
      </w:r>
      <w:r>
        <w:rPr>
          <w:rFonts w:ascii="宋体" w:hAnsi="宋体" w:eastAsia="宋体" w:cs="宋体"/>
          <w:spacing w:val="-21"/>
          <w:sz w:val="20"/>
          <w:szCs w:val="20"/>
        </w:rPr>
        <w:t xml:space="preserve"> </w:t>
      </w:r>
      <w:r>
        <w:rPr>
          <w:rFonts w:ascii="宋体" w:hAnsi="宋体" w:eastAsia="宋体" w:cs="宋体"/>
          <w:spacing w:val="9"/>
          <w:sz w:val="20"/>
          <w:szCs w:val="20"/>
        </w:rPr>
        <w:t>1.4.1</w:t>
      </w:r>
      <w:r>
        <w:rPr>
          <w:rFonts w:ascii="宋体" w:hAnsi="宋体" w:eastAsia="宋体" w:cs="宋体"/>
          <w:spacing w:val="-33"/>
          <w:sz w:val="20"/>
          <w:szCs w:val="20"/>
        </w:rPr>
        <w:t xml:space="preserve"> </w:t>
      </w:r>
      <w:r>
        <w:rPr>
          <w:rFonts w:ascii="宋体" w:hAnsi="宋体" w:eastAsia="宋体" w:cs="宋体"/>
          <w:spacing w:val="9"/>
          <w:sz w:val="20"/>
          <w:szCs w:val="20"/>
        </w:rPr>
        <w:t>项和投标人须知前附表的</w:t>
      </w:r>
      <w:r>
        <w:rPr>
          <w:rFonts w:ascii="宋体" w:hAnsi="宋体" w:eastAsia="宋体" w:cs="宋体"/>
          <w:sz w:val="20"/>
          <w:szCs w:val="20"/>
        </w:rPr>
        <w:t xml:space="preserve"> </w:t>
      </w:r>
      <w:r>
        <w:rPr>
          <w:rFonts w:ascii="宋体" w:hAnsi="宋体" w:eastAsia="宋体" w:cs="宋体"/>
          <w:spacing w:val="8"/>
          <w:sz w:val="20"/>
          <w:szCs w:val="20"/>
        </w:rPr>
        <w:t>要求外，还应遵守以下规定：</w:t>
      </w:r>
    </w:p>
    <w:p w14:paraId="52B3B2B4">
      <w:pPr>
        <w:spacing w:before="160" w:line="227" w:lineRule="auto"/>
        <w:ind w:left="429"/>
        <w:rPr>
          <w:rFonts w:ascii="宋体" w:hAnsi="宋体" w:eastAsia="宋体" w:cs="宋体"/>
          <w:sz w:val="20"/>
          <w:szCs w:val="20"/>
        </w:rPr>
      </w:pPr>
      <w:r>
        <w:rPr>
          <w:rFonts w:ascii="宋体" w:hAnsi="宋体" w:eastAsia="宋体" w:cs="宋体"/>
          <w:spacing w:val="9"/>
          <w:sz w:val="20"/>
          <w:szCs w:val="20"/>
        </w:rPr>
        <w:t>（1）联合体各方应按招标文件提供的格式签订共同投标协议，明确联合体牵头人和各方权利义务；</w:t>
      </w:r>
    </w:p>
    <w:p w14:paraId="50DBDF6F">
      <w:pPr>
        <w:spacing w:before="162" w:line="228" w:lineRule="auto"/>
        <w:ind w:left="429"/>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7"/>
          <w:sz w:val="20"/>
          <w:szCs w:val="20"/>
        </w:rPr>
        <w:t xml:space="preserve"> </w:t>
      </w:r>
      <w:r>
        <w:rPr>
          <w:rFonts w:ascii="宋体" w:hAnsi="宋体" w:eastAsia="宋体" w:cs="宋体"/>
          <w:spacing w:val="8"/>
          <w:sz w:val="20"/>
          <w:szCs w:val="20"/>
        </w:rPr>
        <w:t>由同一专业的单位组成的联合体，按照资质等级较低的单</w:t>
      </w:r>
      <w:r>
        <w:rPr>
          <w:rFonts w:ascii="宋体" w:hAnsi="宋体" w:eastAsia="宋体" w:cs="宋体"/>
          <w:spacing w:val="7"/>
          <w:sz w:val="20"/>
          <w:szCs w:val="20"/>
        </w:rPr>
        <w:t>位确定资质等级；</w:t>
      </w:r>
    </w:p>
    <w:p w14:paraId="230D725B">
      <w:pPr>
        <w:spacing w:before="164" w:line="228" w:lineRule="auto"/>
        <w:ind w:left="429"/>
        <w:rPr>
          <w:rFonts w:ascii="宋体" w:hAnsi="宋体" w:eastAsia="宋体" w:cs="宋体"/>
          <w:sz w:val="20"/>
          <w:szCs w:val="20"/>
        </w:rPr>
      </w:pPr>
      <w:r>
        <w:rPr>
          <w:rFonts w:ascii="宋体" w:hAnsi="宋体" w:eastAsia="宋体" w:cs="宋体"/>
          <w:spacing w:val="9"/>
          <w:sz w:val="20"/>
          <w:szCs w:val="20"/>
        </w:rPr>
        <w:t>（3）联合体各方不得再以自己名义单独或参加其他联合体在同一标段中</w:t>
      </w:r>
      <w:r>
        <w:rPr>
          <w:rFonts w:ascii="宋体" w:hAnsi="宋体" w:eastAsia="宋体" w:cs="宋体"/>
          <w:spacing w:val="8"/>
          <w:sz w:val="20"/>
          <w:szCs w:val="20"/>
        </w:rPr>
        <w:t>投标。</w:t>
      </w:r>
    </w:p>
    <w:p w14:paraId="33F0693B">
      <w:pPr>
        <w:spacing w:before="161" w:line="228" w:lineRule="auto"/>
        <w:ind w:left="434"/>
        <w:rPr>
          <w:rFonts w:ascii="宋体" w:hAnsi="宋体" w:eastAsia="宋体" w:cs="宋体"/>
          <w:sz w:val="20"/>
          <w:szCs w:val="20"/>
        </w:rPr>
      </w:pPr>
      <w:r>
        <w:rPr>
          <w:rFonts w:ascii="宋体" w:hAnsi="宋体" w:eastAsia="宋体" w:cs="宋体"/>
          <w:spacing w:val="6"/>
          <w:sz w:val="20"/>
          <w:szCs w:val="20"/>
        </w:rPr>
        <w:t>1.4.3 投标人不得存在下列情形之一：</w:t>
      </w:r>
    </w:p>
    <w:p w14:paraId="1C72FACB">
      <w:pPr>
        <w:spacing w:before="161" w:line="227" w:lineRule="auto"/>
        <w:ind w:left="429"/>
        <w:rPr>
          <w:rFonts w:ascii="宋体" w:hAnsi="宋体" w:eastAsia="宋体" w:cs="宋体"/>
          <w:sz w:val="20"/>
          <w:szCs w:val="20"/>
        </w:rPr>
      </w:pPr>
      <w:r>
        <w:rPr>
          <w:rFonts w:ascii="宋体" w:hAnsi="宋体" w:eastAsia="宋体" w:cs="宋体"/>
          <w:spacing w:val="9"/>
          <w:sz w:val="20"/>
          <w:szCs w:val="20"/>
        </w:rPr>
        <w:t>（l）为招标人的不具有独立法人资格的附属机构（单位</w:t>
      </w:r>
      <w:r>
        <w:rPr>
          <w:rFonts w:ascii="宋体" w:hAnsi="宋体" w:eastAsia="宋体" w:cs="宋体"/>
          <w:sz w:val="20"/>
          <w:szCs w:val="20"/>
        </w:rPr>
        <w:t>）；</w:t>
      </w:r>
    </w:p>
    <w:p w14:paraId="2E7DD67C">
      <w:pPr>
        <w:spacing w:before="162" w:line="227" w:lineRule="auto"/>
        <w:ind w:left="429"/>
        <w:rPr>
          <w:rFonts w:ascii="宋体" w:hAnsi="宋体" w:eastAsia="宋体" w:cs="宋体"/>
          <w:sz w:val="20"/>
          <w:szCs w:val="20"/>
        </w:rPr>
      </w:pPr>
      <w:r>
        <w:rPr>
          <w:rFonts w:ascii="宋体" w:hAnsi="宋体" w:eastAsia="宋体" w:cs="宋体"/>
          <w:spacing w:val="8"/>
          <w:sz w:val="20"/>
          <w:szCs w:val="20"/>
        </w:rPr>
        <w:t>（2）为本招标项目前期准备提供设计或咨询服务的；</w:t>
      </w:r>
    </w:p>
    <w:p w14:paraId="10168D13">
      <w:pPr>
        <w:spacing w:before="162" w:line="227" w:lineRule="auto"/>
        <w:ind w:left="429"/>
        <w:rPr>
          <w:rFonts w:ascii="宋体" w:hAnsi="宋体" w:eastAsia="宋体" w:cs="宋体"/>
          <w:sz w:val="20"/>
          <w:szCs w:val="20"/>
        </w:rPr>
      </w:pPr>
      <w:r>
        <w:rPr>
          <w:rFonts w:ascii="宋体" w:hAnsi="宋体" w:eastAsia="宋体" w:cs="宋体"/>
          <w:spacing w:val="7"/>
          <w:sz w:val="20"/>
          <w:szCs w:val="20"/>
        </w:rPr>
        <w:t>（3）为本招标项目的监理人；</w:t>
      </w:r>
    </w:p>
    <w:p w14:paraId="645E0ACD">
      <w:pPr>
        <w:spacing w:before="164" w:line="227" w:lineRule="auto"/>
        <w:ind w:left="429"/>
        <w:rPr>
          <w:rFonts w:ascii="宋体" w:hAnsi="宋体" w:eastAsia="宋体" w:cs="宋体"/>
          <w:sz w:val="20"/>
          <w:szCs w:val="20"/>
        </w:rPr>
      </w:pPr>
      <w:r>
        <w:rPr>
          <w:rFonts w:ascii="宋体" w:hAnsi="宋体" w:eastAsia="宋体" w:cs="宋体"/>
          <w:spacing w:val="7"/>
          <w:sz w:val="20"/>
          <w:szCs w:val="20"/>
        </w:rPr>
        <w:t>（4）为本招标项目的代建人；</w:t>
      </w:r>
    </w:p>
    <w:p w14:paraId="12486AD8">
      <w:pPr>
        <w:spacing w:before="163" w:line="227" w:lineRule="auto"/>
        <w:ind w:left="429"/>
        <w:rPr>
          <w:rFonts w:ascii="宋体" w:hAnsi="宋体" w:eastAsia="宋体" w:cs="宋体"/>
          <w:sz w:val="20"/>
          <w:szCs w:val="20"/>
        </w:rPr>
      </w:pPr>
      <w:r>
        <w:rPr>
          <w:rFonts w:ascii="宋体" w:hAnsi="宋体" w:eastAsia="宋体" w:cs="宋体"/>
          <w:spacing w:val="7"/>
          <w:sz w:val="20"/>
          <w:szCs w:val="20"/>
        </w:rPr>
        <w:t>（5）为本招标项目的招标代理机构；</w:t>
      </w:r>
    </w:p>
    <w:p w14:paraId="5134BC7B">
      <w:pPr>
        <w:spacing w:before="162" w:line="227" w:lineRule="auto"/>
        <w:ind w:left="429"/>
        <w:rPr>
          <w:rFonts w:ascii="宋体" w:hAnsi="宋体" w:eastAsia="宋体" w:cs="宋体"/>
          <w:sz w:val="20"/>
          <w:szCs w:val="20"/>
        </w:rPr>
      </w:pPr>
      <w:r>
        <w:rPr>
          <w:rFonts w:ascii="宋体" w:hAnsi="宋体" w:eastAsia="宋体" w:cs="宋体"/>
          <w:spacing w:val="9"/>
          <w:sz w:val="20"/>
          <w:szCs w:val="20"/>
        </w:rPr>
        <w:t>（6）与本招标项目的监理人或代建人或招标代理机构同为一个法定代表</w:t>
      </w:r>
      <w:r>
        <w:rPr>
          <w:rFonts w:ascii="宋体" w:hAnsi="宋体" w:eastAsia="宋体" w:cs="宋体"/>
          <w:spacing w:val="8"/>
          <w:sz w:val="20"/>
          <w:szCs w:val="20"/>
        </w:rPr>
        <w:t>人的；</w:t>
      </w:r>
    </w:p>
    <w:p w14:paraId="0D009BC5">
      <w:pPr>
        <w:spacing w:before="162" w:line="227" w:lineRule="auto"/>
        <w:ind w:left="429"/>
        <w:rPr>
          <w:rFonts w:ascii="宋体" w:hAnsi="宋体" w:eastAsia="宋体" w:cs="宋体"/>
          <w:sz w:val="20"/>
          <w:szCs w:val="20"/>
        </w:rPr>
      </w:pPr>
      <w:r>
        <w:rPr>
          <w:rFonts w:ascii="宋体" w:hAnsi="宋体" w:eastAsia="宋体" w:cs="宋体"/>
          <w:spacing w:val="9"/>
          <w:sz w:val="20"/>
          <w:szCs w:val="20"/>
        </w:rPr>
        <w:t>（7）与本招标项目的监理人或代建人或招标代理机构相互控股</w:t>
      </w:r>
      <w:r>
        <w:rPr>
          <w:rFonts w:ascii="宋体" w:hAnsi="宋体" w:eastAsia="宋体" w:cs="宋体"/>
          <w:spacing w:val="8"/>
          <w:sz w:val="20"/>
          <w:szCs w:val="20"/>
        </w:rPr>
        <w:t>或参股的；</w:t>
      </w:r>
    </w:p>
    <w:p w14:paraId="7D2362E4">
      <w:pPr>
        <w:spacing w:before="164" w:line="227" w:lineRule="auto"/>
        <w:ind w:left="429"/>
        <w:rPr>
          <w:rFonts w:ascii="宋体" w:hAnsi="宋体" w:eastAsia="宋体" w:cs="宋体"/>
          <w:sz w:val="20"/>
          <w:szCs w:val="20"/>
        </w:rPr>
      </w:pPr>
      <w:r>
        <w:rPr>
          <w:rFonts w:ascii="宋体" w:hAnsi="宋体" w:eastAsia="宋体" w:cs="宋体"/>
          <w:spacing w:val="9"/>
          <w:sz w:val="20"/>
          <w:szCs w:val="20"/>
        </w:rPr>
        <w:t>（8）与本招标项目的监理人或代建人或招标代理机构相互任职</w:t>
      </w:r>
      <w:r>
        <w:rPr>
          <w:rFonts w:ascii="宋体" w:hAnsi="宋体" w:eastAsia="宋体" w:cs="宋体"/>
          <w:spacing w:val="8"/>
          <w:sz w:val="20"/>
          <w:szCs w:val="20"/>
        </w:rPr>
        <w:t>或工作的；</w:t>
      </w:r>
    </w:p>
    <w:p w14:paraId="35740FAF">
      <w:pPr>
        <w:spacing w:before="162" w:line="227" w:lineRule="auto"/>
        <w:ind w:left="429"/>
        <w:rPr>
          <w:rFonts w:ascii="宋体" w:hAnsi="宋体" w:eastAsia="宋体" w:cs="宋体"/>
          <w:sz w:val="20"/>
          <w:szCs w:val="20"/>
        </w:rPr>
      </w:pPr>
      <w:r>
        <w:rPr>
          <w:rFonts w:ascii="宋体" w:hAnsi="宋体" w:eastAsia="宋体" w:cs="宋体"/>
          <w:spacing w:val="6"/>
          <w:sz w:val="20"/>
          <w:szCs w:val="20"/>
        </w:rPr>
        <w:t>（9）被责令停业的；</w:t>
      </w:r>
    </w:p>
    <w:p w14:paraId="02160CC3">
      <w:pPr>
        <w:spacing w:before="162" w:line="227" w:lineRule="auto"/>
        <w:ind w:left="429"/>
        <w:rPr>
          <w:rFonts w:ascii="宋体" w:hAnsi="宋体" w:eastAsia="宋体" w:cs="宋体"/>
          <w:sz w:val="20"/>
          <w:szCs w:val="20"/>
        </w:rPr>
      </w:pPr>
      <w:r>
        <w:rPr>
          <w:rFonts w:ascii="宋体" w:hAnsi="宋体" w:eastAsia="宋体" w:cs="宋体"/>
          <w:spacing w:val="9"/>
          <w:sz w:val="20"/>
          <w:szCs w:val="20"/>
        </w:rPr>
        <w:t>（10）被住房城乡建设主管部门取消参加本地区依法必须招标项目</w:t>
      </w:r>
      <w:r>
        <w:rPr>
          <w:rFonts w:ascii="宋体" w:hAnsi="宋体" w:eastAsia="宋体" w:cs="宋体"/>
          <w:spacing w:val="8"/>
          <w:sz w:val="20"/>
          <w:szCs w:val="20"/>
        </w:rPr>
        <w:t>投标资格的；</w:t>
      </w:r>
    </w:p>
    <w:p w14:paraId="18081962">
      <w:pPr>
        <w:spacing w:line="227" w:lineRule="auto"/>
        <w:rPr>
          <w:rFonts w:ascii="宋体" w:hAnsi="宋体" w:eastAsia="宋体" w:cs="宋体"/>
          <w:sz w:val="20"/>
          <w:szCs w:val="20"/>
        </w:rPr>
        <w:sectPr>
          <w:footerReference r:id="rId10" w:type="default"/>
          <w:pgSz w:w="11907" w:h="16840"/>
          <w:pgMar w:top="1003" w:right="952" w:bottom="1029" w:left="1028" w:header="0" w:footer="850" w:gutter="0"/>
          <w:pgNumType w:fmt="decimal"/>
          <w:cols w:space="720" w:num="1"/>
        </w:sectPr>
      </w:pPr>
    </w:p>
    <w:p w14:paraId="1378D29C">
      <w:pPr>
        <w:spacing w:before="41" w:line="228" w:lineRule="auto"/>
        <w:ind w:left="430"/>
        <w:rPr>
          <w:rFonts w:ascii="宋体" w:hAnsi="宋体" w:eastAsia="宋体" w:cs="宋体"/>
          <w:sz w:val="20"/>
          <w:szCs w:val="20"/>
        </w:rPr>
      </w:pPr>
      <w:r>
        <w:rPr>
          <w:rFonts w:ascii="宋体" w:hAnsi="宋体" w:eastAsia="宋体" w:cs="宋体"/>
          <w:spacing w:val="9"/>
          <w:sz w:val="20"/>
          <w:szCs w:val="20"/>
        </w:rPr>
        <w:t>（11）与招标人存在利害关系可能影响招标公正性的法人、其他组</w:t>
      </w:r>
      <w:r>
        <w:rPr>
          <w:rFonts w:ascii="宋体" w:hAnsi="宋体" w:eastAsia="宋体" w:cs="宋体"/>
          <w:spacing w:val="8"/>
          <w:sz w:val="20"/>
          <w:szCs w:val="20"/>
        </w:rPr>
        <w:t>织或者个人；</w:t>
      </w:r>
    </w:p>
    <w:p w14:paraId="1ADF0B88">
      <w:pPr>
        <w:spacing w:before="160" w:line="304" w:lineRule="auto"/>
        <w:ind w:left="1" w:right="2" w:firstLine="429"/>
        <w:rPr>
          <w:rFonts w:ascii="宋体" w:hAnsi="宋体" w:eastAsia="宋体" w:cs="宋体"/>
          <w:sz w:val="20"/>
          <w:szCs w:val="20"/>
        </w:rPr>
      </w:pPr>
      <w:r>
        <w:rPr>
          <w:rFonts w:ascii="宋体" w:hAnsi="宋体" w:eastAsia="宋体" w:cs="宋体"/>
          <w:spacing w:val="9"/>
          <w:sz w:val="20"/>
          <w:szCs w:val="20"/>
        </w:rPr>
        <w:t>（12）单位负责人为同一人或者存在控股、管理关系的不同单位参加同一标段或者未划分标段的同一招</w:t>
      </w:r>
      <w:r>
        <w:rPr>
          <w:rFonts w:ascii="宋体" w:hAnsi="宋体" w:eastAsia="宋体" w:cs="宋体"/>
          <w:spacing w:val="10"/>
          <w:sz w:val="20"/>
          <w:szCs w:val="20"/>
        </w:rPr>
        <w:t xml:space="preserve"> </w:t>
      </w:r>
      <w:r>
        <w:rPr>
          <w:rFonts w:ascii="宋体" w:hAnsi="宋体" w:eastAsia="宋体" w:cs="宋体"/>
          <w:spacing w:val="6"/>
          <w:sz w:val="20"/>
          <w:szCs w:val="20"/>
        </w:rPr>
        <w:t>标项目投标的；</w:t>
      </w:r>
    </w:p>
    <w:p w14:paraId="6F1A00C1">
      <w:pPr>
        <w:spacing w:before="160" w:line="228" w:lineRule="auto"/>
        <w:ind w:left="430"/>
        <w:rPr>
          <w:rFonts w:ascii="宋体" w:hAnsi="宋体" w:eastAsia="宋体" w:cs="宋体"/>
          <w:sz w:val="20"/>
          <w:szCs w:val="20"/>
        </w:rPr>
      </w:pPr>
      <w:r>
        <w:rPr>
          <w:rFonts w:ascii="宋体" w:hAnsi="宋体" w:eastAsia="宋体" w:cs="宋体"/>
          <w:spacing w:val="7"/>
          <w:sz w:val="20"/>
          <w:szCs w:val="20"/>
        </w:rPr>
        <w:t>（13）法律、法规规定的其他情形。</w:t>
      </w:r>
    </w:p>
    <w:p w14:paraId="15720B8D">
      <w:pPr>
        <w:spacing w:before="166" w:line="219" w:lineRule="auto"/>
        <w:ind w:left="19"/>
        <w:outlineLvl w:val="2"/>
        <w:rPr>
          <w:rFonts w:ascii="宋体" w:hAnsi="宋体" w:eastAsia="宋体" w:cs="宋体"/>
          <w:sz w:val="24"/>
          <w:szCs w:val="24"/>
        </w:rPr>
      </w:pPr>
      <w:bookmarkStart w:id="47" w:name="bookmark37"/>
      <w:bookmarkEnd w:id="47"/>
      <w:bookmarkStart w:id="48" w:name="_Toc5829"/>
      <w:r>
        <w:rPr>
          <w:rFonts w:ascii="宋体" w:hAnsi="宋体" w:eastAsia="宋体" w:cs="宋体"/>
          <w:spacing w:val="-8"/>
          <w:sz w:val="24"/>
          <w:szCs w:val="24"/>
        </w:rPr>
        <w:t>1.5</w:t>
      </w:r>
      <w:r>
        <w:rPr>
          <w:rFonts w:ascii="宋体" w:hAnsi="宋体" w:eastAsia="宋体" w:cs="宋体"/>
          <w:spacing w:val="27"/>
          <w:sz w:val="24"/>
          <w:szCs w:val="24"/>
        </w:rPr>
        <w:t xml:space="preserve"> </w:t>
      </w:r>
      <w:r>
        <w:rPr>
          <w:rFonts w:ascii="宋体" w:hAnsi="宋体" w:eastAsia="宋体" w:cs="宋体"/>
          <w:spacing w:val="-8"/>
          <w:sz w:val="24"/>
          <w:szCs w:val="24"/>
        </w:rPr>
        <w:t>费用承担</w:t>
      </w:r>
      <w:bookmarkEnd w:id="48"/>
    </w:p>
    <w:p w14:paraId="3EC10984">
      <w:pPr>
        <w:spacing w:before="176" w:line="228" w:lineRule="auto"/>
        <w:ind w:left="423"/>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604613E6">
      <w:pPr>
        <w:spacing w:before="167" w:line="220" w:lineRule="auto"/>
        <w:ind w:left="19"/>
        <w:outlineLvl w:val="2"/>
        <w:rPr>
          <w:rFonts w:ascii="宋体" w:hAnsi="宋体" w:eastAsia="宋体" w:cs="宋体"/>
          <w:sz w:val="24"/>
          <w:szCs w:val="24"/>
        </w:rPr>
      </w:pPr>
      <w:bookmarkStart w:id="49" w:name="bookmark39"/>
      <w:bookmarkEnd w:id="49"/>
      <w:bookmarkStart w:id="50" w:name="_Toc31006"/>
      <w:r>
        <w:rPr>
          <w:rFonts w:ascii="宋体" w:hAnsi="宋体" w:eastAsia="宋体" w:cs="宋体"/>
          <w:spacing w:val="-8"/>
          <w:sz w:val="24"/>
          <w:szCs w:val="24"/>
        </w:rPr>
        <w:t>1.6</w:t>
      </w:r>
      <w:r>
        <w:rPr>
          <w:rFonts w:ascii="宋体" w:hAnsi="宋体" w:eastAsia="宋体" w:cs="宋体"/>
          <w:spacing w:val="11"/>
          <w:sz w:val="24"/>
          <w:szCs w:val="24"/>
        </w:rPr>
        <w:t xml:space="preserve"> </w:t>
      </w:r>
      <w:r>
        <w:rPr>
          <w:rFonts w:ascii="宋体" w:hAnsi="宋体" w:eastAsia="宋体" w:cs="宋体"/>
          <w:spacing w:val="-8"/>
          <w:sz w:val="24"/>
          <w:szCs w:val="24"/>
        </w:rPr>
        <w:t>保密</w:t>
      </w:r>
      <w:bookmarkEnd w:id="50"/>
    </w:p>
    <w:p w14:paraId="059172A7">
      <w:pPr>
        <w:spacing w:before="175" w:line="362" w:lineRule="auto"/>
        <w:ind w:left="5" w:right="2" w:firstLine="417"/>
        <w:rPr>
          <w:rFonts w:ascii="宋体" w:hAnsi="宋体" w:eastAsia="宋体" w:cs="宋体"/>
          <w:sz w:val="20"/>
          <w:szCs w:val="20"/>
        </w:rPr>
      </w:pPr>
      <w:r>
        <w:rPr>
          <w:rFonts w:ascii="宋体" w:hAnsi="宋体" w:eastAsia="宋体" w:cs="宋体"/>
          <w:spacing w:val="10"/>
          <w:sz w:val="20"/>
          <w:szCs w:val="20"/>
        </w:rPr>
        <w:t>参与招标投标活动的各方应对招标文件和投标文件中的商业和技</w:t>
      </w:r>
      <w:r>
        <w:rPr>
          <w:rFonts w:ascii="宋体" w:hAnsi="宋体" w:eastAsia="宋体" w:cs="宋体"/>
          <w:spacing w:val="9"/>
          <w:sz w:val="20"/>
          <w:szCs w:val="20"/>
        </w:rPr>
        <w:t>术等秘密保密，违者应对由此造成的后</w:t>
      </w:r>
      <w:r>
        <w:rPr>
          <w:rFonts w:ascii="宋体" w:hAnsi="宋体" w:eastAsia="宋体" w:cs="宋体"/>
          <w:sz w:val="20"/>
          <w:szCs w:val="20"/>
        </w:rPr>
        <w:t xml:space="preserve"> </w:t>
      </w:r>
      <w:r>
        <w:rPr>
          <w:rFonts w:ascii="宋体" w:hAnsi="宋体" w:eastAsia="宋体" w:cs="宋体"/>
          <w:spacing w:val="7"/>
          <w:sz w:val="20"/>
          <w:szCs w:val="20"/>
        </w:rPr>
        <w:t>果承担法律责任。</w:t>
      </w:r>
    </w:p>
    <w:p w14:paraId="30DF8678">
      <w:pPr>
        <w:spacing w:before="39" w:line="219" w:lineRule="auto"/>
        <w:ind w:left="19"/>
        <w:outlineLvl w:val="2"/>
        <w:rPr>
          <w:rFonts w:ascii="宋体" w:hAnsi="宋体" w:eastAsia="宋体" w:cs="宋体"/>
          <w:sz w:val="24"/>
          <w:szCs w:val="24"/>
        </w:rPr>
      </w:pPr>
      <w:bookmarkStart w:id="51" w:name="bookmark41"/>
      <w:bookmarkEnd w:id="51"/>
      <w:bookmarkStart w:id="52" w:name="_Toc8359"/>
      <w:r>
        <w:rPr>
          <w:rFonts w:ascii="宋体" w:hAnsi="宋体" w:eastAsia="宋体" w:cs="宋体"/>
          <w:spacing w:val="-4"/>
          <w:sz w:val="24"/>
          <w:szCs w:val="24"/>
        </w:rPr>
        <w:t>1.7 语言文字</w:t>
      </w:r>
      <w:bookmarkEnd w:id="52"/>
    </w:p>
    <w:p w14:paraId="2631F0E0">
      <w:pPr>
        <w:spacing w:before="176" w:line="227" w:lineRule="auto"/>
        <w:ind w:left="433"/>
        <w:rPr>
          <w:rFonts w:ascii="宋体" w:hAnsi="宋体" w:eastAsia="宋体" w:cs="宋体"/>
          <w:sz w:val="20"/>
          <w:szCs w:val="20"/>
        </w:rPr>
      </w:pPr>
      <w:r>
        <w:rPr>
          <w:rFonts w:ascii="宋体" w:hAnsi="宋体" w:eastAsia="宋体" w:cs="宋体"/>
          <w:spacing w:val="9"/>
          <w:sz w:val="20"/>
          <w:szCs w:val="20"/>
        </w:rPr>
        <w:t>除专用术语外，与招标投标有关的语言均使用中文。必要时专用术语应附有中文注释。</w:t>
      </w:r>
    </w:p>
    <w:p w14:paraId="57CF6707">
      <w:pPr>
        <w:spacing w:before="167" w:line="220" w:lineRule="auto"/>
        <w:ind w:left="19"/>
        <w:outlineLvl w:val="2"/>
        <w:rPr>
          <w:rFonts w:ascii="宋体" w:hAnsi="宋体" w:eastAsia="宋体" w:cs="宋体"/>
          <w:sz w:val="24"/>
          <w:szCs w:val="24"/>
        </w:rPr>
      </w:pPr>
      <w:bookmarkStart w:id="53" w:name="bookmark43"/>
      <w:bookmarkEnd w:id="53"/>
      <w:bookmarkStart w:id="54" w:name="_Toc4991"/>
      <w:r>
        <w:rPr>
          <w:rFonts w:ascii="宋体" w:hAnsi="宋体" w:eastAsia="宋体" w:cs="宋体"/>
          <w:spacing w:val="-4"/>
          <w:sz w:val="24"/>
          <w:szCs w:val="24"/>
        </w:rPr>
        <w:t>1.8 计量单位</w:t>
      </w:r>
      <w:bookmarkEnd w:id="54"/>
    </w:p>
    <w:p w14:paraId="1CC266E3">
      <w:pPr>
        <w:spacing w:before="177"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5590F154">
      <w:pPr>
        <w:spacing w:before="167" w:line="219" w:lineRule="auto"/>
        <w:ind w:left="19"/>
        <w:outlineLvl w:val="2"/>
        <w:rPr>
          <w:rFonts w:ascii="宋体" w:hAnsi="宋体" w:eastAsia="宋体" w:cs="宋体"/>
          <w:sz w:val="24"/>
          <w:szCs w:val="24"/>
        </w:rPr>
      </w:pPr>
      <w:bookmarkStart w:id="55" w:name="bookmark45"/>
      <w:bookmarkEnd w:id="55"/>
      <w:bookmarkStart w:id="56" w:name="_Toc16135"/>
      <w:r>
        <w:rPr>
          <w:rFonts w:ascii="宋体" w:hAnsi="宋体" w:eastAsia="宋体" w:cs="宋体"/>
          <w:spacing w:val="-6"/>
          <w:sz w:val="24"/>
          <w:szCs w:val="24"/>
        </w:rPr>
        <w:t>1.9</w:t>
      </w:r>
      <w:r>
        <w:rPr>
          <w:rFonts w:ascii="宋体" w:hAnsi="宋体" w:eastAsia="宋体" w:cs="宋体"/>
          <w:spacing w:val="13"/>
          <w:sz w:val="24"/>
          <w:szCs w:val="24"/>
        </w:rPr>
        <w:t xml:space="preserve"> </w:t>
      </w:r>
      <w:r>
        <w:rPr>
          <w:rFonts w:ascii="宋体" w:hAnsi="宋体" w:eastAsia="宋体" w:cs="宋体"/>
          <w:spacing w:val="-6"/>
          <w:sz w:val="24"/>
          <w:szCs w:val="24"/>
        </w:rPr>
        <w:t>踏勘现场</w:t>
      </w:r>
      <w:bookmarkEnd w:id="56"/>
    </w:p>
    <w:p w14:paraId="5CCDF9EB">
      <w:pPr>
        <w:spacing w:before="178" w:line="227" w:lineRule="auto"/>
        <w:ind w:left="436"/>
        <w:rPr>
          <w:rFonts w:ascii="宋体" w:hAnsi="宋体" w:eastAsia="宋体" w:cs="宋体"/>
          <w:sz w:val="20"/>
          <w:szCs w:val="20"/>
        </w:rPr>
      </w:pPr>
      <w:r>
        <w:rPr>
          <w:rFonts w:ascii="宋体" w:hAnsi="宋体" w:eastAsia="宋体" w:cs="宋体"/>
          <w:spacing w:val="6"/>
          <w:sz w:val="20"/>
          <w:szCs w:val="20"/>
        </w:rPr>
        <w:t>1.9.1  按投标人须知前附表的规定执行。</w:t>
      </w:r>
    </w:p>
    <w:p w14:paraId="3C1C9CE9">
      <w:pPr>
        <w:spacing w:before="162" w:line="228" w:lineRule="auto"/>
        <w:ind w:left="436"/>
        <w:rPr>
          <w:rFonts w:ascii="宋体" w:hAnsi="宋体" w:eastAsia="宋体" w:cs="宋体"/>
          <w:sz w:val="20"/>
          <w:szCs w:val="20"/>
        </w:rPr>
      </w:pPr>
      <w:r>
        <w:rPr>
          <w:rFonts w:ascii="宋体" w:hAnsi="宋体" w:eastAsia="宋体" w:cs="宋体"/>
          <w:spacing w:val="6"/>
          <w:sz w:val="20"/>
          <w:szCs w:val="20"/>
        </w:rPr>
        <w:t>1.9.2  投标人踏勘现场发生的费用自理。</w:t>
      </w:r>
    </w:p>
    <w:p w14:paraId="4A52C90B">
      <w:pPr>
        <w:spacing w:before="161" w:line="228" w:lineRule="auto"/>
        <w:ind w:left="436"/>
        <w:rPr>
          <w:rFonts w:ascii="宋体" w:hAnsi="宋体" w:eastAsia="宋体" w:cs="宋体"/>
          <w:sz w:val="20"/>
          <w:szCs w:val="20"/>
        </w:rPr>
      </w:pPr>
      <w:r>
        <w:rPr>
          <w:rFonts w:ascii="宋体" w:hAnsi="宋体" w:eastAsia="宋体" w:cs="宋体"/>
          <w:spacing w:val="8"/>
          <w:sz w:val="20"/>
          <w:szCs w:val="20"/>
        </w:rPr>
        <w:t>1.9.3  除招标人的原因外，投标人自行负责在踏勘现场中所发生的人员伤亡和财产损失。</w:t>
      </w:r>
    </w:p>
    <w:p w14:paraId="148704BB">
      <w:pPr>
        <w:spacing w:before="162" w:line="303" w:lineRule="auto"/>
        <w:ind w:left="8" w:right="2" w:firstLine="427"/>
        <w:rPr>
          <w:rFonts w:ascii="宋体" w:hAnsi="宋体" w:eastAsia="宋体" w:cs="宋体"/>
          <w:sz w:val="20"/>
          <w:szCs w:val="20"/>
        </w:rPr>
      </w:pPr>
      <w:r>
        <w:rPr>
          <w:rFonts w:ascii="宋体" w:hAnsi="宋体" w:eastAsia="宋体" w:cs="宋体"/>
          <w:spacing w:val="11"/>
          <w:sz w:val="20"/>
          <w:szCs w:val="20"/>
        </w:rPr>
        <w:t>1.9.4  招标人在踏勘现场有关工程场地和相关环境等情况的介绍，供投标人参考</w:t>
      </w:r>
      <w:r>
        <w:rPr>
          <w:rFonts w:ascii="宋体" w:hAnsi="宋体" w:eastAsia="宋体" w:cs="宋体"/>
          <w:spacing w:val="10"/>
          <w:sz w:val="20"/>
          <w:szCs w:val="20"/>
        </w:rPr>
        <w:t>。投标人对自身的判</w:t>
      </w:r>
      <w:r>
        <w:rPr>
          <w:rFonts w:ascii="宋体" w:hAnsi="宋体" w:eastAsia="宋体" w:cs="宋体"/>
          <w:sz w:val="20"/>
          <w:szCs w:val="20"/>
        </w:rPr>
        <w:t xml:space="preserve"> </w:t>
      </w:r>
      <w:r>
        <w:rPr>
          <w:rFonts w:ascii="宋体" w:hAnsi="宋体" w:eastAsia="宋体" w:cs="宋体"/>
          <w:spacing w:val="5"/>
          <w:sz w:val="20"/>
          <w:szCs w:val="20"/>
        </w:rPr>
        <w:t>断和决策负责。</w:t>
      </w:r>
    </w:p>
    <w:p w14:paraId="79967F9F">
      <w:pPr>
        <w:spacing w:before="166" w:line="220" w:lineRule="auto"/>
        <w:ind w:left="19"/>
        <w:outlineLvl w:val="2"/>
        <w:rPr>
          <w:rFonts w:ascii="宋体" w:hAnsi="宋体" w:eastAsia="宋体" w:cs="宋体"/>
          <w:sz w:val="24"/>
          <w:szCs w:val="24"/>
        </w:rPr>
      </w:pPr>
      <w:bookmarkStart w:id="57" w:name="bookmark47"/>
      <w:bookmarkEnd w:id="57"/>
      <w:bookmarkStart w:id="58" w:name="_Toc12016"/>
      <w:r>
        <w:rPr>
          <w:rFonts w:ascii="宋体" w:hAnsi="宋体" w:eastAsia="宋体" w:cs="宋体"/>
          <w:spacing w:val="-7"/>
          <w:sz w:val="24"/>
          <w:szCs w:val="24"/>
        </w:rPr>
        <w:t>1.10</w:t>
      </w:r>
      <w:r>
        <w:rPr>
          <w:rFonts w:ascii="宋体" w:hAnsi="宋体" w:eastAsia="宋体" w:cs="宋体"/>
          <w:spacing w:val="13"/>
          <w:sz w:val="24"/>
          <w:szCs w:val="24"/>
        </w:rPr>
        <w:t xml:space="preserve"> </w:t>
      </w:r>
      <w:r>
        <w:rPr>
          <w:rFonts w:ascii="宋体" w:hAnsi="宋体" w:eastAsia="宋体" w:cs="宋体"/>
          <w:spacing w:val="-7"/>
          <w:sz w:val="24"/>
          <w:szCs w:val="24"/>
        </w:rPr>
        <w:t>分包</w:t>
      </w:r>
      <w:bookmarkEnd w:id="58"/>
    </w:p>
    <w:p w14:paraId="558810E8">
      <w:pPr>
        <w:spacing w:before="175" w:line="362" w:lineRule="auto"/>
        <w:ind w:left="17" w:firstLine="405"/>
        <w:rPr>
          <w:rFonts w:ascii="宋体" w:hAnsi="宋体" w:eastAsia="宋体" w:cs="宋体"/>
          <w:sz w:val="20"/>
          <w:szCs w:val="20"/>
        </w:rPr>
      </w:pPr>
      <w:r>
        <w:rPr>
          <w:rFonts w:ascii="宋体" w:hAnsi="宋体" w:eastAsia="宋体" w:cs="宋体"/>
          <w:spacing w:val="10"/>
          <w:sz w:val="20"/>
          <w:szCs w:val="20"/>
        </w:rPr>
        <w:t>投标人拟在中标后将中标项目的部分非主体、非关键性工作进行分</w:t>
      </w:r>
      <w:r>
        <w:rPr>
          <w:rFonts w:ascii="宋体" w:hAnsi="宋体" w:eastAsia="宋体" w:cs="宋体"/>
          <w:spacing w:val="9"/>
          <w:sz w:val="20"/>
          <w:szCs w:val="20"/>
        </w:rPr>
        <w:t>包的，应符合投标人须知前附表规定</w:t>
      </w:r>
      <w:r>
        <w:rPr>
          <w:rFonts w:ascii="宋体" w:hAnsi="宋体" w:eastAsia="宋体" w:cs="宋体"/>
          <w:sz w:val="20"/>
          <w:szCs w:val="20"/>
        </w:rPr>
        <w:t xml:space="preserve"> </w:t>
      </w:r>
      <w:r>
        <w:rPr>
          <w:rFonts w:ascii="宋体" w:hAnsi="宋体" w:eastAsia="宋体" w:cs="宋体"/>
          <w:spacing w:val="9"/>
          <w:sz w:val="20"/>
          <w:szCs w:val="20"/>
        </w:rPr>
        <w:t>的分包内容、分包金额和接受分包的第三人资质要</w:t>
      </w:r>
      <w:r>
        <w:rPr>
          <w:rFonts w:ascii="宋体" w:hAnsi="宋体" w:eastAsia="宋体" w:cs="宋体"/>
          <w:spacing w:val="8"/>
          <w:sz w:val="20"/>
          <w:szCs w:val="20"/>
        </w:rPr>
        <w:t>求等限制性条件。</w:t>
      </w:r>
    </w:p>
    <w:p w14:paraId="254F52C5">
      <w:pPr>
        <w:spacing w:before="39" w:line="219" w:lineRule="auto"/>
        <w:ind w:left="19"/>
        <w:outlineLvl w:val="2"/>
        <w:rPr>
          <w:rFonts w:ascii="宋体" w:hAnsi="宋体" w:eastAsia="宋体" w:cs="宋体"/>
          <w:sz w:val="24"/>
          <w:szCs w:val="24"/>
        </w:rPr>
      </w:pPr>
      <w:bookmarkStart w:id="59" w:name="bookmark49"/>
      <w:bookmarkEnd w:id="59"/>
      <w:bookmarkStart w:id="60" w:name="_Toc19365"/>
      <w:r>
        <w:rPr>
          <w:rFonts w:ascii="宋体" w:hAnsi="宋体" w:eastAsia="宋体" w:cs="宋体"/>
          <w:spacing w:val="-7"/>
          <w:sz w:val="24"/>
          <w:szCs w:val="24"/>
        </w:rPr>
        <w:t>1.11</w:t>
      </w:r>
      <w:r>
        <w:rPr>
          <w:rFonts w:ascii="宋体" w:hAnsi="宋体" w:eastAsia="宋体" w:cs="宋体"/>
          <w:spacing w:val="13"/>
          <w:sz w:val="24"/>
          <w:szCs w:val="24"/>
        </w:rPr>
        <w:t xml:space="preserve"> </w:t>
      </w:r>
      <w:r>
        <w:rPr>
          <w:rFonts w:ascii="宋体" w:hAnsi="宋体" w:eastAsia="宋体" w:cs="宋体"/>
          <w:spacing w:val="-7"/>
          <w:sz w:val="24"/>
          <w:szCs w:val="24"/>
        </w:rPr>
        <w:t>偏离</w:t>
      </w:r>
      <w:bookmarkEnd w:id="60"/>
    </w:p>
    <w:p w14:paraId="12AF7F00">
      <w:pPr>
        <w:spacing w:before="177" w:line="362" w:lineRule="auto"/>
        <w:ind w:firstLine="423"/>
        <w:rPr>
          <w:rFonts w:ascii="宋体" w:hAnsi="宋体" w:eastAsia="宋体" w:cs="宋体"/>
          <w:sz w:val="20"/>
          <w:szCs w:val="20"/>
        </w:rPr>
      </w:pPr>
      <w:r>
        <w:rPr>
          <w:rFonts w:ascii="宋体" w:hAnsi="宋体" w:eastAsia="宋体" w:cs="宋体"/>
          <w:spacing w:val="10"/>
          <w:sz w:val="20"/>
          <w:szCs w:val="20"/>
        </w:rPr>
        <w:t>投标人须知前附表允许投标文件偏离招标文件某些要求的，偏离应</w:t>
      </w:r>
      <w:r>
        <w:rPr>
          <w:rFonts w:ascii="宋体" w:hAnsi="宋体" w:eastAsia="宋体" w:cs="宋体"/>
          <w:spacing w:val="9"/>
          <w:sz w:val="20"/>
          <w:szCs w:val="20"/>
        </w:rPr>
        <w:t>当符合招标文件规定的偏离范围和幅</w:t>
      </w:r>
      <w:r>
        <w:rPr>
          <w:rFonts w:ascii="宋体" w:hAnsi="宋体" w:eastAsia="宋体" w:cs="宋体"/>
          <w:sz w:val="20"/>
          <w:szCs w:val="20"/>
        </w:rPr>
        <w:t xml:space="preserve"> 度。</w:t>
      </w:r>
    </w:p>
    <w:p w14:paraId="1C83061F">
      <w:pPr>
        <w:spacing w:before="320" w:line="219" w:lineRule="auto"/>
        <w:ind w:left="7"/>
        <w:outlineLvl w:val="1"/>
        <w:rPr>
          <w:rFonts w:ascii="宋体" w:hAnsi="宋体" w:eastAsia="宋体" w:cs="宋体"/>
          <w:sz w:val="30"/>
          <w:szCs w:val="30"/>
        </w:rPr>
      </w:pPr>
      <w:bookmarkStart w:id="61" w:name="bookmark51"/>
      <w:bookmarkEnd w:id="61"/>
      <w:bookmarkStart w:id="62" w:name="_Toc9321"/>
      <w:r>
        <w:rPr>
          <w:rFonts w:ascii="宋体" w:hAnsi="宋体" w:eastAsia="宋体" w:cs="宋体"/>
          <w:spacing w:val="-3"/>
          <w:sz w:val="30"/>
          <w:szCs w:val="30"/>
        </w:rPr>
        <w:t>2.招标文件</w:t>
      </w:r>
      <w:bookmarkEnd w:id="62"/>
    </w:p>
    <w:p w14:paraId="3DEC47F2">
      <w:pPr>
        <w:spacing w:before="216" w:line="219" w:lineRule="auto"/>
        <w:ind w:left="4"/>
        <w:outlineLvl w:val="2"/>
        <w:rPr>
          <w:rFonts w:ascii="宋体" w:hAnsi="宋体" w:eastAsia="宋体" w:cs="宋体"/>
          <w:sz w:val="24"/>
          <w:szCs w:val="24"/>
        </w:rPr>
      </w:pPr>
      <w:bookmarkStart w:id="63" w:name="bookmark53"/>
      <w:bookmarkEnd w:id="63"/>
      <w:bookmarkStart w:id="64" w:name="_Toc28903"/>
      <w:r>
        <w:rPr>
          <w:rFonts w:ascii="宋体" w:hAnsi="宋体" w:eastAsia="宋体" w:cs="宋体"/>
          <w:spacing w:val="-2"/>
          <w:sz w:val="24"/>
          <w:szCs w:val="24"/>
        </w:rPr>
        <w:t>2.1 招标文件的组成</w:t>
      </w:r>
      <w:bookmarkEnd w:id="64"/>
    </w:p>
    <w:p w14:paraId="59202232">
      <w:pPr>
        <w:spacing w:before="179" w:line="227" w:lineRule="auto"/>
        <w:ind w:left="421"/>
        <w:rPr>
          <w:rFonts w:ascii="宋体" w:hAnsi="宋体" w:eastAsia="宋体" w:cs="宋体"/>
          <w:sz w:val="20"/>
          <w:szCs w:val="20"/>
        </w:rPr>
      </w:pPr>
      <w:r>
        <w:rPr>
          <w:rFonts w:ascii="宋体" w:hAnsi="宋体" w:eastAsia="宋体" w:cs="宋体"/>
          <w:spacing w:val="7"/>
          <w:sz w:val="20"/>
          <w:szCs w:val="20"/>
        </w:rPr>
        <w:t>本招标文件包括：</w:t>
      </w:r>
    </w:p>
    <w:p w14:paraId="1E092968">
      <w:pPr>
        <w:spacing w:before="162" w:line="226" w:lineRule="auto"/>
        <w:ind w:left="430"/>
        <w:rPr>
          <w:rFonts w:ascii="宋体" w:hAnsi="宋体" w:eastAsia="宋体" w:cs="宋体"/>
          <w:sz w:val="20"/>
          <w:szCs w:val="20"/>
        </w:rPr>
      </w:pPr>
      <w:r>
        <w:rPr>
          <w:rFonts w:ascii="宋体" w:hAnsi="宋体" w:eastAsia="宋体" w:cs="宋体"/>
          <w:spacing w:val="8"/>
          <w:sz w:val="20"/>
          <w:szCs w:val="20"/>
        </w:rPr>
        <w:t>（1）招标公告（或投标邀请书</w:t>
      </w:r>
      <w:r>
        <w:rPr>
          <w:rFonts w:ascii="宋体" w:hAnsi="宋体" w:eastAsia="宋体" w:cs="宋体"/>
          <w:sz w:val="20"/>
          <w:szCs w:val="20"/>
        </w:rPr>
        <w:t>）；</w:t>
      </w:r>
    </w:p>
    <w:p w14:paraId="7E0EBFD9">
      <w:pPr>
        <w:spacing w:before="166" w:line="228" w:lineRule="auto"/>
        <w:ind w:left="430"/>
        <w:rPr>
          <w:rFonts w:ascii="宋体" w:hAnsi="宋体" w:eastAsia="宋体" w:cs="宋体"/>
          <w:sz w:val="20"/>
          <w:szCs w:val="20"/>
        </w:rPr>
      </w:pPr>
      <w:r>
        <w:rPr>
          <w:rFonts w:ascii="宋体" w:hAnsi="宋体" w:eastAsia="宋体" w:cs="宋体"/>
          <w:spacing w:val="5"/>
          <w:sz w:val="20"/>
          <w:szCs w:val="20"/>
        </w:rPr>
        <w:t>（2）投标人须知；</w:t>
      </w:r>
    </w:p>
    <w:p w14:paraId="324D1F27">
      <w:pPr>
        <w:spacing w:before="160" w:line="228" w:lineRule="auto"/>
        <w:ind w:left="430"/>
        <w:rPr>
          <w:rFonts w:ascii="宋体" w:hAnsi="宋体" w:eastAsia="宋体" w:cs="宋体"/>
          <w:sz w:val="20"/>
          <w:szCs w:val="20"/>
        </w:rPr>
      </w:pPr>
      <w:r>
        <w:rPr>
          <w:rFonts w:ascii="宋体" w:hAnsi="宋体" w:eastAsia="宋体" w:cs="宋体"/>
          <w:spacing w:val="5"/>
          <w:sz w:val="20"/>
          <w:szCs w:val="20"/>
        </w:rPr>
        <w:t>（3）评标办法；</w:t>
      </w:r>
    </w:p>
    <w:p w14:paraId="5CCEA80A">
      <w:pPr>
        <w:spacing w:before="161" w:line="228" w:lineRule="auto"/>
        <w:ind w:left="430"/>
        <w:rPr>
          <w:rFonts w:ascii="宋体" w:hAnsi="宋体" w:eastAsia="宋体" w:cs="宋体"/>
          <w:sz w:val="20"/>
          <w:szCs w:val="20"/>
        </w:rPr>
      </w:pPr>
      <w:r>
        <w:rPr>
          <w:rFonts w:ascii="宋体" w:hAnsi="宋体" w:eastAsia="宋体" w:cs="宋体"/>
          <w:spacing w:val="6"/>
          <w:sz w:val="20"/>
          <w:szCs w:val="20"/>
        </w:rPr>
        <w:t>（4）合同条款及格式；</w:t>
      </w:r>
    </w:p>
    <w:p w14:paraId="34E5A7D5">
      <w:pPr>
        <w:spacing w:before="162" w:line="228" w:lineRule="auto"/>
        <w:ind w:left="430"/>
        <w:rPr>
          <w:rFonts w:ascii="宋体" w:hAnsi="宋体" w:eastAsia="宋体" w:cs="宋体"/>
          <w:sz w:val="20"/>
          <w:szCs w:val="20"/>
        </w:rPr>
      </w:pPr>
      <w:r>
        <w:rPr>
          <w:rFonts w:ascii="宋体" w:hAnsi="宋体" w:eastAsia="宋体" w:cs="宋体"/>
          <w:spacing w:val="5"/>
          <w:sz w:val="20"/>
          <w:szCs w:val="20"/>
        </w:rPr>
        <w:t>（5）工程量清单；</w:t>
      </w:r>
    </w:p>
    <w:p w14:paraId="718A7C75">
      <w:pPr>
        <w:spacing w:before="161" w:line="229" w:lineRule="auto"/>
        <w:ind w:left="430"/>
        <w:rPr>
          <w:rFonts w:ascii="宋体" w:hAnsi="宋体" w:eastAsia="宋体" w:cs="宋体"/>
          <w:sz w:val="20"/>
          <w:szCs w:val="20"/>
        </w:rPr>
      </w:pPr>
      <w:r>
        <w:rPr>
          <w:rFonts w:ascii="宋体" w:hAnsi="宋体" w:eastAsia="宋体" w:cs="宋体"/>
          <w:spacing w:val="4"/>
          <w:sz w:val="20"/>
          <w:szCs w:val="20"/>
        </w:rPr>
        <w:t>（6）图纸；</w:t>
      </w:r>
    </w:p>
    <w:p w14:paraId="28BE9540">
      <w:pPr>
        <w:spacing w:line="229" w:lineRule="auto"/>
        <w:rPr>
          <w:rFonts w:ascii="宋体" w:hAnsi="宋体" w:eastAsia="宋体" w:cs="宋体"/>
          <w:sz w:val="20"/>
          <w:szCs w:val="20"/>
        </w:rPr>
        <w:sectPr>
          <w:footerReference r:id="rId11" w:type="default"/>
          <w:pgSz w:w="11907" w:h="16840"/>
          <w:pgMar w:top="1008" w:right="1020" w:bottom="1029" w:left="1027" w:header="0" w:footer="850" w:gutter="0"/>
          <w:pgNumType w:fmt="decimal"/>
          <w:cols w:space="720" w:num="1"/>
        </w:sectPr>
      </w:pPr>
    </w:p>
    <w:p w14:paraId="008BC464">
      <w:pPr>
        <w:spacing w:before="41" w:line="228" w:lineRule="auto"/>
        <w:ind w:left="430"/>
        <w:rPr>
          <w:rFonts w:ascii="宋体" w:hAnsi="宋体" w:eastAsia="宋体" w:cs="宋体"/>
          <w:sz w:val="20"/>
          <w:szCs w:val="20"/>
        </w:rPr>
      </w:pPr>
      <w:r>
        <w:rPr>
          <w:rFonts w:ascii="宋体" w:hAnsi="宋体" w:eastAsia="宋体" w:cs="宋体"/>
          <w:spacing w:val="6"/>
          <w:sz w:val="20"/>
          <w:szCs w:val="20"/>
        </w:rPr>
        <w:t>（7）技术标准和要求；</w:t>
      </w:r>
    </w:p>
    <w:p w14:paraId="31B9FFB6">
      <w:pPr>
        <w:spacing w:before="161" w:line="228" w:lineRule="auto"/>
        <w:ind w:left="430"/>
        <w:rPr>
          <w:rFonts w:ascii="宋体" w:hAnsi="宋体" w:eastAsia="宋体" w:cs="宋体"/>
          <w:sz w:val="20"/>
          <w:szCs w:val="20"/>
        </w:rPr>
      </w:pPr>
      <w:r>
        <w:rPr>
          <w:rFonts w:ascii="宋体" w:hAnsi="宋体" w:eastAsia="宋体" w:cs="宋体"/>
          <w:spacing w:val="6"/>
          <w:sz w:val="20"/>
          <w:szCs w:val="20"/>
        </w:rPr>
        <w:t>（8）投标文件格式；</w:t>
      </w:r>
    </w:p>
    <w:p w14:paraId="7B5CC6C8">
      <w:pPr>
        <w:spacing w:before="163" w:line="227" w:lineRule="auto"/>
        <w:ind w:left="430"/>
        <w:rPr>
          <w:rFonts w:ascii="宋体" w:hAnsi="宋体" w:eastAsia="宋体" w:cs="宋体"/>
          <w:sz w:val="20"/>
          <w:szCs w:val="20"/>
        </w:rPr>
      </w:pPr>
      <w:r>
        <w:rPr>
          <w:rFonts w:ascii="宋体" w:hAnsi="宋体" w:eastAsia="宋体" w:cs="宋体"/>
          <w:spacing w:val="8"/>
          <w:sz w:val="20"/>
          <w:szCs w:val="20"/>
        </w:rPr>
        <w:t>（9）投标人须知前附表规定的其他材料。</w:t>
      </w:r>
    </w:p>
    <w:p w14:paraId="083F73EC">
      <w:pPr>
        <w:spacing w:before="162" w:line="227" w:lineRule="auto"/>
        <w:ind w:left="420"/>
        <w:rPr>
          <w:rFonts w:ascii="宋体" w:hAnsi="宋体" w:eastAsia="宋体" w:cs="宋体"/>
          <w:sz w:val="20"/>
          <w:szCs w:val="20"/>
        </w:rPr>
      </w:pPr>
      <w:r>
        <w:rPr>
          <w:rFonts w:ascii="宋体" w:hAnsi="宋体" w:eastAsia="宋体" w:cs="宋体"/>
          <w:spacing w:val="9"/>
          <w:sz w:val="20"/>
          <w:szCs w:val="20"/>
        </w:rPr>
        <w:t>根据本须知第</w:t>
      </w:r>
      <w:r>
        <w:rPr>
          <w:rFonts w:ascii="宋体" w:hAnsi="宋体" w:eastAsia="宋体" w:cs="宋体"/>
          <w:spacing w:val="-34"/>
          <w:sz w:val="20"/>
          <w:szCs w:val="20"/>
        </w:rPr>
        <w:t xml:space="preserve"> </w:t>
      </w:r>
      <w:r>
        <w:rPr>
          <w:rFonts w:ascii="宋体" w:hAnsi="宋体" w:eastAsia="宋体" w:cs="宋体"/>
          <w:spacing w:val="9"/>
          <w:sz w:val="20"/>
          <w:szCs w:val="20"/>
        </w:rPr>
        <w:t>2.2 项对招标文件所作的</w:t>
      </w:r>
      <w:r>
        <w:rPr>
          <w:rFonts w:ascii="宋体" w:hAnsi="宋体" w:eastAsia="宋体" w:cs="宋体"/>
          <w:spacing w:val="8"/>
          <w:sz w:val="20"/>
          <w:szCs w:val="20"/>
        </w:rPr>
        <w:t>澄清和修改，构成招标文件的组成部分。</w:t>
      </w:r>
    </w:p>
    <w:p w14:paraId="5C447E8C">
      <w:pPr>
        <w:spacing w:before="167" w:line="219" w:lineRule="auto"/>
        <w:ind w:left="4"/>
        <w:outlineLvl w:val="2"/>
        <w:rPr>
          <w:rFonts w:ascii="宋体" w:hAnsi="宋体" w:eastAsia="宋体" w:cs="宋体"/>
          <w:sz w:val="24"/>
          <w:szCs w:val="24"/>
        </w:rPr>
      </w:pPr>
      <w:bookmarkStart w:id="65" w:name="bookmark55"/>
      <w:bookmarkEnd w:id="65"/>
      <w:bookmarkStart w:id="66" w:name="_Toc7360"/>
      <w:r>
        <w:rPr>
          <w:rFonts w:ascii="宋体" w:hAnsi="宋体" w:eastAsia="宋体" w:cs="宋体"/>
          <w:spacing w:val="-1"/>
          <w:sz w:val="24"/>
          <w:szCs w:val="24"/>
        </w:rPr>
        <w:t>2.2 招标文件的澄清和修改</w:t>
      </w:r>
      <w:bookmarkEnd w:id="66"/>
    </w:p>
    <w:p w14:paraId="7A39A69B">
      <w:pPr>
        <w:spacing w:before="176" w:line="303" w:lineRule="auto"/>
        <w:ind w:left="17" w:right="102" w:firstLine="406"/>
        <w:rPr>
          <w:rFonts w:ascii="宋体" w:hAnsi="宋体" w:eastAsia="宋体" w:cs="宋体"/>
          <w:sz w:val="20"/>
          <w:szCs w:val="20"/>
        </w:rPr>
      </w:pPr>
      <w:r>
        <w:rPr>
          <w:rFonts w:ascii="宋体" w:hAnsi="宋体" w:eastAsia="宋体" w:cs="宋体"/>
          <w:spacing w:val="11"/>
          <w:sz w:val="20"/>
          <w:szCs w:val="20"/>
        </w:rPr>
        <w:t>2.2.1  投标人应仔细阅读和检查招标文件的全部内容。如有疑问，应当在投标人须知前附表规定的时</w:t>
      </w:r>
      <w:r>
        <w:rPr>
          <w:rFonts w:ascii="宋体" w:hAnsi="宋体" w:eastAsia="宋体" w:cs="宋体"/>
          <w:spacing w:val="4"/>
          <w:sz w:val="20"/>
          <w:szCs w:val="20"/>
        </w:rPr>
        <w:t xml:space="preserve"> </w:t>
      </w:r>
      <w:r>
        <w:rPr>
          <w:rFonts w:ascii="宋体" w:hAnsi="宋体" w:eastAsia="宋体" w:cs="宋体"/>
          <w:spacing w:val="8"/>
          <w:sz w:val="20"/>
          <w:szCs w:val="20"/>
        </w:rPr>
        <w:t>间之前，按照规定的方式，要求招标人澄清。</w:t>
      </w:r>
    </w:p>
    <w:p w14:paraId="0EBDF3DD">
      <w:pPr>
        <w:spacing w:before="160" w:line="302" w:lineRule="auto"/>
        <w:ind w:left="17" w:right="102" w:firstLine="405"/>
        <w:rPr>
          <w:rFonts w:ascii="宋体" w:hAnsi="宋体" w:eastAsia="宋体" w:cs="宋体"/>
          <w:sz w:val="20"/>
          <w:szCs w:val="20"/>
        </w:rPr>
      </w:pPr>
      <w:r>
        <w:rPr>
          <w:rFonts w:ascii="宋体" w:hAnsi="宋体" w:eastAsia="宋体" w:cs="宋体"/>
          <w:spacing w:val="10"/>
          <w:sz w:val="20"/>
          <w:szCs w:val="20"/>
        </w:rPr>
        <w:t>2.2.2  招标文件的澄清或者修改的内容可能影响投标文件编制的，</w:t>
      </w:r>
      <w:r>
        <w:rPr>
          <w:rFonts w:ascii="宋体" w:hAnsi="宋体" w:eastAsia="宋体" w:cs="宋体"/>
          <w:spacing w:val="-48"/>
          <w:sz w:val="20"/>
          <w:szCs w:val="20"/>
        </w:rPr>
        <w:t xml:space="preserve"> </w:t>
      </w:r>
      <w:r>
        <w:rPr>
          <w:rFonts w:ascii="宋体" w:hAnsi="宋体" w:eastAsia="宋体" w:cs="宋体"/>
          <w:spacing w:val="10"/>
          <w:sz w:val="20"/>
          <w:szCs w:val="20"/>
        </w:rPr>
        <w:t>由招标人在投标人须知前附表规定</w:t>
      </w:r>
      <w:r>
        <w:rPr>
          <w:rFonts w:ascii="宋体" w:hAnsi="宋体" w:eastAsia="宋体" w:cs="宋体"/>
          <w:sz w:val="20"/>
          <w:szCs w:val="20"/>
        </w:rPr>
        <w:t xml:space="preserve"> </w:t>
      </w:r>
      <w:r>
        <w:rPr>
          <w:rFonts w:ascii="宋体" w:hAnsi="宋体" w:eastAsia="宋体" w:cs="宋体"/>
          <w:spacing w:val="6"/>
          <w:sz w:val="20"/>
          <w:szCs w:val="20"/>
        </w:rPr>
        <w:t>的投标截止时间至少</w:t>
      </w:r>
      <w:r>
        <w:rPr>
          <w:rFonts w:ascii="宋体" w:hAnsi="宋体" w:eastAsia="宋体" w:cs="宋体"/>
          <w:spacing w:val="-23"/>
          <w:sz w:val="20"/>
          <w:szCs w:val="20"/>
        </w:rPr>
        <w:t xml:space="preserve"> </w:t>
      </w:r>
      <w:r>
        <w:rPr>
          <w:rFonts w:ascii="宋体" w:hAnsi="宋体" w:eastAsia="宋体" w:cs="宋体"/>
          <w:spacing w:val="6"/>
          <w:sz w:val="20"/>
          <w:szCs w:val="20"/>
        </w:rPr>
        <w:t>15 日前，在投标人须知前附表规定的媒</w:t>
      </w:r>
      <w:r>
        <w:rPr>
          <w:rFonts w:ascii="宋体" w:hAnsi="宋体" w:eastAsia="宋体" w:cs="宋体"/>
          <w:spacing w:val="5"/>
          <w:sz w:val="20"/>
          <w:szCs w:val="20"/>
        </w:rPr>
        <w:t>介发布；不足</w:t>
      </w:r>
      <w:r>
        <w:rPr>
          <w:rFonts w:ascii="宋体" w:hAnsi="宋体" w:eastAsia="宋体" w:cs="宋体"/>
          <w:spacing w:val="-24"/>
          <w:sz w:val="20"/>
          <w:szCs w:val="20"/>
        </w:rPr>
        <w:t xml:space="preserve"> </w:t>
      </w:r>
      <w:r>
        <w:rPr>
          <w:rFonts w:ascii="宋体" w:hAnsi="宋体" w:eastAsia="宋体" w:cs="宋体"/>
          <w:spacing w:val="5"/>
          <w:sz w:val="20"/>
          <w:szCs w:val="20"/>
        </w:rPr>
        <w:t>15 日，相应顺延投标截止时间。</w:t>
      </w:r>
    </w:p>
    <w:p w14:paraId="030B7608">
      <w:pPr>
        <w:spacing w:before="165" w:line="227" w:lineRule="auto"/>
        <w:ind w:left="423"/>
        <w:rPr>
          <w:rFonts w:ascii="宋体" w:hAnsi="宋体" w:eastAsia="宋体" w:cs="宋体"/>
          <w:sz w:val="20"/>
          <w:szCs w:val="20"/>
        </w:rPr>
      </w:pPr>
      <w:r>
        <w:rPr>
          <w:rFonts w:ascii="宋体" w:hAnsi="宋体" w:eastAsia="宋体" w:cs="宋体"/>
          <w:spacing w:val="9"/>
          <w:sz w:val="20"/>
          <w:szCs w:val="20"/>
        </w:rPr>
        <w:t>2.2.3</w:t>
      </w:r>
      <w:r>
        <w:rPr>
          <w:rFonts w:ascii="宋体" w:hAnsi="宋体" w:eastAsia="宋体" w:cs="宋体"/>
          <w:spacing w:val="-40"/>
          <w:sz w:val="20"/>
          <w:szCs w:val="20"/>
        </w:rPr>
        <w:t xml:space="preserve"> </w:t>
      </w:r>
      <w:r>
        <w:rPr>
          <w:rFonts w:ascii="宋体" w:hAnsi="宋体" w:eastAsia="宋体" w:cs="宋体"/>
          <w:spacing w:val="9"/>
          <w:sz w:val="20"/>
          <w:szCs w:val="20"/>
        </w:rPr>
        <w:t>招标文件澄清或者修改的内容由投标人在投标</w:t>
      </w:r>
      <w:r>
        <w:rPr>
          <w:rFonts w:ascii="宋体" w:hAnsi="宋体" w:eastAsia="宋体" w:cs="宋体"/>
          <w:spacing w:val="8"/>
          <w:sz w:val="20"/>
          <w:szCs w:val="20"/>
        </w:rPr>
        <w:t>人须知前附表规定的媒介上自行查阅。</w:t>
      </w:r>
    </w:p>
    <w:p w14:paraId="37438FDA">
      <w:pPr>
        <w:pStyle w:val="6"/>
        <w:spacing w:line="347" w:lineRule="auto"/>
      </w:pPr>
    </w:p>
    <w:p w14:paraId="469E8EFC">
      <w:pPr>
        <w:spacing w:before="97" w:line="219" w:lineRule="auto"/>
        <w:ind w:left="10"/>
        <w:outlineLvl w:val="1"/>
        <w:rPr>
          <w:rFonts w:ascii="宋体" w:hAnsi="宋体" w:eastAsia="宋体" w:cs="宋体"/>
          <w:sz w:val="30"/>
          <w:szCs w:val="30"/>
        </w:rPr>
      </w:pPr>
      <w:bookmarkStart w:id="67" w:name="bookmark57"/>
      <w:bookmarkEnd w:id="67"/>
      <w:bookmarkStart w:id="68" w:name="_Toc25643"/>
      <w:r>
        <w:rPr>
          <w:rFonts w:ascii="宋体" w:hAnsi="宋体" w:eastAsia="宋体" w:cs="宋体"/>
          <w:spacing w:val="-3"/>
          <w:sz w:val="30"/>
          <w:szCs w:val="30"/>
        </w:rPr>
        <w:t>3.投标文件</w:t>
      </w:r>
      <w:bookmarkEnd w:id="68"/>
    </w:p>
    <w:p w14:paraId="22573810">
      <w:pPr>
        <w:spacing w:before="219" w:line="219" w:lineRule="auto"/>
        <w:ind w:left="6"/>
        <w:outlineLvl w:val="2"/>
        <w:rPr>
          <w:rFonts w:ascii="宋体" w:hAnsi="宋体" w:eastAsia="宋体" w:cs="宋体"/>
          <w:sz w:val="24"/>
          <w:szCs w:val="24"/>
        </w:rPr>
      </w:pPr>
      <w:bookmarkStart w:id="69" w:name="bookmark59"/>
      <w:bookmarkEnd w:id="69"/>
      <w:bookmarkStart w:id="70" w:name="_Toc28725"/>
      <w:r>
        <w:rPr>
          <w:rFonts w:ascii="宋体" w:hAnsi="宋体" w:eastAsia="宋体" w:cs="宋体"/>
          <w:spacing w:val="-2"/>
          <w:sz w:val="24"/>
          <w:szCs w:val="24"/>
        </w:rPr>
        <w:t>3.1 投标文件的组成</w:t>
      </w:r>
      <w:bookmarkEnd w:id="70"/>
    </w:p>
    <w:p w14:paraId="062454E5">
      <w:pPr>
        <w:spacing w:before="178" w:line="302" w:lineRule="auto"/>
        <w:ind w:left="1" w:right="102" w:firstLine="423"/>
        <w:rPr>
          <w:rFonts w:ascii="宋体" w:hAnsi="宋体" w:eastAsia="宋体" w:cs="宋体"/>
          <w:sz w:val="20"/>
          <w:szCs w:val="20"/>
        </w:rPr>
      </w:pPr>
      <w:r>
        <w:rPr>
          <w:rFonts w:ascii="宋体" w:hAnsi="宋体" w:eastAsia="宋体" w:cs="宋体"/>
          <w:spacing w:val="11"/>
          <w:sz w:val="20"/>
          <w:szCs w:val="20"/>
        </w:rPr>
        <w:t>3.1.1  投标文件由投标函及附录、投标报价、施工组织设计三部分内容以及投标人须知前附表规定的</w:t>
      </w:r>
      <w:r>
        <w:rPr>
          <w:rFonts w:ascii="宋体" w:hAnsi="宋体" w:eastAsia="宋体" w:cs="宋体"/>
          <w:spacing w:val="2"/>
          <w:sz w:val="20"/>
          <w:szCs w:val="20"/>
        </w:rPr>
        <w:t xml:space="preserve"> </w:t>
      </w:r>
      <w:r>
        <w:rPr>
          <w:rFonts w:ascii="宋体" w:hAnsi="宋体" w:eastAsia="宋体" w:cs="宋体"/>
          <w:spacing w:val="9"/>
          <w:sz w:val="20"/>
          <w:szCs w:val="20"/>
        </w:rPr>
        <w:t>其他资料组成，具体内容详见第八章投标文件格式。</w:t>
      </w:r>
    </w:p>
    <w:p w14:paraId="1AB3D16C">
      <w:pPr>
        <w:spacing w:before="163" w:line="302" w:lineRule="auto"/>
        <w:ind w:left="21" w:right="100" w:firstLine="403"/>
        <w:rPr>
          <w:rFonts w:ascii="宋体" w:hAnsi="宋体" w:eastAsia="宋体" w:cs="宋体"/>
          <w:sz w:val="20"/>
          <w:szCs w:val="20"/>
        </w:rPr>
      </w:pPr>
      <w:r>
        <w:rPr>
          <w:rFonts w:ascii="宋体" w:hAnsi="宋体" w:eastAsia="宋体" w:cs="宋体"/>
          <w:spacing w:val="11"/>
          <w:sz w:val="20"/>
          <w:szCs w:val="20"/>
        </w:rPr>
        <w:t>3.1.2  投标人须知前附表规定不接受联合体投标的，或投标人没有组成联合体的，投标文件不包括共</w:t>
      </w:r>
      <w:r>
        <w:rPr>
          <w:rFonts w:ascii="宋体" w:hAnsi="宋体" w:eastAsia="宋体" w:cs="宋体"/>
          <w:spacing w:val="5"/>
          <w:sz w:val="20"/>
          <w:szCs w:val="20"/>
        </w:rPr>
        <w:t xml:space="preserve"> </w:t>
      </w:r>
      <w:r>
        <w:rPr>
          <w:rFonts w:ascii="宋体" w:hAnsi="宋体" w:eastAsia="宋体" w:cs="宋体"/>
          <w:spacing w:val="3"/>
          <w:sz w:val="20"/>
          <w:szCs w:val="20"/>
        </w:rPr>
        <w:t>同投标协议。</w:t>
      </w:r>
    </w:p>
    <w:p w14:paraId="3D9B48CD">
      <w:pPr>
        <w:spacing w:before="168" w:line="218" w:lineRule="auto"/>
        <w:ind w:left="6"/>
        <w:outlineLvl w:val="2"/>
        <w:rPr>
          <w:rFonts w:ascii="宋体" w:hAnsi="宋体" w:eastAsia="宋体" w:cs="宋体"/>
          <w:sz w:val="24"/>
          <w:szCs w:val="24"/>
        </w:rPr>
      </w:pPr>
      <w:bookmarkStart w:id="71" w:name="bookmark61"/>
      <w:bookmarkEnd w:id="71"/>
      <w:bookmarkStart w:id="72" w:name="_Toc7079"/>
      <w:r>
        <w:rPr>
          <w:rFonts w:ascii="宋体" w:hAnsi="宋体" w:eastAsia="宋体" w:cs="宋体"/>
          <w:spacing w:val="-4"/>
          <w:sz w:val="24"/>
          <w:szCs w:val="24"/>
        </w:rPr>
        <w:t>3.2</w:t>
      </w:r>
      <w:r>
        <w:rPr>
          <w:rFonts w:ascii="宋体" w:hAnsi="宋体" w:eastAsia="宋体" w:cs="宋体"/>
          <w:spacing w:val="12"/>
          <w:sz w:val="24"/>
          <w:szCs w:val="24"/>
        </w:rPr>
        <w:t xml:space="preserve"> </w:t>
      </w:r>
      <w:r>
        <w:rPr>
          <w:rFonts w:ascii="宋体" w:hAnsi="宋体" w:eastAsia="宋体" w:cs="宋体"/>
          <w:spacing w:val="-4"/>
          <w:sz w:val="24"/>
          <w:szCs w:val="24"/>
        </w:rPr>
        <w:t>投标报价</w:t>
      </w:r>
      <w:bookmarkEnd w:id="72"/>
    </w:p>
    <w:p w14:paraId="41C622D9">
      <w:pPr>
        <w:spacing w:before="177" w:line="227" w:lineRule="auto"/>
        <w:ind w:left="425"/>
        <w:rPr>
          <w:rFonts w:ascii="宋体" w:hAnsi="宋体" w:eastAsia="宋体" w:cs="宋体"/>
          <w:sz w:val="20"/>
          <w:szCs w:val="20"/>
        </w:rPr>
      </w:pPr>
      <w:r>
        <w:rPr>
          <w:rFonts w:ascii="宋体" w:hAnsi="宋体" w:eastAsia="宋体" w:cs="宋体"/>
          <w:spacing w:val="7"/>
          <w:sz w:val="20"/>
          <w:szCs w:val="20"/>
        </w:rPr>
        <w:t>3.2.1  投标人应按第五章“工程量清单</w:t>
      </w:r>
      <w:r>
        <w:rPr>
          <w:rFonts w:ascii="宋体" w:hAnsi="宋体" w:eastAsia="宋体" w:cs="宋体"/>
          <w:spacing w:val="-63"/>
          <w:sz w:val="20"/>
          <w:szCs w:val="20"/>
        </w:rPr>
        <w:t xml:space="preserve"> </w:t>
      </w:r>
      <w:r>
        <w:rPr>
          <w:rFonts w:ascii="宋体" w:hAnsi="宋体" w:eastAsia="宋体" w:cs="宋体"/>
          <w:spacing w:val="7"/>
          <w:sz w:val="20"/>
          <w:szCs w:val="20"/>
        </w:rPr>
        <w:t>”的要求填写相应表格。</w:t>
      </w:r>
    </w:p>
    <w:p w14:paraId="0899C0A5">
      <w:pPr>
        <w:spacing w:before="161" w:line="303" w:lineRule="auto"/>
        <w:ind w:left="1" w:firstLine="423"/>
        <w:rPr>
          <w:rFonts w:ascii="宋体" w:hAnsi="宋体" w:eastAsia="宋体" w:cs="宋体"/>
          <w:sz w:val="20"/>
          <w:szCs w:val="20"/>
        </w:rPr>
      </w:pPr>
      <w:r>
        <w:rPr>
          <w:rFonts w:ascii="宋体" w:hAnsi="宋体" w:eastAsia="宋体" w:cs="宋体"/>
          <w:spacing w:val="13"/>
          <w:sz w:val="20"/>
          <w:szCs w:val="20"/>
        </w:rPr>
        <w:t>3.2.2  投标人在投标截止时间前修改投标函中</w:t>
      </w:r>
      <w:r>
        <w:rPr>
          <w:rFonts w:ascii="宋体" w:hAnsi="宋体" w:eastAsia="宋体" w:cs="宋体"/>
          <w:spacing w:val="12"/>
          <w:sz w:val="20"/>
          <w:szCs w:val="20"/>
        </w:rPr>
        <w:t>的投标总报价，应同时修改其按第五章“工程量清单</w:t>
      </w:r>
      <w:r>
        <w:rPr>
          <w:rFonts w:ascii="宋体" w:hAnsi="宋体" w:eastAsia="宋体" w:cs="宋体"/>
          <w:spacing w:val="-67"/>
          <w:sz w:val="20"/>
          <w:szCs w:val="20"/>
        </w:rPr>
        <w:t xml:space="preserve"> </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9"/>
          <w:sz w:val="20"/>
          <w:szCs w:val="20"/>
        </w:rPr>
        <w:t>要求填写的相应表格中的报价。此修改应当符合本须</w:t>
      </w:r>
      <w:r>
        <w:rPr>
          <w:rFonts w:ascii="宋体" w:hAnsi="宋体" w:eastAsia="宋体" w:cs="宋体"/>
          <w:spacing w:val="8"/>
          <w:sz w:val="20"/>
          <w:szCs w:val="20"/>
        </w:rPr>
        <w:t>知第</w:t>
      </w:r>
      <w:r>
        <w:rPr>
          <w:rFonts w:ascii="宋体" w:hAnsi="宋体" w:eastAsia="宋体" w:cs="宋体"/>
          <w:spacing w:val="-40"/>
          <w:sz w:val="20"/>
          <w:szCs w:val="20"/>
        </w:rPr>
        <w:t xml:space="preserve"> </w:t>
      </w:r>
      <w:r>
        <w:rPr>
          <w:rFonts w:ascii="宋体" w:hAnsi="宋体" w:eastAsia="宋体" w:cs="宋体"/>
          <w:spacing w:val="8"/>
          <w:sz w:val="20"/>
          <w:szCs w:val="20"/>
        </w:rPr>
        <w:t>4.3 项的有关要求。</w:t>
      </w:r>
    </w:p>
    <w:p w14:paraId="55F42064">
      <w:pPr>
        <w:spacing w:before="168" w:line="220" w:lineRule="auto"/>
        <w:ind w:left="6"/>
        <w:outlineLvl w:val="2"/>
        <w:rPr>
          <w:rFonts w:ascii="宋体" w:hAnsi="宋体" w:eastAsia="宋体" w:cs="宋体"/>
          <w:sz w:val="24"/>
          <w:szCs w:val="24"/>
        </w:rPr>
      </w:pPr>
      <w:bookmarkStart w:id="73" w:name="bookmark63"/>
      <w:bookmarkEnd w:id="73"/>
      <w:bookmarkStart w:id="74" w:name="_Toc1875"/>
      <w:r>
        <w:rPr>
          <w:rFonts w:ascii="宋体" w:hAnsi="宋体" w:eastAsia="宋体" w:cs="宋体"/>
          <w:spacing w:val="-2"/>
          <w:sz w:val="24"/>
          <w:szCs w:val="24"/>
        </w:rPr>
        <w:t>3.3 投标有效期</w:t>
      </w:r>
      <w:bookmarkEnd w:id="74"/>
    </w:p>
    <w:p w14:paraId="1A926805">
      <w:pPr>
        <w:spacing w:before="175" w:line="227" w:lineRule="auto"/>
        <w:ind w:left="425"/>
        <w:rPr>
          <w:rFonts w:ascii="宋体" w:hAnsi="宋体" w:eastAsia="宋体" w:cs="宋体"/>
          <w:sz w:val="20"/>
          <w:szCs w:val="20"/>
        </w:rPr>
      </w:pPr>
      <w:r>
        <w:rPr>
          <w:rFonts w:ascii="宋体" w:hAnsi="宋体" w:eastAsia="宋体" w:cs="宋体"/>
          <w:spacing w:val="9"/>
          <w:sz w:val="20"/>
          <w:szCs w:val="20"/>
        </w:rPr>
        <w:t>3.3.1  在投标人须知前附表规定的投标有效期内，</w:t>
      </w:r>
      <w:r>
        <w:rPr>
          <w:rFonts w:ascii="宋体" w:hAnsi="宋体" w:eastAsia="宋体" w:cs="宋体"/>
          <w:spacing w:val="8"/>
          <w:sz w:val="20"/>
          <w:szCs w:val="20"/>
        </w:rPr>
        <w:t>投标人不得要求撤销或修改其投标文件。</w:t>
      </w:r>
    </w:p>
    <w:p w14:paraId="6F279EBB">
      <w:pPr>
        <w:spacing w:before="164" w:line="327" w:lineRule="auto"/>
        <w:ind w:left="1" w:right="102" w:firstLine="423"/>
        <w:rPr>
          <w:rFonts w:ascii="宋体" w:hAnsi="宋体" w:eastAsia="宋体" w:cs="宋体"/>
          <w:sz w:val="20"/>
          <w:szCs w:val="20"/>
        </w:rPr>
      </w:pPr>
      <w:r>
        <w:rPr>
          <w:rFonts w:ascii="宋体" w:hAnsi="宋体" w:eastAsia="宋体" w:cs="宋体"/>
          <w:spacing w:val="11"/>
          <w:sz w:val="20"/>
          <w:szCs w:val="20"/>
        </w:rPr>
        <w:t>3.3.2  出现特殊情况需要延长投标有效期的，招标人以书面形式通知所有投标人延长投标有效期。投</w:t>
      </w:r>
      <w:r>
        <w:rPr>
          <w:rFonts w:ascii="宋体" w:hAnsi="宋体" w:eastAsia="宋体" w:cs="宋体"/>
          <w:spacing w:val="2"/>
          <w:sz w:val="20"/>
          <w:szCs w:val="20"/>
        </w:rPr>
        <w:t xml:space="preserve"> </w:t>
      </w:r>
      <w:r>
        <w:rPr>
          <w:rFonts w:ascii="宋体" w:hAnsi="宋体" w:eastAsia="宋体" w:cs="宋体"/>
          <w:spacing w:val="10"/>
          <w:sz w:val="20"/>
          <w:szCs w:val="20"/>
        </w:rPr>
        <w:t>标人同意延长的，应相应延长其投标保证的有效期，且不得要求或被允</w:t>
      </w:r>
      <w:r>
        <w:rPr>
          <w:rFonts w:ascii="宋体" w:hAnsi="宋体" w:eastAsia="宋体" w:cs="宋体"/>
          <w:spacing w:val="9"/>
          <w:sz w:val="20"/>
          <w:szCs w:val="20"/>
        </w:rPr>
        <w:t>许修改或撤销其投标文件；投标人拒</w:t>
      </w:r>
      <w:r>
        <w:rPr>
          <w:rFonts w:ascii="宋体" w:hAnsi="宋体" w:eastAsia="宋体" w:cs="宋体"/>
          <w:sz w:val="20"/>
          <w:szCs w:val="20"/>
        </w:rPr>
        <w:t xml:space="preserve"> </w:t>
      </w:r>
      <w:r>
        <w:rPr>
          <w:rFonts w:ascii="宋体" w:hAnsi="宋体" w:eastAsia="宋体" w:cs="宋体"/>
          <w:spacing w:val="9"/>
          <w:sz w:val="20"/>
          <w:szCs w:val="20"/>
        </w:rPr>
        <w:t>绝延长的，其投标失效，投标人有权收回其投标保证。</w:t>
      </w:r>
    </w:p>
    <w:p w14:paraId="5493EF27">
      <w:pPr>
        <w:spacing w:before="166" w:line="220" w:lineRule="auto"/>
        <w:ind w:left="486"/>
        <w:outlineLvl w:val="2"/>
        <w:rPr>
          <w:rFonts w:ascii="宋体" w:hAnsi="宋体" w:eastAsia="宋体" w:cs="宋体"/>
          <w:sz w:val="24"/>
          <w:szCs w:val="24"/>
        </w:rPr>
      </w:pPr>
      <w:bookmarkStart w:id="75" w:name="bookmark65"/>
      <w:bookmarkEnd w:id="75"/>
      <w:bookmarkStart w:id="76" w:name="_Toc9272"/>
      <w:r>
        <w:rPr>
          <w:rFonts w:ascii="宋体" w:hAnsi="宋体" w:eastAsia="宋体" w:cs="宋体"/>
          <w:spacing w:val="-4"/>
          <w:sz w:val="24"/>
          <w:szCs w:val="24"/>
        </w:rPr>
        <w:t>3.4</w:t>
      </w:r>
      <w:r>
        <w:rPr>
          <w:rFonts w:ascii="宋体" w:hAnsi="宋体" w:eastAsia="宋体" w:cs="宋体"/>
          <w:spacing w:val="12"/>
          <w:sz w:val="24"/>
          <w:szCs w:val="24"/>
        </w:rPr>
        <w:t xml:space="preserve"> </w:t>
      </w:r>
      <w:r>
        <w:rPr>
          <w:rFonts w:ascii="宋体" w:hAnsi="宋体" w:eastAsia="宋体" w:cs="宋体"/>
          <w:spacing w:val="-4"/>
          <w:sz w:val="24"/>
          <w:szCs w:val="24"/>
        </w:rPr>
        <w:t>投标保证</w:t>
      </w:r>
      <w:bookmarkEnd w:id="76"/>
    </w:p>
    <w:p w14:paraId="3EF69E24">
      <w:pPr>
        <w:spacing w:before="178" w:line="302" w:lineRule="auto"/>
        <w:ind w:right="102" w:firstLine="425"/>
        <w:rPr>
          <w:rFonts w:ascii="宋体" w:hAnsi="宋体" w:eastAsia="宋体" w:cs="宋体"/>
          <w:sz w:val="20"/>
          <w:szCs w:val="20"/>
        </w:rPr>
      </w:pPr>
      <w:r>
        <w:rPr>
          <w:rFonts w:ascii="宋体" w:hAnsi="宋体" w:eastAsia="宋体" w:cs="宋体"/>
          <w:spacing w:val="9"/>
          <w:sz w:val="20"/>
          <w:szCs w:val="20"/>
        </w:rPr>
        <w:t>3.4.1 投标人在递交投标文件的同时，应当按照投标人须知前附表的规定递交投标担保，并作为投</w:t>
      </w:r>
      <w:r>
        <w:rPr>
          <w:rFonts w:ascii="宋体" w:hAnsi="宋体" w:eastAsia="宋体" w:cs="宋体"/>
          <w:spacing w:val="8"/>
          <w:sz w:val="20"/>
          <w:szCs w:val="20"/>
        </w:rPr>
        <w:t>标文</w:t>
      </w:r>
      <w:r>
        <w:rPr>
          <w:rFonts w:ascii="宋体" w:hAnsi="宋体" w:eastAsia="宋体" w:cs="宋体"/>
          <w:sz w:val="20"/>
          <w:szCs w:val="20"/>
        </w:rPr>
        <w:t xml:space="preserve"> </w:t>
      </w:r>
      <w:r>
        <w:rPr>
          <w:rFonts w:ascii="宋体" w:hAnsi="宋体" w:eastAsia="宋体" w:cs="宋体"/>
          <w:spacing w:val="7"/>
          <w:sz w:val="20"/>
          <w:szCs w:val="20"/>
        </w:rPr>
        <w:t>件的组成部分。</w:t>
      </w:r>
    </w:p>
    <w:p w14:paraId="7510C485">
      <w:pPr>
        <w:spacing w:before="161" w:line="227" w:lineRule="auto"/>
        <w:ind w:left="425"/>
        <w:rPr>
          <w:rFonts w:ascii="宋体" w:hAnsi="宋体" w:eastAsia="宋体" w:cs="宋体"/>
          <w:sz w:val="20"/>
          <w:szCs w:val="20"/>
        </w:rPr>
      </w:pPr>
      <w:r>
        <w:rPr>
          <w:rFonts w:ascii="宋体" w:hAnsi="宋体" w:eastAsia="宋体" w:cs="宋体"/>
          <w:spacing w:val="8"/>
          <w:sz w:val="20"/>
          <w:szCs w:val="20"/>
        </w:rPr>
        <w:t>3.4.2  投标人不按本须知第</w:t>
      </w:r>
      <w:r>
        <w:rPr>
          <w:rFonts w:ascii="宋体" w:hAnsi="宋体" w:eastAsia="宋体" w:cs="宋体"/>
          <w:spacing w:val="-35"/>
          <w:sz w:val="20"/>
          <w:szCs w:val="20"/>
        </w:rPr>
        <w:t xml:space="preserve"> </w:t>
      </w:r>
      <w:r>
        <w:rPr>
          <w:rFonts w:ascii="宋体" w:hAnsi="宋体" w:eastAsia="宋体" w:cs="宋体"/>
          <w:spacing w:val="8"/>
          <w:sz w:val="20"/>
          <w:szCs w:val="20"/>
        </w:rPr>
        <w:t>3.4</w:t>
      </w:r>
      <w:r>
        <w:rPr>
          <w:rFonts w:ascii="宋体" w:hAnsi="宋体" w:eastAsia="宋体" w:cs="宋体"/>
          <w:spacing w:val="7"/>
          <w:sz w:val="20"/>
          <w:szCs w:val="20"/>
        </w:rPr>
        <w:t>.1 项要求提交投标担保的，应当否决其投标。</w:t>
      </w:r>
    </w:p>
    <w:p w14:paraId="3B64DC37">
      <w:pPr>
        <w:spacing w:before="165" w:line="227" w:lineRule="auto"/>
        <w:ind w:left="425"/>
        <w:rPr>
          <w:rFonts w:ascii="宋体" w:hAnsi="宋体" w:eastAsia="宋体" w:cs="宋体"/>
          <w:sz w:val="20"/>
          <w:szCs w:val="20"/>
        </w:rPr>
      </w:pPr>
      <w:r>
        <w:rPr>
          <w:rFonts w:ascii="宋体" w:hAnsi="宋体" w:eastAsia="宋体" w:cs="宋体"/>
          <w:spacing w:val="8"/>
          <w:sz w:val="20"/>
          <w:szCs w:val="20"/>
        </w:rPr>
        <w:t>3.4.3 未中标的投标人的投标担保于中标通知书发出之日起</w:t>
      </w:r>
      <w:r>
        <w:rPr>
          <w:rFonts w:ascii="宋体" w:hAnsi="宋体" w:eastAsia="宋体" w:cs="宋体"/>
          <w:spacing w:val="-33"/>
          <w:sz w:val="20"/>
          <w:szCs w:val="20"/>
        </w:rPr>
        <w:t xml:space="preserve"> </w:t>
      </w:r>
      <w:r>
        <w:rPr>
          <w:rFonts w:ascii="宋体" w:hAnsi="宋体" w:eastAsia="宋体" w:cs="宋体"/>
          <w:spacing w:val="8"/>
          <w:sz w:val="20"/>
          <w:szCs w:val="20"/>
        </w:rPr>
        <w:t>5</w:t>
      </w:r>
      <w:r>
        <w:rPr>
          <w:rFonts w:ascii="宋体" w:hAnsi="宋体" w:eastAsia="宋体" w:cs="宋体"/>
          <w:spacing w:val="-40"/>
          <w:sz w:val="20"/>
          <w:szCs w:val="20"/>
        </w:rPr>
        <w:t xml:space="preserve"> </w:t>
      </w:r>
      <w:r>
        <w:rPr>
          <w:rFonts w:ascii="宋体" w:hAnsi="宋体" w:eastAsia="宋体" w:cs="宋体"/>
          <w:spacing w:val="8"/>
          <w:sz w:val="20"/>
          <w:szCs w:val="20"/>
        </w:rPr>
        <w:t>个</w:t>
      </w:r>
      <w:r>
        <w:rPr>
          <w:rFonts w:ascii="宋体" w:hAnsi="宋体" w:eastAsia="宋体" w:cs="宋体"/>
          <w:spacing w:val="7"/>
          <w:sz w:val="20"/>
          <w:szCs w:val="20"/>
        </w:rPr>
        <w:t>工作日内退还。</w:t>
      </w:r>
    </w:p>
    <w:p w14:paraId="17AD097B">
      <w:pPr>
        <w:spacing w:before="162" w:line="228" w:lineRule="auto"/>
        <w:ind w:left="425"/>
        <w:rPr>
          <w:rFonts w:ascii="宋体" w:hAnsi="宋体" w:eastAsia="宋体" w:cs="宋体"/>
          <w:sz w:val="20"/>
          <w:szCs w:val="20"/>
        </w:rPr>
      </w:pPr>
      <w:r>
        <w:rPr>
          <w:rFonts w:ascii="宋体" w:hAnsi="宋体" w:eastAsia="宋体" w:cs="宋体"/>
          <w:spacing w:val="7"/>
          <w:sz w:val="20"/>
          <w:szCs w:val="20"/>
        </w:rPr>
        <w:t>3.4.4</w:t>
      </w:r>
      <w:r>
        <w:rPr>
          <w:rFonts w:ascii="宋体" w:hAnsi="宋体" w:eastAsia="宋体" w:cs="宋体"/>
          <w:spacing w:val="37"/>
          <w:sz w:val="20"/>
          <w:szCs w:val="20"/>
        </w:rPr>
        <w:t xml:space="preserve"> </w:t>
      </w:r>
      <w:r>
        <w:rPr>
          <w:rFonts w:ascii="宋体" w:hAnsi="宋体" w:eastAsia="宋体" w:cs="宋体"/>
          <w:spacing w:val="7"/>
          <w:sz w:val="20"/>
          <w:szCs w:val="20"/>
        </w:rPr>
        <w:t>中标人的投标担保在招标人与中标人签订合同后</w:t>
      </w:r>
      <w:r>
        <w:rPr>
          <w:rFonts w:ascii="宋体" w:hAnsi="宋体" w:eastAsia="宋体" w:cs="宋体"/>
          <w:spacing w:val="-32"/>
          <w:sz w:val="20"/>
          <w:szCs w:val="20"/>
        </w:rPr>
        <w:t xml:space="preserve"> </w:t>
      </w:r>
      <w:r>
        <w:rPr>
          <w:rFonts w:ascii="宋体" w:hAnsi="宋体" w:eastAsia="宋体" w:cs="宋体"/>
          <w:spacing w:val="7"/>
          <w:sz w:val="20"/>
          <w:szCs w:val="20"/>
        </w:rPr>
        <w:t>5 个工作日内退还。</w:t>
      </w:r>
    </w:p>
    <w:p w14:paraId="110B0530">
      <w:pPr>
        <w:spacing w:before="161" w:line="302" w:lineRule="auto"/>
        <w:ind w:left="1" w:right="102" w:firstLine="423"/>
        <w:rPr>
          <w:rFonts w:ascii="宋体" w:hAnsi="宋体" w:eastAsia="宋体" w:cs="宋体"/>
          <w:sz w:val="20"/>
          <w:szCs w:val="20"/>
        </w:rPr>
      </w:pPr>
      <w:r>
        <w:rPr>
          <w:rFonts w:ascii="宋体" w:hAnsi="宋体" w:eastAsia="宋体" w:cs="宋体"/>
          <w:spacing w:val="9"/>
          <w:sz w:val="20"/>
          <w:szCs w:val="20"/>
        </w:rPr>
        <w:t>3.4.5</w:t>
      </w:r>
      <w:r>
        <w:rPr>
          <w:rFonts w:ascii="宋体" w:hAnsi="宋体" w:eastAsia="宋体" w:cs="宋体"/>
          <w:spacing w:val="-38"/>
          <w:sz w:val="20"/>
          <w:szCs w:val="20"/>
        </w:rPr>
        <w:t xml:space="preserve"> </w:t>
      </w:r>
      <w:r>
        <w:rPr>
          <w:rFonts w:ascii="宋体" w:hAnsi="宋体" w:eastAsia="宋体" w:cs="宋体"/>
          <w:spacing w:val="9"/>
          <w:sz w:val="20"/>
          <w:szCs w:val="20"/>
        </w:rPr>
        <w:t>在投标截止时间前撤回已提交的投标文件的投标人的投标担保，</w:t>
      </w:r>
      <w:r>
        <w:rPr>
          <w:rFonts w:ascii="宋体" w:hAnsi="宋体" w:eastAsia="宋体" w:cs="宋体"/>
          <w:spacing w:val="-49"/>
          <w:sz w:val="20"/>
          <w:szCs w:val="20"/>
        </w:rPr>
        <w:t xml:space="preserve"> </w:t>
      </w:r>
      <w:r>
        <w:rPr>
          <w:rFonts w:ascii="宋体" w:hAnsi="宋体" w:eastAsia="宋体" w:cs="宋体"/>
          <w:spacing w:val="9"/>
          <w:sz w:val="20"/>
          <w:szCs w:val="20"/>
        </w:rPr>
        <w:t>自收到投标人书面</w:t>
      </w:r>
      <w:r>
        <w:rPr>
          <w:rFonts w:ascii="宋体" w:hAnsi="宋体" w:eastAsia="宋体" w:cs="宋体"/>
          <w:spacing w:val="8"/>
          <w:sz w:val="20"/>
          <w:szCs w:val="20"/>
        </w:rPr>
        <w:t>撤回通知之日</w:t>
      </w:r>
      <w:r>
        <w:rPr>
          <w:rFonts w:ascii="宋体" w:hAnsi="宋体" w:eastAsia="宋体" w:cs="宋体"/>
          <w:sz w:val="20"/>
          <w:szCs w:val="20"/>
        </w:rPr>
        <w:t xml:space="preserve"> </w:t>
      </w:r>
      <w:r>
        <w:rPr>
          <w:rFonts w:ascii="宋体" w:hAnsi="宋体" w:eastAsia="宋体" w:cs="宋体"/>
          <w:spacing w:val="5"/>
          <w:sz w:val="20"/>
          <w:szCs w:val="20"/>
        </w:rPr>
        <w:t>起</w:t>
      </w:r>
      <w:r>
        <w:rPr>
          <w:rFonts w:ascii="宋体" w:hAnsi="宋体" w:eastAsia="宋体" w:cs="宋体"/>
          <w:spacing w:val="-34"/>
          <w:sz w:val="20"/>
          <w:szCs w:val="20"/>
        </w:rPr>
        <w:t xml:space="preserve"> </w:t>
      </w:r>
      <w:r>
        <w:rPr>
          <w:rFonts w:ascii="宋体" w:hAnsi="宋体" w:eastAsia="宋体" w:cs="宋体"/>
          <w:spacing w:val="5"/>
          <w:sz w:val="20"/>
          <w:szCs w:val="20"/>
        </w:rPr>
        <w:t>5</w:t>
      </w:r>
      <w:r>
        <w:rPr>
          <w:rFonts w:ascii="宋体" w:hAnsi="宋体" w:eastAsia="宋体" w:cs="宋体"/>
          <w:spacing w:val="-38"/>
          <w:sz w:val="20"/>
          <w:szCs w:val="20"/>
        </w:rPr>
        <w:t xml:space="preserve"> </w:t>
      </w:r>
      <w:r>
        <w:rPr>
          <w:rFonts w:ascii="宋体" w:hAnsi="宋体" w:eastAsia="宋体" w:cs="宋体"/>
          <w:spacing w:val="5"/>
          <w:sz w:val="20"/>
          <w:szCs w:val="20"/>
        </w:rPr>
        <w:t>个工作日内退还；</w:t>
      </w:r>
    </w:p>
    <w:p w14:paraId="09B38430">
      <w:pPr>
        <w:spacing w:before="162" w:line="227" w:lineRule="auto"/>
        <w:ind w:left="425"/>
        <w:rPr>
          <w:rFonts w:ascii="宋体" w:hAnsi="宋体" w:eastAsia="宋体" w:cs="宋体"/>
          <w:sz w:val="20"/>
          <w:szCs w:val="20"/>
        </w:rPr>
      </w:pPr>
      <w:r>
        <w:rPr>
          <w:rFonts w:ascii="宋体" w:hAnsi="宋体" w:eastAsia="宋体" w:cs="宋体"/>
          <w:spacing w:val="8"/>
          <w:sz w:val="20"/>
          <w:szCs w:val="20"/>
        </w:rPr>
        <w:t>3.4.6 不接受招标人延长投标有效期的投标人的投标担保，</w:t>
      </w:r>
      <w:r>
        <w:rPr>
          <w:rFonts w:ascii="宋体" w:hAnsi="宋体" w:eastAsia="宋体" w:cs="宋体"/>
          <w:spacing w:val="-51"/>
          <w:sz w:val="20"/>
          <w:szCs w:val="20"/>
        </w:rPr>
        <w:t xml:space="preserve"> </w:t>
      </w:r>
      <w:r>
        <w:rPr>
          <w:rFonts w:ascii="宋体" w:hAnsi="宋体" w:eastAsia="宋体" w:cs="宋体"/>
          <w:spacing w:val="8"/>
          <w:sz w:val="20"/>
          <w:szCs w:val="20"/>
        </w:rPr>
        <w:t>自收到投标人不予接受延长投标有效期的书</w:t>
      </w:r>
    </w:p>
    <w:p w14:paraId="22D53CEA">
      <w:pPr>
        <w:spacing w:line="227" w:lineRule="auto"/>
        <w:rPr>
          <w:rFonts w:ascii="宋体" w:hAnsi="宋体" w:eastAsia="宋体" w:cs="宋体"/>
          <w:sz w:val="20"/>
          <w:szCs w:val="20"/>
        </w:rPr>
        <w:sectPr>
          <w:footerReference r:id="rId12" w:type="default"/>
          <w:pgSz w:w="11907" w:h="16840"/>
          <w:pgMar w:top="1008" w:right="920" w:bottom="1029" w:left="1027" w:header="0" w:footer="850" w:gutter="0"/>
          <w:pgNumType w:fmt="decimal"/>
          <w:cols w:space="720" w:num="1"/>
        </w:sectPr>
      </w:pPr>
    </w:p>
    <w:p w14:paraId="1519C58B">
      <w:pPr>
        <w:spacing w:before="41" w:line="228" w:lineRule="auto"/>
        <w:ind w:left="1"/>
        <w:rPr>
          <w:rFonts w:ascii="宋体" w:hAnsi="宋体" w:eastAsia="宋体" w:cs="宋体"/>
          <w:sz w:val="20"/>
          <w:szCs w:val="20"/>
        </w:rPr>
      </w:pPr>
      <w:r>
        <w:rPr>
          <w:rFonts w:ascii="宋体" w:hAnsi="宋体" w:eastAsia="宋体" w:cs="宋体"/>
          <w:spacing w:val="6"/>
          <w:sz w:val="20"/>
          <w:szCs w:val="20"/>
        </w:rPr>
        <w:t>面通知之日起</w:t>
      </w:r>
      <w:r>
        <w:rPr>
          <w:rFonts w:ascii="宋体" w:hAnsi="宋体" w:eastAsia="宋体" w:cs="宋体"/>
          <w:spacing w:val="-22"/>
          <w:sz w:val="20"/>
          <w:szCs w:val="20"/>
        </w:rPr>
        <w:t xml:space="preserve"> </w:t>
      </w:r>
      <w:r>
        <w:rPr>
          <w:rFonts w:ascii="宋体" w:hAnsi="宋体" w:eastAsia="宋体" w:cs="宋体"/>
          <w:spacing w:val="6"/>
          <w:sz w:val="20"/>
          <w:szCs w:val="20"/>
        </w:rPr>
        <w:t>5</w:t>
      </w:r>
      <w:r>
        <w:rPr>
          <w:rFonts w:ascii="宋体" w:hAnsi="宋体" w:eastAsia="宋体" w:cs="宋体"/>
          <w:spacing w:val="-41"/>
          <w:sz w:val="20"/>
          <w:szCs w:val="20"/>
        </w:rPr>
        <w:t xml:space="preserve"> </w:t>
      </w:r>
      <w:r>
        <w:rPr>
          <w:rFonts w:ascii="宋体" w:hAnsi="宋体" w:eastAsia="宋体" w:cs="宋体"/>
          <w:spacing w:val="6"/>
          <w:sz w:val="20"/>
          <w:szCs w:val="20"/>
        </w:rPr>
        <w:t>个工作日内退还。</w:t>
      </w:r>
    </w:p>
    <w:p w14:paraId="2601762E">
      <w:pPr>
        <w:spacing w:before="161" w:line="303" w:lineRule="auto"/>
        <w:ind w:right="52" w:firstLine="425"/>
        <w:rPr>
          <w:rFonts w:ascii="宋体" w:hAnsi="宋体" w:eastAsia="宋体" w:cs="宋体"/>
          <w:sz w:val="20"/>
          <w:szCs w:val="20"/>
        </w:rPr>
      </w:pPr>
      <w:r>
        <w:rPr>
          <w:rFonts w:ascii="宋体" w:hAnsi="宋体" w:eastAsia="宋体" w:cs="宋体"/>
          <w:spacing w:val="9"/>
          <w:sz w:val="20"/>
          <w:szCs w:val="20"/>
        </w:rPr>
        <w:t>3.4.7 有下列情形之一的，将对投标人以现金形式提交的投标担保不予退还；采用投标承诺的，将提请</w:t>
      </w:r>
      <w:r>
        <w:rPr>
          <w:rFonts w:ascii="宋体" w:hAnsi="宋体" w:eastAsia="宋体" w:cs="宋体"/>
          <w:spacing w:val="1"/>
          <w:sz w:val="20"/>
          <w:szCs w:val="20"/>
        </w:rPr>
        <w:t xml:space="preserve"> </w:t>
      </w:r>
      <w:r>
        <w:rPr>
          <w:rFonts w:ascii="宋体" w:hAnsi="宋体" w:eastAsia="宋体" w:cs="宋体"/>
          <w:spacing w:val="10"/>
          <w:sz w:val="20"/>
          <w:szCs w:val="20"/>
        </w:rPr>
        <w:t>住房城乡建设主管部门给予投标人不良行为记录；采用</w:t>
      </w:r>
      <w:r>
        <w:rPr>
          <w:rFonts w:ascii="宋体" w:hAnsi="宋体" w:eastAsia="宋体" w:cs="宋体"/>
          <w:spacing w:val="9"/>
          <w:sz w:val="20"/>
          <w:szCs w:val="20"/>
        </w:rPr>
        <w:t>保函的，将要求保函开立人支付经济补偿金。</w:t>
      </w:r>
    </w:p>
    <w:p w14:paraId="6EC9ADEC">
      <w:pPr>
        <w:spacing w:before="161" w:line="228" w:lineRule="auto"/>
        <w:ind w:left="430"/>
        <w:rPr>
          <w:rFonts w:ascii="宋体" w:hAnsi="宋体" w:eastAsia="宋体" w:cs="宋体"/>
          <w:sz w:val="20"/>
          <w:szCs w:val="20"/>
        </w:rPr>
      </w:pPr>
      <w:r>
        <w:rPr>
          <w:rFonts w:ascii="宋体" w:hAnsi="宋体" w:eastAsia="宋体" w:cs="宋体"/>
          <w:spacing w:val="9"/>
          <w:sz w:val="20"/>
          <w:szCs w:val="20"/>
        </w:rPr>
        <w:t>（1）投标人在规定的投标有效期内撤销或</w:t>
      </w:r>
      <w:r>
        <w:rPr>
          <w:rFonts w:ascii="宋体" w:hAnsi="宋体" w:eastAsia="宋体" w:cs="宋体"/>
          <w:spacing w:val="8"/>
          <w:sz w:val="20"/>
          <w:szCs w:val="20"/>
        </w:rPr>
        <w:t>修改其投标文件；</w:t>
      </w:r>
    </w:p>
    <w:p w14:paraId="27B90758">
      <w:pPr>
        <w:spacing w:before="161" w:line="302" w:lineRule="auto"/>
        <w:ind w:right="52" w:firstLine="430"/>
        <w:rPr>
          <w:rFonts w:ascii="宋体" w:hAnsi="宋体" w:eastAsia="宋体" w:cs="宋体"/>
          <w:sz w:val="20"/>
          <w:szCs w:val="20"/>
        </w:rPr>
      </w:pPr>
      <w:r>
        <w:rPr>
          <w:rFonts w:ascii="宋体" w:hAnsi="宋体" w:eastAsia="宋体" w:cs="宋体"/>
          <w:spacing w:val="12"/>
          <w:sz w:val="20"/>
          <w:szCs w:val="20"/>
        </w:rPr>
        <w:t>（2）投标人被确定为中标人后，无正当理由不与招标人订立合同，或</w:t>
      </w:r>
      <w:r>
        <w:rPr>
          <w:rFonts w:ascii="宋体" w:hAnsi="宋体" w:eastAsia="宋体" w:cs="宋体"/>
          <w:spacing w:val="11"/>
          <w:sz w:val="20"/>
          <w:szCs w:val="20"/>
        </w:rPr>
        <w:t>者在签订合同时向招标人提出附</w:t>
      </w:r>
      <w:r>
        <w:rPr>
          <w:rFonts w:ascii="宋体" w:hAnsi="宋体" w:eastAsia="宋体" w:cs="宋体"/>
          <w:sz w:val="20"/>
          <w:szCs w:val="20"/>
        </w:rPr>
        <w:t xml:space="preserve"> </w:t>
      </w:r>
      <w:r>
        <w:rPr>
          <w:rFonts w:ascii="宋体" w:hAnsi="宋体" w:eastAsia="宋体" w:cs="宋体"/>
          <w:spacing w:val="9"/>
          <w:sz w:val="20"/>
          <w:szCs w:val="20"/>
        </w:rPr>
        <w:t>加条件，或者不按招标文件要求提交履约担保。</w:t>
      </w:r>
    </w:p>
    <w:p w14:paraId="257E8DD7">
      <w:pPr>
        <w:spacing w:before="168" w:line="219" w:lineRule="auto"/>
        <w:ind w:left="6"/>
        <w:outlineLvl w:val="2"/>
        <w:rPr>
          <w:rFonts w:ascii="宋体" w:hAnsi="宋体" w:eastAsia="宋体" w:cs="宋体"/>
          <w:sz w:val="24"/>
          <w:szCs w:val="24"/>
        </w:rPr>
      </w:pPr>
      <w:bookmarkStart w:id="77" w:name="bookmark67"/>
      <w:bookmarkEnd w:id="77"/>
      <w:bookmarkStart w:id="78" w:name="_Toc28664"/>
      <w:r>
        <w:rPr>
          <w:rFonts w:ascii="宋体" w:hAnsi="宋体" w:eastAsia="宋体" w:cs="宋体"/>
          <w:spacing w:val="-4"/>
          <w:sz w:val="24"/>
          <w:szCs w:val="24"/>
        </w:rPr>
        <w:t>3.5</w:t>
      </w:r>
      <w:r>
        <w:rPr>
          <w:rFonts w:ascii="宋体" w:hAnsi="宋体" w:eastAsia="宋体" w:cs="宋体"/>
          <w:spacing w:val="-40"/>
          <w:sz w:val="24"/>
          <w:szCs w:val="24"/>
        </w:rPr>
        <w:t xml:space="preserve"> </w:t>
      </w:r>
      <w:r>
        <w:rPr>
          <w:rFonts w:ascii="宋体" w:hAnsi="宋体" w:eastAsia="宋体" w:cs="宋体"/>
          <w:spacing w:val="-4"/>
          <w:sz w:val="24"/>
          <w:szCs w:val="24"/>
        </w:rPr>
        <w:t>资格审查资料</w:t>
      </w:r>
      <w:bookmarkEnd w:id="78"/>
    </w:p>
    <w:p w14:paraId="20EE1CFE">
      <w:pPr>
        <w:spacing w:before="175" w:line="368" w:lineRule="auto"/>
        <w:ind w:right="52" w:firstLine="419"/>
        <w:jc w:val="both"/>
        <w:rPr>
          <w:rFonts w:ascii="宋体" w:hAnsi="宋体" w:eastAsia="宋体" w:cs="宋体"/>
          <w:sz w:val="20"/>
          <w:szCs w:val="20"/>
        </w:rPr>
      </w:pPr>
      <w:r>
        <w:rPr>
          <w:rFonts w:ascii="宋体" w:hAnsi="宋体" w:eastAsia="宋体" w:cs="宋体"/>
          <w:spacing w:val="12"/>
          <w:sz w:val="20"/>
          <w:szCs w:val="20"/>
        </w:rPr>
        <w:t>采用资格预审方式的， 投标人在编制投标文件时，应按新情况更新或补充其在申请资格预</w:t>
      </w:r>
      <w:r>
        <w:rPr>
          <w:rFonts w:ascii="宋体" w:hAnsi="宋体" w:eastAsia="宋体" w:cs="宋体"/>
          <w:spacing w:val="11"/>
          <w:sz w:val="20"/>
          <w:szCs w:val="20"/>
        </w:rPr>
        <w:t>审时提供的</w:t>
      </w:r>
      <w:r>
        <w:rPr>
          <w:rFonts w:ascii="宋体" w:hAnsi="宋体" w:eastAsia="宋体" w:cs="宋体"/>
          <w:sz w:val="20"/>
          <w:szCs w:val="20"/>
        </w:rPr>
        <w:t xml:space="preserve"> </w:t>
      </w:r>
      <w:r>
        <w:rPr>
          <w:rFonts w:ascii="宋体" w:hAnsi="宋体" w:eastAsia="宋体" w:cs="宋体"/>
          <w:spacing w:val="10"/>
          <w:sz w:val="20"/>
          <w:szCs w:val="20"/>
        </w:rPr>
        <w:t>资料，以证实其各项资格条件仍能继续满足资格预审文件的要求，具备承担本</w:t>
      </w:r>
      <w:r>
        <w:rPr>
          <w:rFonts w:ascii="宋体" w:hAnsi="宋体" w:eastAsia="宋体" w:cs="宋体"/>
          <w:spacing w:val="9"/>
          <w:sz w:val="20"/>
          <w:szCs w:val="20"/>
        </w:rPr>
        <w:t>招标项目的资质条件、能力和</w:t>
      </w:r>
      <w:r>
        <w:rPr>
          <w:rFonts w:ascii="宋体" w:hAnsi="宋体" w:eastAsia="宋体" w:cs="宋体"/>
          <w:sz w:val="20"/>
          <w:szCs w:val="20"/>
        </w:rPr>
        <w:t xml:space="preserve"> </w:t>
      </w:r>
      <w:r>
        <w:rPr>
          <w:rFonts w:ascii="宋体" w:hAnsi="宋体" w:eastAsia="宋体" w:cs="宋体"/>
          <w:spacing w:val="3"/>
          <w:sz w:val="20"/>
          <w:szCs w:val="20"/>
        </w:rPr>
        <w:t>信誉。</w:t>
      </w:r>
    </w:p>
    <w:p w14:paraId="161F8C53">
      <w:pPr>
        <w:spacing w:before="31" w:line="362" w:lineRule="auto"/>
        <w:ind w:right="52" w:firstLine="420"/>
        <w:rPr>
          <w:rFonts w:ascii="宋体" w:hAnsi="宋体" w:eastAsia="宋体" w:cs="宋体"/>
          <w:sz w:val="20"/>
          <w:szCs w:val="20"/>
        </w:rPr>
      </w:pPr>
      <w:r>
        <w:rPr>
          <w:rFonts w:ascii="宋体" w:hAnsi="宋体" w:eastAsia="宋体" w:cs="宋体"/>
          <w:spacing w:val="9"/>
          <w:sz w:val="20"/>
          <w:szCs w:val="20"/>
        </w:rPr>
        <w:t>采用资格后审方式的，按照本须知第</w:t>
      </w:r>
      <w:r>
        <w:rPr>
          <w:rFonts w:ascii="宋体" w:hAnsi="宋体" w:eastAsia="宋体" w:cs="宋体"/>
          <w:spacing w:val="-21"/>
          <w:sz w:val="20"/>
          <w:szCs w:val="20"/>
        </w:rPr>
        <w:t xml:space="preserve"> </w:t>
      </w:r>
      <w:r>
        <w:rPr>
          <w:rFonts w:ascii="宋体" w:hAnsi="宋体" w:eastAsia="宋体" w:cs="宋体"/>
          <w:spacing w:val="9"/>
          <w:sz w:val="20"/>
          <w:szCs w:val="20"/>
        </w:rPr>
        <w:t>1.4.</w:t>
      </w:r>
      <w:r>
        <w:rPr>
          <w:rFonts w:ascii="宋体" w:hAnsi="宋体" w:eastAsia="宋体" w:cs="宋体"/>
          <w:spacing w:val="8"/>
          <w:sz w:val="20"/>
          <w:szCs w:val="20"/>
        </w:rPr>
        <w:t>1</w:t>
      </w:r>
      <w:r>
        <w:rPr>
          <w:rFonts w:ascii="宋体" w:hAnsi="宋体" w:eastAsia="宋体" w:cs="宋体"/>
          <w:spacing w:val="-37"/>
          <w:sz w:val="20"/>
          <w:szCs w:val="20"/>
        </w:rPr>
        <w:t xml:space="preserve"> </w:t>
      </w:r>
      <w:r>
        <w:rPr>
          <w:rFonts w:ascii="宋体" w:hAnsi="宋体" w:eastAsia="宋体" w:cs="宋体"/>
          <w:spacing w:val="8"/>
          <w:sz w:val="20"/>
          <w:szCs w:val="20"/>
        </w:rPr>
        <w:t>项的规定提交资格审查资料，具体要求详见第八章“投标文</w:t>
      </w:r>
      <w:r>
        <w:rPr>
          <w:rFonts w:ascii="宋体" w:hAnsi="宋体" w:eastAsia="宋体" w:cs="宋体"/>
          <w:sz w:val="20"/>
          <w:szCs w:val="20"/>
        </w:rPr>
        <w:t xml:space="preserve"> </w:t>
      </w:r>
      <w:r>
        <w:rPr>
          <w:rFonts w:ascii="宋体" w:hAnsi="宋体" w:eastAsia="宋体" w:cs="宋体"/>
          <w:spacing w:val="7"/>
          <w:sz w:val="20"/>
          <w:szCs w:val="20"/>
        </w:rPr>
        <w:t>件—投标函格式</w:t>
      </w:r>
      <w:r>
        <w:rPr>
          <w:rFonts w:ascii="宋体" w:hAnsi="宋体" w:eastAsia="宋体" w:cs="宋体"/>
          <w:spacing w:val="-63"/>
          <w:sz w:val="20"/>
          <w:szCs w:val="20"/>
        </w:rPr>
        <w:t xml:space="preserve"> </w:t>
      </w:r>
      <w:r>
        <w:rPr>
          <w:rFonts w:ascii="宋体" w:hAnsi="宋体" w:eastAsia="宋体" w:cs="宋体"/>
          <w:spacing w:val="7"/>
          <w:sz w:val="20"/>
          <w:szCs w:val="20"/>
        </w:rPr>
        <w:t>”。</w:t>
      </w:r>
    </w:p>
    <w:p w14:paraId="462F2DC9">
      <w:pPr>
        <w:spacing w:before="37" w:line="220" w:lineRule="auto"/>
        <w:ind w:left="6"/>
        <w:outlineLvl w:val="2"/>
        <w:rPr>
          <w:rFonts w:ascii="宋体" w:hAnsi="宋体" w:eastAsia="宋体" w:cs="宋体"/>
          <w:sz w:val="24"/>
          <w:szCs w:val="24"/>
        </w:rPr>
      </w:pPr>
      <w:bookmarkStart w:id="79" w:name="bookmark69"/>
      <w:bookmarkEnd w:id="79"/>
      <w:bookmarkStart w:id="80" w:name="_Toc7898"/>
      <w:r>
        <w:rPr>
          <w:rFonts w:ascii="宋体" w:hAnsi="宋体" w:eastAsia="宋体" w:cs="宋体"/>
          <w:spacing w:val="-2"/>
          <w:sz w:val="24"/>
          <w:szCs w:val="24"/>
        </w:rPr>
        <w:t>3.6 备选投标方案</w:t>
      </w:r>
      <w:bookmarkEnd w:id="80"/>
    </w:p>
    <w:p w14:paraId="0D1088DB">
      <w:pPr>
        <w:spacing w:before="177" w:line="367" w:lineRule="auto"/>
        <w:ind w:left="1" w:right="52" w:firstLine="431"/>
        <w:jc w:val="both"/>
        <w:rPr>
          <w:rFonts w:ascii="宋体" w:hAnsi="宋体" w:eastAsia="宋体" w:cs="宋体"/>
          <w:sz w:val="20"/>
          <w:szCs w:val="20"/>
        </w:rPr>
      </w:pPr>
      <w:r>
        <w:rPr>
          <w:rFonts w:ascii="宋体" w:hAnsi="宋体" w:eastAsia="宋体" w:cs="宋体"/>
          <w:spacing w:val="10"/>
          <w:sz w:val="20"/>
          <w:szCs w:val="20"/>
        </w:rPr>
        <w:t>除投标人须知前附表另有规定外，投标人不得</w:t>
      </w:r>
      <w:r>
        <w:rPr>
          <w:rFonts w:ascii="宋体" w:hAnsi="宋体" w:eastAsia="宋体" w:cs="宋体"/>
          <w:spacing w:val="9"/>
          <w:sz w:val="20"/>
          <w:szCs w:val="20"/>
        </w:rPr>
        <w:t>递交备选投标方案。允许投标人递交备选投标方案的，只</w:t>
      </w:r>
      <w:r>
        <w:rPr>
          <w:rFonts w:ascii="宋体" w:hAnsi="宋体" w:eastAsia="宋体" w:cs="宋体"/>
          <w:sz w:val="20"/>
          <w:szCs w:val="20"/>
        </w:rPr>
        <w:t xml:space="preserve"> </w:t>
      </w:r>
      <w:r>
        <w:rPr>
          <w:rFonts w:ascii="宋体" w:hAnsi="宋体" w:eastAsia="宋体" w:cs="宋体"/>
          <w:spacing w:val="10"/>
          <w:sz w:val="20"/>
          <w:szCs w:val="20"/>
        </w:rPr>
        <w:t>有中标人所递交的备选投标方案方可予以考虑。评标委员会认为中标人</w:t>
      </w:r>
      <w:r>
        <w:rPr>
          <w:rFonts w:ascii="宋体" w:hAnsi="宋体" w:eastAsia="宋体" w:cs="宋体"/>
          <w:spacing w:val="9"/>
          <w:sz w:val="20"/>
          <w:szCs w:val="20"/>
        </w:rPr>
        <w:t>的备选投标方案优于其按照招标文件</w:t>
      </w:r>
      <w:r>
        <w:rPr>
          <w:rFonts w:ascii="宋体" w:hAnsi="宋体" w:eastAsia="宋体" w:cs="宋体"/>
          <w:sz w:val="20"/>
          <w:szCs w:val="20"/>
        </w:rPr>
        <w:t xml:space="preserve"> </w:t>
      </w:r>
      <w:r>
        <w:rPr>
          <w:rFonts w:ascii="宋体" w:hAnsi="宋体" w:eastAsia="宋体" w:cs="宋体"/>
          <w:spacing w:val="9"/>
          <w:sz w:val="20"/>
          <w:szCs w:val="20"/>
        </w:rPr>
        <w:t>要求编制的投标方案的，招标人可以接受该备选投标方案。</w:t>
      </w:r>
    </w:p>
    <w:p w14:paraId="3FA73D7D">
      <w:pPr>
        <w:spacing w:before="36" w:line="219" w:lineRule="auto"/>
        <w:ind w:left="6"/>
        <w:outlineLvl w:val="2"/>
        <w:rPr>
          <w:rFonts w:ascii="宋体" w:hAnsi="宋体" w:eastAsia="宋体" w:cs="宋体"/>
          <w:sz w:val="24"/>
          <w:szCs w:val="24"/>
        </w:rPr>
      </w:pPr>
      <w:bookmarkStart w:id="81" w:name="bookmark71"/>
      <w:bookmarkEnd w:id="81"/>
      <w:bookmarkStart w:id="82" w:name="_Toc12162"/>
      <w:r>
        <w:rPr>
          <w:rFonts w:ascii="宋体" w:hAnsi="宋体" w:eastAsia="宋体" w:cs="宋体"/>
          <w:spacing w:val="-2"/>
          <w:sz w:val="24"/>
          <w:szCs w:val="24"/>
        </w:rPr>
        <w:t>3.7 投标文件的编制</w:t>
      </w:r>
      <w:bookmarkEnd w:id="82"/>
    </w:p>
    <w:p w14:paraId="1DDA4489">
      <w:pPr>
        <w:spacing w:before="178" w:line="302" w:lineRule="auto"/>
        <w:ind w:left="3" w:firstLine="421"/>
        <w:rPr>
          <w:rFonts w:ascii="宋体" w:hAnsi="宋体" w:eastAsia="宋体" w:cs="宋体"/>
          <w:sz w:val="20"/>
          <w:szCs w:val="20"/>
        </w:rPr>
      </w:pPr>
      <w:r>
        <w:rPr>
          <w:rFonts w:ascii="宋体" w:hAnsi="宋体" w:eastAsia="宋体" w:cs="宋体"/>
          <w:spacing w:val="7"/>
          <w:sz w:val="20"/>
          <w:szCs w:val="20"/>
        </w:rPr>
        <w:t>3.7.1  投标文件应按第八章“投标文件格式</w:t>
      </w:r>
      <w:r>
        <w:rPr>
          <w:rFonts w:ascii="宋体" w:hAnsi="宋体" w:eastAsia="宋体" w:cs="宋体"/>
          <w:spacing w:val="-58"/>
          <w:sz w:val="20"/>
          <w:szCs w:val="20"/>
        </w:rPr>
        <w:t xml:space="preserve"> </w:t>
      </w:r>
      <w:r>
        <w:rPr>
          <w:rFonts w:ascii="宋体" w:hAnsi="宋体" w:eastAsia="宋体" w:cs="宋体"/>
          <w:spacing w:val="7"/>
          <w:sz w:val="20"/>
          <w:szCs w:val="20"/>
        </w:rPr>
        <w:t>”编写。可以增加附页，作为投标文件的组成部分。其中，</w:t>
      </w:r>
      <w:r>
        <w:rPr>
          <w:rFonts w:ascii="宋体" w:hAnsi="宋体" w:eastAsia="宋体" w:cs="宋体"/>
          <w:sz w:val="20"/>
          <w:szCs w:val="20"/>
        </w:rPr>
        <w:t xml:space="preserve"> </w:t>
      </w:r>
      <w:r>
        <w:rPr>
          <w:rFonts w:ascii="宋体" w:hAnsi="宋体" w:eastAsia="宋体" w:cs="宋体"/>
          <w:spacing w:val="10"/>
          <w:sz w:val="20"/>
          <w:szCs w:val="20"/>
        </w:rPr>
        <w:t>投标函附录在满足招标文件实质性要求的基础上</w:t>
      </w:r>
      <w:r>
        <w:rPr>
          <w:rFonts w:ascii="宋体" w:hAnsi="宋体" w:eastAsia="宋体" w:cs="宋体"/>
          <w:spacing w:val="9"/>
          <w:sz w:val="20"/>
          <w:szCs w:val="20"/>
        </w:rPr>
        <w:t>，可以提出比招标文件要求更有利于招标人的承诺。</w:t>
      </w:r>
    </w:p>
    <w:p w14:paraId="2CD09FB0">
      <w:pPr>
        <w:spacing w:before="162" w:line="304" w:lineRule="auto"/>
        <w:ind w:left="3" w:right="54" w:firstLine="421"/>
        <w:rPr>
          <w:rFonts w:ascii="宋体" w:hAnsi="宋体" w:eastAsia="宋体" w:cs="宋体"/>
          <w:sz w:val="20"/>
          <w:szCs w:val="20"/>
        </w:rPr>
      </w:pPr>
      <w:r>
        <w:rPr>
          <w:rFonts w:ascii="宋体" w:hAnsi="宋体" w:eastAsia="宋体" w:cs="宋体"/>
          <w:spacing w:val="11"/>
          <w:sz w:val="20"/>
          <w:szCs w:val="20"/>
        </w:rPr>
        <w:t>3.7.2  投标文件应当对招标文件有关工期、投标有效期、质量要求、技术标准和要求、招标范围等内</w:t>
      </w:r>
      <w:r>
        <w:rPr>
          <w:rFonts w:ascii="宋体" w:hAnsi="宋体" w:eastAsia="宋体" w:cs="宋体"/>
          <w:spacing w:val="2"/>
          <w:sz w:val="20"/>
          <w:szCs w:val="20"/>
        </w:rPr>
        <w:t xml:space="preserve"> </w:t>
      </w:r>
      <w:r>
        <w:rPr>
          <w:rFonts w:ascii="宋体" w:hAnsi="宋体" w:eastAsia="宋体" w:cs="宋体"/>
          <w:spacing w:val="7"/>
          <w:sz w:val="20"/>
          <w:szCs w:val="20"/>
        </w:rPr>
        <w:t>容作出实质性响应。</w:t>
      </w:r>
    </w:p>
    <w:p w14:paraId="4FB11E1F">
      <w:pPr>
        <w:spacing w:before="161" w:line="339" w:lineRule="auto"/>
        <w:ind w:right="52" w:firstLine="425"/>
        <w:rPr>
          <w:rFonts w:ascii="宋体" w:hAnsi="宋体" w:eastAsia="宋体" w:cs="宋体"/>
          <w:sz w:val="20"/>
          <w:szCs w:val="20"/>
        </w:rPr>
      </w:pPr>
      <w:r>
        <w:rPr>
          <w:rFonts w:ascii="宋体" w:hAnsi="宋体" w:eastAsia="宋体" w:cs="宋体"/>
          <w:spacing w:val="11"/>
          <w:sz w:val="20"/>
          <w:szCs w:val="20"/>
        </w:rPr>
        <w:t>3.7.3  投标文件全部采用电子文档，除投标人须知前附表另有规定外，投标文件所附证书证件均为原</w:t>
      </w:r>
      <w:r>
        <w:rPr>
          <w:rFonts w:ascii="宋体" w:hAnsi="宋体" w:eastAsia="宋体" w:cs="宋体"/>
          <w:spacing w:val="2"/>
          <w:sz w:val="20"/>
          <w:szCs w:val="20"/>
        </w:rPr>
        <w:t xml:space="preserve"> </w:t>
      </w:r>
      <w:r>
        <w:rPr>
          <w:rFonts w:ascii="宋体" w:hAnsi="宋体" w:eastAsia="宋体" w:cs="宋体"/>
          <w:spacing w:val="10"/>
          <w:sz w:val="20"/>
          <w:szCs w:val="20"/>
        </w:rPr>
        <w:t>件扫描件，并采用单位和个人数字证书，按招标文件要求在相应位置加盖</w:t>
      </w:r>
      <w:r>
        <w:rPr>
          <w:rFonts w:ascii="宋体" w:hAnsi="宋体" w:eastAsia="宋体" w:cs="宋体"/>
          <w:spacing w:val="9"/>
          <w:sz w:val="20"/>
          <w:szCs w:val="20"/>
        </w:rPr>
        <w:t>电子印章。由投标人的法定代表人</w:t>
      </w:r>
      <w:r>
        <w:rPr>
          <w:rFonts w:ascii="宋体" w:hAnsi="宋体" w:eastAsia="宋体" w:cs="宋体"/>
          <w:sz w:val="20"/>
          <w:szCs w:val="20"/>
        </w:rPr>
        <w:t xml:space="preserve"> </w:t>
      </w:r>
      <w:r>
        <w:rPr>
          <w:rFonts w:ascii="宋体" w:hAnsi="宋体" w:eastAsia="宋体" w:cs="宋体"/>
          <w:spacing w:val="10"/>
          <w:sz w:val="20"/>
          <w:szCs w:val="20"/>
        </w:rPr>
        <w:t>签字或加盖电子印章的，投标文件应附法定代表人身份证明，由委托代理人签字</w:t>
      </w:r>
      <w:r>
        <w:rPr>
          <w:rFonts w:ascii="宋体" w:hAnsi="宋体" w:eastAsia="宋体" w:cs="宋体"/>
          <w:spacing w:val="9"/>
          <w:sz w:val="20"/>
          <w:szCs w:val="20"/>
        </w:rPr>
        <w:t>或加盖电子印章的，投标文</w:t>
      </w:r>
      <w:r>
        <w:rPr>
          <w:rFonts w:ascii="宋体" w:hAnsi="宋体" w:eastAsia="宋体" w:cs="宋体"/>
          <w:sz w:val="20"/>
          <w:szCs w:val="20"/>
        </w:rPr>
        <w:t xml:space="preserve"> </w:t>
      </w:r>
      <w:r>
        <w:rPr>
          <w:rFonts w:ascii="宋体" w:hAnsi="宋体" w:eastAsia="宋体" w:cs="宋体"/>
          <w:spacing w:val="9"/>
          <w:sz w:val="20"/>
          <w:szCs w:val="20"/>
        </w:rPr>
        <w:t>件应附法定代表人签署的授权委托书。签字或盖章的具体要求见投标人须知前附表。</w:t>
      </w:r>
    </w:p>
    <w:p w14:paraId="033500A5">
      <w:pPr>
        <w:spacing w:before="162" w:line="227" w:lineRule="auto"/>
        <w:ind w:left="425"/>
        <w:rPr>
          <w:rFonts w:ascii="宋体" w:hAnsi="宋体" w:eastAsia="宋体" w:cs="宋体"/>
          <w:sz w:val="20"/>
          <w:szCs w:val="20"/>
        </w:rPr>
      </w:pPr>
      <w:r>
        <w:rPr>
          <w:rFonts w:ascii="宋体" w:hAnsi="宋体" w:eastAsia="宋体" w:cs="宋体"/>
          <w:spacing w:val="7"/>
          <w:sz w:val="20"/>
          <w:szCs w:val="20"/>
        </w:rPr>
        <w:t>3.7.4 投标文件份数见投标人须知前附表。</w:t>
      </w:r>
    </w:p>
    <w:p w14:paraId="03B5E21A">
      <w:pPr>
        <w:pStyle w:val="6"/>
        <w:spacing w:line="349" w:lineRule="auto"/>
      </w:pPr>
    </w:p>
    <w:p w14:paraId="4B361A6F">
      <w:pPr>
        <w:spacing w:before="98" w:line="220" w:lineRule="auto"/>
        <w:ind w:left="3"/>
        <w:outlineLvl w:val="1"/>
        <w:rPr>
          <w:rFonts w:ascii="宋体" w:hAnsi="宋体" w:eastAsia="宋体" w:cs="宋体"/>
          <w:sz w:val="30"/>
          <w:szCs w:val="30"/>
        </w:rPr>
      </w:pPr>
      <w:bookmarkStart w:id="83" w:name="bookmark73"/>
      <w:bookmarkEnd w:id="83"/>
      <w:bookmarkStart w:id="84" w:name="_Toc27285"/>
      <w:r>
        <w:rPr>
          <w:rFonts w:ascii="宋体" w:hAnsi="宋体" w:eastAsia="宋体" w:cs="宋体"/>
          <w:spacing w:val="-3"/>
          <w:sz w:val="30"/>
          <w:szCs w:val="30"/>
        </w:rPr>
        <w:t>4.投标</w:t>
      </w:r>
      <w:bookmarkEnd w:id="84"/>
    </w:p>
    <w:p w14:paraId="780DB5F2">
      <w:pPr>
        <w:spacing w:before="217" w:line="219" w:lineRule="auto"/>
        <w:ind w:left="1"/>
        <w:outlineLvl w:val="2"/>
        <w:rPr>
          <w:rFonts w:ascii="宋体" w:hAnsi="宋体" w:eastAsia="宋体" w:cs="宋体"/>
          <w:sz w:val="24"/>
          <w:szCs w:val="24"/>
        </w:rPr>
      </w:pPr>
      <w:bookmarkStart w:id="85" w:name="bookmark75"/>
      <w:bookmarkEnd w:id="85"/>
      <w:bookmarkStart w:id="86" w:name="_Toc25452"/>
      <w:r>
        <w:rPr>
          <w:rFonts w:ascii="宋体" w:hAnsi="宋体" w:eastAsia="宋体" w:cs="宋体"/>
          <w:spacing w:val="-1"/>
          <w:sz w:val="24"/>
          <w:szCs w:val="24"/>
        </w:rPr>
        <w:t>4.1 投标文件的密封和标记</w:t>
      </w:r>
      <w:bookmarkEnd w:id="86"/>
    </w:p>
    <w:p w14:paraId="39569F32">
      <w:pPr>
        <w:spacing w:before="179" w:line="227" w:lineRule="auto"/>
        <w:ind w:left="420"/>
        <w:rPr>
          <w:rFonts w:ascii="宋体" w:hAnsi="宋体" w:eastAsia="宋体" w:cs="宋体"/>
          <w:sz w:val="20"/>
          <w:szCs w:val="20"/>
        </w:rPr>
      </w:pPr>
      <w:r>
        <w:rPr>
          <w:rFonts w:ascii="宋体" w:hAnsi="宋体" w:eastAsia="宋体" w:cs="宋体"/>
          <w:spacing w:val="8"/>
          <w:sz w:val="20"/>
          <w:szCs w:val="20"/>
        </w:rPr>
        <w:t>4.1.1 投标人应当按照投标人须知前附表的规定加密投标文件。</w:t>
      </w:r>
    </w:p>
    <w:p w14:paraId="0E189698">
      <w:pPr>
        <w:spacing w:before="162" w:line="227" w:lineRule="auto"/>
        <w:ind w:left="420"/>
        <w:rPr>
          <w:rFonts w:ascii="宋体" w:hAnsi="宋体" w:eastAsia="宋体" w:cs="宋体"/>
          <w:sz w:val="20"/>
          <w:szCs w:val="20"/>
        </w:rPr>
      </w:pPr>
      <w:r>
        <w:rPr>
          <w:rFonts w:ascii="宋体" w:hAnsi="宋体" w:eastAsia="宋体" w:cs="宋体"/>
          <w:spacing w:val="7"/>
          <w:sz w:val="20"/>
          <w:szCs w:val="20"/>
        </w:rPr>
        <w:t>4.1.2 未按本须知第</w:t>
      </w:r>
      <w:r>
        <w:rPr>
          <w:rFonts w:ascii="宋体" w:hAnsi="宋体" w:eastAsia="宋体" w:cs="宋体"/>
          <w:spacing w:val="-39"/>
          <w:sz w:val="20"/>
          <w:szCs w:val="20"/>
        </w:rPr>
        <w:t xml:space="preserve"> </w:t>
      </w:r>
      <w:r>
        <w:rPr>
          <w:rFonts w:ascii="宋体" w:hAnsi="宋体" w:eastAsia="宋体" w:cs="宋体"/>
          <w:spacing w:val="7"/>
          <w:sz w:val="20"/>
          <w:szCs w:val="20"/>
        </w:rPr>
        <w:t>4.1.1 项要求加密的投标文件，</w:t>
      </w:r>
      <w:r>
        <w:rPr>
          <w:rFonts w:ascii="宋体" w:hAnsi="宋体" w:eastAsia="宋体" w:cs="宋体"/>
          <w:spacing w:val="-58"/>
          <w:sz w:val="20"/>
          <w:szCs w:val="20"/>
        </w:rPr>
        <w:t xml:space="preserve"> </w:t>
      </w:r>
      <w:r>
        <w:rPr>
          <w:rFonts w:ascii="宋体" w:hAnsi="宋体" w:eastAsia="宋体" w:cs="宋体"/>
          <w:spacing w:val="7"/>
          <w:sz w:val="20"/>
          <w:szCs w:val="20"/>
        </w:rPr>
        <w:t>电子招标投标交易平台予以拒收。</w:t>
      </w:r>
    </w:p>
    <w:p w14:paraId="25D2455D">
      <w:pPr>
        <w:spacing w:before="167" w:line="219" w:lineRule="auto"/>
        <w:ind w:left="1"/>
        <w:outlineLvl w:val="2"/>
        <w:rPr>
          <w:rFonts w:ascii="宋体" w:hAnsi="宋体" w:eastAsia="宋体" w:cs="宋体"/>
          <w:sz w:val="24"/>
          <w:szCs w:val="24"/>
        </w:rPr>
      </w:pPr>
      <w:bookmarkStart w:id="87" w:name="bookmark77"/>
      <w:bookmarkEnd w:id="87"/>
      <w:bookmarkStart w:id="88" w:name="_Toc26406"/>
      <w:r>
        <w:rPr>
          <w:rFonts w:ascii="宋体" w:hAnsi="宋体" w:eastAsia="宋体" w:cs="宋体"/>
          <w:spacing w:val="-1"/>
          <w:sz w:val="24"/>
          <w:szCs w:val="24"/>
        </w:rPr>
        <w:t>4.2 投标文件的递交</w:t>
      </w:r>
      <w:bookmarkEnd w:id="88"/>
    </w:p>
    <w:p w14:paraId="2DF266F3">
      <w:pPr>
        <w:spacing w:before="178" w:line="227" w:lineRule="auto"/>
        <w:ind w:left="420"/>
        <w:rPr>
          <w:rFonts w:ascii="宋体" w:hAnsi="宋体" w:eastAsia="宋体" w:cs="宋体"/>
          <w:sz w:val="20"/>
          <w:szCs w:val="20"/>
        </w:rPr>
      </w:pPr>
      <w:r>
        <w:rPr>
          <w:rFonts w:ascii="宋体" w:hAnsi="宋体" w:eastAsia="宋体" w:cs="宋体"/>
          <w:spacing w:val="9"/>
          <w:sz w:val="20"/>
          <w:szCs w:val="20"/>
        </w:rPr>
        <w:t>4.2.1  投标人应当在投标人须知前</w:t>
      </w:r>
      <w:r>
        <w:rPr>
          <w:rFonts w:ascii="宋体" w:hAnsi="宋体" w:eastAsia="宋体" w:cs="宋体"/>
          <w:spacing w:val="8"/>
          <w:sz w:val="20"/>
          <w:szCs w:val="20"/>
        </w:rPr>
        <w:t>附表规定的投标截止时间前递交投标文件。</w:t>
      </w:r>
    </w:p>
    <w:p w14:paraId="6CD6235F">
      <w:pPr>
        <w:spacing w:before="162" w:line="228" w:lineRule="auto"/>
        <w:ind w:left="420"/>
        <w:rPr>
          <w:rFonts w:ascii="宋体" w:hAnsi="宋体" w:eastAsia="宋体" w:cs="宋体"/>
          <w:sz w:val="20"/>
          <w:szCs w:val="20"/>
        </w:rPr>
      </w:pPr>
      <w:r>
        <w:rPr>
          <w:rFonts w:ascii="宋体" w:hAnsi="宋体" w:eastAsia="宋体" w:cs="宋体"/>
          <w:spacing w:val="8"/>
          <w:sz w:val="20"/>
          <w:szCs w:val="20"/>
        </w:rPr>
        <w:t>4.2.2 投标人通过电子招标投标交易平台递交电子投标文件。</w:t>
      </w:r>
    </w:p>
    <w:p w14:paraId="3983FCEA">
      <w:pPr>
        <w:spacing w:before="161" w:line="227" w:lineRule="auto"/>
        <w:ind w:left="420"/>
        <w:rPr>
          <w:rFonts w:ascii="宋体" w:hAnsi="宋体" w:eastAsia="宋体" w:cs="宋体"/>
          <w:sz w:val="20"/>
          <w:szCs w:val="20"/>
        </w:rPr>
      </w:pPr>
      <w:r>
        <w:rPr>
          <w:rFonts w:ascii="宋体" w:hAnsi="宋体" w:eastAsia="宋体" w:cs="宋体"/>
          <w:spacing w:val="9"/>
          <w:sz w:val="20"/>
          <w:szCs w:val="20"/>
        </w:rPr>
        <w:t>4.2.3  除投标人须知前附表另有规</w:t>
      </w:r>
      <w:r>
        <w:rPr>
          <w:rFonts w:ascii="宋体" w:hAnsi="宋体" w:eastAsia="宋体" w:cs="宋体"/>
          <w:spacing w:val="8"/>
          <w:sz w:val="20"/>
          <w:szCs w:val="20"/>
        </w:rPr>
        <w:t>定外，投标人所递交的投标文件不予退还。</w:t>
      </w:r>
    </w:p>
    <w:p w14:paraId="668FFC07">
      <w:pPr>
        <w:spacing w:line="227" w:lineRule="auto"/>
        <w:rPr>
          <w:rFonts w:ascii="宋体" w:hAnsi="宋体" w:eastAsia="宋体" w:cs="宋体"/>
          <w:sz w:val="20"/>
          <w:szCs w:val="20"/>
        </w:rPr>
        <w:sectPr>
          <w:footerReference r:id="rId13" w:type="default"/>
          <w:pgSz w:w="11907" w:h="16840"/>
          <w:pgMar w:top="1008" w:right="968" w:bottom="1029" w:left="1027" w:header="0" w:footer="850" w:gutter="0"/>
          <w:pgNumType w:fmt="decimal"/>
          <w:cols w:space="720" w:num="1"/>
        </w:sectPr>
      </w:pPr>
    </w:p>
    <w:p w14:paraId="55E8A57A">
      <w:pPr>
        <w:spacing w:before="41" w:line="228" w:lineRule="auto"/>
        <w:ind w:left="420"/>
        <w:rPr>
          <w:rFonts w:ascii="宋体" w:hAnsi="宋体" w:eastAsia="宋体" w:cs="宋体"/>
          <w:sz w:val="20"/>
          <w:szCs w:val="20"/>
        </w:rPr>
      </w:pPr>
      <w:r>
        <w:rPr>
          <w:rFonts w:ascii="宋体" w:hAnsi="宋体" w:eastAsia="宋体" w:cs="宋体"/>
          <w:spacing w:val="7"/>
          <w:sz w:val="20"/>
          <w:szCs w:val="20"/>
        </w:rPr>
        <w:t>4.2.4 逾期提交的投标文件，</w:t>
      </w:r>
      <w:r>
        <w:rPr>
          <w:rFonts w:ascii="宋体" w:hAnsi="宋体" w:eastAsia="宋体" w:cs="宋体"/>
          <w:spacing w:val="-55"/>
          <w:sz w:val="20"/>
          <w:szCs w:val="20"/>
        </w:rPr>
        <w:t xml:space="preserve"> </w:t>
      </w:r>
      <w:r>
        <w:rPr>
          <w:rFonts w:ascii="宋体" w:hAnsi="宋体" w:eastAsia="宋体" w:cs="宋体"/>
          <w:spacing w:val="7"/>
          <w:sz w:val="20"/>
          <w:szCs w:val="20"/>
        </w:rPr>
        <w:t>电子招标投标交易平台将予以拒收。</w:t>
      </w:r>
    </w:p>
    <w:p w14:paraId="7DC2EABF">
      <w:pPr>
        <w:spacing w:before="166" w:line="219" w:lineRule="auto"/>
        <w:ind w:left="1"/>
        <w:outlineLvl w:val="2"/>
        <w:rPr>
          <w:rFonts w:ascii="宋体" w:hAnsi="宋体" w:eastAsia="宋体" w:cs="宋体"/>
          <w:sz w:val="24"/>
          <w:szCs w:val="24"/>
        </w:rPr>
      </w:pPr>
      <w:bookmarkStart w:id="89" w:name="bookmark79"/>
      <w:bookmarkEnd w:id="89"/>
      <w:bookmarkStart w:id="90" w:name="_Toc3050"/>
      <w:r>
        <w:rPr>
          <w:rFonts w:ascii="宋体" w:hAnsi="宋体" w:eastAsia="宋体" w:cs="宋体"/>
          <w:spacing w:val="-1"/>
          <w:sz w:val="24"/>
          <w:szCs w:val="24"/>
        </w:rPr>
        <w:t>4.3 投标文件的修改与撤回</w:t>
      </w:r>
      <w:bookmarkEnd w:id="90"/>
    </w:p>
    <w:p w14:paraId="574CB11B">
      <w:pPr>
        <w:spacing w:before="178" w:line="227" w:lineRule="auto"/>
        <w:ind w:left="420"/>
        <w:rPr>
          <w:rFonts w:ascii="宋体" w:hAnsi="宋体" w:eastAsia="宋体" w:cs="宋体"/>
          <w:sz w:val="20"/>
          <w:szCs w:val="20"/>
        </w:rPr>
      </w:pPr>
      <w:r>
        <w:rPr>
          <w:rFonts w:ascii="宋体" w:hAnsi="宋体" w:eastAsia="宋体" w:cs="宋体"/>
          <w:spacing w:val="9"/>
          <w:sz w:val="20"/>
          <w:szCs w:val="20"/>
        </w:rPr>
        <w:t>在投标人须知前附表规定的投标截止时间前，投标人可以修改或撤回已递交投标文件。</w:t>
      </w:r>
    </w:p>
    <w:p w14:paraId="53A24175">
      <w:pPr>
        <w:pStyle w:val="6"/>
        <w:spacing w:line="349" w:lineRule="auto"/>
      </w:pPr>
    </w:p>
    <w:p w14:paraId="2DF41E76">
      <w:pPr>
        <w:spacing w:before="97" w:line="220" w:lineRule="auto"/>
        <w:ind w:left="10"/>
        <w:outlineLvl w:val="1"/>
        <w:rPr>
          <w:rFonts w:ascii="宋体" w:hAnsi="宋体" w:eastAsia="宋体" w:cs="宋体"/>
          <w:sz w:val="30"/>
          <w:szCs w:val="30"/>
        </w:rPr>
      </w:pPr>
      <w:bookmarkStart w:id="91" w:name="bookmark81"/>
      <w:bookmarkEnd w:id="91"/>
      <w:bookmarkStart w:id="92" w:name="_Toc23989"/>
      <w:r>
        <w:rPr>
          <w:rFonts w:ascii="宋体" w:hAnsi="宋体" w:eastAsia="宋体" w:cs="宋体"/>
          <w:spacing w:val="-5"/>
          <w:sz w:val="30"/>
          <w:szCs w:val="30"/>
        </w:rPr>
        <w:t>5.开标</w:t>
      </w:r>
      <w:bookmarkEnd w:id="92"/>
    </w:p>
    <w:p w14:paraId="3F26FFE5">
      <w:pPr>
        <w:spacing w:before="217" w:line="220" w:lineRule="auto"/>
        <w:ind w:left="6"/>
        <w:outlineLvl w:val="2"/>
        <w:rPr>
          <w:rFonts w:ascii="宋体" w:hAnsi="宋体" w:eastAsia="宋体" w:cs="宋体"/>
          <w:sz w:val="24"/>
          <w:szCs w:val="24"/>
        </w:rPr>
      </w:pPr>
      <w:bookmarkStart w:id="93" w:name="bookmark83"/>
      <w:bookmarkEnd w:id="93"/>
      <w:bookmarkStart w:id="94" w:name="_Toc30784"/>
      <w:r>
        <w:rPr>
          <w:rFonts w:ascii="宋体" w:hAnsi="宋体" w:eastAsia="宋体" w:cs="宋体"/>
          <w:spacing w:val="-2"/>
          <w:sz w:val="24"/>
          <w:szCs w:val="24"/>
        </w:rPr>
        <w:t>5.1 开标时间和地点</w:t>
      </w:r>
      <w:bookmarkEnd w:id="94"/>
    </w:p>
    <w:p w14:paraId="620C482D">
      <w:pPr>
        <w:spacing w:before="175" w:line="364" w:lineRule="auto"/>
        <w:ind w:right="98" w:firstLine="420"/>
        <w:rPr>
          <w:rFonts w:ascii="宋体" w:hAnsi="宋体" w:eastAsia="宋体" w:cs="宋体"/>
          <w:sz w:val="20"/>
          <w:szCs w:val="20"/>
        </w:rPr>
      </w:pPr>
      <w:r>
        <w:rPr>
          <w:rFonts w:ascii="宋体" w:hAnsi="宋体" w:eastAsia="宋体" w:cs="宋体"/>
          <w:spacing w:val="8"/>
          <w:sz w:val="20"/>
          <w:szCs w:val="20"/>
        </w:rPr>
        <w:t>招标人在投标人须知前附表规定的投标截止时间（开标时间</w:t>
      </w:r>
      <w:r>
        <w:rPr>
          <w:rFonts w:ascii="宋体" w:hAnsi="宋体" w:eastAsia="宋体" w:cs="宋体"/>
          <w:spacing w:val="21"/>
          <w:sz w:val="20"/>
          <w:szCs w:val="20"/>
        </w:rPr>
        <w:t>），</w:t>
      </w:r>
      <w:r>
        <w:rPr>
          <w:rFonts w:ascii="宋体" w:hAnsi="宋体" w:eastAsia="宋体" w:cs="宋体"/>
          <w:spacing w:val="8"/>
          <w:sz w:val="20"/>
          <w:szCs w:val="20"/>
        </w:rPr>
        <w:t>通过电子招标投标交易平台公开开标，</w:t>
      </w:r>
      <w:r>
        <w:rPr>
          <w:rFonts w:ascii="宋体" w:hAnsi="宋体" w:eastAsia="宋体" w:cs="宋体"/>
          <w:spacing w:val="1"/>
          <w:sz w:val="20"/>
          <w:szCs w:val="20"/>
        </w:rPr>
        <w:t xml:space="preserve"> </w:t>
      </w:r>
      <w:r>
        <w:rPr>
          <w:rFonts w:ascii="宋体" w:hAnsi="宋体" w:eastAsia="宋体" w:cs="宋体"/>
          <w:spacing w:val="9"/>
          <w:sz w:val="20"/>
          <w:szCs w:val="20"/>
        </w:rPr>
        <w:t>所有投标人的法定代表人或其委托代理人应当准时在线参加。</w:t>
      </w:r>
    </w:p>
    <w:p w14:paraId="7EB0B283">
      <w:pPr>
        <w:spacing w:before="34" w:line="220" w:lineRule="auto"/>
        <w:ind w:left="6"/>
        <w:outlineLvl w:val="2"/>
        <w:rPr>
          <w:rFonts w:ascii="宋体" w:hAnsi="宋体" w:eastAsia="宋体" w:cs="宋体"/>
          <w:sz w:val="24"/>
          <w:szCs w:val="24"/>
        </w:rPr>
      </w:pPr>
      <w:bookmarkStart w:id="95" w:name="bookmark85"/>
      <w:bookmarkEnd w:id="95"/>
      <w:bookmarkStart w:id="96" w:name="_Toc18505"/>
      <w:r>
        <w:rPr>
          <w:rFonts w:ascii="宋体" w:hAnsi="宋体" w:eastAsia="宋体" w:cs="宋体"/>
          <w:spacing w:val="-2"/>
          <w:sz w:val="24"/>
          <w:szCs w:val="24"/>
        </w:rPr>
        <w:t>5.2 开标程序</w:t>
      </w:r>
      <w:bookmarkEnd w:id="96"/>
    </w:p>
    <w:p w14:paraId="04B7A00F">
      <w:pPr>
        <w:spacing w:before="174" w:line="228" w:lineRule="auto"/>
        <w:ind w:left="425"/>
        <w:rPr>
          <w:rFonts w:ascii="宋体" w:hAnsi="宋体" w:eastAsia="宋体" w:cs="宋体"/>
          <w:sz w:val="20"/>
          <w:szCs w:val="20"/>
        </w:rPr>
      </w:pPr>
      <w:r>
        <w:rPr>
          <w:rFonts w:ascii="宋体" w:hAnsi="宋体" w:eastAsia="宋体" w:cs="宋体"/>
          <w:spacing w:val="7"/>
          <w:sz w:val="20"/>
          <w:szCs w:val="20"/>
        </w:rPr>
        <w:t>5.2.1 招标人按下列程序进行开标：</w:t>
      </w:r>
    </w:p>
    <w:p w14:paraId="47887095">
      <w:pPr>
        <w:spacing w:before="164" w:line="227" w:lineRule="auto"/>
        <w:ind w:left="430"/>
        <w:rPr>
          <w:rFonts w:ascii="宋体" w:hAnsi="宋体" w:eastAsia="宋体" w:cs="宋体"/>
          <w:sz w:val="20"/>
          <w:szCs w:val="20"/>
        </w:rPr>
      </w:pPr>
      <w:r>
        <w:rPr>
          <w:rFonts w:ascii="宋体" w:hAnsi="宋体" w:eastAsia="宋体" w:cs="宋体"/>
          <w:spacing w:val="6"/>
          <w:sz w:val="20"/>
          <w:szCs w:val="20"/>
        </w:rPr>
        <w:t>（l）宣布开标纪律；</w:t>
      </w:r>
    </w:p>
    <w:p w14:paraId="213F5CD1">
      <w:pPr>
        <w:spacing w:before="162" w:line="227" w:lineRule="auto"/>
        <w:ind w:left="430"/>
        <w:rPr>
          <w:rFonts w:ascii="宋体" w:hAnsi="宋体" w:eastAsia="宋体" w:cs="宋体"/>
          <w:sz w:val="20"/>
          <w:szCs w:val="20"/>
        </w:rPr>
      </w:pPr>
      <w:r>
        <w:rPr>
          <w:rFonts w:ascii="宋体" w:hAnsi="宋体" w:eastAsia="宋体" w:cs="宋体"/>
          <w:spacing w:val="8"/>
          <w:sz w:val="20"/>
          <w:szCs w:val="20"/>
        </w:rPr>
        <w:t>（2）公布在投标截止时间前递交投标文件的投标人名称；</w:t>
      </w:r>
    </w:p>
    <w:p w14:paraId="0315DC4D">
      <w:pPr>
        <w:spacing w:before="162" w:line="227" w:lineRule="auto"/>
        <w:ind w:left="430"/>
        <w:rPr>
          <w:rFonts w:ascii="宋体" w:hAnsi="宋体" w:eastAsia="宋体" w:cs="宋体"/>
          <w:sz w:val="20"/>
          <w:szCs w:val="20"/>
        </w:rPr>
      </w:pPr>
      <w:r>
        <w:rPr>
          <w:rFonts w:ascii="宋体" w:hAnsi="宋体" w:eastAsia="宋体" w:cs="宋体"/>
          <w:spacing w:val="8"/>
          <w:sz w:val="20"/>
          <w:szCs w:val="20"/>
        </w:rPr>
        <w:t>（3）宣布开标人、监督人等有关人员姓名；</w:t>
      </w:r>
    </w:p>
    <w:p w14:paraId="4708AE5F">
      <w:pPr>
        <w:spacing w:before="162" w:line="227" w:lineRule="auto"/>
        <w:ind w:left="430"/>
        <w:rPr>
          <w:rFonts w:ascii="宋体" w:hAnsi="宋体" w:eastAsia="宋体" w:cs="宋体"/>
          <w:sz w:val="20"/>
          <w:szCs w:val="20"/>
        </w:rPr>
      </w:pPr>
      <w:r>
        <w:rPr>
          <w:rFonts w:ascii="宋体" w:hAnsi="宋体" w:eastAsia="宋体" w:cs="宋体"/>
          <w:spacing w:val="3"/>
          <w:sz w:val="20"/>
          <w:szCs w:val="20"/>
        </w:rPr>
        <w:t>（4）</w:t>
      </w:r>
      <w:r>
        <w:rPr>
          <w:rFonts w:ascii="宋体" w:hAnsi="宋体" w:eastAsia="宋体" w:cs="宋体"/>
          <w:spacing w:val="-56"/>
          <w:sz w:val="20"/>
          <w:szCs w:val="20"/>
        </w:rPr>
        <w:t xml:space="preserve"> </w:t>
      </w:r>
      <w:r>
        <w:rPr>
          <w:rFonts w:ascii="宋体" w:hAnsi="宋体" w:eastAsia="宋体" w:cs="宋体"/>
          <w:spacing w:val="3"/>
          <w:sz w:val="20"/>
          <w:szCs w:val="20"/>
        </w:rPr>
        <w:t>由招标人在开标现场随机抽取α</w:t>
      </w:r>
      <w:r>
        <w:rPr>
          <w:rFonts w:ascii="宋体" w:hAnsi="宋体" w:eastAsia="宋体" w:cs="宋体"/>
          <w:spacing w:val="-75"/>
          <w:sz w:val="20"/>
          <w:szCs w:val="20"/>
        </w:rPr>
        <w:t xml:space="preserve"> </w:t>
      </w:r>
      <w:r>
        <w:rPr>
          <w:rFonts w:ascii="宋体" w:hAnsi="宋体" w:eastAsia="宋体" w:cs="宋体"/>
          <w:spacing w:val="3"/>
          <w:sz w:val="20"/>
          <w:szCs w:val="20"/>
        </w:rPr>
        <w:t>、</w:t>
      </w:r>
      <w:r>
        <w:rPr>
          <w:rFonts w:ascii="宋体" w:hAnsi="宋体" w:eastAsia="宋体" w:cs="宋体"/>
          <w:spacing w:val="-43"/>
          <w:sz w:val="20"/>
          <w:szCs w:val="20"/>
        </w:rPr>
        <w:t xml:space="preserve"> </w:t>
      </w:r>
      <w:r>
        <w:rPr>
          <w:rFonts w:ascii="宋体" w:hAnsi="宋体" w:eastAsia="宋体" w:cs="宋体"/>
          <w:spacing w:val="3"/>
          <w:sz w:val="20"/>
          <w:szCs w:val="20"/>
        </w:rPr>
        <w:t>β</w:t>
      </w:r>
      <w:r>
        <w:rPr>
          <w:rFonts w:ascii="宋体" w:hAnsi="宋体" w:eastAsia="宋体" w:cs="宋体"/>
          <w:spacing w:val="-75"/>
          <w:sz w:val="20"/>
          <w:szCs w:val="20"/>
        </w:rPr>
        <w:t xml:space="preserve"> </w:t>
      </w:r>
      <w:r>
        <w:rPr>
          <w:rFonts w:ascii="宋体" w:hAnsi="宋体" w:eastAsia="宋体" w:cs="宋体"/>
          <w:spacing w:val="3"/>
          <w:sz w:val="20"/>
          <w:szCs w:val="20"/>
        </w:rPr>
        <w:t>、P</w:t>
      </w:r>
      <w:r>
        <w:rPr>
          <w:rFonts w:ascii="宋体" w:hAnsi="宋体" w:eastAsia="宋体" w:cs="宋体"/>
          <w:spacing w:val="-38"/>
          <w:sz w:val="20"/>
          <w:szCs w:val="20"/>
        </w:rPr>
        <w:t xml:space="preserve"> </w:t>
      </w:r>
      <w:r>
        <w:rPr>
          <w:rFonts w:ascii="宋体" w:hAnsi="宋体" w:eastAsia="宋体" w:cs="宋体"/>
          <w:spacing w:val="3"/>
          <w:sz w:val="20"/>
          <w:szCs w:val="20"/>
        </w:rPr>
        <w:t>值</w:t>
      </w:r>
      <w:r>
        <w:rPr>
          <w:rFonts w:ascii="宋体" w:hAnsi="宋体" w:eastAsia="宋体" w:cs="宋体"/>
          <w:spacing w:val="2"/>
          <w:sz w:val="20"/>
          <w:szCs w:val="20"/>
        </w:rPr>
        <w:t>并记录在案；</w:t>
      </w:r>
    </w:p>
    <w:p w14:paraId="65B1AB50">
      <w:pPr>
        <w:spacing w:before="166" w:line="301" w:lineRule="auto"/>
        <w:ind w:right="50" w:firstLine="430"/>
        <w:rPr>
          <w:rFonts w:ascii="宋体" w:hAnsi="宋体" w:eastAsia="宋体" w:cs="宋体"/>
          <w:sz w:val="20"/>
          <w:szCs w:val="20"/>
        </w:rPr>
      </w:pPr>
      <w:r>
        <w:rPr>
          <w:rFonts w:ascii="宋体" w:hAnsi="宋体" w:eastAsia="宋体" w:cs="宋体"/>
          <w:spacing w:val="12"/>
          <w:sz w:val="20"/>
          <w:szCs w:val="20"/>
        </w:rPr>
        <w:t>（5）投标人通过电子招标投标交易平台对已递交的电子投标文件进行</w:t>
      </w:r>
      <w:r>
        <w:rPr>
          <w:rFonts w:ascii="宋体" w:hAnsi="宋体" w:eastAsia="宋体" w:cs="宋体"/>
          <w:spacing w:val="11"/>
          <w:sz w:val="20"/>
          <w:szCs w:val="20"/>
        </w:rPr>
        <w:t>解密，当众开标，公布投标人名</w:t>
      </w:r>
      <w:r>
        <w:rPr>
          <w:rFonts w:ascii="宋体" w:hAnsi="宋体" w:eastAsia="宋体" w:cs="宋体"/>
          <w:sz w:val="20"/>
          <w:szCs w:val="20"/>
        </w:rPr>
        <w:t xml:space="preserve"> </w:t>
      </w:r>
      <w:r>
        <w:rPr>
          <w:rFonts w:ascii="宋体" w:hAnsi="宋体" w:eastAsia="宋体" w:cs="宋体"/>
          <w:spacing w:val="10"/>
          <w:sz w:val="20"/>
          <w:szCs w:val="20"/>
        </w:rPr>
        <w:t>称、标段名称、投标保证的递交情况、投标报</w:t>
      </w:r>
      <w:r>
        <w:rPr>
          <w:rFonts w:ascii="宋体" w:hAnsi="宋体" w:eastAsia="宋体" w:cs="宋体"/>
          <w:spacing w:val="9"/>
          <w:sz w:val="20"/>
          <w:szCs w:val="20"/>
        </w:rPr>
        <w:t>价、质量目标、工期及其他内容，并记录在案；</w:t>
      </w:r>
    </w:p>
    <w:p w14:paraId="60B03508">
      <w:pPr>
        <w:spacing w:before="163" w:line="228" w:lineRule="auto"/>
        <w:ind w:left="430"/>
        <w:rPr>
          <w:rFonts w:ascii="宋体" w:hAnsi="宋体" w:eastAsia="宋体" w:cs="宋体"/>
          <w:sz w:val="20"/>
          <w:szCs w:val="20"/>
        </w:rPr>
      </w:pPr>
      <w:r>
        <w:rPr>
          <w:rFonts w:ascii="宋体" w:hAnsi="宋体" w:eastAsia="宋体" w:cs="宋体"/>
          <w:spacing w:val="7"/>
          <w:sz w:val="20"/>
          <w:szCs w:val="20"/>
        </w:rPr>
        <w:t>（6）投标人确认开标结果；</w:t>
      </w:r>
    </w:p>
    <w:p w14:paraId="7335E3F6">
      <w:pPr>
        <w:spacing w:before="161" w:line="228" w:lineRule="auto"/>
        <w:ind w:left="430"/>
        <w:rPr>
          <w:rFonts w:ascii="宋体" w:hAnsi="宋体" w:eastAsia="宋体" w:cs="宋体"/>
          <w:sz w:val="20"/>
          <w:szCs w:val="20"/>
        </w:rPr>
      </w:pPr>
      <w:r>
        <w:rPr>
          <w:rFonts w:ascii="宋体" w:hAnsi="宋体" w:eastAsia="宋体" w:cs="宋体"/>
          <w:spacing w:val="7"/>
          <w:sz w:val="20"/>
          <w:szCs w:val="20"/>
        </w:rPr>
        <w:t>（7）招标人在开标记录上确认；</w:t>
      </w:r>
    </w:p>
    <w:p w14:paraId="738F3D01">
      <w:pPr>
        <w:spacing w:before="160" w:line="228" w:lineRule="auto"/>
        <w:ind w:left="430"/>
        <w:rPr>
          <w:rFonts w:ascii="宋体" w:hAnsi="宋体" w:eastAsia="宋体" w:cs="宋体"/>
          <w:sz w:val="20"/>
          <w:szCs w:val="20"/>
        </w:rPr>
      </w:pPr>
      <w:r>
        <w:rPr>
          <w:rFonts w:ascii="宋体" w:hAnsi="宋体" w:eastAsia="宋体" w:cs="宋体"/>
          <w:spacing w:val="5"/>
          <w:sz w:val="20"/>
          <w:szCs w:val="20"/>
        </w:rPr>
        <w:t>（8）开标结束。</w:t>
      </w:r>
    </w:p>
    <w:p w14:paraId="4BBEAD1B">
      <w:pPr>
        <w:pStyle w:val="6"/>
        <w:spacing w:line="348" w:lineRule="auto"/>
      </w:pPr>
    </w:p>
    <w:p w14:paraId="5AEA06CE">
      <w:pPr>
        <w:spacing w:before="98" w:line="220" w:lineRule="auto"/>
        <w:ind w:left="6"/>
        <w:outlineLvl w:val="1"/>
        <w:rPr>
          <w:rFonts w:ascii="宋体" w:hAnsi="宋体" w:eastAsia="宋体" w:cs="宋体"/>
          <w:sz w:val="30"/>
          <w:szCs w:val="30"/>
        </w:rPr>
      </w:pPr>
      <w:bookmarkStart w:id="97" w:name="bookmark87"/>
      <w:bookmarkEnd w:id="97"/>
      <w:bookmarkStart w:id="98" w:name="_Toc19172"/>
      <w:r>
        <w:rPr>
          <w:rFonts w:ascii="宋体" w:hAnsi="宋体" w:eastAsia="宋体" w:cs="宋体"/>
          <w:spacing w:val="-4"/>
          <w:sz w:val="30"/>
          <w:szCs w:val="30"/>
        </w:rPr>
        <w:t>6.评标</w:t>
      </w:r>
      <w:bookmarkEnd w:id="98"/>
    </w:p>
    <w:p w14:paraId="55154D1E">
      <w:pPr>
        <w:spacing w:before="217" w:line="219" w:lineRule="auto"/>
        <w:ind w:left="3"/>
        <w:outlineLvl w:val="2"/>
        <w:rPr>
          <w:rFonts w:ascii="宋体" w:hAnsi="宋体" w:eastAsia="宋体" w:cs="宋体"/>
          <w:sz w:val="24"/>
          <w:szCs w:val="24"/>
        </w:rPr>
      </w:pPr>
      <w:bookmarkStart w:id="99" w:name="bookmark89"/>
      <w:bookmarkEnd w:id="99"/>
      <w:bookmarkStart w:id="100" w:name="_Toc13792"/>
      <w:r>
        <w:rPr>
          <w:rFonts w:ascii="宋体" w:hAnsi="宋体" w:eastAsia="宋体" w:cs="宋体"/>
          <w:spacing w:val="-2"/>
          <w:sz w:val="24"/>
          <w:szCs w:val="24"/>
        </w:rPr>
        <w:t>6.1 评标委员会</w:t>
      </w:r>
      <w:bookmarkEnd w:id="100"/>
    </w:p>
    <w:p w14:paraId="5017380D">
      <w:pPr>
        <w:spacing w:before="179" w:line="302" w:lineRule="auto"/>
        <w:ind w:right="52" w:firstLine="421"/>
        <w:rPr>
          <w:rFonts w:ascii="宋体" w:hAnsi="宋体" w:eastAsia="宋体" w:cs="宋体"/>
          <w:sz w:val="20"/>
          <w:szCs w:val="20"/>
        </w:rPr>
      </w:pPr>
      <w:r>
        <w:rPr>
          <w:rFonts w:ascii="宋体" w:hAnsi="宋体" w:eastAsia="宋体" w:cs="宋体"/>
          <w:spacing w:val="11"/>
          <w:sz w:val="20"/>
          <w:szCs w:val="20"/>
        </w:rPr>
        <w:t>6.1.1  评标由招标人依法组建的评标委员会负责。评标委员会成员人数以及技术、经济等方面专家的</w:t>
      </w:r>
      <w:r>
        <w:rPr>
          <w:rFonts w:ascii="宋体" w:hAnsi="宋体" w:eastAsia="宋体" w:cs="宋体"/>
          <w:spacing w:val="4"/>
          <w:sz w:val="20"/>
          <w:szCs w:val="20"/>
        </w:rPr>
        <w:t xml:space="preserve"> </w:t>
      </w:r>
      <w:r>
        <w:rPr>
          <w:rFonts w:ascii="宋体" w:hAnsi="宋体" w:eastAsia="宋体" w:cs="宋体"/>
          <w:spacing w:val="8"/>
          <w:sz w:val="20"/>
          <w:szCs w:val="20"/>
        </w:rPr>
        <w:t>确定方式见投标人须知前附表。</w:t>
      </w:r>
    </w:p>
    <w:p w14:paraId="0E0B3952">
      <w:pPr>
        <w:spacing w:before="162" w:line="228" w:lineRule="auto"/>
        <w:ind w:left="422"/>
        <w:rPr>
          <w:rFonts w:ascii="宋体" w:hAnsi="宋体" w:eastAsia="宋体" w:cs="宋体"/>
          <w:sz w:val="20"/>
          <w:szCs w:val="20"/>
        </w:rPr>
      </w:pPr>
      <w:r>
        <w:rPr>
          <w:rFonts w:ascii="宋体" w:hAnsi="宋体" w:eastAsia="宋体" w:cs="宋体"/>
          <w:spacing w:val="7"/>
          <w:sz w:val="20"/>
          <w:szCs w:val="20"/>
        </w:rPr>
        <w:t>6.1.2  有下列情形之一的，应当回避：</w:t>
      </w:r>
    </w:p>
    <w:p w14:paraId="557770B3">
      <w:pPr>
        <w:spacing w:before="161" w:line="227" w:lineRule="auto"/>
        <w:ind w:left="430"/>
        <w:rPr>
          <w:rFonts w:ascii="宋体" w:hAnsi="宋体" w:eastAsia="宋体" w:cs="宋体"/>
          <w:sz w:val="20"/>
          <w:szCs w:val="20"/>
        </w:rPr>
      </w:pPr>
      <w:r>
        <w:rPr>
          <w:rFonts w:ascii="宋体" w:hAnsi="宋体" w:eastAsia="宋体" w:cs="宋体"/>
          <w:spacing w:val="9"/>
          <w:sz w:val="20"/>
          <w:szCs w:val="20"/>
        </w:rPr>
        <w:t>（1）评标委员会成员是投标人或投标人的主要负责人或拟任项目经理的近亲属；</w:t>
      </w:r>
    </w:p>
    <w:p w14:paraId="26C689EF">
      <w:pPr>
        <w:spacing w:before="162" w:line="227" w:lineRule="auto"/>
        <w:ind w:left="430"/>
        <w:rPr>
          <w:rFonts w:ascii="宋体" w:hAnsi="宋体" w:eastAsia="宋体" w:cs="宋体"/>
          <w:sz w:val="20"/>
          <w:szCs w:val="20"/>
        </w:rPr>
      </w:pPr>
      <w:r>
        <w:rPr>
          <w:rFonts w:ascii="宋体" w:hAnsi="宋体" w:eastAsia="宋体" w:cs="宋体"/>
          <w:spacing w:val="9"/>
          <w:sz w:val="20"/>
          <w:szCs w:val="20"/>
        </w:rPr>
        <w:t>（2）评标委员会成员是本项目招标投标行</w:t>
      </w:r>
      <w:r>
        <w:rPr>
          <w:rFonts w:ascii="宋体" w:hAnsi="宋体" w:eastAsia="宋体" w:cs="宋体"/>
          <w:spacing w:val="8"/>
          <w:sz w:val="20"/>
          <w:szCs w:val="20"/>
        </w:rPr>
        <w:t>政监督部门的人员；</w:t>
      </w:r>
    </w:p>
    <w:p w14:paraId="137E4009">
      <w:pPr>
        <w:spacing w:before="164" w:line="227" w:lineRule="auto"/>
        <w:jc w:val="right"/>
        <w:rPr>
          <w:rFonts w:ascii="宋体" w:hAnsi="宋体" w:eastAsia="宋体" w:cs="宋体"/>
          <w:sz w:val="20"/>
          <w:szCs w:val="20"/>
        </w:rPr>
      </w:pPr>
      <w:r>
        <w:rPr>
          <w:rFonts w:ascii="宋体" w:hAnsi="宋体" w:eastAsia="宋体" w:cs="宋体"/>
          <w:spacing w:val="8"/>
          <w:sz w:val="20"/>
          <w:szCs w:val="20"/>
        </w:rPr>
        <w:t>（3）评标委员会成员是招标人或者其下属单位或者招标项目上级主管部门的人员，但招标人代表除外；</w:t>
      </w:r>
    </w:p>
    <w:p w14:paraId="0B697A67">
      <w:pPr>
        <w:spacing w:before="162" w:line="227" w:lineRule="auto"/>
        <w:ind w:left="430"/>
        <w:rPr>
          <w:rFonts w:ascii="宋体" w:hAnsi="宋体" w:eastAsia="宋体" w:cs="宋体"/>
          <w:sz w:val="20"/>
          <w:szCs w:val="20"/>
        </w:rPr>
      </w:pPr>
      <w:r>
        <w:rPr>
          <w:rFonts w:ascii="宋体" w:hAnsi="宋体" w:eastAsia="宋体" w:cs="宋体"/>
          <w:spacing w:val="9"/>
          <w:sz w:val="20"/>
          <w:szCs w:val="20"/>
        </w:rPr>
        <w:t>（4）评标委员会成员曾参与投标人的投标文件编制或者对投标文件的编制实施指导；</w:t>
      </w:r>
    </w:p>
    <w:p w14:paraId="44FBF34C">
      <w:pPr>
        <w:spacing w:before="162" w:line="227" w:lineRule="auto"/>
        <w:ind w:left="430"/>
        <w:rPr>
          <w:rFonts w:ascii="宋体" w:hAnsi="宋体" w:eastAsia="宋体" w:cs="宋体"/>
          <w:sz w:val="20"/>
          <w:szCs w:val="20"/>
        </w:rPr>
      </w:pPr>
      <w:r>
        <w:rPr>
          <w:rFonts w:ascii="宋体" w:hAnsi="宋体" w:eastAsia="宋体" w:cs="宋体"/>
          <w:spacing w:val="9"/>
          <w:sz w:val="20"/>
          <w:szCs w:val="20"/>
        </w:rPr>
        <w:t>（5）评标委员会成员与投标人有经济利益关系，可能影响对投标公正评</w:t>
      </w:r>
      <w:r>
        <w:rPr>
          <w:rFonts w:ascii="宋体" w:hAnsi="宋体" w:eastAsia="宋体" w:cs="宋体"/>
          <w:spacing w:val="8"/>
          <w:sz w:val="20"/>
          <w:szCs w:val="20"/>
        </w:rPr>
        <w:t>审的。</w:t>
      </w:r>
    </w:p>
    <w:p w14:paraId="0E638991">
      <w:pPr>
        <w:spacing w:before="163" w:line="303" w:lineRule="auto"/>
        <w:ind w:left="9" w:right="50" w:firstLine="421"/>
        <w:rPr>
          <w:rFonts w:ascii="宋体" w:hAnsi="宋体" w:eastAsia="宋体" w:cs="宋体"/>
          <w:sz w:val="20"/>
          <w:szCs w:val="20"/>
        </w:rPr>
      </w:pPr>
      <w:r>
        <w:rPr>
          <w:rFonts w:ascii="宋体" w:hAnsi="宋体" w:eastAsia="宋体" w:cs="宋体"/>
          <w:spacing w:val="12"/>
          <w:sz w:val="20"/>
          <w:szCs w:val="20"/>
        </w:rPr>
        <w:t>（6）评标委员会成员被主管部门禁止参加本地区依法必须招标项目评</w:t>
      </w:r>
      <w:r>
        <w:rPr>
          <w:rFonts w:ascii="宋体" w:hAnsi="宋体" w:eastAsia="宋体" w:cs="宋体"/>
          <w:spacing w:val="11"/>
          <w:sz w:val="20"/>
          <w:szCs w:val="20"/>
        </w:rPr>
        <w:t>标或者取消担任评标委员会成员</w:t>
      </w:r>
      <w:r>
        <w:rPr>
          <w:rFonts w:ascii="宋体" w:hAnsi="宋体" w:eastAsia="宋体" w:cs="宋体"/>
          <w:sz w:val="20"/>
          <w:szCs w:val="20"/>
        </w:rPr>
        <w:t xml:space="preserve"> 资格。</w:t>
      </w:r>
    </w:p>
    <w:p w14:paraId="134B9E2C">
      <w:pPr>
        <w:spacing w:before="166" w:line="220" w:lineRule="auto"/>
        <w:ind w:left="3"/>
        <w:outlineLvl w:val="2"/>
        <w:rPr>
          <w:rFonts w:ascii="宋体" w:hAnsi="宋体" w:eastAsia="宋体" w:cs="宋体"/>
          <w:sz w:val="24"/>
          <w:szCs w:val="24"/>
        </w:rPr>
      </w:pPr>
      <w:bookmarkStart w:id="101" w:name="bookmark91"/>
      <w:bookmarkEnd w:id="101"/>
      <w:bookmarkStart w:id="102" w:name="_Toc31666"/>
      <w:r>
        <w:rPr>
          <w:rFonts w:ascii="宋体" w:hAnsi="宋体" w:eastAsia="宋体" w:cs="宋体"/>
          <w:spacing w:val="-2"/>
          <w:sz w:val="24"/>
          <w:szCs w:val="24"/>
        </w:rPr>
        <w:t>6.2 评标原则</w:t>
      </w:r>
      <w:bookmarkEnd w:id="102"/>
    </w:p>
    <w:p w14:paraId="4F2B0999">
      <w:pPr>
        <w:spacing w:before="175" w:line="227" w:lineRule="auto"/>
        <w:ind w:left="420"/>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24F03A61">
      <w:pPr>
        <w:spacing w:before="169" w:line="220" w:lineRule="auto"/>
        <w:ind w:left="3"/>
        <w:outlineLvl w:val="2"/>
        <w:rPr>
          <w:rFonts w:ascii="宋体" w:hAnsi="宋体" w:eastAsia="宋体" w:cs="宋体"/>
          <w:sz w:val="24"/>
          <w:szCs w:val="24"/>
        </w:rPr>
      </w:pPr>
      <w:bookmarkStart w:id="103" w:name="bookmark93"/>
      <w:bookmarkEnd w:id="103"/>
      <w:bookmarkStart w:id="104" w:name="_Toc14426"/>
      <w:r>
        <w:rPr>
          <w:rFonts w:ascii="宋体" w:hAnsi="宋体" w:eastAsia="宋体" w:cs="宋体"/>
          <w:spacing w:val="-4"/>
          <w:sz w:val="24"/>
          <w:szCs w:val="24"/>
        </w:rPr>
        <w:t>6.3</w:t>
      </w:r>
      <w:r>
        <w:rPr>
          <w:rFonts w:ascii="宋体" w:hAnsi="宋体" w:eastAsia="宋体" w:cs="宋体"/>
          <w:spacing w:val="8"/>
          <w:sz w:val="24"/>
          <w:szCs w:val="24"/>
        </w:rPr>
        <w:t xml:space="preserve"> </w:t>
      </w:r>
      <w:r>
        <w:rPr>
          <w:rFonts w:ascii="宋体" w:hAnsi="宋体" w:eastAsia="宋体" w:cs="宋体"/>
          <w:spacing w:val="-4"/>
          <w:sz w:val="24"/>
          <w:szCs w:val="24"/>
        </w:rPr>
        <w:t>评标</w:t>
      </w:r>
      <w:bookmarkEnd w:id="104"/>
    </w:p>
    <w:p w14:paraId="618B276B">
      <w:pPr>
        <w:spacing w:line="220" w:lineRule="auto"/>
        <w:rPr>
          <w:rFonts w:ascii="宋体" w:hAnsi="宋体" w:eastAsia="宋体" w:cs="宋体"/>
          <w:sz w:val="24"/>
          <w:szCs w:val="24"/>
        </w:rPr>
        <w:sectPr>
          <w:footerReference r:id="rId14" w:type="default"/>
          <w:pgSz w:w="11907" w:h="16840"/>
          <w:pgMar w:top="1008" w:right="970" w:bottom="1029" w:left="1027" w:header="0" w:footer="850" w:gutter="0"/>
          <w:pgNumType w:fmt="decimal"/>
          <w:cols w:space="720" w:num="1"/>
        </w:sectPr>
      </w:pPr>
    </w:p>
    <w:p w14:paraId="67D1FDA2">
      <w:pPr>
        <w:spacing w:before="40" w:line="362" w:lineRule="auto"/>
        <w:ind w:left="1" w:firstLine="418"/>
        <w:rPr>
          <w:rFonts w:ascii="宋体" w:hAnsi="宋体" w:eastAsia="宋体" w:cs="宋体"/>
          <w:sz w:val="20"/>
          <w:szCs w:val="20"/>
        </w:rPr>
      </w:pPr>
      <w:r>
        <w:rPr>
          <w:rFonts w:ascii="宋体" w:hAnsi="宋体" w:eastAsia="宋体" w:cs="宋体"/>
          <w:spacing w:val="9"/>
          <w:sz w:val="20"/>
          <w:szCs w:val="20"/>
        </w:rPr>
        <w:t>评标委员会按照第三章“评标办法</w:t>
      </w:r>
      <w:r>
        <w:rPr>
          <w:rFonts w:ascii="宋体" w:hAnsi="宋体" w:eastAsia="宋体" w:cs="宋体"/>
          <w:spacing w:val="-67"/>
          <w:sz w:val="20"/>
          <w:szCs w:val="20"/>
        </w:rPr>
        <w:t xml:space="preserve"> </w:t>
      </w:r>
      <w:r>
        <w:rPr>
          <w:rFonts w:ascii="宋体" w:hAnsi="宋体" w:eastAsia="宋体" w:cs="宋体"/>
          <w:spacing w:val="9"/>
          <w:sz w:val="20"/>
          <w:szCs w:val="20"/>
        </w:rPr>
        <w:t>”规定的评审标准和评审程序对投标文件进行评审。第三章“评标办</w:t>
      </w:r>
      <w:r>
        <w:rPr>
          <w:rFonts w:ascii="宋体" w:hAnsi="宋体" w:eastAsia="宋体" w:cs="宋体"/>
          <w:sz w:val="20"/>
          <w:szCs w:val="20"/>
        </w:rPr>
        <w:t xml:space="preserve"> </w:t>
      </w:r>
      <w:r>
        <w:rPr>
          <w:rFonts w:ascii="宋体" w:hAnsi="宋体" w:eastAsia="宋体" w:cs="宋体"/>
          <w:spacing w:val="8"/>
          <w:sz w:val="20"/>
          <w:szCs w:val="20"/>
        </w:rPr>
        <w:t>法</w:t>
      </w:r>
      <w:r>
        <w:rPr>
          <w:rFonts w:ascii="宋体" w:hAnsi="宋体" w:eastAsia="宋体" w:cs="宋体"/>
          <w:spacing w:val="-70"/>
          <w:sz w:val="20"/>
          <w:szCs w:val="20"/>
        </w:rPr>
        <w:t xml:space="preserve"> </w:t>
      </w:r>
      <w:r>
        <w:rPr>
          <w:rFonts w:ascii="宋体" w:hAnsi="宋体" w:eastAsia="宋体" w:cs="宋体"/>
          <w:spacing w:val="8"/>
          <w:sz w:val="20"/>
          <w:szCs w:val="20"/>
        </w:rPr>
        <w:t>”没有规定的方法、评审因素和标准，不作为评标依据。</w:t>
      </w:r>
    </w:p>
    <w:p w14:paraId="177B3107">
      <w:pPr>
        <w:spacing w:before="321" w:line="221" w:lineRule="auto"/>
        <w:ind w:left="11"/>
        <w:outlineLvl w:val="1"/>
        <w:rPr>
          <w:rFonts w:ascii="宋体" w:hAnsi="宋体" w:eastAsia="宋体" w:cs="宋体"/>
          <w:sz w:val="30"/>
          <w:szCs w:val="30"/>
        </w:rPr>
      </w:pPr>
      <w:bookmarkStart w:id="105" w:name="bookmark95"/>
      <w:bookmarkEnd w:id="105"/>
      <w:bookmarkStart w:id="106" w:name="bookmark98"/>
      <w:bookmarkEnd w:id="106"/>
      <w:bookmarkStart w:id="107" w:name="_Toc12472"/>
      <w:r>
        <w:rPr>
          <w:rFonts w:ascii="宋体" w:hAnsi="宋体" w:eastAsia="宋体" w:cs="宋体"/>
          <w:spacing w:val="-4"/>
          <w:sz w:val="30"/>
          <w:szCs w:val="30"/>
        </w:rPr>
        <w:t>7.合同授予</w:t>
      </w:r>
      <w:bookmarkEnd w:id="107"/>
    </w:p>
    <w:p w14:paraId="53173781">
      <w:pPr>
        <w:spacing w:before="213" w:line="220" w:lineRule="auto"/>
        <w:ind w:left="7"/>
        <w:outlineLvl w:val="2"/>
        <w:rPr>
          <w:rFonts w:ascii="宋体" w:hAnsi="宋体" w:eastAsia="宋体" w:cs="宋体"/>
          <w:sz w:val="24"/>
          <w:szCs w:val="24"/>
        </w:rPr>
      </w:pPr>
      <w:bookmarkStart w:id="108" w:name="bookmark97"/>
      <w:bookmarkEnd w:id="108"/>
      <w:bookmarkStart w:id="109" w:name="_Toc29329"/>
      <w:r>
        <w:rPr>
          <w:rFonts w:ascii="宋体" w:hAnsi="宋体" w:eastAsia="宋体" w:cs="宋体"/>
          <w:spacing w:val="-5"/>
          <w:sz w:val="24"/>
          <w:szCs w:val="24"/>
        </w:rPr>
        <w:t>7.1</w:t>
      </w:r>
      <w:r>
        <w:rPr>
          <w:rFonts w:ascii="宋体" w:hAnsi="宋体" w:eastAsia="宋体" w:cs="宋体"/>
          <w:spacing w:val="18"/>
          <w:sz w:val="24"/>
          <w:szCs w:val="24"/>
        </w:rPr>
        <w:t xml:space="preserve"> </w:t>
      </w:r>
      <w:r>
        <w:rPr>
          <w:rFonts w:ascii="宋体" w:hAnsi="宋体" w:eastAsia="宋体" w:cs="宋体"/>
          <w:spacing w:val="-5"/>
          <w:sz w:val="24"/>
          <w:szCs w:val="24"/>
        </w:rPr>
        <w:t>定标方式</w:t>
      </w:r>
      <w:bookmarkEnd w:id="109"/>
    </w:p>
    <w:p w14:paraId="6BEB18E4">
      <w:pPr>
        <w:spacing w:before="176" w:line="362" w:lineRule="auto"/>
        <w:ind w:left="5" w:firstLine="415"/>
        <w:rPr>
          <w:rFonts w:ascii="宋体" w:hAnsi="宋体" w:eastAsia="宋体" w:cs="宋体"/>
          <w:sz w:val="20"/>
          <w:szCs w:val="20"/>
        </w:rPr>
      </w:pPr>
      <w:r>
        <w:rPr>
          <w:rFonts w:ascii="宋体" w:hAnsi="宋体" w:eastAsia="宋体" w:cs="宋体"/>
          <w:spacing w:val="10"/>
          <w:sz w:val="20"/>
          <w:szCs w:val="20"/>
        </w:rPr>
        <w:t>招标人依据评标委员会推荐的中标候选人确定中标人。评标委员会推荐</w:t>
      </w:r>
      <w:r>
        <w:rPr>
          <w:rFonts w:ascii="宋体" w:hAnsi="宋体" w:eastAsia="宋体" w:cs="宋体"/>
          <w:spacing w:val="9"/>
          <w:sz w:val="20"/>
          <w:szCs w:val="20"/>
        </w:rPr>
        <w:t>中标候选人的数量以及招标人确</w:t>
      </w:r>
      <w:r>
        <w:rPr>
          <w:rFonts w:ascii="宋体" w:hAnsi="宋体" w:eastAsia="宋体" w:cs="宋体"/>
          <w:sz w:val="20"/>
          <w:szCs w:val="20"/>
        </w:rPr>
        <w:t xml:space="preserve"> </w:t>
      </w:r>
      <w:r>
        <w:rPr>
          <w:rFonts w:ascii="宋体" w:hAnsi="宋体" w:eastAsia="宋体" w:cs="宋体"/>
          <w:spacing w:val="8"/>
          <w:sz w:val="20"/>
          <w:szCs w:val="20"/>
        </w:rPr>
        <w:t>定中标人的方式见投标人须知前附表。</w:t>
      </w:r>
    </w:p>
    <w:p w14:paraId="6E3372BD">
      <w:pPr>
        <w:spacing w:before="37" w:line="220" w:lineRule="auto"/>
        <w:ind w:left="7"/>
        <w:outlineLvl w:val="2"/>
        <w:rPr>
          <w:rFonts w:ascii="宋体" w:hAnsi="宋体" w:eastAsia="宋体" w:cs="宋体"/>
          <w:sz w:val="24"/>
          <w:szCs w:val="24"/>
        </w:rPr>
      </w:pPr>
      <w:bookmarkStart w:id="110" w:name="bookmark99"/>
      <w:bookmarkEnd w:id="110"/>
      <w:bookmarkStart w:id="111" w:name="bookmark100"/>
      <w:bookmarkEnd w:id="111"/>
      <w:bookmarkStart w:id="112" w:name="_Toc19040"/>
      <w:r>
        <w:rPr>
          <w:rFonts w:ascii="宋体" w:hAnsi="宋体" w:eastAsia="宋体" w:cs="宋体"/>
          <w:spacing w:val="-7"/>
          <w:sz w:val="24"/>
          <w:szCs w:val="24"/>
        </w:rPr>
        <w:t>7.2</w:t>
      </w:r>
      <w:r>
        <w:rPr>
          <w:rFonts w:ascii="宋体" w:hAnsi="宋体" w:eastAsia="宋体" w:cs="宋体"/>
          <w:spacing w:val="32"/>
          <w:sz w:val="24"/>
          <w:szCs w:val="24"/>
        </w:rPr>
        <w:t xml:space="preserve"> </w:t>
      </w:r>
      <w:r>
        <w:rPr>
          <w:rFonts w:ascii="宋体" w:hAnsi="宋体" w:eastAsia="宋体" w:cs="宋体"/>
          <w:spacing w:val="-7"/>
          <w:sz w:val="24"/>
          <w:szCs w:val="24"/>
        </w:rPr>
        <w:t>中标通知</w:t>
      </w:r>
      <w:bookmarkEnd w:id="112"/>
    </w:p>
    <w:p w14:paraId="6DB7B89B">
      <w:pPr>
        <w:spacing w:before="178" w:line="362" w:lineRule="auto"/>
        <w:ind w:left="1" w:right="2" w:firstLine="418"/>
        <w:rPr>
          <w:rFonts w:ascii="宋体" w:hAnsi="宋体" w:eastAsia="宋体" w:cs="宋体"/>
          <w:sz w:val="20"/>
          <w:szCs w:val="20"/>
        </w:rPr>
      </w:pPr>
      <w:r>
        <w:rPr>
          <w:rFonts w:ascii="宋体" w:hAnsi="宋体" w:eastAsia="宋体" w:cs="宋体"/>
          <w:spacing w:val="10"/>
          <w:sz w:val="20"/>
          <w:szCs w:val="20"/>
        </w:rPr>
        <w:t>在规定的投标有效期内，招标人以书面形式向中标人发出中标通知书</w:t>
      </w:r>
      <w:r>
        <w:rPr>
          <w:rFonts w:ascii="宋体" w:hAnsi="宋体" w:eastAsia="宋体" w:cs="宋体"/>
          <w:spacing w:val="9"/>
          <w:sz w:val="20"/>
          <w:szCs w:val="20"/>
        </w:rPr>
        <w:t>，同时将中标结果通知未中标的投</w:t>
      </w:r>
      <w:r>
        <w:rPr>
          <w:rFonts w:ascii="宋体" w:hAnsi="宋体" w:eastAsia="宋体" w:cs="宋体"/>
          <w:sz w:val="20"/>
          <w:szCs w:val="20"/>
        </w:rPr>
        <w:t xml:space="preserve"> </w:t>
      </w:r>
      <w:r>
        <w:rPr>
          <w:rFonts w:ascii="宋体" w:hAnsi="宋体" w:eastAsia="宋体" w:cs="宋体"/>
          <w:spacing w:val="2"/>
          <w:sz w:val="20"/>
          <w:szCs w:val="20"/>
        </w:rPr>
        <w:t>标人。</w:t>
      </w:r>
    </w:p>
    <w:p w14:paraId="7BB899D6">
      <w:pPr>
        <w:spacing w:before="36" w:line="219" w:lineRule="auto"/>
        <w:ind w:left="7"/>
        <w:outlineLvl w:val="2"/>
        <w:rPr>
          <w:rFonts w:ascii="宋体" w:hAnsi="宋体" w:eastAsia="宋体" w:cs="宋体"/>
          <w:sz w:val="24"/>
          <w:szCs w:val="24"/>
        </w:rPr>
      </w:pPr>
      <w:bookmarkStart w:id="113" w:name="bookmark101"/>
      <w:bookmarkEnd w:id="113"/>
      <w:bookmarkStart w:id="114" w:name="bookmark102"/>
      <w:bookmarkEnd w:id="114"/>
      <w:bookmarkStart w:id="115" w:name="_Toc20561"/>
      <w:r>
        <w:rPr>
          <w:rFonts w:ascii="宋体" w:hAnsi="宋体" w:eastAsia="宋体" w:cs="宋体"/>
          <w:spacing w:val="-1"/>
          <w:sz w:val="24"/>
          <w:szCs w:val="24"/>
        </w:rPr>
        <w:t>7.3 履约担保及工程款支付担保</w:t>
      </w:r>
      <w:bookmarkEnd w:id="115"/>
    </w:p>
    <w:p w14:paraId="578B6B3D">
      <w:pPr>
        <w:spacing w:before="177" w:line="362" w:lineRule="auto"/>
        <w:ind w:left="21" w:firstLine="420"/>
        <w:rPr>
          <w:rFonts w:ascii="宋体" w:hAnsi="宋体" w:eastAsia="宋体" w:cs="宋体"/>
          <w:sz w:val="20"/>
          <w:szCs w:val="20"/>
        </w:rPr>
      </w:pPr>
      <w:r>
        <w:rPr>
          <w:rFonts w:ascii="宋体" w:hAnsi="宋体" w:eastAsia="宋体" w:cs="宋体"/>
          <w:color w:val="0000FF"/>
          <w:spacing w:val="11"/>
          <w:sz w:val="20"/>
          <w:szCs w:val="20"/>
        </w:rPr>
        <w:t>□</w:t>
      </w:r>
      <w:r>
        <w:rPr>
          <w:rFonts w:ascii="宋体" w:hAnsi="宋体" w:eastAsia="宋体" w:cs="宋体"/>
          <w:spacing w:val="11"/>
          <w:sz w:val="20"/>
          <w:szCs w:val="20"/>
        </w:rPr>
        <w:t>7.3.1  在签订合同前，中标人应按投标人须知前附表规定的金额、担保</w:t>
      </w:r>
      <w:r>
        <w:rPr>
          <w:rFonts w:ascii="宋体" w:hAnsi="宋体" w:eastAsia="宋体" w:cs="宋体"/>
          <w:spacing w:val="10"/>
          <w:sz w:val="20"/>
          <w:szCs w:val="20"/>
        </w:rPr>
        <w:t>形式和招标文件第四章“合</w:t>
      </w:r>
      <w:r>
        <w:rPr>
          <w:rFonts w:ascii="宋体" w:hAnsi="宋体" w:eastAsia="宋体" w:cs="宋体"/>
          <w:sz w:val="20"/>
          <w:szCs w:val="20"/>
        </w:rPr>
        <w:t xml:space="preserve"> </w:t>
      </w:r>
      <w:r>
        <w:rPr>
          <w:rFonts w:ascii="宋体" w:hAnsi="宋体" w:eastAsia="宋体" w:cs="宋体"/>
          <w:spacing w:val="8"/>
          <w:sz w:val="20"/>
          <w:szCs w:val="20"/>
        </w:rPr>
        <w:t>同条款及格式</w:t>
      </w:r>
      <w:r>
        <w:rPr>
          <w:rFonts w:ascii="宋体" w:hAnsi="宋体" w:eastAsia="宋体" w:cs="宋体"/>
          <w:spacing w:val="-53"/>
          <w:sz w:val="20"/>
          <w:szCs w:val="20"/>
        </w:rPr>
        <w:t xml:space="preserve"> </w:t>
      </w:r>
      <w:r>
        <w:rPr>
          <w:rFonts w:ascii="宋体" w:hAnsi="宋体" w:eastAsia="宋体" w:cs="宋体"/>
          <w:spacing w:val="8"/>
          <w:sz w:val="20"/>
          <w:szCs w:val="20"/>
        </w:rPr>
        <w:t>”规定的履约担保格式向招标人提交履约担保。联合体中标的，履约担保由牵头人递交。</w:t>
      </w:r>
    </w:p>
    <w:p w14:paraId="76033C2C">
      <w:pPr>
        <w:spacing w:before="33" w:line="368" w:lineRule="auto"/>
        <w:ind w:right="2" w:firstLine="428"/>
        <w:rPr>
          <w:rFonts w:ascii="宋体" w:hAnsi="宋体" w:eastAsia="宋体" w:cs="宋体"/>
          <w:sz w:val="20"/>
          <w:szCs w:val="20"/>
        </w:rPr>
      </w:pPr>
      <w:r>
        <w:rPr>
          <w:rFonts w:ascii="MS Gothic" w:hAnsi="MS Gothic" w:eastAsia="MS Gothic" w:cs="MS Gothic"/>
          <w:color w:val="0000FF"/>
          <w:spacing w:val="11"/>
          <w:sz w:val="20"/>
          <w:szCs w:val="20"/>
        </w:rPr>
        <w:t>☑</w:t>
      </w:r>
      <w:r>
        <w:rPr>
          <w:rFonts w:ascii="宋体" w:hAnsi="宋体" w:eastAsia="宋体" w:cs="宋体"/>
          <w:spacing w:val="11"/>
          <w:sz w:val="20"/>
          <w:szCs w:val="20"/>
        </w:rPr>
        <w:t>7.3.1 采用经评审的最低投标价法中标的， 在签订合同前，中标人应按投标人须知前附表规定</w:t>
      </w:r>
      <w:r>
        <w:rPr>
          <w:rFonts w:ascii="宋体" w:hAnsi="宋体" w:eastAsia="宋体" w:cs="宋体"/>
          <w:spacing w:val="10"/>
          <w:sz w:val="20"/>
          <w:szCs w:val="20"/>
        </w:rPr>
        <w:t>的金</w:t>
      </w:r>
      <w:r>
        <w:rPr>
          <w:rFonts w:ascii="宋体" w:hAnsi="宋体" w:eastAsia="宋体" w:cs="宋体"/>
          <w:sz w:val="20"/>
          <w:szCs w:val="20"/>
        </w:rPr>
        <w:t xml:space="preserve"> </w:t>
      </w:r>
      <w:r>
        <w:rPr>
          <w:rFonts w:ascii="宋体" w:hAnsi="宋体" w:eastAsia="宋体" w:cs="宋体"/>
          <w:spacing w:val="10"/>
          <w:sz w:val="20"/>
          <w:szCs w:val="20"/>
        </w:rPr>
        <w:t>额、担保形式和招标文件第四章规定的履约担保格式向招标人提交履约</w:t>
      </w:r>
      <w:r>
        <w:rPr>
          <w:rFonts w:ascii="宋体" w:hAnsi="宋体" w:eastAsia="宋体" w:cs="宋体"/>
          <w:spacing w:val="9"/>
          <w:sz w:val="20"/>
          <w:szCs w:val="20"/>
        </w:rPr>
        <w:t>担保。联合体中标的，履约担保由牵</w:t>
      </w:r>
      <w:r>
        <w:rPr>
          <w:rFonts w:ascii="宋体" w:hAnsi="宋体" w:eastAsia="宋体" w:cs="宋体"/>
          <w:sz w:val="20"/>
          <w:szCs w:val="20"/>
        </w:rPr>
        <w:t xml:space="preserve"> </w:t>
      </w:r>
      <w:r>
        <w:rPr>
          <w:rFonts w:ascii="宋体" w:hAnsi="宋体" w:eastAsia="宋体" w:cs="宋体"/>
          <w:spacing w:val="5"/>
          <w:sz w:val="20"/>
          <w:szCs w:val="20"/>
        </w:rPr>
        <w:t>头人递交。</w:t>
      </w:r>
    </w:p>
    <w:p w14:paraId="2B147322">
      <w:pPr>
        <w:spacing w:before="31" w:line="302" w:lineRule="auto"/>
        <w:ind w:left="1" w:right="2" w:firstLine="424"/>
        <w:rPr>
          <w:rFonts w:ascii="宋体" w:hAnsi="宋体" w:eastAsia="宋体" w:cs="宋体"/>
          <w:sz w:val="20"/>
          <w:szCs w:val="20"/>
        </w:rPr>
      </w:pPr>
      <w:r>
        <w:rPr>
          <w:rFonts w:ascii="宋体" w:hAnsi="宋体" w:eastAsia="宋体" w:cs="宋体"/>
          <w:spacing w:val="9"/>
          <w:sz w:val="20"/>
          <w:szCs w:val="20"/>
        </w:rPr>
        <w:t>7.3.2  中标人不能按本须知第</w:t>
      </w:r>
      <w:r>
        <w:rPr>
          <w:rFonts w:ascii="宋体" w:hAnsi="宋体" w:eastAsia="宋体" w:cs="宋体"/>
          <w:spacing w:val="-30"/>
          <w:sz w:val="20"/>
          <w:szCs w:val="20"/>
        </w:rPr>
        <w:t xml:space="preserve"> </w:t>
      </w:r>
      <w:r>
        <w:rPr>
          <w:rFonts w:ascii="宋体" w:hAnsi="宋体" w:eastAsia="宋体" w:cs="宋体"/>
          <w:spacing w:val="9"/>
          <w:sz w:val="20"/>
          <w:szCs w:val="20"/>
        </w:rPr>
        <w:t>7.3.1 项要求提交履约担保的，视为放弃中标。给招标人造成的损失超</w:t>
      </w:r>
      <w:r>
        <w:rPr>
          <w:rFonts w:ascii="宋体" w:hAnsi="宋体" w:eastAsia="宋体" w:cs="宋体"/>
          <w:sz w:val="20"/>
          <w:szCs w:val="20"/>
        </w:rPr>
        <w:t xml:space="preserve"> </w:t>
      </w:r>
      <w:r>
        <w:rPr>
          <w:rFonts w:ascii="宋体" w:hAnsi="宋体" w:eastAsia="宋体" w:cs="宋体"/>
          <w:spacing w:val="9"/>
          <w:sz w:val="20"/>
          <w:szCs w:val="20"/>
        </w:rPr>
        <w:t>过投标保证数额的，中标人应当对超过部分予以赔偿。</w:t>
      </w:r>
    </w:p>
    <w:p w14:paraId="55F48A5C">
      <w:pPr>
        <w:spacing w:before="161" w:line="227" w:lineRule="auto"/>
        <w:ind w:left="425"/>
        <w:rPr>
          <w:rFonts w:ascii="宋体" w:hAnsi="宋体" w:eastAsia="宋体" w:cs="宋体"/>
          <w:sz w:val="20"/>
          <w:szCs w:val="20"/>
        </w:rPr>
      </w:pPr>
      <w:r>
        <w:rPr>
          <w:rFonts w:ascii="宋体" w:hAnsi="宋体" w:eastAsia="宋体" w:cs="宋体"/>
          <w:spacing w:val="7"/>
          <w:sz w:val="20"/>
          <w:szCs w:val="20"/>
        </w:rPr>
        <w:t>7.3.3 招标人应当向中标人提供工程款支付担保。</w:t>
      </w:r>
    </w:p>
    <w:p w14:paraId="38364240">
      <w:pPr>
        <w:spacing w:before="167" w:line="221" w:lineRule="auto"/>
        <w:ind w:left="7"/>
        <w:outlineLvl w:val="2"/>
        <w:rPr>
          <w:rFonts w:ascii="宋体" w:hAnsi="宋体" w:eastAsia="宋体" w:cs="宋体"/>
          <w:sz w:val="24"/>
          <w:szCs w:val="24"/>
        </w:rPr>
      </w:pPr>
      <w:bookmarkStart w:id="116" w:name="bookmark104"/>
      <w:bookmarkEnd w:id="116"/>
      <w:bookmarkStart w:id="117" w:name="bookmark103"/>
      <w:bookmarkEnd w:id="117"/>
      <w:bookmarkStart w:id="118" w:name="_Toc9741"/>
      <w:r>
        <w:rPr>
          <w:rFonts w:ascii="宋体" w:hAnsi="宋体" w:eastAsia="宋体" w:cs="宋体"/>
          <w:spacing w:val="-2"/>
          <w:sz w:val="24"/>
          <w:szCs w:val="24"/>
        </w:rPr>
        <w:t>7.4 签订合同</w:t>
      </w:r>
      <w:bookmarkEnd w:id="118"/>
    </w:p>
    <w:p w14:paraId="6572CC1E">
      <w:pPr>
        <w:spacing w:before="176" w:line="327" w:lineRule="auto"/>
        <w:ind w:left="1" w:right="2" w:firstLine="424"/>
        <w:rPr>
          <w:rFonts w:ascii="宋体" w:hAnsi="宋体" w:eastAsia="宋体" w:cs="宋体"/>
          <w:sz w:val="20"/>
          <w:szCs w:val="20"/>
        </w:rPr>
      </w:pPr>
      <w:r>
        <w:rPr>
          <w:rFonts w:ascii="宋体" w:hAnsi="宋体" w:eastAsia="宋体" w:cs="宋体"/>
          <w:spacing w:val="7"/>
          <w:sz w:val="20"/>
          <w:szCs w:val="20"/>
        </w:rPr>
        <w:t>7.4.1  自中标通知书发出之日起</w:t>
      </w:r>
      <w:r>
        <w:rPr>
          <w:rFonts w:ascii="宋体" w:hAnsi="宋体" w:eastAsia="宋体" w:cs="宋体"/>
          <w:spacing w:val="-21"/>
          <w:sz w:val="20"/>
          <w:szCs w:val="20"/>
        </w:rPr>
        <w:t xml:space="preserve"> </w:t>
      </w:r>
      <w:r>
        <w:rPr>
          <w:rFonts w:ascii="宋体" w:hAnsi="宋体" w:eastAsia="宋体" w:cs="宋体"/>
          <w:spacing w:val="7"/>
          <w:sz w:val="20"/>
          <w:szCs w:val="20"/>
        </w:rPr>
        <w:t>30 天内，招标人和中标人根据招标文件和中标人的投标文件订立书面</w:t>
      </w:r>
      <w:r>
        <w:rPr>
          <w:rFonts w:ascii="宋体" w:hAnsi="宋体" w:eastAsia="宋体" w:cs="宋体"/>
          <w:sz w:val="20"/>
          <w:szCs w:val="20"/>
        </w:rPr>
        <w:t xml:space="preserve"> </w:t>
      </w:r>
      <w:r>
        <w:rPr>
          <w:rFonts w:ascii="宋体" w:hAnsi="宋体" w:eastAsia="宋体" w:cs="宋体"/>
          <w:spacing w:val="10"/>
          <w:sz w:val="20"/>
          <w:szCs w:val="20"/>
        </w:rPr>
        <w:t>合同。中标人无正当理由拒签合同的，招标人取消其中标资格；给招标</w:t>
      </w:r>
      <w:r>
        <w:rPr>
          <w:rFonts w:ascii="宋体" w:hAnsi="宋体" w:eastAsia="宋体" w:cs="宋体"/>
          <w:spacing w:val="9"/>
          <w:sz w:val="20"/>
          <w:szCs w:val="20"/>
        </w:rPr>
        <w:t>人造成的损失超过投标保证数额的，</w:t>
      </w:r>
      <w:r>
        <w:rPr>
          <w:rFonts w:ascii="宋体" w:hAnsi="宋体" w:eastAsia="宋体" w:cs="宋体"/>
          <w:sz w:val="20"/>
          <w:szCs w:val="20"/>
        </w:rPr>
        <w:t xml:space="preserve"> </w:t>
      </w:r>
      <w:r>
        <w:rPr>
          <w:rFonts w:ascii="宋体" w:hAnsi="宋体" w:eastAsia="宋体" w:cs="宋体"/>
          <w:spacing w:val="8"/>
          <w:sz w:val="20"/>
          <w:szCs w:val="20"/>
        </w:rPr>
        <w:t>中标人应当对超过部分予以赔偿。</w:t>
      </w:r>
    </w:p>
    <w:p w14:paraId="05B9496C">
      <w:pPr>
        <w:spacing w:before="164" w:line="302" w:lineRule="auto"/>
        <w:ind w:right="2" w:firstLine="425"/>
        <w:rPr>
          <w:rFonts w:ascii="宋体" w:hAnsi="宋体" w:eastAsia="宋体" w:cs="宋体"/>
          <w:sz w:val="20"/>
          <w:szCs w:val="20"/>
        </w:rPr>
      </w:pPr>
      <w:r>
        <w:rPr>
          <w:rFonts w:ascii="宋体" w:hAnsi="宋体" w:eastAsia="宋体" w:cs="宋体"/>
          <w:spacing w:val="11"/>
          <w:sz w:val="20"/>
          <w:szCs w:val="20"/>
        </w:rPr>
        <w:t>7.4.2  发出中标通知书后，招标人无正当理由拒签合同的，招标人向中标人退还投标保证；给中标人</w:t>
      </w:r>
      <w:r>
        <w:rPr>
          <w:rFonts w:ascii="宋体" w:hAnsi="宋体" w:eastAsia="宋体" w:cs="宋体"/>
          <w:spacing w:val="1"/>
          <w:sz w:val="20"/>
          <w:szCs w:val="20"/>
        </w:rPr>
        <w:t xml:space="preserve"> </w:t>
      </w:r>
      <w:r>
        <w:rPr>
          <w:rFonts w:ascii="宋体" w:hAnsi="宋体" w:eastAsia="宋体" w:cs="宋体"/>
          <w:spacing w:val="8"/>
          <w:sz w:val="20"/>
          <w:szCs w:val="20"/>
        </w:rPr>
        <w:t>造成损失的，还应当赔偿损失。</w:t>
      </w:r>
    </w:p>
    <w:p w14:paraId="7841087C">
      <w:pPr>
        <w:pStyle w:val="6"/>
        <w:spacing w:line="348" w:lineRule="auto"/>
      </w:pPr>
    </w:p>
    <w:p w14:paraId="3D595F7F">
      <w:pPr>
        <w:spacing w:before="98" w:line="220" w:lineRule="auto"/>
        <w:ind w:left="5"/>
        <w:outlineLvl w:val="1"/>
        <w:rPr>
          <w:rFonts w:ascii="宋体" w:hAnsi="宋体" w:eastAsia="宋体" w:cs="宋体"/>
          <w:sz w:val="30"/>
          <w:szCs w:val="30"/>
        </w:rPr>
      </w:pPr>
      <w:bookmarkStart w:id="119" w:name="bookmark108"/>
      <w:bookmarkEnd w:id="119"/>
      <w:bookmarkStart w:id="120" w:name="bookmark105"/>
      <w:bookmarkEnd w:id="120"/>
      <w:bookmarkStart w:id="121" w:name="bookmark106"/>
      <w:bookmarkEnd w:id="121"/>
      <w:bookmarkStart w:id="122" w:name="_Toc32540"/>
      <w:r>
        <w:rPr>
          <w:rFonts w:ascii="宋体" w:hAnsi="宋体" w:eastAsia="宋体" w:cs="宋体"/>
          <w:spacing w:val="-2"/>
          <w:sz w:val="30"/>
          <w:szCs w:val="30"/>
        </w:rPr>
        <w:t>8.重新招标和不再招标</w:t>
      </w:r>
      <w:bookmarkEnd w:id="122"/>
    </w:p>
    <w:p w14:paraId="1519DFD3">
      <w:pPr>
        <w:spacing w:before="217" w:line="220" w:lineRule="auto"/>
        <w:ind w:left="3"/>
        <w:outlineLvl w:val="2"/>
        <w:rPr>
          <w:rFonts w:ascii="宋体" w:hAnsi="宋体" w:eastAsia="宋体" w:cs="宋体"/>
          <w:sz w:val="24"/>
          <w:szCs w:val="24"/>
        </w:rPr>
      </w:pPr>
      <w:bookmarkStart w:id="123" w:name="bookmark107"/>
      <w:bookmarkEnd w:id="123"/>
      <w:bookmarkStart w:id="124" w:name="_Toc29275"/>
      <w:r>
        <w:rPr>
          <w:rFonts w:ascii="宋体" w:hAnsi="宋体" w:eastAsia="宋体" w:cs="宋体"/>
          <w:spacing w:val="-2"/>
          <w:sz w:val="24"/>
          <w:szCs w:val="24"/>
        </w:rPr>
        <w:t>8.1 重新招标</w:t>
      </w:r>
      <w:bookmarkEnd w:id="124"/>
    </w:p>
    <w:p w14:paraId="4BDD9E21">
      <w:pPr>
        <w:spacing w:before="174" w:line="228" w:lineRule="auto"/>
        <w:ind w:left="421"/>
        <w:rPr>
          <w:rFonts w:ascii="宋体" w:hAnsi="宋体" w:eastAsia="宋体" w:cs="宋体"/>
          <w:sz w:val="20"/>
          <w:szCs w:val="20"/>
        </w:rPr>
      </w:pPr>
      <w:r>
        <w:rPr>
          <w:rFonts w:ascii="宋体" w:hAnsi="宋体" w:eastAsia="宋体" w:cs="宋体"/>
          <w:spacing w:val="8"/>
          <w:sz w:val="20"/>
          <w:szCs w:val="20"/>
        </w:rPr>
        <w:t>有下列情形之一的，招标人将重新招标：</w:t>
      </w:r>
    </w:p>
    <w:p w14:paraId="0522F871">
      <w:pPr>
        <w:spacing w:before="161" w:line="228" w:lineRule="auto"/>
        <w:ind w:left="430"/>
        <w:rPr>
          <w:rFonts w:ascii="宋体" w:hAnsi="宋体" w:eastAsia="宋体" w:cs="宋体"/>
          <w:sz w:val="20"/>
          <w:szCs w:val="20"/>
        </w:rPr>
      </w:pPr>
      <w:r>
        <w:rPr>
          <w:rFonts w:ascii="宋体" w:hAnsi="宋体" w:eastAsia="宋体" w:cs="宋体"/>
          <w:spacing w:val="8"/>
          <w:sz w:val="20"/>
          <w:szCs w:val="20"/>
        </w:rPr>
        <w:t>（l）获取资格预审文件或者招标文件的潜在投标</w:t>
      </w:r>
      <w:r>
        <w:rPr>
          <w:rFonts w:ascii="宋体" w:hAnsi="宋体" w:eastAsia="宋体" w:cs="宋体"/>
          <w:spacing w:val="7"/>
          <w:sz w:val="20"/>
          <w:szCs w:val="20"/>
        </w:rPr>
        <w:t>人少于</w:t>
      </w:r>
      <w:r>
        <w:rPr>
          <w:rFonts w:ascii="宋体" w:hAnsi="宋体" w:eastAsia="宋体" w:cs="宋体"/>
          <w:spacing w:val="-35"/>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个的；</w:t>
      </w:r>
    </w:p>
    <w:p w14:paraId="05432FF8">
      <w:pPr>
        <w:spacing w:before="164" w:line="228" w:lineRule="auto"/>
        <w:ind w:left="430"/>
        <w:rPr>
          <w:rFonts w:ascii="宋体" w:hAnsi="宋体" w:eastAsia="宋体" w:cs="宋体"/>
          <w:sz w:val="20"/>
          <w:szCs w:val="20"/>
        </w:rPr>
      </w:pPr>
      <w:r>
        <w:rPr>
          <w:rFonts w:ascii="宋体" w:hAnsi="宋体" w:eastAsia="宋体" w:cs="宋体"/>
          <w:spacing w:val="8"/>
          <w:sz w:val="20"/>
          <w:szCs w:val="20"/>
        </w:rPr>
        <w:t>（2）在投标截止时间之前提交投标文件的投</w:t>
      </w:r>
      <w:r>
        <w:rPr>
          <w:rFonts w:ascii="宋体" w:hAnsi="宋体" w:eastAsia="宋体" w:cs="宋体"/>
          <w:spacing w:val="7"/>
          <w:sz w:val="20"/>
          <w:szCs w:val="20"/>
        </w:rPr>
        <w:t>标人少于</w:t>
      </w:r>
      <w:r>
        <w:rPr>
          <w:rFonts w:ascii="宋体" w:hAnsi="宋体" w:eastAsia="宋体" w:cs="宋体"/>
          <w:spacing w:val="-34"/>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个的；</w:t>
      </w:r>
    </w:p>
    <w:p w14:paraId="38F26DFE">
      <w:pPr>
        <w:spacing w:before="161" w:line="228" w:lineRule="auto"/>
        <w:ind w:left="430"/>
        <w:rPr>
          <w:rFonts w:ascii="宋体" w:hAnsi="宋体" w:eastAsia="宋体" w:cs="宋体"/>
          <w:sz w:val="20"/>
          <w:szCs w:val="20"/>
        </w:rPr>
      </w:pPr>
      <w:r>
        <w:rPr>
          <w:rFonts w:ascii="宋体" w:hAnsi="宋体" w:eastAsia="宋体" w:cs="宋体"/>
          <w:spacing w:val="6"/>
          <w:sz w:val="20"/>
          <w:szCs w:val="20"/>
        </w:rPr>
        <w:t>（3）通过资格预审的申请人少于</w:t>
      </w:r>
      <w:r>
        <w:rPr>
          <w:rFonts w:ascii="宋体" w:hAnsi="宋体" w:eastAsia="宋体" w:cs="宋体"/>
          <w:spacing w:val="-24"/>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个的；</w:t>
      </w:r>
    </w:p>
    <w:p w14:paraId="2036E959">
      <w:pPr>
        <w:spacing w:before="161" w:line="227" w:lineRule="auto"/>
        <w:ind w:left="430"/>
        <w:rPr>
          <w:rFonts w:ascii="宋体" w:hAnsi="宋体" w:eastAsia="宋体" w:cs="宋体"/>
          <w:sz w:val="20"/>
          <w:szCs w:val="20"/>
        </w:rPr>
      </w:pPr>
      <w:r>
        <w:rPr>
          <w:rFonts w:ascii="宋体" w:hAnsi="宋体" w:eastAsia="宋体" w:cs="宋体"/>
          <w:spacing w:val="8"/>
          <w:sz w:val="20"/>
          <w:szCs w:val="20"/>
        </w:rPr>
        <w:t>（4）经评标委员会评审，所有投标文件均被否决的；</w:t>
      </w:r>
    </w:p>
    <w:p w14:paraId="28A590F8">
      <w:pPr>
        <w:spacing w:before="162" w:line="227" w:lineRule="auto"/>
        <w:ind w:left="430"/>
        <w:rPr>
          <w:rFonts w:ascii="宋体" w:hAnsi="宋体" w:eastAsia="宋体" w:cs="宋体"/>
          <w:sz w:val="20"/>
          <w:szCs w:val="20"/>
        </w:rPr>
      </w:pPr>
      <w:r>
        <w:rPr>
          <w:rFonts w:ascii="宋体" w:hAnsi="宋体" w:eastAsia="宋体" w:cs="宋体"/>
          <w:spacing w:val="8"/>
          <w:sz w:val="20"/>
          <w:szCs w:val="20"/>
        </w:rPr>
        <w:t>（5）有效投标人不足</w:t>
      </w:r>
      <w:r>
        <w:rPr>
          <w:rFonts w:ascii="宋体" w:hAnsi="宋体" w:eastAsia="宋体" w:cs="宋体"/>
          <w:spacing w:val="-23"/>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个，评标委员会认为投标明显缺乏竞争，否决本次招标的；</w:t>
      </w:r>
    </w:p>
    <w:p w14:paraId="2E0A54C7">
      <w:pPr>
        <w:spacing w:before="165" w:line="227" w:lineRule="auto"/>
        <w:ind w:left="430"/>
        <w:rPr>
          <w:rFonts w:ascii="宋体" w:hAnsi="宋体" w:eastAsia="宋体" w:cs="宋体"/>
          <w:sz w:val="20"/>
          <w:szCs w:val="20"/>
        </w:rPr>
      </w:pPr>
      <w:r>
        <w:rPr>
          <w:rFonts w:ascii="宋体" w:hAnsi="宋体" w:eastAsia="宋体" w:cs="宋体"/>
          <w:spacing w:val="8"/>
          <w:sz w:val="20"/>
          <w:szCs w:val="20"/>
        </w:rPr>
        <w:t>（6）所有中标候选人依法均不能确定为中标人的。</w:t>
      </w:r>
    </w:p>
    <w:p w14:paraId="6E65C2E7">
      <w:pPr>
        <w:spacing w:line="227" w:lineRule="auto"/>
        <w:rPr>
          <w:rFonts w:ascii="宋体" w:hAnsi="宋体" w:eastAsia="宋体" w:cs="宋体"/>
          <w:sz w:val="20"/>
          <w:szCs w:val="20"/>
        </w:rPr>
        <w:sectPr>
          <w:footerReference r:id="rId15" w:type="default"/>
          <w:pgSz w:w="11907" w:h="16840"/>
          <w:pgMar w:top="1008" w:right="1020" w:bottom="1029" w:left="1027" w:header="0" w:footer="850" w:gutter="0"/>
          <w:pgNumType w:fmt="decimal"/>
          <w:cols w:space="720" w:num="1"/>
        </w:sectPr>
      </w:pPr>
    </w:p>
    <w:p w14:paraId="04877851">
      <w:pPr>
        <w:spacing w:before="48" w:line="220" w:lineRule="auto"/>
        <w:ind w:left="3"/>
        <w:outlineLvl w:val="2"/>
        <w:rPr>
          <w:rFonts w:ascii="宋体" w:hAnsi="宋体" w:eastAsia="宋体" w:cs="宋体"/>
          <w:sz w:val="24"/>
          <w:szCs w:val="24"/>
        </w:rPr>
      </w:pPr>
      <w:bookmarkStart w:id="125" w:name="bookmark110"/>
      <w:bookmarkEnd w:id="125"/>
      <w:bookmarkStart w:id="126" w:name="bookmark109"/>
      <w:bookmarkEnd w:id="126"/>
      <w:bookmarkStart w:id="127" w:name="_Toc13770"/>
      <w:r>
        <w:rPr>
          <w:rFonts w:ascii="宋体" w:hAnsi="宋体" w:eastAsia="宋体" w:cs="宋体"/>
          <w:spacing w:val="-4"/>
          <w:sz w:val="24"/>
          <w:szCs w:val="24"/>
        </w:rPr>
        <w:t>8.2</w:t>
      </w:r>
      <w:r>
        <w:rPr>
          <w:rFonts w:ascii="宋体" w:hAnsi="宋体" w:eastAsia="宋体" w:cs="宋体"/>
          <w:spacing w:val="16"/>
          <w:sz w:val="24"/>
          <w:szCs w:val="24"/>
        </w:rPr>
        <w:t xml:space="preserve"> </w:t>
      </w:r>
      <w:r>
        <w:rPr>
          <w:rFonts w:ascii="宋体" w:hAnsi="宋体" w:eastAsia="宋体" w:cs="宋体"/>
          <w:spacing w:val="-4"/>
          <w:sz w:val="24"/>
          <w:szCs w:val="24"/>
        </w:rPr>
        <w:t>不再招标</w:t>
      </w:r>
      <w:bookmarkEnd w:id="127"/>
    </w:p>
    <w:p w14:paraId="0FEE0D0B">
      <w:pPr>
        <w:spacing w:before="177" w:line="362" w:lineRule="auto"/>
        <w:ind w:left="3" w:right="52" w:firstLine="418"/>
        <w:rPr>
          <w:rFonts w:ascii="宋体" w:hAnsi="宋体" w:eastAsia="宋体" w:cs="宋体"/>
          <w:sz w:val="20"/>
          <w:szCs w:val="20"/>
        </w:rPr>
      </w:pPr>
      <w:r>
        <w:rPr>
          <w:rFonts w:ascii="宋体" w:hAnsi="宋体" w:eastAsia="宋体" w:cs="宋体"/>
          <w:spacing w:val="9"/>
          <w:sz w:val="20"/>
          <w:szCs w:val="20"/>
        </w:rPr>
        <w:t>重新招标后投标人仍少于</w:t>
      </w:r>
      <w:r>
        <w:rPr>
          <w:rFonts w:ascii="宋体" w:hAnsi="宋体" w:eastAsia="宋体" w:cs="宋体"/>
          <w:spacing w:val="-33"/>
          <w:sz w:val="20"/>
          <w:szCs w:val="20"/>
        </w:rPr>
        <w:t xml:space="preserve"> </w:t>
      </w:r>
      <w:r>
        <w:rPr>
          <w:rFonts w:ascii="宋体" w:hAnsi="宋体" w:eastAsia="宋体" w:cs="宋体"/>
          <w:spacing w:val="9"/>
          <w:sz w:val="20"/>
          <w:szCs w:val="20"/>
        </w:rPr>
        <w:t>3</w:t>
      </w:r>
      <w:r>
        <w:rPr>
          <w:rFonts w:ascii="宋体" w:hAnsi="宋体" w:eastAsia="宋体" w:cs="宋体"/>
          <w:spacing w:val="-38"/>
          <w:sz w:val="20"/>
          <w:szCs w:val="20"/>
        </w:rPr>
        <w:t xml:space="preserve"> </w:t>
      </w:r>
      <w:r>
        <w:rPr>
          <w:rFonts w:ascii="宋体" w:hAnsi="宋体" w:eastAsia="宋体" w:cs="宋体"/>
          <w:spacing w:val="9"/>
          <w:sz w:val="20"/>
          <w:szCs w:val="20"/>
        </w:rPr>
        <w:t>个或者所有投标被否决的，属于必须审批或核准的工程建设项目，经原审批</w:t>
      </w:r>
      <w:r>
        <w:rPr>
          <w:rFonts w:ascii="宋体" w:hAnsi="宋体" w:eastAsia="宋体" w:cs="宋体"/>
          <w:sz w:val="20"/>
          <w:szCs w:val="20"/>
        </w:rPr>
        <w:t xml:space="preserve"> </w:t>
      </w:r>
      <w:r>
        <w:rPr>
          <w:rFonts w:ascii="宋体" w:hAnsi="宋体" w:eastAsia="宋体" w:cs="宋体"/>
          <w:spacing w:val="8"/>
          <w:sz w:val="20"/>
          <w:szCs w:val="20"/>
        </w:rPr>
        <w:t>或核准部门批准后不再进行招标。</w:t>
      </w:r>
    </w:p>
    <w:p w14:paraId="5EFF4EC3">
      <w:pPr>
        <w:spacing w:before="318" w:line="219" w:lineRule="auto"/>
        <w:ind w:left="5"/>
        <w:outlineLvl w:val="1"/>
        <w:rPr>
          <w:rFonts w:ascii="宋体" w:hAnsi="宋体" w:eastAsia="宋体" w:cs="宋体"/>
          <w:sz w:val="30"/>
          <w:szCs w:val="30"/>
        </w:rPr>
      </w:pPr>
      <w:bookmarkStart w:id="128" w:name="bookmark111"/>
      <w:bookmarkEnd w:id="128"/>
      <w:bookmarkStart w:id="129" w:name="bookmark112"/>
      <w:bookmarkEnd w:id="129"/>
      <w:bookmarkStart w:id="130" w:name="_Toc2724"/>
      <w:r>
        <w:rPr>
          <w:rFonts w:ascii="宋体" w:hAnsi="宋体" w:eastAsia="宋体" w:cs="宋体"/>
          <w:spacing w:val="-2"/>
          <w:sz w:val="30"/>
          <w:szCs w:val="30"/>
        </w:rPr>
        <w:t>9.纪律和监督</w:t>
      </w:r>
      <w:bookmarkEnd w:id="130"/>
    </w:p>
    <w:p w14:paraId="3590931D">
      <w:pPr>
        <w:spacing w:before="218" w:line="219" w:lineRule="auto"/>
        <w:ind w:left="3"/>
        <w:outlineLvl w:val="2"/>
        <w:rPr>
          <w:rFonts w:ascii="宋体" w:hAnsi="宋体" w:eastAsia="宋体" w:cs="宋体"/>
          <w:sz w:val="24"/>
          <w:szCs w:val="24"/>
        </w:rPr>
      </w:pPr>
      <w:bookmarkStart w:id="131" w:name="_Toc2707"/>
      <w:r>
        <w:rPr>
          <w:rFonts w:ascii="宋体" w:hAnsi="宋体" w:eastAsia="宋体" w:cs="宋体"/>
          <w:spacing w:val="-2"/>
          <w:sz w:val="24"/>
          <w:szCs w:val="24"/>
        </w:rPr>
        <w:t>9.1</w:t>
      </w:r>
      <w:r>
        <w:rPr>
          <w:rFonts w:ascii="宋体" w:hAnsi="宋体" w:eastAsia="宋体" w:cs="宋体"/>
          <w:spacing w:val="-48"/>
          <w:sz w:val="24"/>
          <w:szCs w:val="24"/>
        </w:rPr>
        <w:t xml:space="preserve"> </w:t>
      </w:r>
      <w:r>
        <w:rPr>
          <w:rFonts w:ascii="宋体" w:hAnsi="宋体" w:eastAsia="宋体" w:cs="宋体"/>
          <w:spacing w:val="-2"/>
          <w:sz w:val="24"/>
          <w:szCs w:val="24"/>
        </w:rPr>
        <w:t>对投标人的纪律要求</w:t>
      </w:r>
      <w:bookmarkEnd w:id="131"/>
    </w:p>
    <w:p w14:paraId="2CCE88D5">
      <w:pPr>
        <w:spacing w:before="175" w:line="364" w:lineRule="auto"/>
        <w:ind w:left="1" w:right="49" w:firstLine="421"/>
        <w:rPr>
          <w:rFonts w:ascii="宋体" w:hAnsi="宋体" w:eastAsia="宋体" w:cs="宋体"/>
          <w:sz w:val="20"/>
          <w:szCs w:val="20"/>
        </w:rPr>
      </w:pPr>
      <w:r>
        <w:rPr>
          <w:rFonts w:ascii="宋体" w:hAnsi="宋体" w:eastAsia="宋体" w:cs="宋体"/>
          <w:spacing w:val="10"/>
          <w:sz w:val="20"/>
          <w:szCs w:val="20"/>
        </w:rPr>
        <w:t>投标人不得相互串通投标或者与招标人串通投标，不得向招标人或</w:t>
      </w:r>
      <w:r>
        <w:rPr>
          <w:rFonts w:ascii="宋体" w:hAnsi="宋体" w:eastAsia="宋体" w:cs="宋体"/>
          <w:spacing w:val="9"/>
          <w:sz w:val="20"/>
          <w:szCs w:val="20"/>
        </w:rPr>
        <w:t>者评标委员会成员行贿谋取中标，不</w:t>
      </w:r>
      <w:r>
        <w:rPr>
          <w:rFonts w:ascii="宋体" w:hAnsi="宋体" w:eastAsia="宋体" w:cs="宋体"/>
          <w:sz w:val="20"/>
          <w:szCs w:val="20"/>
        </w:rPr>
        <w:t xml:space="preserve"> </w:t>
      </w:r>
      <w:r>
        <w:rPr>
          <w:rFonts w:ascii="宋体" w:hAnsi="宋体" w:eastAsia="宋体" w:cs="宋体"/>
          <w:spacing w:val="10"/>
          <w:sz w:val="20"/>
          <w:szCs w:val="20"/>
        </w:rPr>
        <w:t>得以他人名义投标或者以其他方式弄虚作假骗取中</w:t>
      </w:r>
      <w:r>
        <w:rPr>
          <w:rFonts w:ascii="宋体" w:hAnsi="宋体" w:eastAsia="宋体" w:cs="宋体"/>
          <w:spacing w:val="9"/>
          <w:sz w:val="20"/>
          <w:szCs w:val="20"/>
        </w:rPr>
        <w:t>标；投标人不得以任何方式干扰、影响评标工作。</w:t>
      </w:r>
    </w:p>
    <w:p w14:paraId="306FA081">
      <w:pPr>
        <w:spacing w:before="34" w:line="219" w:lineRule="auto"/>
        <w:ind w:left="3"/>
        <w:outlineLvl w:val="2"/>
        <w:rPr>
          <w:rFonts w:ascii="宋体" w:hAnsi="宋体" w:eastAsia="宋体" w:cs="宋体"/>
          <w:sz w:val="24"/>
          <w:szCs w:val="24"/>
        </w:rPr>
      </w:pPr>
      <w:bookmarkStart w:id="132" w:name="_Toc15230"/>
      <w:r>
        <w:rPr>
          <w:rFonts w:ascii="宋体" w:hAnsi="宋体" w:eastAsia="宋体" w:cs="宋体"/>
          <w:spacing w:val="-2"/>
          <w:sz w:val="24"/>
          <w:szCs w:val="24"/>
        </w:rPr>
        <w:t>9.2</w:t>
      </w:r>
      <w:r>
        <w:rPr>
          <w:rFonts w:ascii="宋体" w:hAnsi="宋体" w:eastAsia="宋体" w:cs="宋体"/>
          <w:spacing w:val="-40"/>
          <w:sz w:val="24"/>
          <w:szCs w:val="24"/>
        </w:rPr>
        <w:t xml:space="preserve"> </w:t>
      </w:r>
      <w:r>
        <w:rPr>
          <w:rFonts w:ascii="宋体" w:hAnsi="宋体" w:eastAsia="宋体" w:cs="宋体"/>
          <w:spacing w:val="-2"/>
          <w:sz w:val="24"/>
          <w:szCs w:val="24"/>
        </w:rPr>
        <w:t>对评标委员会成员的纪律要求</w:t>
      </w:r>
      <w:bookmarkEnd w:id="132"/>
    </w:p>
    <w:p w14:paraId="290DF452">
      <w:pPr>
        <w:spacing w:before="178" w:line="368" w:lineRule="auto"/>
        <w:ind w:right="49" w:firstLine="420"/>
        <w:jc w:val="both"/>
        <w:rPr>
          <w:rFonts w:ascii="宋体" w:hAnsi="宋体" w:eastAsia="宋体" w:cs="宋体"/>
          <w:sz w:val="20"/>
          <w:szCs w:val="20"/>
        </w:rPr>
      </w:pPr>
      <w:r>
        <w:rPr>
          <w:rFonts w:ascii="宋体" w:hAnsi="宋体" w:eastAsia="宋体" w:cs="宋体"/>
          <w:spacing w:val="10"/>
          <w:sz w:val="20"/>
          <w:szCs w:val="20"/>
        </w:rPr>
        <w:t>评标委员会成员不得收受他人的财物或者其他好处，不得向他人透漏对投标</w:t>
      </w:r>
      <w:r>
        <w:rPr>
          <w:rFonts w:ascii="宋体" w:hAnsi="宋体" w:eastAsia="宋体" w:cs="宋体"/>
          <w:spacing w:val="9"/>
          <w:sz w:val="20"/>
          <w:szCs w:val="20"/>
        </w:rPr>
        <w:t>文件的评审和比较、中标候</w:t>
      </w:r>
      <w:r>
        <w:rPr>
          <w:rFonts w:ascii="宋体" w:hAnsi="宋体" w:eastAsia="宋体" w:cs="宋体"/>
          <w:sz w:val="20"/>
          <w:szCs w:val="20"/>
        </w:rPr>
        <w:t xml:space="preserve"> </w:t>
      </w:r>
      <w:r>
        <w:rPr>
          <w:rFonts w:ascii="宋体" w:hAnsi="宋体" w:eastAsia="宋体" w:cs="宋体"/>
          <w:spacing w:val="10"/>
          <w:sz w:val="20"/>
          <w:szCs w:val="20"/>
        </w:rPr>
        <w:t>选人的推荐情况以及评标有关的其他情况。在评标活动中，评标委员会成员不得</w:t>
      </w:r>
      <w:r>
        <w:rPr>
          <w:rFonts w:ascii="宋体" w:hAnsi="宋体" w:eastAsia="宋体" w:cs="宋体"/>
          <w:spacing w:val="9"/>
          <w:sz w:val="20"/>
          <w:szCs w:val="20"/>
        </w:rPr>
        <w:t>擅离职守，影响评标程序正</w:t>
      </w:r>
      <w:r>
        <w:rPr>
          <w:rFonts w:ascii="宋体" w:hAnsi="宋体" w:eastAsia="宋体" w:cs="宋体"/>
          <w:sz w:val="20"/>
          <w:szCs w:val="20"/>
        </w:rPr>
        <w:t xml:space="preserve"> </w:t>
      </w:r>
      <w:r>
        <w:rPr>
          <w:rFonts w:ascii="宋体" w:hAnsi="宋体" w:eastAsia="宋体" w:cs="宋体"/>
          <w:spacing w:val="5"/>
          <w:sz w:val="20"/>
          <w:szCs w:val="20"/>
        </w:rPr>
        <w:t>常进行。</w:t>
      </w:r>
    </w:p>
    <w:p w14:paraId="045A1992">
      <w:pPr>
        <w:spacing w:before="34" w:line="219" w:lineRule="auto"/>
        <w:ind w:left="3"/>
        <w:outlineLvl w:val="2"/>
        <w:rPr>
          <w:rFonts w:ascii="宋体" w:hAnsi="宋体" w:eastAsia="宋体" w:cs="宋体"/>
          <w:sz w:val="24"/>
          <w:szCs w:val="24"/>
        </w:rPr>
      </w:pPr>
      <w:bookmarkStart w:id="133" w:name="_Toc20998"/>
      <w:r>
        <w:rPr>
          <w:rFonts w:ascii="宋体" w:hAnsi="宋体" w:eastAsia="宋体" w:cs="宋体"/>
          <w:spacing w:val="-1"/>
          <w:sz w:val="24"/>
          <w:szCs w:val="24"/>
        </w:rPr>
        <w:t>9.3 对与评标活动有关的工作人员的纪律要求</w:t>
      </w:r>
      <w:bookmarkEnd w:id="133"/>
    </w:p>
    <w:p w14:paraId="0B7550E1">
      <w:pPr>
        <w:spacing w:before="179" w:line="367" w:lineRule="auto"/>
        <w:ind w:right="49" w:firstLine="424"/>
        <w:jc w:val="both"/>
        <w:rPr>
          <w:rFonts w:ascii="宋体" w:hAnsi="宋体" w:eastAsia="宋体" w:cs="宋体"/>
          <w:sz w:val="20"/>
          <w:szCs w:val="20"/>
        </w:rPr>
      </w:pPr>
      <w:r>
        <w:rPr>
          <w:rFonts w:ascii="宋体" w:hAnsi="宋体" w:eastAsia="宋体" w:cs="宋体"/>
          <w:spacing w:val="10"/>
          <w:sz w:val="20"/>
          <w:szCs w:val="20"/>
        </w:rPr>
        <w:t>与评标活动有关的工作人员不得收受他人的财物或者其他好处，</w:t>
      </w:r>
      <w:r>
        <w:rPr>
          <w:rFonts w:ascii="宋体" w:hAnsi="宋体" w:eastAsia="宋体" w:cs="宋体"/>
          <w:spacing w:val="9"/>
          <w:sz w:val="20"/>
          <w:szCs w:val="20"/>
        </w:rPr>
        <w:t>不得向他人透露对投标文件的评审和比</w:t>
      </w:r>
      <w:r>
        <w:rPr>
          <w:rFonts w:ascii="宋体" w:hAnsi="宋体" w:eastAsia="宋体" w:cs="宋体"/>
          <w:sz w:val="20"/>
          <w:szCs w:val="20"/>
        </w:rPr>
        <w:t xml:space="preserve"> </w:t>
      </w:r>
      <w:r>
        <w:rPr>
          <w:rFonts w:ascii="宋体" w:hAnsi="宋体" w:eastAsia="宋体" w:cs="宋体"/>
          <w:spacing w:val="10"/>
          <w:sz w:val="20"/>
          <w:szCs w:val="20"/>
        </w:rPr>
        <w:t>较、中标候选人的推荐情况以及评标有关的其他情况。在评标活动中，</w:t>
      </w:r>
      <w:r>
        <w:rPr>
          <w:rFonts w:ascii="宋体" w:hAnsi="宋体" w:eastAsia="宋体" w:cs="宋体"/>
          <w:spacing w:val="9"/>
          <w:sz w:val="20"/>
          <w:szCs w:val="20"/>
        </w:rPr>
        <w:t>与评标活动有关的工作人员不得擅离</w:t>
      </w:r>
      <w:r>
        <w:rPr>
          <w:rFonts w:ascii="宋体" w:hAnsi="宋体" w:eastAsia="宋体" w:cs="宋体"/>
          <w:sz w:val="20"/>
          <w:szCs w:val="20"/>
        </w:rPr>
        <w:t xml:space="preserve"> </w:t>
      </w:r>
      <w:r>
        <w:rPr>
          <w:rFonts w:ascii="宋体" w:hAnsi="宋体" w:eastAsia="宋体" w:cs="宋体"/>
          <w:spacing w:val="8"/>
          <w:sz w:val="20"/>
          <w:szCs w:val="20"/>
        </w:rPr>
        <w:t>职守，影响评标程序正常进行。</w:t>
      </w:r>
    </w:p>
    <w:p w14:paraId="1D16BE07">
      <w:pPr>
        <w:spacing w:before="62" w:line="199" w:lineRule="auto"/>
        <w:ind w:left="3"/>
        <w:outlineLvl w:val="2"/>
        <w:rPr>
          <w:rFonts w:ascii="宋体" w:hAnsi="宋体" w:eastAsia="宋体" w:cs="宋体"/>
          <w:sz w:val="20"/>
          <w:szCs w:val="20"/>
        </w:rPr>
      </w:pPr>
      <w:bookmarkStart w:id="134" w:name="_Toc8262"/>
      <w:r>
        <w:rPr>
          <w:rFonts w:ascii="宋体" w:hAnsi="宋体" w:eastAsia="宋体" w:cs="宋体"/>
          <w:spacing w:val="4"/>
          <w:sz w:val="24"/>
          <w:szCs w:val="24"/>
        </w:rPr>
        <w:t xml:space="preserve">9.4 </w:t>
      </w:r>
      <w:r>
        <w:rPr>
          <w:rFonts w:ascii="宋体" w:hAnsi="宋体" w:eastAsia="宋体" w:cs="宋体"/>
          <w:spacing w:val="4"/>
          <w:sz w:val="20"/>
          <w:szCs w:val="20"/>
        </w:rPr>
        <w:t>异议和投诉</w:t>
      </w:r>
      <w:bookmarkEnd w:id="134"/>
    </w:p>
    <w:p w14:paraId="7818ECC8">
      <w:pPr>
        <w:spacing w:before="178" w:line="228" w:lineRule="auto"/>
        <w:ind w:left="421"/>
        <w:rPr>
          <w:rFonts w:ascii="宋体" w:hAnsi="宋体" w:eastAsia="宋体" w:cs="宋体"/>
          <w:sz w:val="20"/>
          <w:szCs w:val="20"/>
        </w:rPr>
      </w:pPr>
      <w:r>
        <w:rPr>
          <w:rFonts w:ascii="宋体" w:hAnsi="宋体" w:eastAsia="宋体" w:cs="宋体"/>
          <w:spacing w:val="9"/>
          <w:sz w:val="20"/>
          <w:szCs w:val="20"/>
        </w:rPr>
        <w:t>9.4.1</w:t>
      </w:r>
      <w:r>
        <w:rPr>
          <w:rFonts w:ascii="宋体" w:hAnsi="宋体" w:eastAsia="宋体" w:cs="宋体"/>
          <w:spacing w:val="-38"/>
          <w:sz w:val="20"/>
          <w:szCs w:val="20"/>
        </w:rPr>
        <w:t xml:space="preserve"> </w:t>
      </w:r>
      <w:r>
        <w:rPr>
          <w:rFonts w:ascii="宋体" w:hAnsi="宋体" w:eastAsia="宋体" w:cs="宋体"/>
          <w:spacing w:val="9"/>
          <w:sz w:val="20"/>
          <w:szCs w:val="20"/>
        </w:rPr>
        <w:t>投标人或者其他利害关系人就下列事项投诉的，应当</w:t>
      </w:r>
      <w:r>
        <w:rPr>
          <w:rFonts w:ascii="宋体" w:hAnsi="宋体" w:eastAsia="宋体" w:cs="宋体"/>
          <w:spacing w:val="8"/>
          <w:sz w:val="20"/>
          <w:szCs w:val="20"/>
        </w:rPr>
        <w:t>按照相关规定向招标人提出异议：</w:t>
      </w:r>
    </w:p>
    <w:p w14:paraId="520D6583">
      <w:pPr>
        <w:spacing w:before="161" w:line="228" w:lineRule="auto"/>
        <w:jc w:val="right"/>
        <w:rPr>
          <w:rFonts w:ascii="宋体" w:hAnsi="宋体" w:eastAsia="宋体" w:cs="宋体"/>
          <w:sz w:val="20"/>
          <w:szCs w:val="20"/>
        </w:rPr>
      </w:pPr>
      <w:r>
        <w:rPr>
          <w:rFonts w:ascii="宋体" w:hAnsi="宋体" w:eastAsia="宋体" w:cs="宋体"/>
          <w:spacing w:val="4"/>
          <w:sz w:val="20"/>
          <w:szCs w:val="20"/>
        </w:rPr>
        <w:t>(1)认为招标文件不符合相关法律法规规范性文件规定，应</w:t>
      </w:r>
      <w:r>
        <w:rPr>
          <w:rFonts w:ascii="宋体" w:hAnsi="宋体" w:eastAsia="宋体" w:cs="宋体"/>
          <w:spacing w:val="3"/>
          <w:sz w:val="20"/>
          <w:szCs w:val="20"/>
        </w:rPr>
        <w:t>当在投标截止时间</w:t>
      </w:r>
      <w:r>
        <w:rPr>
          <w:rFonts w:ascii="宋体" w:hAnsi="宋体" w:eastAsia="宋体" w:cs="宋体"/>
          <w:spacing w:val="-24"/>
          <w:sz w:val="20"/>
          <w:szCs w:val="20"/>
        </w:rPr>
        <w:t xml:space="preserve"> </w:t>
      </w:r>
      <w:r>
        <w:rPr>
          <w:rFonts w:ascii="宋体" w:hAnsi="宋体" w:eastAsia="宋体" w:cs="宋体"/>
          <w:spacing w:val="3"/>
          <w:sz w:val="20"/>
          <w:szCs w:val="20"/>
        </w:rPr>
        <w:t>10 日前向招标人提出异议；</w:t>
      </w:r>
    </w:p>
    <w:p w14:paraId="424284B1">
      <w:pPr>
        <w:spacing w:before="161" w:line="228" w:lineRule="auto"/>
        <w:ind w:left="457"/>
        <w:rPr>
          <w:rFonts w:ascii="宋体" w:hAnsi="宋体" w:eastAsia="宋体" w:cs="宋体"/>
          <w:sz w:val="20"/>
          <w:szCs w:val="20"/>
        </w:rPr>
      </w:pPr>
      <w:r>
        <w:rPr>
          <w:rFonts w:ascii="宋体" w:hAnsi="宋体" w:eastAsia="宋体" w:cs="宋体"/>
          <w:spacing w:val="8"/>
          <w:sz w:val="20"/>
          <w:szCs w:val="20"/>
        </w:rPr>
        <w:t>(2)认为开标活动不符合相关法律法规规范性文件规定的，应当在开标现场提出异议；</w:t>
      </w:r>
    </w:p>
    <w:p w14:paraId="630D52DB">
      <w:pPr>
        <w:spacing w:before="164" w:line="227" w:lineRule="auto"/>
        <w:ind w:left="457"/>
        <w:rPr>
          <w:rFonts w:ascii="宋体" w:hAnsi="宋体" w:eastAsia="宋体" w:cs="宋体"/>
          <w:sz w:val="20"/>
          <w:szCs w:val="20"/>
        </w:rPr>
      </w:pPr>
      <w:r>
        <w:rPr>
          <w:rFonts w:ascii="宋体" w:hAnsi="宋体" w:eastAsia="宋体" w:cs="宋体"/>
          <w:spacing w:val="8"/>
          <w:sz w:val="20"/>
          <w:szCs w:val="20"/>
        </w:rPr>
        <w:t>(3)对评标结果有异议的，在中标候选人公示期以书面形式向</w:t>
      </w:r>
      <w:r>
        <w:rPr>
          <w:rFonts w:ascii="宋体" w:hAnsi="宋体" w:eastAsia="宋体" w:cs="宋体"/>
          <w:spacing w:val="7"/>
          <w:sz w:val="20"/>
          <w:szCs w:val="20"/>
        </w:rPr>
        <w:t>招标人提出；</w:t>
      </w:r>
    </w:p>
    <w:p w14:paraId="09D7E0B4">
      <w:pPr>
        <w:spacing w:before="162" w:line="362" w:lineRule="auto"/>
        <w:ind w:left="5" w:right="52" w:firstLine="418"/>
        <w:rPr>
          <w:rFonts w:ascii="宋体" w:hAnsi="宋体" w:eastAsia="宋体" w:cs="宋体"/>
          <w:sz w:val="20"/>
          <w:szCs w:val="20"/>
        </w:rPr>
      </w:pPr>
      <w:r>
        <w:rPr>
          <w:rFonts w:ascii="宋体" w:hAnsi="宋体" w:eastAsia="宋体" w:cs="宋体"/>
          <w:spacing w:val="10"/>
          <w:sz w:val="20"/>
          <w:szCs w:val="20"/>
        </w:rPr>
        <w:t>投标人或利害关系人不满意招标人的答复或者认为招标人处理</w:t>
      </w:r>
      <w:r>
        <w:rPr>
          <w:rFonts w:ascii="宋体" w:hAnsi="宋体" w:eastAsia="宋体" w:cs="宋体"/>
          <w:spacing w:val="9"/>
          <w:sz w:val="20"/>
          <w:szCs w:val="20"/>
        </w:rPr>
        <w:t>不当的，可以向本项目的招标投标行政监</w:t>
      </w:r>
      <w:r>
        <w:rPr>
          <w:rFonts w:ascii="宋体" w:hAnsi="宋体" w:eastAsia="宋体" w:cs="宋体"/>
          <w:sz w:val="20"/>
          <w:szCs w:val="20"/>
        </w:rPr>
        <w:t xml:space="preserve"> </w:t>
      </w:r>
      <w:r>
        <w:rPr>
          <w:rFonts w:ascii="宋体" w:hAnsi="宋体" w:eastAsia="宋体" w:cs="宋体"/>
          <w:spacing w:val="6"/>
          <w:sz w:val="20"/>
          <w:szCs w:val="20"/>
        </w:rPr>
        <w:t>督部门投诉。</w:t>
      </w:r>
    </w:p>
    <w:p w14:paraId="0B7D35BB">
      <w:pPr>
        <w:spacing w:before="31" w:line="302" w:lineRule="auto"/>
        <w:ind w:right="52" w:firstLine="420"/>
        <w:rPr>
          <w:rFonts w:ascii="宋体" w:hAnsi="宋体" w:eastAsia="宋体" w:cs="宋体"/>
          <w:sz w:val="20"/>
          <w:szCs w:val="20"/>
        </w:rPr>
      </w:pPr>
      <w:r>
        <w:rPr>
          <w:rFonts w:ascii="宋体" w:hAnsi="宋体" w:eastAsia="宋体" w:cs="宋体"/>
          <w:spacing w:val="10"/>
          <w:sz w:val="20"/>
          <w:szCs w:val="20"/>
        </w:rPr>
        <w:t>9.4.2</w:t>
      </w:r>
      <w:r>
        <w:rPr>
          <w:rFonts w:ascii="宋体" w:hAnsi="宋体" w:eastAsia="宋体" w:cs="宋体"/>
          <w:spacing w:val="-36"/>
          <w:sz w:val="20"/>
          <w:szCs w:val="20"/>
        </w:rPr>
        <w:t xml:space="preserve"> </w:t>
      </w:r>
      <w:r>
        <w:rPr>
          <w:rFonts w:ascii="宋体" w:hAnsi="宋体" w:eastAsia="宋体" w:cs="宋体"/>
          <w:spacing w:val="10"/>
          <w:sz w:val="20"/>
          <w:szCs w:val="20"/>
        </w:rPr>
        <w:t>投标人或者其他利害关系人认为本次招标活动违反法律法规规范性文件规定的，可以在知道或者</w:t>
      </w:r>
      <w:r>
        <w:rPr>
          <w:rFonts w:ascii="宋体" w:hAnsi="宋体" w:eastAsia="宋体" w:cs="宋体"/>
          <w:sz w:val="20"/>
          <w:szCs w:val="20"/>
        </w:rPr>
        <w:t xml:space="preserve"> </w:t>
      </w:r>
      <w:r>
        <w:rPr>
          <w:rFonts w:ascii="宋体" w:hAnsi="宋体" w:eastAsia="宋体" w:cs="宋体"/>
          <w:spacing w:val="6"/>
          <w:sz w:val="20"/>
          <w:szCs w:val="20"/>
        </w:rPr>
        <w:t>应当知道之日起</w:t>
      </w:r>
      <w:r>
        <w:rPr>
          <w:rFonts w:ascii="宋体" w:hAnsi="宋体" w:eastAsia="宋体" w:cs="宋体"/>
          <w:spacing w:val="-15"/>
          <w:sz w:val="20"/>
          <w:szCs w:val="20"/>
        </w:rPr>
        <w:t xml:space="preserve"> </w:t>
      </w:r>
      <w:r>
        <w:rPr>
          <w:rFonts w:ascii="宋体" w:hAnsi="宋体" w:eastAsia="宋体" w:cs="宋体"/>
          <w:spacing w:val="6"/>
          <w:sz w:val="20"/>
          <w:szCs w:val="20"/>
        </w:rPr>
        <w:t>10 日内向本项目的招标投标行政监督部门投诉。</w:t>
      </w:r>
    </w:p>
    <w:p w14:paraId="3DD4A317">
      <w:pPr>
        <w:spacing w:before="161" w:line="303" w:lineRule="auto"/>
        <w:ind w:left="1" w:right="52" w:firstLine="420"/>
        <w:rPr>
          <w:rFonts w:ascii="宋体" w:hAnsi="宋体" w:eastAsia="宋体" w:cs="宋体"/>
          <w:sz w:val="20"/>
          <w:szCs w:val="20"/>
        </w:rPr>
      </w:pPr>
      <w:r>
        <w:rPr>
          <w:rFonts w:ascii="宋体" w:hAnsi="宋体" w:eastAsia="宋体" w:cs="宋体"/>
          <w:spacing w:val="10"/>
          <w:sz w:val="20"/>
          <w:szCs w:val="20"/>
        </w:rPr>
        <w:t>9.4.3</w:t>
      </w:r>
      <w:r>
        <w:rPr>
          <w:rFonts w:ascii="宋体" w:hAnsi="宋体" w:eastAsia="宋体" w:cs="宋体"/>
          <w:spacing w:val="-37"/>
          <w:sz w:val="20"/>
          <w:szCs w:val="20"/>
        </w:rPr>
        <w:t xml:space="preserve"> </w:t>
      </w:r>
      <w:r>
        <w:rPr>
          <w:rFonts w:ascii="宋体" w:hAnsi="宋体" w:eastAsia="宋体" w:cs="宋体"/>
          <w:spacing w:val="10"/>
          <w:sz w:val="20"/>
          <w:szCs w:val="20"/>
        </w:rPr>
        <w:t>有关信用评价信息弄虚作假的异议，按《湖南省房屋建筑和市政基础设施工程施工及监理招标投</w:t>
      </w:r>
      <w:r>
        <w:rPr>
          <w:rFonts w:ascii="宋体" w:hAnsi="宋体" w:eastAsia="宋体" w:cs="宋体"/>
          <w:sz w:val="20"/>
          <w:szCs w:val="20"/>
        </w:rPr>
        <w:t xml:space="preserve"> </w:t>
      </w:r>
      <w:r>
        <w:rPr>
          <w:rFonts w:ascii="宋体" w:hAnsi="宋体" w:eastAsia="宋体" w:cs="宋体"/>
          <w:spacing w:val="9"/>
          <w:sz w:val="20"/>
          <w:szCs w:val="20"/>
        </w:rPr>
        <w:t>标信用评价管理暂行办法》处理。经核实后影响到中标结果的，依法取消其中标资格。</w:t>
      </w:r>
    </w:p>
    <w:p w14:paraId="18A3ADD4">
      <w:pPr>
        <w:pStyle w:val="6"/>
        <w:spacing w:line="348" w:lineRule="auto"/>
      </w:pPr>
    </w:p>
    <w:p w14:paraId="7AA39B20">
      <w:pPr>
        <w:spacing w:before="98" w:line="219" w:lineRule="auto"/>
        <w:ind w:left="26"/>
        <w:outlineLvl w:val="1"/>
        <w:rPr>
          <w:rFonts w:ascii="宋体" w:hAnsi="宋体" w:eastAsia="宋体" w:cs="宋体"/>
          <w:sz w:val="30"/>
          <w:szCs w:val="30"/>
        </w:rPr>
      </w:pPr>
      <w:bookmarkStart w:id="135" w:name="bookmark113"/>
      <w:bookmarkEnd w:id="135"/>
      <w:bookmarkStart w:id="136" w:name="bookmark114"/>
      <w:bookmarkEnd w:id="136"/>
      <w:bookmarkStart w:id="137" w:name="_Toc5867"/>
      <w:r>
        <w:rPr>
          <w:rFonts w:ascii="宋体" w:hAnsi="宋体" w:eastAsia="宋体" w:cs="宋体"/>
          <w:spacing w:val="-3"/>
          <w:sz w:val="30"/>
          <w:szCs w:val="30"/>
        </w:rPr>
        <w:t>10.需要补充的其他内容</w:t>
      </w:r>
      <w:bookmarkEnd w:id="137"/>
    </w:p>
    <w:p w14:paraId="74013807">
      <w:pPr>
        <w:spacing w:before="213" w:line="227" w:lineRule="auto"/>
        <w:ind w:left="432"/>
        <w:rPr>
          <w:rFonts w:ascii="宋体" w:hAnsi="宋体" w:eastAsia="宋体" w:cs="宋体"/>
          <w:sz w:val="20"/>
          <w:szCs w:val="20"/>
        </w:rPr>
      </w:pPr>
      <w:r>
        <w:rPr>
          <w:rFonts w:ascii="宋体" w:hAnsi="宋体" w:eastAsia="宋体" w:cs="宋体"/>
          <w:spacing w:val="8"/>
          <w:sz w:val="20"/>
          <w:szCs w:val="20"/>
        </w:rPr>
        <w:t>需要补充的其他内容：见投标人须知前附表。</w:t>
      </w:r>
    </w:p>
    <w:p w14:paraId="16DF5D71">
      <w:pPr>
        <w:spacing w:line="227" w:lineRule="auto"/>
        <w:rPr>
          <w:rFonts w:ascii="宋体" w:hAnsi="宋体" w:eastAsia="宋体" w:cs="宋体"/>
          <w:sz w:val="20"/>
          <w:szCs w:val="20"/>
        </w:rPr>
        <w:sectPr>
          <w:footerReference r:id="rId16" w:type="default"/>
          <w:pgSz w:w="11907" w:h="16840"/>
          <w:pgMar w:top="1006" w:right="970" w:bottom="1029" w:left="1027" w:header="0" w:footer="850" w:gutter="0"/>
          <w:pgNumType w:fmt="decimal"/>
          <w:cols w:space="720" w:num="1"/>
        </w:sectPr>
      </w:pPr>
    </w:p>
    <w:p w14:paraId="1A8A28DC">
      <w:pPr>
        <w:spacing w:before="48" w:line="221" w:lineRule="auto"/>
        <w:ind w:left="13"/>
        <w:outlineLvl w:val="2"/>
        <w:rPr>
          <w:rFonts w:ascii="黑体" w:hAnsi="黑体" w:eastAsia="黑体" w:cs="黑体"/>
          <w:sz w:val="24"/>
          <w:szCs w:val="24"/>
        </w:rPr>
      </w:pPr>
      <w:bookmarkStart w:id="138" w:name="_Toc2558"/>
      <w:r>
        <w:rPr>
          <w:rFonts w:ascii="黑体" w:hAnsi="黑体" w:eastAsia="黑体" w:cs="黑体"/>
          <w:spacing w:val="-2"/>
          <w:sz w:val="24"/>
          <w:szCs w:val="24"/>
        </w:rPr>
        <w:t>附件</w:t>
      </w:r>
      <w:r>
        <w:rPr>
          <w:rFonts w:ascii="黑体" w:hAnsi="黑体" w:eastAsia="黑体" w:cs="黑体"/>
          <w:spacing w:val="-47"/>
          <w:sz w:val="24"/>
          <w:szCs w:val="24"/>
        </w:rPr>
        <w:t xml:space="preserve"> </w:t>
      </w:r>
      <w:r>
        <w:rPr>
          <w:rFonts w:ascii="Times New Roman" w:hAnsi="Times New Roman" w:eastAsia="Times New Roman" w:cs="Times New Roman"/>
          <w:spacing w:val="-2"/>
          <w:sz w:val="24"/>
          <w:szCs w:val="24"/>
        </w:rPr>
        <w:t>2-1</w:t>
      </w:r>
      <w:r>
        <w:rPr>
          <w:rFonts w:ascii="黑体" w:hAnsi="黑体" w:eastAsia="黑体" w:cs="黑体"/>
          <w:spacing w:val="-2"/>
          <w:sz w:val="24"/>
          <w:szCs w:val="24"/>
        </w:rPr>
        <w:t>：电子投标文件编制及报送要求</w:t>
      </w:r>
      <w:bookmarkEnd w:id="138"/>
    </w:p>
    <w:p w14:paraId="4A299990">
      <w:pPr>
        <w:pStyle w:val="6"/>
        <w:spacing w:line="252" w:lineRule="auto"/>
      </w:pPr>
    </w:p>
    <w:p w14:paraId="06F720D7">
      <w:pPr>
        <w:pStyle w:val="6"/>
        <w:spacing w:line="252" w:lineRule="auto"/>
      </w:pPr>
    </w:p>
    <w:p w14:paraId="487ED224">
      <w:pPr>
        <w:spacing w:before="91" w:line="222" w:lineRule="auto"/>
        <w:ind w:left="3132"/>
        <w:rPr>
          <w:rFonts w:ascii="黑体" w:hAnsi="黑体" w:eastAsia="黑体" w:cs="黑体"/>
          <w:sz w:val="28"/>
          <w:szCs w:val="28"/>
        </w:rPr>
      </w:pPr>
      <w:r>
        <w:rPr>
          <w:rFonts w:ascii="黑体" w:hAnsi="黑体" w:eastAsia="黑体" w:cs="黑体"/>
          <w:spacing w:val="-3"/>
          <w:sz w:val="28"/>
          <w:szCs w:val="28"/>
        </w:rPr>
        <w:t>电子投标文件编制及报送要求</w:t>
      </w:r>
    </w:p>
    <w:p w14:paraId="5216A051">
      <w:pPr>
        <w:pStyle w:val="6"/>
        <w:spacing w:line="314" w:lineRule="auto"/>
      </w:pPr>
    </w:p>
    <w:p w14:paraId="0C13826B">
      <w:pPr>
        <w:spacing w:before="65" w:line="362" w:lineRule="auto"/>
        <w:ind w:firstLine="421"/>
        <w:rPr>
          <w:rFonts w:ascii="宋体" w:hAnsi="宋体" w:eastAsia="宋体" w:cs="宋体"/>
          <w:sz w:val="20"/>
          <w:szCs w:val="20"/>
        </w:rPr>
      </w:pPr>
      <w:r>
        <w:rPr>
          <w:rFonts w:ascii="宋体" w:hAnsi="宋体" w:eastAsia="宋体" w:cs="宋体"/>
          <w:spacing w:val="8"/>
          <w:sz w:val="20"/>
          <w:szCs w:val="20"/>
        </w:rPr>
        <w:t>说明：采用计算机辅助评标，包括采用电子化招标投标的，本附表应当作为“投标人须知</w:t>
      </w:r>
      <w:r>
        <w:rPr>
          <w:rFonts w:ascii="宋体" w:hAnsi="宋体" w:eastAsia="宋体" w:cs="宋体"/>
          <w:spacing w:val="-68"/>
          <w:sz w:val="20"/>
          <w:szCs w:val="20"/>
        </w:rPr>
        <w:t xml:space="preserve"> </w:t>
      </w:r>
      <w:r>
        <w:rPr>
          <w:rFonts w:ascii="宋体" w:hAnsi="宋体" w:eastAsia="宋体" w:cs="宋体"/>
          <w:spacing w:val="8"/>
          <w:sz w:val="20"/>
          <w:szCs w:val="20"/>
        </w:rPr>
        <w:t>”的附件，</w:t>
      </w:r>
      <w:r>
        <w:rPr>
          <w:rFonts w:ascii="宋体" w:hAnsi="宋体" w:eastAsia="宋体" w:cs="宋体"/>
          <w:spacing w:val="-58"/>
          <w:sz w:val="20"/>
          <w:szCs w:val="20"/>
        </w:rPr>
        <w:t xml:space="preserve"> </w:t>
      </w:r>
      <w:r>
        <w:rPr>
          <w:rFonts w:ascii="宋体" w:hAnsi="宋体" w:eastAsia="宋体" w:cs="宋体"/>
          <w:spacing w:val="8"/>
          <w:sz w:val="20"/>
          <w:szCs w:val="20"/>
        </w:rPr>
        <w:t>由</w:t>
      </w:r>
      <w:r>
        <w:rPr>
          <w:rFonts w:ascii="宋体" w:hAnsi="宋体" w:eastAsia="宋体" w:cs="宋体"/>
          <w:sz w:val="20"/>
          <w:szCs w:val="20"/>
        </w:rPr>
        <w:t xml:space="preserve"> </w:t>
      </w:r>
      <w:r>
        <w:rPr>
          <w:rFonts w:ascii="宋体" w:hAnsi="宋体" w:eastAsia="宋体" w:cs="宋体"/>
          <w:spacing w:val="9"/>
          <w:sz w:val="20"/>
          <w:szCs w:val="20"/>
        </w:rPr>
        <w:t>招标人根据各地和招标项目的具体情况给予规定。</w:t>
      </w:r>
    </w:p>
    <w:p w14:paraId="0EE6267B">
      <w:pPr>
        <w:spacing w:line="362" w:lineRule="auto"/>
        <w:rPr>
          <w:rFonts w:ascii="宋体" w:hAnsi="宋体" w:eastAsia="宋体" w:cs="宋体"/>
          <w:sz w:val="20"/>
          <w:szCs w:val="20"/>
        </w:rPr>
        <w:sectPr>
          <w:footerReference r:id="rId17" w:type="default"/>
          <w:pgSz w:w="11907" w:h="16840"/>
          <w:pgMar w:top="1006" w:right="1020" w:bottom="1029" w:left="1028" w:header="0" w:footer="850" w:gutter="0"/>
          <w:pgNumType w:fmt="decimal"/>
          <w:cols w:space="720" w:num="1"/>
        </w:sectPr>
      </w:pPr>
    </w:p>
    <w:p w14:paraId="44335475">
      <w:pPr>
        <w:spacing w:before="49" w:line="222" w:lineRule="auto"/>
        <w:ind w:left="14"/>
        <w:rPr>
          <w:rFonts w:ascii="黑体" w:hAnsi="黑体" w:eastAsia="黑体" w:cs="黑体"/>
          <w:sz w:val="24"/>
          <w:szCs w:val="24"/>
        </w:rPr>
      </w:pPr>
      <w:r>
        <w:rPr>
          <w:rFonts w:ascii="黑体" w:hAnsi="黑体" w:eastAsia="黑体" w:cs="黑体"/>
          <w:spacing w:val="-3"/>
          <w:sz w:val="24"/>
          <w:szCs w:val="24"/>
        </w:rPr>
        <w:t>附件</w:t>
      </w:r>
      <w:r>
        <w:rPr>
          <w:rFonts w:ascii="黑体" w:hAnsi="黑体" w:eastAsia="黑体" w:cs="黑体"/>
          <w:spacing w:val="-45"/>
          <w:sz w:val="24"/>
          <w:szCs w:val="24"/>
        </w:rPr>
        <w:t xml:space="preserve"> </w:t>
      </w:r>
      <w:r>
        <w:rPr>
          <w:rFonts w:ascii="Calibri" w:hAnsi="Calibri" w:eastAsia="Calibri" w:cs="Calibri"/>
          <w:spacing w:val="-3"/>
          <w:sz w:val="24"/>
          <w:szCs w:val="24"/>
        </w:rPr>
        <w:t>2-2</w:t>
      </w:r>
      <w:r>
        <w:rPr>
          <w:rFonts w:ascii="黑体" w:hAnsi="黑体" w:eastAsia="黑体" w:cs="黑体"/>
          <w:spacing w:val="-3"/>
          <w:sz w:val="24"/>
          <w:szCs w:val="24"/>
        </w:rPr>
        <w:t>：否决投标的情形</w:t>
      </w:r>
    </w:p>
    <w:p w14:paraId="12A7FA81">
      <w:pPr>
        <w:pStyle w:val="6"/>
        <w:spacing w:line="441" w:lineRule="auto"/>
      </w:pPr>
    </w:p>
    <w:p w14:paraId="441CE802">
      <w:pPr>
        <w:spacing w:before="91" w:line="223" w:lineRule="auto"/>
        <w:ind w:left="3955"/>
        <w:rPr>
          <w:rFonts w:ascii="黑体" w:hAnsi="黑体" w:eastAsia="黑体" w:cs="黑体"/>
          <w:sz w:val="28"/>
          <w:szCs w:val="28"/>
        </w:rPr>
      </w:pPr>
      <w:r>
        <w:rPr>
          <w:rFonts w:ascii="黑体" w:hAnsi="黑体" w:eastAsia="黑体" w:cs="黑体"/>
          <w:spacing w:val="-2"/>
          <w:sz w:val="28"/>
          <w:szCs w:val="28"/>
        </w:rPr>
        <w:t>否决投标的情形</w:t>
      </w:r>
    </w:p>
    <w:p w14:paraId="61BE5AF6">
      <w:pPr>
        <w:pStyle w:val="6"/>
        <w:spacing w:line="310" w:lineRule="auto"/>
      </w:pPr>
    </w:p>
    <w:p w14:paraId="3981B593">
      <w:pPr>
        <w:spacing w:before="65" w:line="367" w:lineRule="auto"/>
        <w:ind w:firstLine="420"/>
        <w:jc w:val="both"/>
        <w:rPr>
          <w:rFonts w:ascii="宋体" w:hAnsi="宋体" w:eastAsia="宋体" w:cs="宋体"/>
          <w:sz w:val="20"/>
          <w:szCs w:val="20"/>
        </w:rPr>
      </w:pPr>
      <w:r>
        <w:rPr>
          <w:rFonts w:ascii="宋体" w:hAnsi="宋体" w:eastAsia="宋体" w:cs="宋体"/>
          <w:spacing w:val="8"/>
          <w:sz w:val="20"/>
          <w:szCs w:val="20"/>
        </w:rPr>
        <w:t>本附件所集中列示的否决投标情形，是“评标办法</w:t>
      </w:r>
      <w:r>
        <w:rPr>
          <w:rFonts w:ascii="宋体" w:hAnsi="宋体" w:eastAsia="宋体" w:cs="宋体"/>
          <w:spacing w:val="-52"/>
          <w:sz w:val="20"/>
          <w:szCs w:val="20"/>
        </w:rPr>
        <w:t xml:space="preserve"> </w:t>
      </w:r>
      <w:r>
        <w:rPr>
          <w:rFonts w:ascii="宋体" w:hAnsi="宋体" w:eastAsia="宋体" w:cs="宋体"/>
          <w:spacing w:val="8"/>
          <w:sz w:val="20"/>
          <w:szCs w:val="20"/>
        </w:rPr>
        <w:t>”的组成部分，是对“投标人须知</w:t>
      </w:r>
      <w:r>
        <w:rPr>
          <w:rFonts w:ascii="宋体" w:hAnsi="宋体" w:eastAsia="宋体" w:cs="宋体"/>
          <w:spacing w:val="-72"/>
          <w:sz w:val="20"/>
          <w:szCs w:val="20"/>
        </w:rPr>
        <w:t xml:space="preserve"> </w:t>
      </w:r>
      <w:r>
        <w:rPr>
          <w:rFonts w:ascii="宋体" w:hAnsi="宋体" w:eastAsia="宋体" w:cs="宋体"/>
          <w:spacing w:val="8"/>
          <w:sz w:val="20"/>
          <w:szCs w:val="20"/>
        </w:rPr>
        <w:t>”和评标办法规定</w:t>
      </w:r>
      <w:r>
        <w:rPr>
          <w:rFonts w:ascii="宋体" w:hAnsi="宋体" w:eastAsia="宋体" w:cs="宋体"/>
          <w:sz w:val="20"/>
          <w:szCs w:val="20"/>
        </w:rPr>
        <w:t xml:space="preserve"> </w:t>
      </w:r>
      <w:r>
        <w:rPr>
          <w:rFonts w:ascii="宋体" w:hAnsi="宋体" w:eastAsia="宋体" w:cs="宋体"/>
          <w:spacing w:val="10"/>
          <w:sz w:val="20"/>
          <w:szCs w:val="20"/>
        </w:rPr>
        <w:t>的否决投标情形的总结和补充，如果出现相互矛盾的情况，以本附件所</w:t>
      </w:r>
      <w:r>
        <w:rPr>
          <w:rFonts w:ascii="宋体" w:hAnsi="宋体" w:eastAsia="宋体" w:cs="宋体"/>
          <w:spacing w:val="9"/>
          <w:sz w:val="20"/>
          <w:szCs w:val="20"/>
        </w:rPr>
        <w:t>集中列示的为准。未列入本附件所列</w:t>
      </w:r>
      <w:r>
        <w:rPr>
          <w:rFonts w:ascii="宋体" w:hAnsi="宋体" w:eastAsia="宋体" w:cs="宋体"/>
          <w:sz w:val="20"/>
          <w:szCs w:val="20"/>
        </w:rPr>
        <w:t xml:space="preserve"> </w:t>
      </w:r>
      <w:r>
        <w:rPr>
          <w:rFonts w:ascii="宋体" w:hAnsi="宋体" w:eastAsia="宋体" w:cs="宋体"/>
          <w:spacing w:val="8"/>
          <w:sz w:val="20"/>
          <w:szCs w:val="20"/>
        </w:rPr>
        <w:t>情形的，不得作为否决投标的依据。</w:t>
      </w:r>
    </w:p>
    <w:p w14:paraId="3D0573BA">
      <w:pPr>
        <w:spacing w:before="34" w:line="228" w:lineRule="auto"/>
        <w:ind w:left="422"/>
        <w:rPr>
          <w:rFonts w:ascii="宋体" w:hAnsi="宋体" w:eastAsia="宋体" w:cs="宋体"/>
          <w:sz w:val="20"/>
          <w:szCs w:val="20"/>
        </w:rPr>
      </w:pPr>
      <w:r>
        <w:rPr>
          <w:rFonts w:ascii="宋体" w:hAnsi="宋体" w:eastAsia="宋体" w:cs="宋体"/>
          <w:spacing w:val="9"/>
          <w:sz w:val="20"/>
          <w:szCs w:val="20"/>
        </w:rPr>
        <w:t>投标人或其投标文件有下列情形之一的，其投标应当予以否决：</w:t>
      </w:r>
    </w:p>
    <w:p w14:paraId="6454B318">
      <w:pPr>
        <w:spacing w:before="161" w:line="227" w:lineRule="auto"/>
        <w:ind w:left="435"/>
        <w:rPr>
          <w:rFonts w:ascii="宋体" w:hAnsi="宋体" w:eastAsia="宋体" w:cs="宋体"/>
          <w:sz w:val="20"/>
          <w:szCs w:val="20"/>
        </w:rPr>
      </w:pPr>
      <w:r>
        <w:rPr>
          <w:rFonts w:ascii="宋体" w:hAnsi="宋体" w:eastAsia="宋体" w:cs="宋体"/>
          <w:spacing w:val="5"/>
          <w:sz w:val="20"/>
          <w:szCs w:val="20"/>
        </w:rPr>
        <w:t>1.1 有本章“投标人须知</w:t>
      </w:r>
      <w:r>
        <w:rPr>
          <w:rFonts w:ascii="宋体" w:hAnsi="宋体" w:eastAsia="宋体" w:cs="宋体"/>
          <w:spacing w:val="-58"/>
          <w:sz w:val="20"/>
          <w:szCs w:val="20"/>
        </w:rPr>
        <w:t xml:space="preserve"> </w:t>
      </w:r>
      <w:r>
        <w:rPr>
          <w:rFonts w:ascii="宋体" w:hAnsi="宋体" w:eastAsia="宋体" w:cs="宋体"/>
          <w:spacing w:val="5"/>
          <w:sz w:val="20"/>
          <w:szCs w:val="20"/>
        </w:rPr>
        <w:t>”第</w:t>
      </w:r>
      <w:r>
        <w:rPr>
          <w:rFonts w:ascii="宋体" w:hAnsi="宋体" w:eastAsia="宋体" w:cs="宋体"/>
          <w:spacing w:val="-24"/>
          <w:sz w:val="20"/>
          <w:szCs w:val="20"/>
        </w:rPr>
        <w:t xml:space="preserve"> </w:t>
      </w:r>
      <w:r>
        <w:rPr>
          <w:rFonts w:ascii="宋体" w:hAnsi="宋体" w:eastAsia="宋体" w:cs="宋体"/>
          <w:spacing w:val="5"/>
          <w:sz w:val="20"/>
          <w:szCs w:val="20"/>
        </w:rPr>
        <w:t>1.4.3</w:t>
      </w:r>
      <w:r>
        <w:rPr>
          <w:rFonts w:ascii="宋体" w:hAnsi="宋体" w:eastAsia="宋体" w:cs="宋体"/>
          <w:spacing w:val="-34"/>
          <w:sz w:val="20"/>
          <w:szCs w:val="20"/>
        </w:rPr>
        <w:t xml:space="preserve"> </w:t>
      </w:r>
      <w:r>
        <w:rPr>
          <w:rFonts w:ascii="宋体" w:hAnsi="宋体" w:eastAsia="宋体" w:cs="宋体"/>
          <w:spacing w:val="5"/>
          <w:sz w:val="20"/>
          <w:szCs w:val="20"/>
        </w:rPr>
        <w:t>项规定的任何一种情形的；</w:t>
      </w:r>
    </w:p>
    <w:p w14:paraId="6E7494A5">
      <w:pPr>
        <w:spacing w:before="161" w:line="228" w:lineRule="auto"/>
        <w:ind w:left="435"/>
        <w:rPr>
          <w:rFonts w:ascii="宋体" w:hAnsi="宋体" w:eastAsia="宋体" w:cs="宋体"/>
          <w:sz w:val="20"/>
          <w:szCs w:val="20"/>
        </w:rPr>
      </w:pPr>
      <w:r>
        <w:rPr>
          <w:rFonts w:ascii="宋体" w:hAnsi="宋体" w:eastAsia="宋体" w:cs="宋体"/>
          <w:spacing w:val="8"/>
          <w:sz w:val="20"/>
          <w:szCs w:val="20"/>
        </w:rPr>
        <w:t>1.2 投标人以他人名义投标、串通投标、以行贿手段谋取中标的；</w:t>
      </w:r>
    </w:p>
    <w:p w14:paraId="7DB763AD">
      <w:pPr>
        <w:spacing w:before="162" w:line="302" w:lineRule="auto"/>
        <w:ind w:firstLine="435"/>
        <w:rPr>
          <w:rFonts w:ascii="宋体" w:hAnsi="宋体" w:eastAsia="宋体" w:cs="宋体"/>
          <w:sz w:val="20"/>
          <w:szCs w:val="20"/>
        </w:rPr>
      </w:pPr>
      <w:r>
        <w:rPr>
          <w:rFonts w:ascii="宋体" w:hAnsi="宋体" w:eastAsia="宋体" w:cs="宋体"/>
          <w:spacing w:val="14"/>
          <w:sz w:val="20"/>
          <w:szCs w:val="20"/>
        </w:rPr>
        <w:t>1.3 投标人资格条件不符合国家有关规定或者招</w:t>
      </w:r>
      <w:r>
        <w:rPr>
          <w:rFonts w:ascii="宋体" w:hAnsi="宋体" w:eastAsia="宋体" w:cs="宋体"/>
          <w:spacing w:val="13"/>
          <w:sz w:val="20"/>
          <w:szCs w:val="20"/>
        </w:rPr>
        <w:t>标文件要求的，或者拒不按照要求对投标文件进行澄</w:t>
      </w:r>
      <w:r>
        <w:rPr>
          <w:rFonts w:ascii="宋体" w:hAnsi="宋体" w:eastAsia="宋体" w:cs="宋体"/>
          <w:sz w:val="20"/>
          <w:szCs w:val="20"/>
        </w:rPr>
        <w:t xml:space="preserve"> </w:t>
      </w:r>
      <w:r>
        <w:rPr>
          <w:rFonts w:ascii="宋体" w:hAnsi="宋体" w:eastAsia="宋体" w:cs="宋体"/>
          <w:spacing w:val="9"/>
          <w:sz w:val="20"/>
          <w:szCs w:val="20"/>
        </w:rPr>
        <w:t>清、说明或补正的，或者其说明补正无法证明其为合格投标人的；</w:t>
      </w:r>
    </w:p>
    <w:p w14:paraId="42A0480D">
      <w:pPr>
        <w:spacing w:before="160" w:line="304" w:lineRule="auto"/>
        <w:ind w:left="3" w:right="2" w:firstLine="432"/>
        <w:rPr>
          <w:rFonts w:ascii="宋体" w:hAnsi="宋体" w:eastAsia="宋体" w:cs="宋体"/>
          <w:sz w:val="20"/>
          <w:szCs w:val="20"/>
        </w:rPr>
      </w:pPr>
      <w:r>
        <w:rPr>
          <w:rFonts w:ascii="宋体" w:hAnsi="宋体" w:eastAsia="宋体" w:cs="宋体"/>
          <w:spacing w:val="10"/>
          <w:sz w:val="20"/>
          <w:szCs w:val="20"/>
        </w:rPr>
        <w:t>1.4</w:t>
      </w:r>
      <w:r>
        <w:rPr>
          <w:rFonts w:ascii="宋体" w:hAnsi="宋体" w:eastAsia="宋体" w:cs="宋体"/>
          <w:spacing w:val="-41"/>
          <w:sz w:val="20"/>
          <w:szCs w:val="20"/>
        </w:rPr>
        <w:t xml:space="preserve"> </w:t>
      </w:r>
      <w:r>
        <w:rPr>
          <w:rFonts w:ascii="宋体" w:hAnsi="宋体" w:eastAsia="宋体" w:cs="宋体"/>
          <w:spacing w:val="10"/>
          <w:sz w:val="20"/>
          <w:szCs w:val="20"/>
        </w:rPr>
        <w:t>在形式评审、资格评审、响应性评审中，评标委员会认定投标文件不符合评标办法前附表规定的任</w:t>
      </w:r>
      <w:r>
        <w:rPr>
          <w:rFonts w:ascii="宋体" w:hAnsi="宋体" w:eastAsia="宋体" w:cs="宋体"/>
          <w:sz w:val="20"/>
          <w:szCs w:val="20"/>
        </w:rPr>
        <w:t xml:space="preserve"> </w:t>
      </w:r>
      <w:r>
        <w:rPr>
          <w:rFonts w:ascii="宋体" w:hAnsi="宋体" w:eastAsia="宋体" w:cs="宋体"/>
          <w:spacing w:val="7"/>
          <w:sz w:val="20"/>
          <w:szCs w:val="20"/>
        </w:rPr>
        <w:t>何一项评审标准的；</w:t>
      </w:r>
    </w:p>
    <w:p w14:paraId="6781691F">
      <w:pPr>
        <w:spacing w:before="161" w:line="302" w:lineRule="auto"/>
        <w:ind w:left="3" w:right="48" w:firstLine="432"/>
        <w:rPr>
          <w:rFonts w:ascii="宋体" w:hAnsi="宋体" w:eastAsia="宋体" w:cs="宋体"/>
          <w:sz w:val="20"/>
          <w:szCs w:val="20"/>
        </w:rPr>
      </w:pPr>
      <w:r>
        <w:rPr>
          <w:rFonts w:ascii="宋体" w:hAnsi="宋体" w:eastAsia="宋体" w:cs="宋体"/>
          <w:spacing w:val="7"/>
          <w:sz w:val="20"/>
          <w:szCs w:val="20"/>
        </w:rPr>
        <w:t>1.5</w:t>
      </w:r>
      <w:r>
        <w:rPr>
          <w:rFonts w:ascii="宋体" w:hAnsi="宋体" w:eastAsia="宋体" w:cs="宋体"/>
          <w:spacing w:val="51"/>
          <w:sz w:val="20"/>
          <w:szCs w:val="20"/>
        </w:rPr>
        <w:t xml:space="preserve"> </w:t>
      </w:r>
      <w:r>
        <w:rPr>
          <w:rFonts w:ascii="宋体" w:hAnsi="宋体" w:eastAsia="宋体" w:cs="宋体"/>
          <w:spacing w:val="7"/>
          <w:sz w:val="20"/>
          <w:szCs w:val="20"/>
        </w:rPr>
        <w:t>已进行资格预审的，当投标人资格申请文件的内容发生重大变化时，其在投标文件中更新的资料，</w:t>
      </w:r>
      <w:r>
        <w:rPr>
          <w:rFonts w:ascii="宋体" w:hAnsi="宋体" w:eastAsia="宋体" w:cs="宋体"/>
          <w:sz w:val="20"/>
          <w:szCs w:val="20"/>
        </w:rPr>
        <w:t xml:space="preserve"> </w:t>
      </w:r>
      <w:r>
        <w:rPr>
          <w:rFonts w:ascii="宋体" w:hAnsi="宋体" w:eastAsia="宋体" w:cs="宋体"/>
          <w:spacing w:val="7"/>
          <w:sz w:val="20"/>
          <w:szCs w:val="20"/>
        </w:rPr>
        <w:t>未能通过资格评审的；</w:t>
      </w:r>
    </w:p>
    <w:p w14:paraId="5623043F">
      <w:pPr>
        <w:spacing w:before="162" w:line="226" w:lineRule="auto"/>
        <w:ind w:left="435"/>
        <w:outlineLvl w:val="2"/>
        <w:rPr>
          <w:rFonts w:ascii="宋体" w:hAnsi="宋体" w:eastAsia="宋体" w:cs="宋体"/>
          <w:sz w:val="20"/>
          <w:szCs w:val="20"/>
        </w:rPr>
      </w:pPr>
      <w:bookmarkStart w:id="139" w:name="_Toc31283"/>
      <w:r>
        <w:rPr>
          <w:rFonts w:ascii="宋体" w:hAnsi="宋体" w:eastAsia="宋体" w:cs="宋体"/>
          <w:spacing w:val="7"/>
          <w:sz w:val="20"/>
          <w:szCs w:val="20"/>
        </w:rPr>
        <w:t>1.6</w:t>
      </w:r>
      <w:r>
        <w:rPr>
          <w:rFonts w:ascii="宋体" w:hAnsi="宋体" w:eastAsia="宋体" w:cs="宋体"/>
          <w:spacing w:val="-28"/>
          <w:sz w:val="20"/>
          <w:szCs w:val="20"/>
        </w:rPr>
        <w:t xml:space="preserve"> </w:t>
      </w:r>
      <w:r>
        <w:rPr>
          <w:rFonts w:ascii="宋体" w:hAnsi="宋体" w:eastAsia="宋体" w:cs="宋体"/>
          <w:spacing w:val="7"/>
          <w:sz w:val="20"/>
          <w:szCs w:val="20"/>
        </w:rPr>
        <w:t>评标委员会认定投标人以低于成本报价竞标的；</w:t>
      </w:r>
      <w:bookmarkEnd w:id="139"/>
    </w:p>
    <w:p w14:paraId="5C3BC402">
      <w:pPr>
        <w:spacing w:before="165" w:line="227" w:lineRule="auto"/>
        <w:ind w:left="435"/>
        <w:rPr>
          <w:rFonts w:ascii="宋体" w:hAnsi="宋体" w:eastAsia="宋体" w:cs="宋体"/>
          <w:sz w:val="20"/>
          <w:szCs w:val="20"/>
        </w:rPr>
      </w:pPr>
      <w:r>
        <w:rPr>
          <w:rFonts w:ascii="宋体" w:hAnsi="宋体" w:eastAsia="宋体" w:cs="宋体"/>
          <w:spacing w:val="8"/>
          <w:sz w:val="20"/>
          <w:szCs w:val="20"/>
        </w:rPr>
        <w:t>1.7 施工组织设计采用合格性评审，被评标委员会认定为不合格的；</w:t>
      </w:r>
    </w:p>
    <w:p w14:paraId="4DE056E8">
      <w:pPr>
        <w:spacing w:before="163" w:line="302" w:lineRule="auto"/>
        <w:ind w:right="2" w:firstLine="435"/>
        <w:rPr>
          <w:rFonts w:ascii="宋体" w:hAnsi="宋体" w:eastAsia="宋体" w:cs="宋体"/>
          <w:sz w:val="20"/>
          <w:szCs w:val="20"/>
        </w:rPr>
      </w:pPr>
      <w:r>
        <w:rPr>
          <w:rFonts w:ascii="宋体" w:hAnsi="宋体" w:eastAsia="宋体" w:cs="宋体"/>
          <w:spacing w:val="8"/>
          <w:sz w:val="20"/>
          <w:szCs w:val="20"/>
        </w:rPr>
        <w:t>1.8</w:t>
      </w:r>
      <w:r>
        <w:rPr>
          <w:rFonts w:ascii="宋体" w:hAnsi="宋体" w:eastAsia="宋体" w:cs="宋体"/>
          <w:spacing w:val="-33"/>
          <w:sz w:val="20"/>
          <w:szCs w:val="20"/>
        </w:rPr>
        <w:t xml:space="preserve"> </w:t>
      </w:r>
      <w:r>
        <w:rPr>
          <w:rFonts w:ascii="宋体" w:hAnsi="宋体" w:eastAsia="宋体" w:cs="宋体"/>
          <w:spacing w:val="8"/>
          <w:sz w:val="20"/>
          <w:szCs w:val="20"/>
        </w:rPr>
        <w:t>投标报价有错误的，评标委员会按评标办法“</w:t>
      </w:r>
      <w:r>
        <w:rPr>
          <w:rFonts w:ascii="宋体" w:hAnsi="宋体" w:eastAsia="宋体" w:cs="宋体"/>
          <w:spacing w:val="-73"/>
          <w:sz w:val="20"/>
          <w:szCs w:val="20"/>
        </w:rPr>
        <w:t xml:space="preserve"> </w:t>
      </w:r>
      <w:r>
        <w:rPr>
          <w:rFonts w:ascii="宋体" w:hAnsi="宋体" w:eastAsia="宋体" w:cs="宋体"/>
          <w:spacing w:val="8"/>
          <w:sz w:val="20"/>
          <w:szCs w:val="20"/>
        </w:rPr>
        <w:t>附件</w:t>
      </w:r>
      <w:r>
        <w:rPr>
          <w:rFonts w:ascii="宋体" w:hAnsi="宋体" w:eastAsia="宋体" w:cs="宋体"/>
          <w:spacing w:val="-30"/>
          <w:sz w:val="20"/>
          <w:szCs w:val="20"/>
        </w:rPr>
        <w:t xml:space="preserve"> </w:t>
      </w:r>
      <w:r>
        <w:rPr>
          <w:rFonts w:ascii="宋体" w:hAnsi="宋体" w:eastAsia="宋体" w:cs="宋体"/>
          <w:spacing w:val="8"/>
          <w:sz w:val="20"/>
          <w:szCs w:val="20"/>
        </w:rPr>
        <w:t>3</w:t>
      </w:r>
      <w:r>
        <w:rPr>
          <w:rFonts w:ascii="宋体" w:hAnsi="宋体" w:eastAsia="宋体" w:cs="宋体"/>
          <w:spacing w:val="8"/>
          <w:sz w:val="18"/>
          <w:szCs w:val="18"/>
        </w:rPr>
        <w:t>-</w:t>
      </w:r>
      <w:r>
        <w:rPr>
          <w:rFonts w:ascii="宋体" w:hAnsi="宋体" w:eastAsia="宋体" w:cs="宋体"/>
          <w:spacing w:val="8"/>
          <w:sz w:val="20"/>
          <w:szCs w:val="20"/>
        </w:rPr>
        <w:t>1</w:t>
      </w:r>
      <w:r>
        <w:rPr>
          <w:rFonts w:ascii="宋体" w:hAnsi="宋体" w:eastAsia="宋体" w:cs="宋体"/>
          <w:spacing w:val="-39"/>
          <w:sz w:val="20"/>
          <w:szCs w:val="20"/>
        </w:rPr>
        <w:t xml:space="preserve"> </w:t>
      </w:r>
      <w:r>
        <w:rPr>
          <w:rFonts w:ascii="宋体" w:hAnsi="宋体" w:eastAsia="宋体" w:cs="宋体"/>
          <w:spacing w:val="8"/>
          <w:sz w:val="20"/>
          <w:szCs w:val="20"/>
        </w:rPr>
        <w:t>评标详细程序</w:t>
      </w:r>
      <w:r>
        <w:rPr>
          <w:rFonts w:ascii="宋体" w:hAnsi="宋体" w:eastAsia="宋体" w:cs="宋体"/>
          <w:spacing w:val="-70"/>
          <w:sz w:val="20"/>
          <w:szCs w:val="20"/>
        </w:rPr>
        <w:t xml:space="preserve"> </w:t>
      </w:r>
      <w:r>
        <w:rPr>
          <w:rFonts w:ascii="宋体" w:hAnsi="宋体" w:eastAsia="宋体" w:cs="宋体"/>
          <w:spacing w:val="8"/>
          <w:sz w:val="20"/>
          <w:szCs w:val="20"/>
        </w:rPr>
        <w:t>”的有关规定对投标报价</w:t>
      </w:r>
      <w:r>
        <w:rPr>
          <w:rFonts w:ascii="宋体" w:hAnsi="宋体" w:eastAsia="宋体" w:cs="宋体"/>
          <w:spacing w:val="7"/>
          <w:sz w:val="20"/>
          <w:szCs w:val="20"/>
        </w:rPr>
        <w:t>进行</w:t>
      </w:r>
      <w:r>
        <w:rPr>
          <w:rFonts w:ascii="宋体" w:hAnsi="宋体" w:eastAsia="宋体" w:cs="宋体"/>
          <w:sz w:val="20"/>
          <w:szCs w:val="20"/>
        </w:rPr>
        <w:t xml:space="preserve"> </w:t>
      </w:r>
      <w:r>
        <w:rPr>
          <w:rFonts w:ascii="宋体" w:hAnsi="宋体" w:eastAsia="宋体" w:cs="宋体"/>
          <w:spacing w:val="9"/>
          <w:sz w:val="20"/>
          <w:szCs w:val="20"/>
        </w:rPr>
        <w:t>修正，并要求投标人作出澄清说明和确认，投标人拒不作出澄清说明和确认的；</w:t>
      </w:r>
    </w:p>
    <w:p w14:paraId="41906282">
      <w:pPr>
        <w:spacing w:before="161" w:line="303" w:lineRule="auto"/>
        <w:ind w:left="19" w:firstLine="415"/>
        <w:rPr>
          <w:rFonts w:ascii="宋体" w:hAnsi="宋体" w:eastAsia="宋体" w:cs="宋体"/>
          <w:sz w:val="20"/>
          <w:szCs w:val="20"/>
        </w:rPr>
      </w:pPr>
      <w:r>
        <w:rPr>
          <w:rFonts w:ascii="宋体" w:hAnsi="宋体" w:eastAsia="宋体" w:cs="宋体"/>
          <w:spacing w:val="9"/>
          <w:sz w:val="20"/>
          <w:szCs w:val="20"/>
        </w:rPr>
        <w:t>1.9 投标文件存在弄虚作假或者隐瞒事实，或者未按照招标文件要求如实提供有关情况和文件。被</w:t>
      </w:r>
      <w:r>
        <w:rPr>
          <w:rFonts w:ascii="宋体" w:hAnsi="宋体" w:eastAsia="宋体" w:cs="宋体"/>
          <w:spacing w:val="8"/>
          <w:sz w:val="20"/>
          <w:szCs w:val="20"/>
        </w:rPr>
        <w:t>列为</w:t>
      </w:r>
      <w:r>
        <w:rPr>
          <w:rFonts w:ascii="宋体" w:hAnsi="宋体" w:eastAsia="宋体" w:cs="宋体"/>
          <w:sz w:val="20"/>
          <w:szCs w:val="20"/>
        </w:rPr>
        <w:t xml:space="preserve"> </w:t>
      </w:r>
      <w:r>
        <w:rPr>
          <w:rFonts w:ascii="宋体" w:hAnsi="宋体" w:eastAsia="宋体" w:cs="宋体"/>
          <w:spacing w:val="8"/>
          <w:sz w:val="20"/>
          <w:szCs w:val="20"/>
        </w:rPr>
        <w:t>中标候选人的，应当取消其中标候选人资格。</w:t>
      </w:r>
    </w:p>
    <w:p w14:paraId="0B4F33C0">
      <w:pPr>
        <w:spacing w:before="162" w:line="324" w:lineRule="exact"/>
        <w:ind w:left="433"/>
        <w:rPr>
          <w:rFonts w:ascii="宋体" w:hAnsi="宋体" w:eastAsia="宋体" w:cs="宋体"/>
          <w:sz w:val="20"/>
          <w:szCs w:val="20"/>
        </w:rPr>
      </w:pPr>
      <w:r>
        <w:rPr>
          <w:rFonts w:ascii="宋体" w:hAnsi="宋体" w:eastAsia="宋体" w:cs="宋体"/>
          <w:color w:val="0000FF"/>
          <w:spacing w:val="-2"/>
          <w:position w:val="2"/>
          <w:sz w:val="20"/>
          <w:szCs w:val="20"/>
        </w:rPr>
        <w:t>……</w:t>
      </w:r>
    </w:p>
    <w:p w14:paraId="1E4B1B03">
      <w:pPr>
        <w:spacing w:line="324" w:lineRule="exact"/>
        <w:rPr>
          <w:rFonts w:ascii="宋体" w:hAnsi="宋体" w:eastAsia="宋体" w:cs="宋体"/>
          <w:sz w:val="20"/>
          <w:szCs w:val="20"/>
        </w:rPr>
        <w:sectPr>
          <w:footerReference r:id="rId18" w:type="default"/>
          <w:pgSz w:w="11907" w:h="16840"/>
          <w:pgMar w:top="1006" w:right="1020" w:bottom="1029" w:left="1028" w:header="0" w:footer="850" w:gutter="0"/>
          <w:pgNumType w:fmt="decimal"/>
          <w:cols w:space="720" w:num="1"/>
        </w:sectPr>
      </w:pPr>
    </w:p>
    <w:p w14:paraId="2161BEFA">
      <w:pPr>
        <w:spacing w:before="48" w:line="221" w:lineRule="auto"/>
        <w:ind w:left="77"/>
        <w:rPr>
          <w:rFonts w:ascii="黑体" w:hAnsi="黑体" w:eastAsia="黑体" w:cs="黑体"/>
          <w:sz w:val="24"/>
          <w:szCs w:val="24"/>
        </w:rPr>
      </w:pPr>
      <w:r>
        <w:rPr>
          <w:rFonts w:ascii="黑体" w:hAnsi="黑体" w:eastAsia="黑体" w:cs="黑体"/>
          <w:spacing w:val="-3"/>
          <w:sz w:val="24"/>
          <w:szCs w:val="24"/>
        </w:rPr>
        <w:t>附件</w:t>
      </w:r>
      <w:r>
        <w:rPr>
          <w:rFonts w:ascii="黑体" w:hAnsi="黑体" w:eastAsia="黑体" w:cs="黑体"/>
          <w:spacing w:val="-36"/>
          <w:sz w:val="24"/>
          <w:szCs w:val="24"/>
        </w:rPr>
        <w:t xml:space="preserve"> </w:t>
      </w:r>
      <w:r>
        <w:rPr>
          <w:rFonts w:ascii="Calibri" w:hAnsi="Calibri" w:eastAsia="Calibri" w:cs="Calibri"/>
          <w:spacing w:val="-3"/>
          <w:sz w:val="24"/>
          <w:szCs w:val="24"/>
        </w:rPr>
        <w:t>2-3</w:t>
      </w:r>
      <w:r>
        <w:rPr>
          <w:rFonts w:ascii="黑体" w:hAnsi="黑体" w:eastAsia="黑体" w:cs="黑体"/>
          <w:spacing w:val="-3"/>
          <w:sz w:val="24"/>
          <w:szCs w:val="24"/>
        </w:rPr>
        <w:t>：投标报价成本评审办法</w:t>
      </w:r>
    </w:p>
    <w:p w14:paraId="31F8E0AA">
      <w:pPr>
        <w:pStyle w:val="6"/>
        <w:spacing w:line="256" w:lineRule="auto"/>
      </w:pPr>
    </w:p>
    <w:p w14:paraId="7F078ED1">
      <w:pPr>
        <w:spacing w:before="91" w:line="222" w:lineRule="auto"/>
        <w:ind w:left="3534"/>
        <w:rPr>
          <w:rFonts w:ascii="黑体" w:hAnsi="黑体" w:eastAsia="黑体" w:cs="黑体"/>
          <w:sz w:val="28"/>
          <w:szCs w:val="28"/>
        </w:rPr>
      </w:pPr>
      <w:r>
        <w:rPr>
          <w:rFonts w:ascii="黑体" w:hAnsi="黑体" w:eastAsia="黑体" w:cs="黑体"/>
          <w:spacing w:val="-1"/>
          <w:sz w:val="28"/>
          <w:szCs w:val="28"/>
        </w:rPr>
        <w:t>投标报价成本评审办法</w:t>
      </w:r>
    </w:p>
    <w:p w14:paraId="20DA60AA">
      <w:pPr>
        <w:spacing w:before="234" w:line="335" w:lineRule="auto"/>
        <w:ind w:left="435" w:right="521" w:hanging="14"/>
        <w:rPr>
          <w:rFonts w:ascii="宋体" w:hAnsi="宋体" w:eastAsia="宋体" w:cs="宋体"/>
          <w:sz w:val="20"/>
          <w:szCs w:val="20"/>
        </w:rPr>
      </w:pPr>
      <w:r>
        <w:rPr>
          <w:rFonts w:ascii="宋体" w:hAnsi="宋体" w:eastAsia="宋体" w:cs="宋体"/>
          <w:spacing w:val="8"/>
          <w:sz w:val="20"/>
          <w:szCs w:val="20"/>
        </w:rPr>
        <w:t>本附件是“评标办法</w:t>
      </w:r>
      <w:r>
        <w:rPr>
          <w:rFonts w:ascii="宋体" w:hAnsi="宋体" w:eastAsia="宋体" w:cs="宋体"/>
          <w:spacing w:val="-61"/>
          <w:sz w:val="20"/>
          <w:szCs w:val="20"/>
        </w:rPr>
        <w:t xml:space="preserve"> </w:t>
      </w:r>
      <w:r>
        <w:rPr>
          <w:rFonts w:ascii="宋体" w:hAnsi="宋体" w:eastAsia="宋体" w:cs="宋体"/>
          <w:spacing w:val="8"/>
          <w:sz w:val="20"/>
          <w:szCs w:val="20"/>
        </w:rPr>
        <w:t>”的组成部分，评标委员会对投标人投标报价成本评审比较时，适用本办法。</w:t>
      </w:r>
      <w:r>
        <w:rPr>
          <w:rFonts w:ascii="宋体" w:hAnsi="宋体" w:eastAsia="宋体" w:cs="宋体"/>
          <w:sz w:val="20"/>
          <w:szCs w:val="20"/>
        </w:rPr>
        <w:t xml:space="preserve"> </w:t>
      </w:r>
      <w:r>
        <w:rPr>
          <w:rFonts w:ascii="宋体" w:hAnsi="宋体" w:eastAsia="宋体" w:cs="宋体"/>
          <w:spacing w:val="7"/>
          <w:sz w:val="20"/>
          <w:szCs w:val="20"/>
        </w:rPr>
        <w:t>1.启动成本评审工作的前提条件</w:t>
      </w:r>
    </w:p>
    <w:p w14:paraId="17A1751E">
      <w:pPr>
        <w:spacing w:before="33" w:line="337" w:lineRule="auto"/>
        <w:ind w:left="1" w:right="68" w:firstLine="418"/>
        <w:rPr>
          <w:rFonts w:ascii="宋体" w:hAnsi="宋体" w:eastAsia="宋体" w:cs="宋体"/>
          <w:sz w:val="20"/>
          <w:szCs w:val="20"/>
        </w:rPr>
      </w:pPr>
      <w:r>
        <w:rPr>
          <w:rFonts w:ascii="宋体" w:hAnsi="宋体" w:eastAsia="宋体" w:cs="宋体"/>
          <w:spacing w:val="10"/>
          <w:sz w:val="20"/>
          <w:szCs w:val="20"/>
        </w:rPr>
        <w:t>在满足下列三项条件的前提下，评标委员会应当启动成本评审，以判断投标</w:t>
      </w:r>
      <w:r>
        <w:rPr>
          <w:rFonts w:ascii="宋体" w:hAnsi="宋体" w:eastAsia="宋体" w:cs="宋体"/>
          <w:spacing w:val="9"/>
          <w:sz w:val="20"/>
          <w:szCs w:val="20"/>
        </w:rPr>
        <w:t>人的投标报价是否低于其成</w:t>
      </w:r>
      <w:r>
        <w:rPr>
          <w:rFonts w:ascii="宋体" w:hAnsi="宋体" w:eastAsia="宋体" w:cs="宋体"/>
          <w:sz w:val="20"/>
          <w:szCs w:val="20"/>
        </w:rPr>
        <w:t xml:space="preserve"> 本：</w:t>
      </w:r>
    </w:p>
    <w:p w14:paraId="27C9D669">
      <w:pPr>
        <w:spacing w:before="29" w:line="228" w:lineRule="auto"/>
        <w:ind w:left="436"/>
        <w:rPr>
          <w:rFonts w:ascii="宋体" w:hAnsi="宋体" w:eastAsia="宋体" w:cs="宋体"/>
          <w:sz w:val="20"/>
          <w:szCs w:val="20"/>
        </w:rPr>
      </w:pPr>
      <w:r>
        <w:rPr>
          <w:rFonts w:ascii="宋体" w:hAnsi="宋体" w:eastAsia="宋体" w:cs="宋体"/>
          <w:spacing w:val="8"/>
          <w:sz w:val="20"/>
          <w:szCs w:val="20"/>
        </w:rPr>
        <w:t>1.1 投标人的投标文件已经通过“形式、资格、响应性评审</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32F27C9C">
      <w:pPr>
        <w:spacing w:before="132" w:line="228" w:lineRule="auto"/>
        <w:ind w:left="436"/>
        <w:outlineLvl w:val="2"/>
        <w:rPr>
          <w:rFonts w:ascii="宋体" w:hAnsi="宋体" w:eastAsia="宋体" w:cs="宋体"/>
          <w:sz w:val="20"/>
          <w:szCs w:val="20"/>
        </w:rPr>
      </w:pPr>
      <w:bookmarkStart w:id="140" w:name="_Toc8699"/>
      <w:r>
        <w:rPr>
          <w:rFonts w:ascii="宋体" w:hAnsi="宋体" w:eastAsia="宋体" w:cs="宋体"/>
          <w:spacing w:val="8"/>
          <w:sz w:val="20"/>
          <w:szCs w:val="20"/>
        </w:rPr>
        <w:t>1.2 投标人的施工组织设计通过合格制评审的（如有</w:t>
      </w:r>
      <w:r>
        <w:rPr>
          <w:rFonts w:ascii="宋体" w:hAnsi="宋体" w:eastAsia="宋体" w:cs="宋体"/>
          <w:sz w:val="20"/>
          <w:szCs w:val="20"/>
        </w:rPr>
        <w:t>）；</w:t>
      </w:r>
      <w:bookmarkEnd w:id="140"/>
    </w:p>
    <w:p w14:paraId="7350A6C8">
      <w:pPr>
        <w:spacing w:before="135" w:line="289" w:lineRule="auto"/>
        <w:ind w:left="2" w:right="70" w:firstLine="433"/>
        <w:rPr>
          <w:rFonts w:ascii="宋体" w:hAnsi="宋体" w:eastAsia="宋体" w:cs="宋体"/>
          <w:sz w:val="20"/>
          <w:szCs w:val="20"/>
        </w:rPr>
      </w:pPr>
      <w:r>
        <w:rPr>
          <w:rFonts w:ascii="宋体" w:hAnsi="宋体" w:eastAsia="宋体" w:cs="宋体"/>
          <w:spacing w:val="9"/>
          <w:sz w:val="20"/>
          <w:szCs w:val="20"/>
        </w:rPr>
        <w:t>1.3 投标人的投标报价低于报价评审警戒线的，报价评审警戒线为进入报价评审的合格投标人</w:t>
      </w:r>
      <w:r>
        <w:rPr>
          <w:rFonts w:ascii="宋体" w:hAnsi="宋体" w:eastAsia="宋体" w:cs="宋体"/>
          <w:spacing w:val="8"/>
          <w:sz w:val="20"/>
          <w:szCs w:val="20"/>
        </w:rPr>
        <w:t>投标报价</w:t>
      </w:r>
      <w:r>
        <w:rPr>
          <w:rFonts w:ascii="宋体" w:hAnsi="宋体" w:eastAsia="宋体" w:cs="宋体"/>
          <w:sz w:val="20"/>
          <w:szCs w:val="20"/>
        </w:rPr>
        <w:t xml:space="preserve"> </w:t>
      </w:r>
      <w:r>
        <w:rPr>
          <w:rFonts w:ascii="宋体" w:hAnsi="宋体" w:eastAsia="宋体" w:cs="宋体"/>
          <w:spacing w:val="5"/>
          <w:sz w:val="20"/>
          <w:szCs w:val="20"/>
        </w:rPr>
        <w:t>算术平均值的</w:t>
      </w:r>
      <w:r>
        <w:rPr>
          <w:rFonts w:ascii="宋体" w:hAnsi="宋体" w:eastAsia="宋体" w:cs="宋体"/>
          <w:spacing w:val="-33"/>
          <w:sz w:val="20"/>
          <w:szCs w:val="20"/>
        </w:rPr>
        <w:t xml:space="preserve"> </w:t>
      </w:r>
      <w:r>
        <w:rPr>
          <w:rFonts w:ascii="宋体" w:hAnsi="宋体" w:eastAsia="宋体" w:cs="宋体"/>
          <w:spacing w:val="5"/>
          <w:sz w:val="20"/>
          <w:szCs w:val="20"/>
        </w:rPr>
        <w:t>95%。</w:t>
      </w:r>
    </w:p>
    <w:p w14:paraId="5A19FAE4">
      <w:pPr>
        <w:spacing w:before="133" w:line="228" w:lineRule="auto"/>
        <w:ind w:left="423"/>
        <w:outlineLvl w:val="1"/>
        <w:rPr>
          <w:rFonts w:ascii="宋体" w:hAnsi="宋体" w:eastAsia="宋体" w:cs="宋体"/>
          <w:sz w:val="20"/>
          <w:szCs w:val="20"/>
        </w:rPr>
      </w:pPr>
      <w:bookmarkStart w:id="141" w:name="_Toc859"/>
      <w:r>
        <w:rPr>
          <w:rFonts w:ascii="宋体" w:hAnsi="宋体" w:eastAsia="宋体" w:cs="宋体"/>
          <w:spacing w:val="6"/>
          <w:sz w:val="20"/>
          <w:szCs w:val="20"/>
        </w:rPr>
        <w:t>2.评审组织工作</w:t>
      </w:r>
      <w:bookmarkEnd w:id="141"/>
    </w:p>
    <w:p w14:paraId="499AF0DF">
      <w:pPr>
        <w:spacing w:before="133" w:line="336" w:lineRule="auto"/>
        <w:ind w:left="425" w:right="6366" w:firstLine="21"/>
        <w:rPr>
          <w:rFonts w:ascii="宋体" w:hAnsi="宋体" w:eastAsia="宋体" w:cs="宋体"/>
          <w:sz w:val="20"/>
          <w:szCs w:val="20"/>
        </w:rPr>
      </w:pPr>
      <w:r>
        <w:rPr>
          <w:rFonts w:ascii="宋体" w:hAnsi="宋体" w:eastAsia="宋体" w:cs="宋体"/>
          <w:spacing w:val="7"/>
          <w:sz w:val="20"/>
          <w:szCs w:val="20"/>
        </w:rPr>
        <w:t>由评标委员会经济类专家组织实施</w:t>
      </w:r>
      <w:r>
        <w:rPr>
          <w:rFonts w:ascii="宋体" w:hAnsi="宋体" w:eastAsia="宋体" w:cs="宋体"/>
          <w:spacing w:val="9"/>
          <w:sz w:val="20"/>
          <w:szCs w:val="20"/>
        </w:rPr>
        <w:t xml:space="preserve"> </w:t>
      </w:r>
      <w:r>
        <w:rPr>
          <w:rFonts w:ascii="宋体" w:hAnsi="宋体" w:eastAsia="宋体" w:cs="宋体"/>
          <w:spacing w:val="7"/>
          <w:sz w:val="20"/>
          <w:szCs w:val="20"/>
        </w:rPr>
        <w:t>3.评审方法及标准</w:t>
      </w:r>
    </w:p>
    <w:p w14:paraId="69331571">
      <w:pPr>
        <w:spacing w:before="31" w:line="337" w:lineRule="auto"/>
        <w:ind w:right="70" w:firstLine="420"/>
        <w:rPr>
          <w:rFonts w:ascii="宋体" w:hAnsi="宋体" w:eastAsia="宋体" w:cs="宋体"/>
          <w:sz w:val="20"/>
          <w:szCs w:val="20"/>
        </w:rPr>
      </w:pPr>
      <w:r>
        <w:rPr>
          <w:rFonts w:ascii="宋体" w:hAnsi="宋体" w:eastAsia="宋体" w:cs="宋体"/>
          <w:spacing w:val="10"/>
          <w:sz w:val="20"/>
          <w:szCs w:val="20"/>
        </w:rPr>
        <w:t>对低于报价评审警戒线的投标报价按照招标文件规定的重点评审的工</w:t>
      </w:r>
      <w:r>
        <w:rPr>
          <w:rFonts w:ascii="宋体" w:hAnsi="宋体" w:eastAsia="宋体" w:cs="宋体"/>
          <w:spacing w:val="9"/>
          <w:sz w:val="20"/>
          <w:szCs w:val="20"/>
        </w:rPr>
        <w:t>程量清单综合单价（含能计量的措</w:t>
      </w:r>
      <w:r>
        <w:rPr>
          <w:rFonts w:ascii="宋体" w:hAnsi="宋体" w:eastAsia="宋体" w:cs="宋体"/>
          <w:sz w:val="20"/>
          <w:szCs w:val="20"/>
        </w:rPr>
        <w:t xml:space="preserve"> </w:t>
      </w:r>
      <w:r>
        <w:rPr>
          <w:rFonts w:ascii="宋体" w:hAnsi="宋体" w:eastAsia="宋体" w:cs="宋体"/>
          <w:spacing w:val="9"/>
          <w:sz w:val="20"/>
          <w:szCs w:val="20"/>
        </w:rPr>
        <w:t>施项目）和材料、设备单价（以下简称“重点</w:t>
      </w:r>
      <w:r>
        <w:rPr>
          <w:rFonts w:ascii="宋体" w:hAnsi="宋体" w:eastAsia="宋体" w:cs="宋体"/>
          <w:spacing w:val="8"/>
          <w:sz w:val="20"/>
          <w:szCs w:val="20"/>
        </w:rPr>
        <w:t>评审单价</w:t>
      </w:r>
      <w:r>
        <w:rPr>
          <w:rFonts w:ascii="宋体" w:hAnsi="宋体" w:eastAsia="宋体" w:cs="宋体"/>
          <w:spacing w:val="-70"/>
          <w:sz w:val="20"/>
          <w:szCs w:val="20"/>
        </w:rPr>
        <w:t xml:space="preserve"> </w:t>
      </w:r>
      <w:r>
        <w:rPr>
          <w:rFonts w:ascii="宋体" w:hAnsi="宋体" w:eastAsia="宋体" w:cs="宋体"/>
          <w:spacing w:val="8"/>
          <w:sz w:val="20"/>
          <w:szCs w:val="20"/>
        </w:rPr>
        <w:t>”）的评审标准进行评审。</w:t>
      </w:r>
    </w:p>
    <w:p w14:paraId="463F6101">
      <w:pPr>
        <w:spacing w:before="31" w:line="226" w:lineRule="auto"/>
        <w:ind w:left="421"/>
        <w:rPr>
          <w:rFonts w:ascii="宋体" w:hAnsi="宋体" w:eastAsia="宋体" w:cs="宋体"/>
          <w:sz w:val="20"/>
          <w:szCs w:val="20"/>
        </w:rPr>
      </w:pPr>
      <w:r>
        <w:rPr>
          <w:rFonts w:ascii="宋体" w:hAnsi="宋体" w:eastAsia="宋体" w:cs="宋体"/>
          <w:spacing w:val="8"/>
          <w:sz w:val="20"/>
          <w:szCs w:val="20"/>
        </w:rPr>
        <w:t>重点评审单价评审标准如下：</w:t>
      </w:r>
    </w:p>
    <w:p w14:paraId="12AE71C0">
      <w:pPr>
        <w:spacing w:before="135" w:line="289" w:lineRule="auto"/>
        <w:ind w:left="628" w:right="18" w:hanging="198"/>
        <w:rPr>
          <w:rFonts w:ascii="宋体" w:hAnsi="宋体" w:eastAsia="宋体" w:cs="宋体"/>
          <w:sz w:val="20"/>
          <w:szCs w:val="20"/>
        </w:rPr>
      </w:pPr>
      <w:r>
        <w:rPr>
          <w:rFonts w:ascii="宋体" w:hAnsi="宋体" w:eastAsia="宋体" w:cs="宋体"/>
          <w:spacing w:val="6"/>
          <w:sz w:val="20"/>
          <w:szCs w:val="20"/>
        </w:rPr>
        <w:t>（一）房屋建筑总承包工程为最高投标限价的</w:t>
      </w:r>
      <w:r>
        <w:rPr>
          <w:rFonts w:ascii="宋体" w:hAnsi="宋体" w:eastAsia="宋体" w:cs="宋体"/>
          <w:spacing w:val="-35"/>
          <w:sz w:val="20"/>
          <w:szCs w:val="20"/>
        </w:rPr>
        <w:t xml:space="preserve"> </w:t>
      </w:r>
      <w:r>
        <w:rPr>
          <w:rFonts w:ascii="宋体" w:hAnsi="宋体" w:eastAsia="宋体" w:cs="宋体"/>
          <w:spacing w:val="6"/>
          <w:sz w:val="20"/>
          <w:szCs w:val="20"/>
        </w:rPr>
        <w:t>（90%以上</w:t>
      </w:r>
      <w:r>
        <w:rPr>
          <w:rFonts w:ascii="宋体" w:hAnsi="宋体" w:eastAsia="宋体" w:cs="宋体"/>
          <w:spacing w:val="-36"/>
          <w:sz w:val="20"/>
          <w:szCs w:val="20"/>
        </w:rPr>
        <w:t xml:space="preserve"> </w:t>
      </w:r>
      <w:r>
        <w:rPr>
          <w:rFonts w:ascii="宋体" w:hAnsi="宋体" w:eastAsia="宋体" w:cs="宋体"/>
          <w:spacing w:val="6"/>
          <w:sz w:val="20"/>
          <w:szCs w:val="20"/>
        </w:rPr>
        <w:t>92%以下，具体取值由招标人明确，下同</w:t>
      </w:r>
      <w:r>
        <w:rPr>
          <w:rFonts w:ascii="宋体" w:hAnsi="宋体" w:eastAsia="宋体" w:cs="宋体"/>
          <w:spacing w:val="-20"/>
          <w:sz w:val="20"/>
          <w:szCs w:val="20"/>
        </w:rPr>
        <w:t>）；</w:t>
      </w:r>
      <w:r>
        <w:rPr>
          <w:rFonts w:ascii="宋体" w:hAnsi="宋体" w:eastAsia="宋体" w:cs="宋体"/>
          <w:sz w:val="20"/>
          <w:szCs w:val="20"/>
        </w:rPr>
        <w:t xml:space="preserve"> </w:t>
      </w:r>
      <w:r>
        <w:rPr>
          <w:rFonts w:ascii="宋体" w:hAnsi="宋体" w:eastAsia="宋体" w:cs="宋体"/>
          <w:spacing w:val="9"/>
          <w:sz w:val="20"/>
          <w:szCs w:val="20"/>
        </w:rPr>
        <w:t>含有装配式建筑的，房屋建筑总承包工程为最高</w:t>
      </w:r>
      <w:r>
        <w:rPr>
          <w:rFonts w:ascii="宋体" w:hAnsi="宋体" w:eastAsia="宋体" w:cs="宋体"/>
          <w:spacing w:val="8"/>
          <w:sz w:val="20"/>
          <w:szCs w:val="20"/>
        </w:rPr>
        <w:t>投标限价的（92%以上</w:t>
      </w:r>
      <w:r>
        <w:rPr>
          <w:rFonts w:ascii="宋体" w:hAnsi="宋体" w:eastAsia="宋体" w:cs="宋体"/>
          <w:spacing w:val="-36"/>
          <w:sz w:val="20"/>
          <w:szCs w:val="20"/>
        </w:rPr>
        <w:t xml:space="preserve"> </w:t>
      </w:r>
      <w:r>
        <w:rPr>
          <w:rFonts w:ascii="宋体" w:hAnsi="宋体" w:eastAsia="宋体" w:cs="宋体"/>
          <w:spacing w:val="8"/>
          <w:sz w:val="20"/>
          <w:szCs w:val="20"/>
        </w:rPr>
        <w:t>94%以下</w:t>
      </w:r>
      <w:r>
        <w:rPr>
          <w:rFonts w:ascii="宋体" w:hAnsi="宋体" w:eastAsia="宋体" w:cs="宋体"/>
          <w:sz w:val="20"/>
          <w:szCs w:val="20"/>
        </w:rPr>
        <w:t>）；</w:t>
      </w:r>
    </w:p>
    <w:p w14:paraId="6740477C">
      <w:pPr>
        <w:spacing w:before="134" w:line="226" w:lineRule="auto"/>
        <w:ind w:left="430"/>
        <w:rPr>
          <w:rFonts w:ascii="宋体" w:hAnsi="宋体" w:eastAsia="宋体" w:cs="宋体"/>
          <w:sz w:val="20"/>
          <w:szCs w:val="20"/>
        </w:rPr>
      </w:pPr>
      <w:r>
        <w:rPr>
          <w:rFonts w:ascii="宋体" w:hAnsi="宋体" w:eastAsia="宋体" w:cs="宋体"/>
          <w:spacing w:val="9"/>
          <w:sz w:val="20"/>
          <w:szCs w:val="20"/>
        </w:rPr>
        <w:t>（二）市政基础设施总承包工程（轨道交通工程除外）为</w:t>
      </w:r>
      <w:r>
        <w:rPr>
          <w:rFonts w:ascii="宋体" w:hAnsi="宋体" w:eastAsia="宋体" w:cs="宋体"/>
          <w:spacing w:val="8"/>
          <w:sz w:val="20"/>
          <w:szCs w:val="20"/>
        </w:rPr>
        <w:t>最高投标限价的</w:t>
      </w:r>
      <w:r>
        <w:rPr>
          <w:rFonts w:hint="eastAsia" w:ascii="宋体" w:hAnsi="宋体" w:eastAsia="宋体" w:cs="宋体"/>
          <w:color w:val="0000FF"/>
          <w:spacing w:val="8"/>
          <w:sz w:val="20"/>
          <w:szCs w:val="20"/>
          <w:lang w:val="en-US" w:eastAsia="zh-CN"/>
        </w:rPr>
        <w:t>87%</w:t>
      </w:r>
      <w:r>
        <w:rPr>
          <w:rFonts w:ascii="宋体" w:hAnsi="宋体" w:eastAsia="宋体" w:cs="宋体"/>
          <w:spacing w:val="8"/>
          <w:sz w:val="20"/>
          <w:szCs w:val="20"/>
        </w:rPr>
        <w:t>（85%以上</w:t>
      </w:r>
      <w:r>
        <w:rPr>
          <w:rFonts w:ascii="宋体" w:hAnsi="宋体" w:eastAsia="宋体" w:cs="宋体"/>
          <w:spacing w:val="-38"/>
          <w:sz w:val="20"/>
          <w:szCs w:val="20"/>
        </w:rPr>
        <w:t xml:space="preserve"> </w:t>
      </w:r>
      <w:r>
        <w:rPr>
          <w:rFonts w:ascii="宋体" w:hAnsi="宋体" w:eastAsia="宋体" w:cs="宋体"/>
          <w:spacing w:val="8"/>
          <w:sz w:val="20"/>
          <w:szCs w:val="20"/>
        </w:rPr>
        <w:t>87%以下</w:t>
      </w:r>
      <w:r>
        <w:rPr>
          <w:rFonts w:ascii="宋体" w:hAnsi="宋体" w:eastAsia="宋体" w:cs="宋体"/>
          <w:sz w:val="20"/>
          <w:szCs w:val="20"/>
        </w:rPr>
        <w:t>）；</w:t>
      </w:r>
    </w:p>
    <w:p w14:paraId="24622BAD">
      <w:pPr>
        <w:spacing w:before="135" w:line="226" w:lineRule="auto"/>
        <w:ind w:left="430"/>
        <w:rPr>
          <w:rFonts w:ascii="宋体" w:hAnsi="宋体" w:eastAsia="宋体" w:cs="宋体"/>
          <w:sz w:val="20"/>
          <w:szCs w:val="20"/>
        </w:rPr>
      </w:pPr>
      <w:r>
        <w:rPr>
          <w:rFonts w:ascii="宋体" w:hAnsi="宋体" w:eastAsia="宋体" w:cs="宋体"/>
          <w:spacing w:val="8"/>
          <w:sz w:val="20"/>
          <w:szCs w:val="20"/>
        </w:rPr>
        <w:t>（三）轨道交通工程为最高投标限价的（88</w:t>
      </w:r>
      <w:r>
        <w:rPr>
          <w:rFonts w:ascii="宋体" w:hAnsi="宋体" w:eastAsia="宋体" w:cs="宋体"/>
          <w:spacing w:val="7"/>
          <w:sz w:val="20"/>
          <w:szCs w:val="20"/>
        </w:rPr>
        <w:t>%以上</w:t>
      </w:r>
      <w:r>
        <w:rPr>
          <w:rFonts w:ascii="宋体" w:hAnsi="宋体" w:eastAsia="宋体" w:cs="宋体"/>
          <w:spacing w:val="-36"/>
          <w:sz w:val="20"/>
          <w:szCs w:val="20"/>
        </w:rPr>
        <w:t xml:space="preserve"> </w:t>
      </w:r>
      <w:r>
        <w:rPr>
          <w:rFonts w:ascii="宋体" w:hAnsi="宋体" w:eastAsia="宋体" w:cs="宋体"/>
          <w:spacing w:val="7"/>
          <w:sz w:val="20"/>
          <w:szCs w:val="20"/>
        </w:rPr>
        <w:t>90%以下</w:t>
      </w:r>
      <w:r>
        <w:rPr>
          <w:rFonts w:ascii="宋体" w:hAnsi="宋体" w:eastAsia="宋体" w:cs="宋体"/>
          <w:sz w:val="20"/>
          <w:szCs w:val="20"/>
        </w:rPr>
        <w:t>）；</w:t>
      </w:r>
    </w:p>
    <w:p w14:paraId="0D038044">
      <w:pPr>
        <w:spacing w:before="136" w:line="226" w:lineRule="auto"/>
        <w:ind w:left="430"/>
        <w:rPr>
          <w:rFonts w:ascii="宋体" w:hAnsi="宋体" w:eastAsia="宋体" w:cs="宋体"/>
          <w:sz w:val="20"/>
          <w:szCs w:val="20"/>
        </w:rPr>
      </w:pPr>
      <w:r>
        <w:rPr>
          <w:rFonts w:ascii="宋体" w:hAnsi="宋体" w:eastAsia="宋体" w:cs="宋体"/>
          <w:spacing w:val="8"/>
          <w:sz w:val="20"/>
          <w:szCs w:val="20"/>
        </w:rPr>
        <w:t>（四）单独招标的装饰装修工程为最高投标限价的（92%以上</w:t>
      </w:r>
      <w:r>
        <w:rPr>
          <w:rFonts w:ascii="宋体" w:hAnsi="宋体" w:eastAsia="宋体" w:cs="宋体"/>
          <w:spacing w:val="-37"/>
          <w:sz w:val="20"/>
          <w:szCs w:val="20"/>
        </w:rPr>
        <w:t xml:space="preserve"> </w:t>
      </w:r>
      <w:r>
        <w:rPr>
          <w:rFonts w:ascii="宋体" w:hAnsi="宋体" w:eastAsia="宋体" w:cs="宋体"/>
          <w:spacing w:val="8"/>
          <w:sz w:val="20"/>
          <w:szCs w:val="20"/>
        </w:rPr>
        <w:t>94%以下</w:t>
      </w:r>
      <w:r>
        <w:rPr>
          <w:rFonts w:ascii="宋体" w:hAnsi="宋体" w:eastAsia="宋体" w:cs="宋体"/>
          <w:spacing w:val="2"/>
          <w:sz w:val="20"/>
          <w:szCs w:val="20"/>
        </w:rPr>
        <w:t>）；</w:t>
      </w:r>
    </w:p>
    <w:p w14:paraId="496C3312">
      <w:pPr>
        <w:spacing w:before="135" w:line="226" w:lineRule="auto"/>
        <w:ind w:left="430"/>
        <w:rPr>
          <w:rFonts w:ascii="宋体" w:hAnsi="宋体" w:eastAsia="宋体" w:cs="宋体"/>
          <w:sz w:val="20"/>
          <w:szCs w:val="20"/>
        </w:rPr>
      </w:pPr>
      <w:r>
        <w:rPr>
          <w:rFonts w:ascii="宋体" w:hAnsi="宋体" w:eastAsia="宋体" w:cs="宋体"/>
          <w:spacing w:val="9"/>
          <w:sz w:val="20"/>
          <w:szCs w:val="20"/>
        </w:rPr>
        <w:t>（五）单独招标的园林景观绿化工程、仿古建</w:t>
      </w:r>
      <w:r>
        <w:rPr>
          <w:rFonts w:ascii="宋体" w:hAnsi="宋体" w:eastAsia="宋体" w:cs="宋体"/>
          <w:spacing w:val="8"/>
          <w:sz w:val="20"/>
          <w:szCs w:val="20"/>
        </w:rPr>
        <w:t>筑工程为最高投标限价的（88%以上</w:t>
      </w:r>
      <w:r>
        <w:rPr>
          <w:rFonts w:ascii="宋体" w:hAnsi="宋体" w:eastAsia="宋体" w:cs="宋体"/>
          <w:spacing w:val="-36"/>
          <w:sz w:val="20"/>
          <w:szCs w:val="20"/>
        </w:rPr>
        <w:t xml:space="preserve"> </w:t>
      </w:r>
      <w:r>
        <w:rPr>
          <w:rFonts w:ascii="宋体" w:hAnsi="宋体" w:eastAsia="宋体" w:cs="宋体"/>
          <w:spacing w:val="8"/>
          <w:sz w:val="20"/>
          <w:szCs w:val="20"/>
        </w:rPr>
        <w:t>90%以下</w:t>
      </w:r>
      <w:r>
        <w:rPr>
          <w:rFonts w:ascii="宋体" w:hAnsi="宋体" w:eastAsia="宋体" w:cs="宋体"/>
          <w:sz w:val="20"/>
          <w:szCs w:val="20"/>
        </w:rPr>
        <w:t>）；</w:t>
      </w:r>
    </w:p>
    <w:p w14:paraId="78131F46">
      <w:pPr>
        <w:spacing w:before="134" w:line="226" w:lineRule="auto"/>
        <w:ind w:left="430"/>
        <w:rPr>
          <w:rFonts w:ascii="宋体" w:hAnsi="宋体" w:eastAsia="宋体" w:cs="宋体"/>
          <w:sz w:val="20"/>
          <w:szCs w:val="20"/>
        </w:rPr>
      </w:pPr>
      <w:r>
        <w:rPr>
          <w:rFonts w:ascii="宋体" w:hAnsi="宋体" w:eastAsia="宋体" w:cs="宋体"/>
          <w:spacing w:val="8"/>
          <w:sz w:val="20"/>
          <w:szCs w:val="20"/>
        </w:rPr>
        <w:t>（六）单独招标的安装工程为最高投标限价的（90%以上</w:t>
      </w:r>
      <w:r>
        <w:rPr>
          <w:rFonts w:ascii="宋体" w:hAnsi="宋体" w:eastAsia="宋体" w:cs="宋体"/>
          <w:spacing w:val="-37"/>
          <w:sz w:val="20"/>
          <w:szCs w:val="20"/>
        </w:rPr>
        <w:t xml:space="preserve"> </w:t>
      </w:r>
      <w:r>
        <w:rPr>
          <w:rFonts w:ascii="宋体" w:hAnsi="宋体" w:eastAsia="宋体" w:cs="宋体"/>
          <w:spacing w:val="8"/>
          <w:sz w:val="20"/>
          <w:szCs w:val="20"/>
        </w:rPr>
        <w:t>92%以下</w:t>
      </w:r>
      <w:r>
        <w:rPr>
          <w:rFonts w:ascii="宋体" w:hAnsi="宋体" w:eastAsia="宋体" w:cs="宋体"/>
          <w:sz w:val="20"/>
          <w:szCs w:val="20"/>
        </w:rPr>
        <w:t>）；</w:t>
      </w:r>
    </w:p>
    <w:p w14:paraId="487C7A5F">
      <w:pPr>
        <w:spacing w:before="137" w:line="288" w:lineRule="auto"/>
        <w:ind w:left="420" w:firstLine="10"/>
        <w:rPr>
          <w:rFonts w:ascii="宋体" w:hAnsi="宋体" w:eastAsia="宋体" w:cs="宋体"/>
          <w:sz w:val="20"/>
          <w:szCs w:val="20"/>
        </w:rPr>
      </w:pPr>
      <w:r>
        <w:rPr>
          <w:rFonts w:ascii="宋体" w:hAnsi="宋体" w:eastAsia="宋体" w:cs="宋体"/>
          <w:spacing w:val="2"/>
          <w:sz w:val="20"/>
          <w:szCs w:val="20"/>
        </w:rPr>
        <w:t>（七）其他工程（未包含在上述工程中的其他工程）为最高投标限价的（招标人根据项目具体情况明确）。</w:t>
      </w:r>
      <w:r>
        <w:rPr>
          <w:rFonts w:ascii="宋体" w:hAnsi="宋体" w:eastAsia="宋体" w:cs="宋体"/>
          <w:spacing w:val="1"/>
          <w:sz w:val="20"/>
          <w:szCs w:val="20"/>
        </w:rPr>
        <w:t xml:space="preserve"> </w:t>
      </w:r>
      <w:r>
        <w:rPr>
          <w:rFonts w:ascii="宋体" w:hAnsi="宋体" w:eastAsia="宋体" w:cs="宋体"/>
          <w:spacing w:val="8"/>
          <w:sz w:val="20"/>
          <w:szCs w:val="20"/>
        </w:rPr>
        <w:t>4.低于投标成本报价竞争行为的确认</w:t>
      </w:r>
    </w:p>
    <w:p w14:paraId="28F0D0E6">
      <w:pPr>
        <w:spacing w:before="134" w:line="290" w:lineRule="auto"/>
        <w:ind w:left="5" w:right="70" w:firstLine="425"/>
        <w:rPr>
          <w:rFonts w:ascii="宋体" w:hAnsi="宋体" w:eastAsia="宋体" w:cs="宋体"/>
          <w:sz w:val="20"/>
          <w:szCs w:val="20"/>
        </w:rPr>
      </w:pPr>
      <w:r>
        <w:rPr>
          <w:rFonts w:ascii="宋体" w:hAnsi="宋体" w:eastAsia="宋体" w:cs="宋体"/>
          <w:spacing w:val="10"/>
          <w:sz w:val="20"/>
          <w:szCs w:val="20"/>
        </w:rPr>
        <w:t>（一）重点评审单价中，任意一项低于评审</w:t>
      </w:r>
      <w:r>
        <w:rPr>
          <w:rFonts w:ascii="宋体" w:hAnsi="宋体" w:eastAsia="宋体" w:cs="宋体"/>
          <w:spacing w:val="9"/>
          <w:sz w:val="20"/>
          <w:szCs w:val="20"/>
        </w:rPr>
        <w:t>标准（不含本数）的，应当认定该投标人以低于成本报价竞</w:t>
      </w:r>
      <w:r>
        <w:rPr>
          <w:rFonts w:ascii="宋体" w:hAnsi="宋体" w:eastAsia="宋体" w:cs="宋体"/>
          <w:sz w:val="20"/>
          <w:szCs w:val="20"/>
        </w:rPr>
        <w:t xml:space="preserve"> </w:t>
      </w:r>
      <w:r>
        <w:rPr>
          <w:rFonts w:ascii="宋体" w:hAnsi="宋体" w:eastAsia="宋体" w:cs="宋体"/>
          <w:spacing w:val="7"/>
          <w:sz w:val="20"/>
          <w:szCs w:val="20"/>
        </w:rPr>
        <w:t>争，否决其投标。</w:t>
      </w:r>
    </w:p>
    <w:p w14:paraId="575FD860">
      <w:pPr>
        <w:spacing w:before="39" w:line="226" w:lineRule="auto"/>
        <w:ind w:left="430"/>
        <w:rPr>
          <w:rFonts w:ascii="宋体" w:hAnsi="宋体" w:eastAsia="宋体" w:cs="宋体"/>
          <w:sz w:val="20"/>
          <w:szCs w:val="20"/>
        </w:rPr>
      </w:pPr>
      <w:r>
        <w:rPr>
          <w:rFonts w:ascii="宋体" w:hAnsi="宋体" w:eastAsia="宋体" w:cs="宋体"/>
          <w:spacing w:val="9"/>
          <w:sz w:val="20"/>
          <w:szCs w:val="20"/>
        </w:rPr>
        <w:t>（二）有下列情形之一的，应当判定为以低于成本报价竞争，否决其投标。</w:t>
      </w:r>
    </w:p>
    <w:p w14:paraId="3CD718F3">
      <w:pPr>
        <w:spacing w:before="29" w:line="225" w:lineRule="auto"/>
        <w:ind w:left="420"/>
        <w:outlineLvl w:val="2"/>
        <w:rPr>
          <w:rFonts w:ascii="宋体" w:hAnsi="宋体" w:eastAsia="宋体" w:cs="宋体"/>
          <w:sz w:val="20"/>
          <w:szCs w:val="20"/>
        </w:rPr>
      </w:pPr>
      <w:bookmarkStart w:id="142" w:name="_Toc20289"/>
      <w:r>
        <w:rPr>
          <w:rFonts w:ascii="宋体" w:hAnsi="宋体" w:eastAsia="宋体" w:cs="宋体"/>
          <w:spacing w:val="9"/>
          <w:sz w:val="20"/>
          <w:szCs w:val="20"/>
        </w:rPr>
        <w:t>①经评审论证，认定该投标人的报价低于成本的；</w:t>
      </w:r>
      <w:bookmarkEnd w:id="142"/>
    </w:p>
    <w:p w14:paraId="0B41D312">
      <w:pPr>
        <w:spacing w:before="121" w:line="288" w:lineRule="auto"/>
        <w:ind w:left="1" w:right="68" w:firstLine="417"/>
        <w:rPr>
          <w:rFonts w:ascii="宋体" w:hAnsi="宋体" w:eastAsia="宋体" w:cs="宋体"/>
          <w:sz w:val="20"/>
          <w:szCs w:val="20"/>
        </w:rPr>
      </w:pPr>
      <w:r>
        <w:rPr>
          <w:rFonts w:ascii="宋体" w:hAnsi="宋体" w:eastAsia="宋体" w:cs="宋体"/>
          <w:spacing w:val="10"/>
          <w:sz w:val="20"/>
          <w:szCs w:val="20"/>
        </w:rPr>
        <w:t>②投标报价明显低于其他投标报价，有可能低于成本的，应当要求投标人通过</w:t>
      </w:r>
      <w:r>
        <w:rPr>
          <w:rFonts w:ascii="宋体" w:hAnsi="宋体" w:eastAsia="宋体" w:cs="宋体"/>
          <w:spacing w:val="9"/>
          <w:sz w:val="20"/>
          <w:szCs w:val="20"/>
        </w:rPr>
        <w:t>电子交易平台作出说明并</w:t>
      </w:r>
      <w:r>
        <w:rPr>
          <w:rFonts w:ascii="宋体" w:hAnsi="宋体" w:eastAsia="宋体" w:cs="宋体"/>
          <w:sz w:val="20"/>
          <w:szCs w:val="20"/>
        </w:rPr>
        <w:t xml:space="preserve"> </w:t>
      </w:r>
      <w:r>
        <w:rPr>
          <w:rFonts w:ascii="宋体" w:hAnsi="宋体" w:eastAsia="宋体" w:cs="宋体"/>
          <w:spacing w:val="10"/>
          <w:sz w:val="20"/>
          <w:szCs w:val="20"/>
        </w:rPr>
        <w:t>提供相关材料。投标人不能合理说明或者不能提供相关</w:t>
      </w:r>
      <w:r>
        <w:rPr>
          <w:rFonts w:ascii="宋体" w:hAnsi="宋体" w:eastAsia="宋体" w:cs="宋体"/>
          <w:spacing w:val="9"/>
          <w:sz w:val="20"/>
          <w:szCs w:val="20"/>
        </w:rPr>
        <w:t>证明材料的，应当认定该投标人的报价低于成本。</w:t>
      </w:r>
    </w:p>
    <w:p w14:paraId="62466B90">
      <w:pPr>
        <w:spacing w:before="134" w:line="251" w:lineRule="auto"/>
        <w:ind w:left="364" w:right="2306" w:hanging="50"/>
        <w:rPr>
          <w:rFonts w:ascii="宋体" w:hAnsi="宋体" w:eastAsia="宋体" w:cs="宋体"/>
          <w:sz w:val="20"/>
          <w:szCs w:val="20"/>
        </w:rPr>
      </w:pPr>
      <w:r>
        <w:rPr>
          <w:rFonts w:ascii="宋体" w:hAnsi="宋体" w:eastAsia="宋体" w:cs="宋体"/>
          <w:spacing w:val="9"/>
          <w:sz w:val="20"/>
          <w:szCs w:val="20"/>
        </w:rPr>
        <w:t>评标委员会将认定投标人以低于成本报价竞争等情况作出</w:t>
      </w:r>
      <w:r>
        <w:rPr>
          <w:rFonts w:ascii="宋体" w:hAnsi="宋体" w:eastAsia="宋体" w:cs="宋体"/>
          <w:spacing w:val="8"/>
          <w:sz w:val="20"/>
          <w:szCs w:val="20"/>
        </w:rPr>
        <w:t>详细说明并记录在案。</w:t>
      </w:r>
      <w:r>
        <w:rPr>
          <w:rFonts w:ascii="宋体" w:hAnsi="宋体" w:eastAsia="宋体" w:cs="宋体"/>
          <w:sz w:val="20"/>
          <w:szCs w:val="20"/>
        </w:rPr>
        <w:t xml:space="preserve"> </w:t>
      </w:r>
      <w:r>
        <w:rPr>
          <w:rFonts w:ascii="宋体" w:hAnsi="宋体" w:eastAsia="宋体" w:cs="宋体"/>
          <w:spacing w:val="2"/>
          <w:sz w:val="20"/>
          <w:szCs w:val="20"/>
        </w:rPr>
        <w:t>5.本方法所称的“</w:t>
      </w:r>
      <w:r>
        <w:rPr>
          <w:rFonts w:ascii="宋体" w:hAnsi="宋体" w:eastAsia="宋体" w:cs="宋体"/>
          <w:spacing w:val="-52"/>
          <w:sz w:val="20"/>
          <w:szCs w:val="20"/>
        </w:rPr>
        <w:t xml:space="preserve"> </w:t>
      </w:r>
      <w:r>
        <w:rPr>
          <w:rFonts w:ascii="宋体" w:hAnsi="宋体" w:eastAsia="宋体" w:cs="宋体"/>
          <w:spacing w:val="2"/>
          <w:sz w:val="20"/>
          <w:szCs w:val="20"/>
        </w:rPr>
        <w:t>以下</w:t>
      </w:r>
      <w:r>
        <w:rPr>
          <w:rFonts w:ascii="宋体" w:hAnsi="宋体" w:eastAsia="宋体" w:cs="宋体"/>
          <w:spacing w:val="-70"/>
          <w:sz w:val="20"/>
          <w:szCs w:val="20"/>
        </w:rPr>
        <w:t xml:space="preserve"> </w:t>
      </w:r>
      <w:r>
        <w:rPr>
          <w:rFonts w:ascii="宋体" w:hAnsi="宋体" w:eastAsia="宋体" w:cs="宋体"/>
          <w:spacing w:val="2"/>
          <w:sz w:val="20"/>
          <w:szCs w:val="20"/>
        </w:rPr>
        <w:t>”、“</w:t>
      </w:r>
      <w:r>
        <w:rPr>
          <w:rFonts w:ascii="宋体" w:hAnsi="宋体" w:eastAsia="宋体" w:cs="宋体"/>
          <w:spacing w:val="-68"/>
          <w:sz w:val="20"/>
          <w:szCs w:val="20"/>
        </w:rPr>
        <w:t xml:space="preserve"> </w:t>
      </w:r>
      <w:r>
        <w:rPr>
          <w:rFonts w:ascii="宋体" w:hAnsi="宋体" w:eastAsia="宋体" w:cs="宋体"/>
          <w:spacing w:val="2"/>
          <w:sz w:val="20"/>
          <w:szCs w:val="20"/>
        </w:rPr>
        <w:t>以上</w:t>
      </w:r>
      <w:r>
        <w:rPr>
          <w:rFonts w:ascii="宋体" w:hAnsi="宋体" w:eastAsia="宋体" w:cs="宋体"/>
          <w:spacing w:val="-70"/>
          <w:sz w:val="20"/>
          <w:szCs w:val="20"/>
        </w:rPr>
        <w:t xml:space="preserve"> </w:t>
      </w:r>
      <w:r>
        <w:rPr>
          <w:rFonts w:ascii="宋体" w:hAnsi="宋体" w:eastAsia="宋体" w:cs="宋体"/>
          <w:spacing w:val="2"/>
          <w:sz w:val="20"/>
          <w:szCs w:val="20"/>
        </w:rPr>
        <w:t>”均含本数。</w:t>
      </w:r>
    </w:p>
    <w:p w14:paraId="12969AB4">
      <w:pPr>
        <w:spacing w:line="251" w:lineRule="auto"/>
        <w:rPr>
          <w:rFonts w:ascii="宋体" w:hAnsi="宋体" w:eastAsia="宋体" w:cs="宋体"/>
          <w:sz w:val="20"/>
          <w:szCs w:val="20"/>
        </w:rPr>
        <w:sectPr>
          <w:footerReference r:id="rId19" w:type="default"/>
          <w:pgSz w:w="11907" w:h="16840"/>
          <w:pgMar w:top="1118" w:right="952" w:bottom="1029" w:left="1027" w:header="0" w:footer="850" w:gutter="0"/>
          <w:pgNumType w:fmt="decimal"/>
          <w:cols w:space="720" w:num="1"/>
        </w:sectPr>
      </w:pPr>
    </w:p>
    <w:p w14:paraId="5940D7DE">
      <w:pPr>
        <w:pStyle w:val="6"/>
        <w:spacing w:before="48" w:line="221" w:lineRule="auto"/>
        <w:outlineLvl w:val="0"/>
        <w:rPr>
          <w:rFonts w:ascii="黑体" w:hAnsi="黑体" w:eastAsia="黑体" w:cs="黑体"/>
          <w:sz w:val="24"/>
          <w:szCs w:val="24"/>
        </w:rPr>
      </w:pPr>
      <w:bookmarkStart w:id="143" w:name="_Toc27885"/>
      <w:r>
        <w:rPr>
          <w:rFonts w:ascii="黑体" w:hAnsi="黑体" w:eastAsia="黑体" w:cs="黑体"/>
          <w:spacing w:val="-5"/>
          <w:sz w:val="24"/>
          <w:szCs w:val="24"/>
        </w:rPr>
        <w:t>附件</w:t>
      </w:r>
      <w:r>
        <w:rPr>
          <w:rFonts w:ascii="黑体" w:hAnsi="黑体" w:eastAsia="黑体" w:cs="黑体"/>
          <w:spacing w:val="-55"/>
          <w:sz w:val="24"/>
          <w:szCs w:val="24"/>
        </w:rPr>
        <w:t xml:space="preserve"> </w:t>
      </w:r>
      <w:r>
        <w:rPr>
          <w:rFonts w:ascii="Times New Roman" w:hAnsi="Times New Roman" w:eastAsia="Times New Roman" w:cs="Times New Roman"/>
          <w:spacing w:val="-5"/>
          <w:sz w:val="24"/>
          <w:szCs w:val="24"/>
        </w:rPr>
        <w:t>2-</w:t>
      </w:r>
      <w:r>
        <w:rPr>
          <w:spacing w:val="-5"/>
          <w:sz w:val="24"/>
          <w:szCs w:val="24"/>
        </w:rPr>
        <w:t>4</w:t>
      </w:r>
      <w:r>
        <w:rPr>
          <w:spacing w:val="-21"/>
          <w:sz w:val="24"/>
          <w:szCs w:val="24"/>
        </w:rPr>
        <w:t xml:space="preserve"> </w:t>
      </w:r>
      <w:r>
        <w:rPr>
          <w:rFonts w:ascii="黑体" w:hAnsi="黑体" w:eastAsia="黑体" w:cs="黑体"/>
          <w:spacing w:val="-5"/>
          <w:sz w:val="24"/>
          <w:szCs w:val="24"/>
        </w:rPr>
        <w:t>：计算机辅助评标办法</w:t>
      </w:r>
      <w:bookmarkEnd w:id="143"/>
    </w:p>
    <w:p w14:paraId="09F831E7">
      <w:pPr>
        <w:pStyle w:val="6"/>
        <w:spacing w:line="334" w:lineRule="auto"/>
      </w:pPr>
    </w:p>
    <w:p w14:paraId="416232E7">
      <w:pPr>
        <w:pStyle w:val="6"/>
        <w:spacing w:line="334" w:lineRule="auto"/>
      </w:pPr>
    </w:p>
    <w:p w14:paraId="35FF9E27">
      <w:pPr>
        <w:spacing w:before="91" w:line="518" w:lineRule="auto"/>
        <w:ind w:left="268" w:right="3321" w:firstLine="2979"/>
        <w:rPr>
          <w:rFonts w:ascii="宋体" w:hAnsi="宋体" w:eastAsia="宋体" w:cs="宋体"/>
          <w:sz w:val="20"/>
          <w:szCs w:val="20"/>
        </w:rPr>
      </w:pPr>
      <w:r>
        <w:rPr>
          <w:rFonts w:ascii="黑体" w:hAnsi="黑体" w:eastAsia="黑体" w:cs="黑体"/>
          <w:spacing w:val="-2"/>
          <w:sz w:val="28"/>
          <w:szCs w:val="28"/>
        </w:rPr>
        <w:t>计算机辅助评标办法</w:t>
      </w:r>
      <w:r>
        <w:rPr>
          <w:rFonts w:ascii="黑体" w:hAnsi="黑体" w:eastAsia="黑体" w:cs="黑体"/>
          <w:spacing w:val="5"/>
          <w:sz w:val="28"/>
          <w:szCs w:val="28"/>
        </w:rPr>
        <w:t xml:space="preserve"> </w:t>
      </w:r>
      <w:r>
        <w:rPr>
          <w:rFonts w:ascii="宋体" w:hAnsi="宋体" w:eastAsia="宋体" w:cs="宋体"/>
          <w:spacing w:val="9"/>
          <w:sz w:val="20"/>
          <w:szCs w:val="20"/>
        </w:rPr>
        <w:t>说明：本附件的具体内容根据招标项目的具体情况自行编写</w:t>
      </w:r>
    </w:p>
    <w:p w14:paraId="40577604">
      <w:pPr>
        <w:spacing w:line="518" w:lineRule="auto"/>
        <w:rPr>
          <w:rFonts w:ascii="宋体" w:hAnsi="宋体" w:eastAsia="宋体" w:cs="宋体"/>
          <w:sz w:val="20"/>
          <w:szCs w:val="20"/>
        </w:rPr>
      </w:pPr>
    </w:p>
    <w:p w14:paraId="41BA8749">
      <w:pPr>
        <w:spacing w:line="518" w:lineRule="auto"/>
        <w:rPr>
          <w:rFonts w:ascii="宋体" w:hAnsi="宋体" w:eastAsia="宋体" w:cs="宋体"/>
          <w:sz w:val="20"/>
          <w:szCs w:val="20"/>
        </w:rPr>
      </w:pPr>
    </w:p>
    <w:p w14:paraId="26FEAE11">
      <w:pPr>
        <w:pStyle w:val="6"/>
        <w:spacing w:before="48" w:line="221" w:lineRule="auto"/>
        <w:ind w:left="0"/>
        <w:rPr>
          <w:rFonts w:ascii="黑体" w:hAnsi="黑体" w:eastAsia="黑体" w:cs="黑体"/>
          <w:sz w:val="24"/>
          <w:szCs w:val="24"/>
        </w:rPr>
      </w:pPr>
      <w:r>
        <w:rPr>
          <w:rFonts w:ascii="黑体" w:hAnsi="黑体" w:eastAsia="黑体" w:cs="黑体"/>
          <w:spacing w:val="-3"/>
          <w:sz w:val="24"/>
          <w:szCs w:val="24"/>
        </w:rPr>
        <w:t>附件</w:t>
      </w:r>
      <w:r>
        <w:rPr>
          <w:rFonts w:ascii="黑体" w:hAnsi="黑体" w:eastAsia="黑体" w:cs="黑体"/>
          <w:spacing w:val="-43"/>
          <w:sz w:val="24"/>
          <w:szCs w:val="24"/>
        </w:rPr>
        <w:t xml:space="preserve"> </w:t>
      </w:r>
      <w:r>
        <w:rPr>
          <w:spacing w:val="-3"/>
          <w:sz w:val="24"/>
          <w:szCs w:val="24"/>
        </w:rPr>
        <w:t>2-5</w:t>
      </w:r>
      <w:r>
        <w:rPr>
          <w:rFonts w:ascii="黑体" w:hAnsi="黑体" w:eastAsia="黑体" w:cs="黑体"/>
          <w:spacing w:val="-3"/>
          <w:sz w:val="24"/>
          <w:szCs w:val="24"/>
        </w:rPr>
        <w:t>：评定分离工作方案</w:t>
      </w:r>
    </w:p>
    <w:p w14:paraId="5FC189CD">
      <w:pPr>
        <w:pStyle w:val="6"/>
        <w:spacing w:line="301" w:lineRule="auto"/>
      </w:pPr>
    </w:p>
    <w:p w14:paraId="741DA86A">
      <w:pPr>
        <w:pStyle w:val="6"/>
        <w:spacing w:line="301" w:lineRule="auto"/>
      </w:pPr>
    </w:p>
    <w:p w14:paraId="4DC913FD">
      <w:pPr>
        <w:spacing w:before="91" w:line="222" w:lineRule="auto"/>
        <w:ind w:left="3412"/>
        <w:rPr>
          <w:rFonts w:ascii="黑体" w:hAnsi="黑体" w:eastAsia="黑体" w:cs="黑体"/>
          <w:sz w:val="28"/>
          <w:szCs w:val="28"/>
        </w:rPr>
      </w:pPr>
      <w:r>
        <w:rPr>
          <w:rFonts w:ascii="黑体" w:hAnsi="黑体" w:eastAsia="黑体" w:cs="黑体"/>
          <w:color w:val="0000FF"/>
          <w:spacing w:val="-3"/>
          <w:sz w:val="28"/>
          <w:szCs w:val="28"/>
        </w:rPr>
        <w:t>□</w:t>
      </w:r>
      <w:r>
        <w:rPr>
          <w:rFonts w:ascii="黑体" w:hAnsi="黑体" w:eastAsia="黑体" w:cs="黑体"/>
          <w:spacing w:val="-3"/>
          <w:sz w:val="28"/>
          <w:szCs w:val="28"/>
        </w:rPr>
        <w:t>评定分离工作方案</w:t>
      </w:r>
    </w:p>
    <w:p w14:paraId="4E4EBD3E">
      <w:pPr>
        <w:spacing w:before="208" w:line="222" w:lineRule="auto"/>
        <w:ind w:left="2151"/>
        <w:rPr>
          <w:rFonts w:ascii="黑体" w:hAnsi="黑体" w:eastAsia="黑体" w:cs="黑体"/>
          <w:sz w:val="28"/>
          <w:szCs w:val="28"/>
        </w:rPr>
      </w:pPr>
      <w:r>
        <w:rPr>
          <w:rFonts w:ascii="黑体" w:hAnsi="黑体" w:eastAsia="黑体" w:cs="黑体"/>
          <w:spacing w:val="-2"/>
          <w:sz w:val="28"/>
          <w:szCs w:val="28"/>
        </w:rPr>
        <w:t>（适用采用评定分离方式确定中标人的项目）</w:t>
      </w:r>
    </w:p>
    <w:p w14:paraId="4978D892">
      <w:pPr>
        <w:pStyle w:val="6"/>
        <w:spacing w:line="387" w:lineRule="auto"/>
      </w:pPr>
    </w:p>
    <w:p w14:paraId="17009C90">
      <w:pPr>
        <w:spacing w:before="65" w:line="362" w:lineRule="auto"/>
        <w:ind w:firstLine="279"/>
        <w:rPr>
          <w:rFonts w:ascii="宋体" w:hAnsi="宋体" w:eastAsia="宋体" w:cs="宋体"/>
          <w:sz w:val="20"/>
          <w:szCs w:val="20"/>
        </w:rPr>
      </w:pPr>
      <w:r>
        <w:rPr>
          <w:rFonts w:ascii="宋体" w:hAnsi="宋体" w:eastAsia="宋体" w:cs="宋体"/>
          <w:spacing w:val="8"/>
          <w:sz w:val="20"/>
          <w:szCs w:val="20"/>
        </w:rPr>
        <w:t>说明：本附件的具体内容由招标人根据招标项目的</w:t>
      </w:r>
      <w:r>
        <w:rPr>
          <w:rFonts w:ascii="宋体" w:hAnsi="宋体" w:eastAsia="宋体" w:cs="宋体"/>
          <w:spacing w:val="7"/>
          <w:sz w:val="20"/>
          <w:szCs w:val="20"/>
        </w:rPr>
        <w:t>具体情况及第三章评标办法规定的“评定分离</w:t>
      </w:r>
      <w:r>
        <w:rPr>
          <w:rFonts w:ascii="宋体" w:hAnsi="宋体" w:eastAsia="宋体" w:cs="宋体"/>
          <w:spacing w:val="-70"/>
          <w:sz w:val="20"/>
          <w:szCs w:val="20"/>
        </w:rPr>
        <w:t xml:space="preserve"> </w:t>
      </w:r>
      <w:r>
        <w:rPr>
          <w:rFonts w:ascii="宋体" w:hAnsi="宋体" w:eastAsia="宋体" w:cs="宋体"/>
          <w:spacing w:val="7"/>
          <w:sz w:val="20"/>
          <w:szCs w:val="20"/>
        </w:rPr>
        <w:t>”工作规</w:t>
      </w:r>
      <w:r>
        <w:rPr>
          <w:rFonts w:ascii="宋体" w:hAnsi="宋体" w:eastAsia="宋体" w:cs="宋体"/>
          <w:sz w:val="20"/>
          <w:szCs w:val="20"/>
        </w:rPr>
        <w:t xml:space="preserve"> </w:t>
      </w:r>
      <w:r>
        <w:rPr>
          <w:rFonts w:ascii="宋体" w:hAnsi="宋体" w:eastAsia="宋体" w:cs="宋体"/>
          <w:spacing w:val="6"/>
          <w:sz w:val="20"/>
          <w:szCs w:val="20"/>
        </w:rPr>
        <w:t>则自行编写。</w:t>
      </w:r>
    </w:p>
    <w:p w14:paraId="5F80AF8C">
      <w:pPr>
        <w:spacing w:line="362" w:lineRule="auto"/>
        <w:rPr>
          <w:rFonts w:ascii="宋体" w:hAnsi="宋体" w:eastAsia="宋体" w:cs="宋体"/>
          <w:sz w:val="20"/>
          <w:szCs w:val="20"/>
        </w:rPr>
        <w:sectPr>
          <w:pgSz w:w="11907" w:h="16840"/>
          <w:pgMar w:top="1006" w:right="1020" w:bottom="1029" w:left="1032" w:header="0" w:footer="850" w:gutter="0"/>
          <w:pgNumType w:fmt="decimal"/>
          <w:cols w:space="720" w:num="1"/>
        </w:sectPr>
      </w:pPr>
    </w:p>
    <w:p w14:paraId="74D8E08B">
      <w:pPr>
        <w:spacing w:before="64" w:line="223" w:lineRule="auto"/>
        <w:ind w:left="1843"/>
        <w:outlineLvl w:val="0"/>
        <w:rPr>
          <w:rFonts w:ascii="宋体" w:hAnsi="宋体" w:eastAsia="宋体" w:cs="宋体"/>
          <w:sz w:val="31"/>
          <w:szCs w:val="31"/>
        </w:rPr>
      </w:pPr>
      <w:bookmarkStart w:id="144" w:name="bookmark115"/>
      <w:bookmarkEnd w:id="144"/>
      <w:bookmarkStart w:id="145" w:name="bookmark116"/>
      <w:bookmarkEnd w:id="145"/>
      <w:bookmarkStart w:id="146" w:name="_Toc23421"/>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评标办法（经评审的最低投标价法）</w:t>
      </w:r>
      <w:bookmarkEnd w:id="146"/>
    </w:p>
    <w:p w14:paraId="7230656B">
      <w:pPr>
        <w:spacing w:before="37" w:line="221" w:lineRule="auto"/>
        <w:ind w:left="4004"/>
        <w:outlineLvl w:val="1"/>
        <w:rPr>
          <w:rFonts w:ascii="黑体" w:hAnsi="黑体" w:eastAsia="黑体" w:cs="黑体"/>
          <w:sz w:val="30"/>
          <w:szCs w:val="30"/>
        </w:rPr>
      </w:pPr>
      <w:bookmarkStart w:id="147" w:name="_Toc5637"/>
      <w:r>
        <w:rPr>
          <w:rFonts w:ascii="黑体" w:hAnsi="黑体" w:eastAsia="黑体" w:cs="黑体"/>
          <w:spacing w:val="-2"/>
          <w:sz w:val="30"/>
          <w:szCs w:val="30"/>
        </w:rPr>
        <w:t>评标办法前附表</w:t>
      </w:r>
      <w:bookmarkEnd w:id="147"/>
    </w:p>
    <w:p w14:paraId="3C794B12">
      <w:pPr>
        <w:spacing w:before="103"/>
      </w:pPr>
    </w:p>
    <w:tbl>
      <w:tblPr>
        <w:tblStyle w:val="14"/>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024"/>
        <w:gridCol w:w="7204"/>
      </w:tblGrid>
      <w:tr w14:paraId="2E679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4" w:type="dxa"/>
            <w:vAlign w:val="top"/>
          </w:tcPr>
          <w:p w14:paraId="1A69B109">
            <w:pPr>
              <w:pStyle w:val="15"/>
              <w:spacing w:before="129" w:line="228" w:lineRule="auto"/>
              <w:ind w:left="117"/>
            </w:pPr>
            <w:r>
              <w:rPr>
                <w:spacing w:val="6"/>
              </w:rPr>
              <w:t>条款号</w:t>
            </w:r>
          </w:p>
        </w:tc>
        <w:tc>
          <w:tcPr>
            <w:tcW w:w="2024" w:type="dxa"/>
            <w:vAlign w:val="top"/>
          </w:tcPr>
          <w:p w14:paraId="44E2F458">
            <w:pPr>
              <w:pStyle w:val="15"/>
              <w:spacing w:before="129" w:line="228" w:lineRule="auto"/>
              <w:ind w:left="595"/>
            </w:pPr>
            <w:r>
              <w:rPr>
                <w:spacing w:val="7"/>
              </w:rPr>
              <w:t>评审因素</w:t>
            </w:r>
          </w:p>
        </w:tc>
        <w:tc>
          <w:tcPr>
            <w:tcW w:w="7204" w:type="dxa"/>
            <w:vAlign w:val="top"/>
          </w:tcPr>
          <w:p w14:paraId="3D0256D1">
            <w:pPr>
              <w:pStyle w:val="15"/>
              <w:spacing w:before="130" w:line="228" w:lineRule="auto"/>
              <w:ind w:left="3186"/>
            </w:pPr>
            <w:r>
              <w:rPr>
                <w:spacing w:val="7"/>
              </w:rPr>
              <w:t>评审标准</w:t>
            </w:r>
          </w:p>
        </w:tc>
      </w:tr>
      <w:tr w14:paraId="2CD0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4" w:type="dxa"/>
            <w:vMerge w:val="restart"/>
            <w:tcBorders>
              <w:bottom w:val="nil"/>
            </w:tcBorders>
            <w:vAlign w:val="top"/>
          </w:tcPr>
          <w:p w14:paraId="549CDE15">
            <w:pPr>
              <w:spacing w:line="245" w:lineRule="auto"/>
              <w:rPr>
                <w:rFonts w:ascii="Arial"/>
                <w:sz w:val="21"/>
              </w:rPr>
            </w:pPr>
          </w:p>
          <w:p w14:paraId="58C9842D">
            <w:pPr>
              <w:spacing w:line="245" w:lineRule="auto"/>
              <w:rPr>
                <w:rFonts w:ascii="Arial"/>
                <w:sz w:val="21"/>
              </w:rPr>
            </w:pPr>
          </w:p>
          <w:p w14:paraId="5941C4E3">
            <w:pPr>
              <w:spacing w:line="245" w:lineRule="auto"/>
              <w:rPr>
                <w:rFonts w:ascii="Arial"/>
                <w:sz w:val="21"/>
              </w:rPr>
            </w:pPr>
          </w:p>
          <w:p w14:paraId="1133D027">
            <w:pPr>
              <w:spacing w:line="245" w:lineRule="auto"/>
              <w:rPr>
                <w:rFonts w:ascii="Arial"/>
                <w:sz w:val="21"/>
              </w:rPr>
            </w:pPr>
          </w:p>
          <w:p w14:paraId="7D5F7756">
            <w:pPr>
              <w:spacing w:line="245" w:lineRule="auto"/>
              <w:rPr>
                <w:rFonts w:ascii="Arial"/>
                <w:sz w:val="21"/>
              </w:rPr>
            </w:pPr>
          </w:p>
          <w:p w14:paraId="6A1D91EC">
            <w:pPr>
              <w:spacing w:line="246" w:lineRule="auto"/>
              <w:rPr>
                <w:rFonts w:ascii="Arial"/>
                <w:sz w:val="21"/>
              </w:rPr>
            </w:pPr>
          </w:p>
          <w:p w14:paraId="32C8E323">
            <w:pPr>
              <w:spacing w:line="246" w:lineRule="auto"/>
              <w:rPr>
                <w:rFonts w:ascii="Arial"/>
                <w:sz w:val="21"/>
              </w:rPr>
            </w:pPr>
          </w:p>
          <w:p w14:paraId="07FF4D24">
            <w:pPr>
              <w:spacing w:line="246" w:lineRule="auto"/>
              <w:rPr>
                <w:rFonts w:ascii="Arial"/>
                <w:sz w:val="21"/>
              </w:rPr>
            </w:pPr>
          </w:p>
          <w:p w14:paraId="17347900">
            <w:pPr>
              <w:spacing w:line="246" w:lineRule="auto"/>
              <w:rPr>
                <w:rFonts w:ascii="Arial"/>
                <w:sz w:val="21"/>
              </w:rPr>
            </w:pPr>
          </w:p>
          <w:p w14:paraId="5D777C27">
            <w:pPr>
              <w:spacing w:line="246" w:lineRule="auto"/>
              <w:rPr>
                <w:rFonts w:ascii="Arial"/>
                <w:sz w:val="21"/>
              </w:rPr>
            </w:pPr>
          </w:p>
          <w:p w14:paraId="3CA57FC1">
            <w:pPr>
              <w:spacing w:line="246" w:lineRule="auto"/>
              <w:rPr>
                <w:rFonts w:ascii="Arial"/>
                <w:sz w:val="21"/>
              </w:rPr>
            </w:pPr>
          </w:p>
          <w:p w14:paraId="61F8FFA6">
            <w:pPr>
              <w:pStyle w:val="15"/>
              <w:spacing w:before="65" w:line="190" w:lineRule="auto"/>
              <w:ind w:left="171"/>
            </w:pPr>
            <w:r>
              <w:rPr>
                <w:spacing w:val="2"/>
              </w:rPr>
              <w:t>2.1.1</w:t>
            </w:r>
          </w:p>
        </w:tc>
        <w:tc>
          <w:tcPr>
            <w:tcW w:w="9228" w:type="dxa"/>
            <w:gridSpan w:val="2"/>
            <w:vAlign w:val="top"/>
          </w:tcPr>
          <w:p w14:paraId="057EADAF">
            <w:pPr>
              <w:pStyle w:val="15"/>
              <w:spacing w:before="128" w:line="228" w:lineRule="auto"/>
              <w:ind w:left="4201"/>
            </w:pPr>
            <w:r>
              <w:rPr>
                <w:spacing w:val="6"/>
              </w:rPr>
              <w:t>形式评审</w:t>
            </w:r>
          </w:p>
        </w:tc>
      </w:tr>
      <w:tr w14:paraId="5F2FA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54" w:type="dxa"/>
            <w:vMerge w:val="continue"/>
            <w:tcBorders>
              <w:top w:val="nil"/>
              <w:bottom w:val="nil"/>
            </w:tcBorders>
            <w:vAlign w:val="top"/>
          </w:tcPr>
          <w:p w14:paraId="49958B48">
            <w:pPr>
              <w:rPr>
                <w:rFonts w:ascii="Arial"/>
                <w:sz w:val="21"/>
              </w:rPr>
            </w:pPr>
          </w:p>
        </w:tc>
        <w:tc>
          <w:tcPr>
            <w:tcW w:w="2024" w:type="dxa"/>
            <w:vAlign w:val="top"/>
          </w:tcPr>
          <w:p w14:paraId="00A265B2">
            <w:pPr>
              <w:pStyle w:val="15"/>
              <w:spacing w:before="262" w:line="228" w:lineRule="auto"/>
              <w:ind w:left="493"/>
            </w:pPr>
            <w:r>
              <w:rPr>
                <w:spacing w:val="7"/>
              </w:rPr>
              <w:t>投标人名称</w:t>
            </w:r>
          </w:p>
        </w:tc>
        <w:tc>
          <w:tcPr>
            <w:tcW w:w="7204" w:type="dxa"/>
            <w:vAlign w:val="top"/>
          </w:tcPr>
          <w:p w14:paraId="2D5D843A">
            <w:pPr>
              <w:pStyle w:val="15"/>
              <w:spacing w:before="128" w:line="239" w:lineRule="auto"/>
              <w:ind w:left="1706" w:right="136" w:hanging="1560"/>
            </w:pPr>
            <w:r>
              <w:rPr>
                <w:spacing w:val="9"/>
              </w:rPr>
              <w:t>与营业执照、资质证书、安全生产许可证上的名称一致；省外企业名称与在</w:t>
            </w:r>
            <w:r>
              <w:rPr>
                <w:spacing w:val="18"/>
              </w:rPr>
              <w:t xml:space="preserve"> </w:t>
            </w:r>
            <w:r>
              <w:rPr>
                <w:spacing w:val="8"/>
              </w:rPr>
              <w:t>“湖南省住房和城乡建设网</w:t>
            </w:r>
            <w:r>
              <w:rPr>
                <w:spacing w:val="-63"/>
              </w:rPr>
              <w:t xml:space="preserve"> </w:t>
            </w:r>
            <w:r>
              <w:rPr>
                <w:spacing w:val="8"/>
              </w:rPr>
              <w:t>”登记的一致</w:t>
            </w:r>
          </w:p>
        </w:tc>
      </w:tr>
      <w:tr w14:paraId="7457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54" w:type="dxa"/>
            <w:vMerge w:val="continue"/>
            <w:tcBorders>
              <w:top w:val="nil"/>
              <w:bottom w:val="nil"/>
            </w:tcBorders>
            <w:vAlign w:val="top"/>
          </w:tcPr>
          <w:p w14:paraId="4977C890">
            <w:pPr>
              <w:rPr>
                <w:rFonts w:ascii="Arial"/>
                <w:sz w:val="21"/>
              </w:rPr>
            </w:pPr>
          </w:p>
        </w:tc>
        <w:tc>
          <w:tcPr>
            <w:tcW w:w="2024" w:type="dxa"/>
            <w:vAlign w:val="top"/>
          </w:tcPr>
          <w:p w14:paraId="2308FEE3">
            <w:pPr>
              <w:pStyle w:val="15"/>
              <w:spacing w:before="264" w:line="228" w:lineRule="auto"/>
              <w:ind w:left="598"/>
            </w:pPr>
            <w:r>
              <w:rPr>
                <w:spacing w:val="6"/>
              </w:rPr>
              <w:t>投标文件</w:t>
            </w:r>
          </w:p>
        </w:tc>
        <w:tc>
          <w:tcPr>
            <w:tcW w:w="7204" w:type="dxa"/>
            <w:vAlign w:val="top"/>
          </w:tcPr>
          <w:p w14:paraId="7433FA35">
            <w:pPr>
              <w:pStyle w:val="15"/>
              <w:spacing w:before="130" w:line="239" w:lineRule="auto"/>
              <w:ind w:left="3084" w:right="136" w:hanging="2922"/>
            </w:pPr>
            <w:r>
              <w:rPr>
                <w:spacing w:val="9"/>
              </w:rPr>
              <w:t>同一投标人未提交两份以上不同内容的投标文件，但招标文件要求提交备选</w:t>
            </w:r>
            <w:r>
              <w:rPr>
                <w:spacing w:val="2"/>
              </w:rPr>
              <w:t xml:space="preserve"> </w:t>
            </w:r>
            <w:r>
              <w:rPr>
                <w:spacing w:val="7"/>
              </w:rPr>
              <w:t>投标的除外</w:t>
            </w:r>
          </w:p>
        </w:tc>
      </w:tr>
      <w:tr w14:paraId="6C62E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54" w:type="dxa"/>
            <w:vMerge w:val="continue"/>
            <w:tcBorders>
              <w:top w:val="nil"/>
              <w:bottom w:val="nil"/>
            </w:tcBorders>
            <w:vAlign w:val="top"/>
          </w:tcPr>
          <w:p w14:paraId="3745A2E3">
            <w:pPr>
              <w:rPr>
                <w:rFonts w:ascii="Arial"/>
                <w:sz w:val="21"/>
              </w:rPr>
            </w:pPr>
          </w:p>
        </w:tc>
        <w:tc>
          <w:tcPr>
            <w:tcW w:w="2024" w:type="dxa"/>
            <w:vAlign w:val="top"/>
          </w:tcPr>
          <w:p w14:paraId="4DC3729A">
            <w:pPr>
              <w:pStyle w:val="15"/>
              <w:spacing w:before="264" w:line="226" w:lineRule="auto"/>
              <w:ind w:left="598"/>
            </w:pPr>
            <w:r>
              <w:rPr>
                <w:spacing w:val="6"/>
              </w:rPr>
              <w:t>投标报价</w:t>
            </w:r>
          </w:p>
        </w:tc>
        <w:tc>
          <w:tcPr>
            <w:tcW w:w="7204" w:type="dxa"/>
            <w:vAlign w:val="top"/>
          </w:tcPr>
          <w:p w14:paraId="3DF5A443">
            <w:pPr>
              <w:pStyle w:val="15"/>
              <w:spacing w:before="130" w:line="239" w:lineRule="auto"/>
              <w:ind w:left="3084" w:right="136" w:hanging="2922"/>
            </w:pPr>
            <w:r>
              <w:rPr>
                <w:spacing w:val="9"/>
              </w:rPr>
              <w:t>同一投标人未提交两份以上不同内容的投标报价，但招标文件要求提交备选</w:t>
            </w:r>
            <w:r>
              <w:rPr>
                <w:spacing w:val="2"/>
              </w:rPr>
              <w:t xml:space="preserve"> </w:t>
            </w:r>
            <w:r>
              <w:rPr>
                <w:spacing w:val="7"/>
              </w:rPr>
              <w:t>投标的除外</w:t>
            </w:r>
          </w:p>
        </w:tc>
      </w:tr>
      <w:tr w14:paraId="3B867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54" w:type="dxa"/>
            <w:vMerge w:val="continue"/>
            <w:tcBorders>
              <w:top w:val="nil"/>
              <w:bottom w:val="nil"/>
            </w:tcBorders>
            <w:vAlign w:val="top"/>
          </w:tcPr>
          <w:p w14:paraId="7CFE7262">
            <w:pPr>
              <w:rPr>
                <w:rFonts w:ascii="Arial"/>
                <w:sz w:val="21"/>
              </w:rPr>
            </w:pPr>
          </w:p>
        </w:tc>
        <w:tc>
          <w:tcPr>
            <w:tcW w:w="2024" w:type="dxa"/>
            <w:vAlign w:val="top"/>
          </w:tcPr>
          <w:p w14:paraId="7A9A750A">
            <w:pPr>
              <w:pStyle w:val="15"/>
              <w:spacing w:before="130"/>
              <w:ind w:left="930" w:right="173" w:hanging="753"/>
            </w:pPr>
            <w:r>
              <w:rPr>
                <w:spacing w:val="8"/>
              </w:rPr>
              <w:t>法定代表人身份证</w:t>
            </w:r>
            <w:r>
              <w:rPr>
                <w:spacing w:val="3"/>
              </w:rPr>
              <w:t xml:space="preserve"> </w:t>
            </w:r>
            <w:r>
              <w:t>明</w:t>
            </w:r>
          </w:p>
        </w:tc>
        <w:tc>
          <w:tcPr>
            <w:tcW w:w="7204" w:type="dxa"/>
            <w:vAlign w:val="top"/>
          </w:tcPr>
          <w:p w14:paraId="34373AB4">
            <w:pPr>
              <w:pStyle w:val="15"/>
              <w:spacing w:before="264" w:line="227" w:lineRule="auto"/>
              <w:ind w:left="1613"/>
            </w:pPr>
            <w:r>
              <w:rPr>
                <w:spacing w:val="9"/>
              </w:rPr>
              <w:t>提交盖投标人单位章的法定代表人身份证明</w:t>
            </w:r>
          </w:p>
        </w:tc>
      </w:tr>
      <w:tr w14:paraId="2739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4" w:type="dxa"/>
            <w:vMerge w:val="continue"/>
            <w:tcBorders>
              <w:top w:val="nil"/>
              <w:bottom w:val="nil"/>
            </w:tcBorders>
            <w:vAlign w:val="top"/>
          </w:tcPr>
          <w:p w14:paraId="545681CF">
            <w:pPr>
              <w:rPr>
                <w:rFonts w:ascii="Arial"/>
                <w:sz w:val="21"/>
              </w:rPr>
            </w:pPr>
          </w:p>
        </w:tc>
        <w:tc>
          <w:tcPr>
            <w:tcW w:w="2024" w:type="dxa"/>
            <w:vAlign w:val="top"/>
          </w:tcPr>
          <w:p w14:paraId="568E3604">
            <w:pPr>
              <w:pStyle w:val="15"/>
              <w:spacing w:before="131" w:line="227" w:lineRule="auto"/>
              <w:ind w:left="110"/>
            </w:pPr>
            <w:r>
              <w:rPr>
                <w:spacing w:val="7"/>
              </w:rPr>
              <w:t>授权委托书（如有）</w:t>
            </w:r>
          </w:p>
        </w:tc>
        <w:tc>
          <w:tcPr>
            <w:tcW w:w="7204" w:type="dxa"/>
            <w:vAlign w:val="top"/>
          </w:tcPr>
          <w:p w14:paraId="5F23FDF9">
            <w:pPr>
              <w:pStyle w:val="15"/>
              <w:spacing w:before="131" w:line="227" w:lineRule="auto"/>
              <w:ind w:left="1717"/>
            </w:pPr>
            <w:r>
              <w:rPr>
                <w:spacing w:val="9"/>
              </w:rPr>
              <w:t>提交法定代表人签字或盖章的授权委托书</w:t>
            </w:r>
          </w:p>
        </w:tc>
      </w:tr>
      <w:tr w14:paraId="59257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54" w:type="dxa"/>
            <w:vMerge w:val="continue"/>
            <w:tcBorders>
              <w:top w:val="nil"/>
              <w:bottom w:val="nil"/>
            </w:tcBorders>
            <w:vAlign w:val="top"/>
          </w:tcPr>
          <w:p w14:paraId="43856B9F">
            <w:pPr>
              <w:rPr>
                <w:rFonts w:ascii="Arial"/>
                <w:sz w:val="21"/>
              </w:rPr>
            </w:pPr>
          </w:p>
        </w:tc>
        <w:tc>
          <w:tcPr>
            <w:tcW w:w="2024" w:type="dxa"/>
            <w:vAlign w:val="top"/>
          </w:tcPr>
          <w:p w14:paraId="3E7FE1A5">
            <w:pPr>
              <w:pStyle w:val="15"/>
              <w:spacing w:before="130"/>
              <w:ind w:left="805" w:right="173" w:hanging="630"/>
            </w:pPr>
            <w:r>
              <w:rPr>
                <w:spacing w:val="8"/>
              </w:rPr>
              <w:t>共同投标协议（如</w:t>
            </w:r>
            <w:r>
              <w:rPr>
                <w:spacing w:val="5"/>
              </w:rPr>
              <w:t xml:space="preserve"> </w:t>
            </w:r>
            <w:r>
              <w:t>有）</w:t>
            </w:r>
          </w:p>
        </w:tc>
        <w:tc>
          <w:tcPr>
            <w:tcW w:w="7204" w:type="dxa"/>
            <w:vAlign w:val="top"/>
          </w:tcPr>
          <w:p w14:paraId="2652E05C">
            <w:pPr>
              <w:pStyle w:val="15"/>
              <w:spacing w:before="265" w:line="227" w:lineRule="auto"/>
              <w:ind w:left="1928"/>
            </w:pPr>
            <w:r>
              <w:rPr>
                <w:spacing w:val="9"/>
              </w:rPr>
              <w:t>提交共同投标协议，且明确了牵头人</w:t>
            </w:r>
          </w:p>
        </w:tc>
      </w:tr>
      <w:tr w14:paraId="104F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854" w:type="dxa"/>
            <w:vMerge w:val="continue"/>
            <w:tcBorders>
              <w:top w:val="nil"/>
            </w:tcBorders>
            <w:vAlign w:val="top"/>
          </w:tcPr>
          <w:p w14:paraId="6C50A40A">
            <w:pPr>
              <w:rPr>
                <w:rFonts w:ascii="Arial"/>
                <w:sz w:val="21"/>
              </w:rPr>
            </w:pPr>
          </w:p>
        </w:tc>
        <w:tc>
          <w:tcPr>
            <w:tcW w:w="2024" w:type="dxa"/>
            <w:vAlign w:val="top"/>
          </w:tcPr>
          <w:p w14:paraId="39982C96">
            <w:pPr>
              <w:spacing w:line="335" w:lineRule="auto"/>
              <w:rPr>
                <w:rFonts w:ascii="Arial"/>
                <w:sz w:val="21"/>
              </w:rPr>
            </w:pPr>
          </w:p>
          <w:p w14:paraId="00B3092B">
            <w:pPr>
              <w:pStyle w:val="15"/>
              <w:spacing w:before="65" w:line="227" w:lineRule="auto"/>
              <w:ind w:left="178"/>
            </w:pPr>
            <w:r>
              <w:rPr>
                <w:spacing w:val="8"/>
              </w:rPr>
              <w:t>投标文件签字盖章</w:t>
            </w:r>
          </w:p>
        </w:tc>
        <w:tc>
          <w:tcPr>
            <w:tcW w:w="7204" w:type="dxa"/>
            <w:vAlign w:val="top"/>
          </w:tcPr>
          <w:p w14:paraId="59F95794">
            <w:pPr>
              <w:pStyle w:val="15"/>
              <w:spacing w:before="131" w:line="227" w:lineRule="auto"/>
              <w:ind w:right="10"/>
              <w:jc w:val="right"/>
            </w:pPr>
            <w:r>
              <w:rPr>
                <w:spacing w:val="8"/>
              </w:rPr>
              <w:t>投标文件中的投标函和共同投标协议（如有）签字盖章应符合以下情形之一：</w:t>
            </w:r>
          </w:p>
          <w:p w14:paraId="3716DD28">
            <w:pPr>
              <w:pStyle w:val="15"/>
              <w:spacing w:before="25" w:line="227" w:lineRule="auto"/>
              <w:ind w:left="2619"/>
            </w:pPr>
            <w:r>
              <w:rPr>
                <w:spacing w:val="7"/>
              </w:rPr>
              <w:t>（1）盖投标人单位章</w:t>
            </w:r>
          </w:p>
          <w:p w14:paraId="33EEF1A1">
            <w:pPr>
              <w:pStyle w:val="15"/>
              <w:spacing w:before="27" w:line="227" w:lineRule="auto"/>
              <w:ind w:left="1570"/>
            </w:pPr>
            <w:r>
              <w:rPr>
                <w:spacing w:val="8"/>
              </w:rPr>
              <w:t>（2）法定代表人或其委托代理人签字或盖章</w:t>
            </w:r>
          </w:p>
        </w:tc>
      </w:tr>
      <w:tr w14:paraId="2F745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4" w:type="dxa"/>
            <w:vMerge w:val="restart"/>
            <w:tcBorders>
              <w:bottom w:val="nil"/>
            </w:tcBorders>
            <w:vAlign w:val="top"/>
          </w:tcPr>
          <w:p w14:paraId="25475317">
            <w:pPr>
              <w:spacing w:line="257" w:lineRule="auto"/>
              <w:rPr>
                <w:rFonts w:ascii="Arial"/>
                <w:sz w:val="21"/>
              </w:rPr>
            </w:pPr>
          </w:p>
          <w:p w14:paraId="40903767">
            <w:pPr>
              <w:spacing w:line="257" w:lineRule="auto"/>
              <w:rPr>
                <w:rFonts w:ascii="Arial"/>
                <w:sz w:val="21"/>
              </w:rPr>
            </w:pPr>
          </w:p>
          <w:p w14:paraId="6708F1A3">
            <w:pPr>
              <w:spacing w:line="258" w:lineRule="auto"/>
              <w:rPr>
                <w:rFonts w:ascii="Arial"/>
                <w:sz w:val="21"/>
              </w:rPr>
            </w:pPr>
          </w:p>
          <w:p w14:paraId="672A4D31">
            <w:pPr>
              <w:spacing w:line="258" w:lineRule="auto"/>
              <w:rPr>
                <w:rFonts w:ascii="Arial"/>
                <w:sz w:val="21"/>
              </w:rPr>
            </w:pPr>
          </w:p>
          <w:p w14:paraId="7BA1D2CC">
            <w:pPr>
              <w:spacing w:line="258" w:lineRule="auto"/>
              <w:rPr>
                <w:rFonts w:ascii="Arial"/>
                <w:sz w:val="21"/>
              </w:rPr>
            </w:pPr>
          </w:p>
          <w:p w14:paraId="30A7A205">
            <w:pPr>
              <w:spacing w:line="258" w:lineRule="auto"/>
              <w:rPr>
                <w:rFonts w:ascii="Arial"/>
                <w:sz w:val="21"/>
              </w:rPr>
            </w:pPr>
          </w:p>
          <w:p w14:paraId="2342A5C0">
            <w:pPr>
              <w:spacing w:line="258" w:lineRule="auto"/>
              <w:rPr>
                <w:rFonts w:ascii="Arial"/>
                <w:sz w:val="21"/>
              </w:rPr>
            </w:pPr>
          </w:p>
          <w:p w14:paraId="656CF17B">
            <w:pPr>
              <w:spacing w:line="258" w:lineRule="auto"/>
              <w:rPr>
                <w:rFonts w:ascii="Arial"/>
                <w:sz w:val="21"/>
              </w:rPr>
            </w:pPr>
          </w:p>
          <w:p w14:paraId="0EF38F7D">
            <w:pPr>
              <w:pStyle w:val="15"/>
              <w:spacing w:before="65" w:line="190" w:lineRule="auto"/>
              <w:ind w:left="171"/>
            </w:pPr>
            <w:r>
              <w:rPr>
                <w:spacing w:val="2"/>
              </w:rPr>
              <w:t>2.1.2</w:t>
            </w:r>
          </w:p>
        </w:tc>
        <w:tc>
          <w:tcPr>
            <w:tcW w:w="9228" w:type="dxa"/>
            <w:gridSpan w:val="2"/>
            <w:vAlign w:val="top"/>
          </w:tcPr>
          <w:p w14:paraId="58B32685">
            <w:pPr>
              <w:pStyle w:val="15"/>
              <w:spacing w:before="132" w:line="228" w:lineRule="auto"/>
              <w:ind w:left="4207"/>
            </w:pPr>
            <w:r>
              <w:rPr>
                <w:spacing w:val="5"/>
              </w:rPr>
              <w:t>资格评审</w:t>
            </w:r>
          </w:p>
        </w:tc>
      </w:tr>
      <w:tr w14:paraId="25B50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4" w:type="dxa"/>
            <w:vMerge w:val="continue"/>
            <w:tcBorders>
              <w:top w:val="nil"/>
              <w:bottom w:val="nil"/>
            </w:tcBorders>
            <w:vAlign w:val="top"/>
          </w:tcPr>
          <w:p w14:paraId="78EA4639">
            <w:pPr>
              <w:rPr>
                <w:rFonts w:ascii="Arial"/>
                <w:sz w:val="21"/>
              </w:rPr>
            </w:pPr>
          </w:p>
        </w:tc>
        <w:tc>
          <w:tcPr>
            <w:tcW w:w="2024" w:type="dxa"/>
            <w:vAlign w:val="top"/>
          </w:tcPr>
          <w:p w14:paraId="55857B1A">
            <w:pPr>
              <w:pStyle w:val="15"/>
              <w:spacing w:before="132" w:line="228" w:lineRule="auto"/>
              <w:ind w:left="602"/>
            </w:pPr>
            <w:r>
              <w:rPr>
                <w:spacing w:val="5"/>
              </w:rPr>
              <w:t>营业执照</w:t>
            </w:r>
          </w:p>
        </w:tc>
        <w:tc>
          <w:tcPr>
            <w:tcW w:w="7204" w:type="dxa"/>
            <w:vAlign w:val="top"/>
          </w:tcPr>
          <w:p w14:paraId="339B5CC5">
            <w:pPr>
              <w:pStyle w:val="15"/>
              <w:spacing w:before="132" w:line="228" w:lineRule="auto"/>
              <w:ind w:left="2666"/>
            </w:pPr>
            <w:r>
              <w:rPr>
                <w:spacing w:val="8"/>
              </w:rPr>
              <w:t>具备有效的营业执照</w:t>
            </w:r>
          </w:p>
        </w:tc>
      </w:tr>
      <w:tr w14:paraId="563CE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4" w:type="dxa"/>
            <w:vMerge w:val="continue"/>
            <w:tcBorders>
              <w:top w:val="nil"/>
              <w:bottom w:val="nil"/>
            </w:tcBorders>
            <w:vAlign w:val="top"/>
          </w:tcPr>
          <w:p w14:paraId="0DF92CA7">
            <w:pPr>
              <w:rPr>
                <w:rFonts w:ascii="Arial"/>
                <w:sz w:val="21"/>
              </w:rPr>
            </w:pPr>
          </w:p>
        </w:tc>
        <w:tc>
          <w:tcPr>
            <w:tcW w:w="2024" w:type="dxa"/>
            <w:vAlign w:val="top"/>
          </w:tcPr>
          <w:p w14:paraId="6243D4E4">
            <w:pPr>
              <w:pStyle w:val="15"/>
              <w:spacing w:before="132" w:line="228" w:lineRule="auto"/>
              <w:ind w:left="605"/>
            </w:pPr>
            <w:r>
              <w:rPr>
                <w:spacing w:val="5"/>
              </w:rPr>
              <w:t>资质等级</w:t>
            </w:r>
          </w:p>
        </w:tc>
        <w:tc>
          <w:tcPr>
            <w:tcW w:w="7204" w:type="dxa"/>
            <w:vAlign w:val="top"/>
          </w:tcPr>
          <w:p w14:paraId="19511045">
            <w:pPr>
              <w:pStyle w:val="15"/>
              <w:spacing w:before="132" w:line="227" w:lineRule="auto"/>
              <w:ind w:left="2034"/>
            </w:pPr>
            <w:r>
              <w:rPr>
                <w:spacing w:val="7"/>
              </w:rPr>
              <w:t>符合第二章“投标人须知</w:t>
            </w:r>
            <w:r>
              <w:rPr>
                <w:spacing w:val="-67"/>
              </w:rPr>
              <w:t xml:space="preserve"> </w:t>
            </w:r>
            <w:r>
              <w:rPr>
                <w:spacing w:val="7"/>
              </w:rPr>
              <w:t>”的规定</w:t>
            </w:r>
          </w:p>
        </w:tc>
      </w:tr>
      <w:tr w14:paraId="32D28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4" w:type="dxa"/>
            <w:vMerge w:val="continue"/>
            <w:tcBorders>
              <w:top w:val="nil"/>
              <w:bottom w:val="nil"/>
            </w:tcBorders>
            <w:vAlign w:val="top"/>
          </w:tcPr>
          <w:p w14:paraId="036F784A">
            <w:pPr>
              <w:rPr>
                <w:rFonts w:ascii="Arial"/>
                <w:sz w:val="21"/>
              </w:rPr>
            </w:pPr>
          </w:p>
        </w:tc>
        <w:tc>
          <w:tcPr>
            <w:tcW w:w="2024" w:type="dxa"/>
            <w:vAlign w:val="top"/>
          </w:tcPr>
          <w:p w14:paraId="512900F7">
            <w:pPr>
              <w:pStyle w:val="15"/>
              <w:spacing w:before="130" w:line="228" w:lineRule="auto"/>
              <w:ind w:left="283"/>
            </w:pPr>
            <w:r>
              <w:rPr>
                <w:spacing w:val="8"/>
              </w:rPr>
              <w:t>安全生产许可证</w:t>
            </w:r>
          </w:p>
        </w:tc>
        <w:tc>
          <w:tcPr>
            <w:tcW w:w="7204" w:type="dxa"/>
            <w:vAlign w:val="top"/>
          </w:tcPr>
          <w:p w14:paraId="14602827">
            <w:pPr>
              <w:pStyle w:val="15"/>
              <w:spacing w:before="130" w:line="228" w:lineRule="auto"/>
              <w:ind w:left="2351"/>
            </w:pPr>
            <w:r>
              <w:rPr>
                <w:spacing w:val="8"/>
              </w:rPr>
              <w:t>具备有效的安全生产许可证</w:t>
            </w:r>
          </w:p>
        </w:tc>
      </w:tr>
      <w:tr w14:paraId="3EEF2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4" w:type="dxa"/>
            <w:vMerge w:val="continue"/>
            <w:tcBorders>
              <w:top w:val="nil"/>
              <w:bottom w:val="nil"/>
            </w:tcBorders>
            <w:vAlign w:val="top"/>
          </w:tcPr>
          <w:p w14:paraId="1AC59307">
            <w:pPr>
              <w:rPr>
                <w:rFonts w:ascii="Arial"/>
                <w:sz w:val="21"/>
              </w:rPr>
            </w:pPr>
          </w:p>
        </w:tc>
        <w:tc>
          <w:tcPr>
            <w:tcW w:w="2024" w:type="dxa"/>
            <w:vAlign w:val="top"/>
          </w:tcPr>
          <w:p w14:paraId="1AB52D79">
            <w:pPr>
              <w:pStyle w:val="15"/>
              <w:spacing w:before="130" w:line="227" w:lineRule="auto"/>
              <w:ind w:left="176"/>
            </w:pPr>
            <w:r>
              <w:rPr>
                <w:spacing w:val="8"/>
              </w:rPr>
              <w:t>拟任项目经理资格</w:t>
            </w:r>
          </w:p>
        </w:tc>
        <w:tc>
          <w:tcPr>
            <w:tcW w:w="7204" w:type="dxa"/>
            <w:vAlign w:val="top"/>
          </w:tcPr>
          <w:p w14:paraId="5F65A0BA">
            <w:pPr>
              <w:pStyle w:val="15"/>
              <w:spacing w:before="130" w:line="227" w:lineRule="auto"/>
              <w:ind w:left="2034"/>
            </w:pPr>
            <w:r>
              <w:rPr>
                <w:spacing w:val="7"/>
              </w:rPr>
              <w:t>符合第二章“投标人须知</w:t>
            </w:r>
            <w:r>
              <w:rPr>
                <w:spacing w:val="-67"/>
              </w:rPr>
              <w:t xml:space="preserve"> </w:t>
            </w:r>
            <w:r>
              <w:rPr>
                <w:spacing w:val="7"/>
              </w:rPr>
              <w:t>”的规定</w:t>
            </w:r>
          </w:p>
        </w:tc>
      </w:tr>
      <w:tr w14:paraId="07F6C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4" w:type="dxa"/>
            <w:vMerge w:val="continue"/>
            <w:tcBorders>
              <w:top w:val="nil"/>
              <w:bottom w:val="nil"/>
            </w:tcBorders>
            <w:vAlign w:val="top"/>
          </w:tcPr>
          <w:p w14:paraId="06D06EDC">
            <w:pPr>
              <w:rPr>
                <w:rFonts w:ascii="Arial"/>
                <w:sz w:val="21"/>
              </w:rPr>
            </w:pPr>
          </w:p>
        </w:tc>
        <w:tc>
          <w:tcPr>
            <w:tcW w:w="2024" w:type="dxa"/>
            <w:vAlign w:val="top"/>
          </w:tcPr>
          <w:p w14:paraId="6DDB89DC">
            <w:pPr>
              <w:pStyle w:val="15"/>
              <w:spacing w:before="131" w:line="228" w:lineRule="auto"/>
              <w:ind w:left="597"/>
            </w:pPr>
            <w:r>
              <w:rPr>
                <w:spacing w:val="7"/>
              </w:rPr>
              <w:t>其他要求</w:t>
            </w:r>
          </w:p>
        </w:tc>
        <w:tc>
          <w:tcPr>
            <w:tcW w:w="7204" w:type="dxa"/>
            <w:vAlign w:val="top"/>
          </w:tcPr>
          <w:p w14:paraId="6CA993E5">
            <w:pPr>
              <w:pStyle w:val="15"/>
              <w:spacing w:before="131" w:line="227" w:lineRule="auto"/>
              <w:ind w:left="2034"/>
            </w:pPr>
            <w:r>
              <w:rPr>
                <w:spacing w:val="7"/>
              </w:rPr>
              <w:t>符合第二章“投标人须知</w:t>
            </w:r>
            <w:r>
              <w:rPr>
                <w:spacing w:val="-67"/>
              </w:rPr>
              <w:t xml:space="preserve"> </w:t>
            </w:r>
            <w:r>
              <w:rPr>
                <w:spacing w:val="7"/>
              </w:rPr>
              <w:t>”的规定</w:t>
            </w:r>
          </w:p>
        </w:tc>
      </w:tr>
      <w:tr w14:paraId="141BB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54" w:type="dxa"/>
            <w:vMerge w:val="continue"/>
            <w:tcBorders>
              <w:top w:val="nil"/>
            </w:tcBorders>
            <w:vAlign w:val="top"/>
          </w:tcPr>
          <w:p w14:paraId="558E9808">
            <w:pPr>
              <w:rPr>
                <w:rFonts w:ascii="Arial"/>
                <w:sz w:val="21"/>
              </w:rPr>
            </w:pPr>
          </w:p>
        </w:tc>
        <w:tc>
          <w:tcPr>
            <w:tcW w:w="9228" w:type="dxa"/>
            <w:gridSpan w:val="2"/>
            <w:vAlign w:val="top"/>
          </w:tcPr>
          <w:p w14:paraId="05EE6DD2">
            <w:pPr>
              <w:pStyle w:val="15"/>
              <w:spacing w:before="130" w:line="244" w:lineRule="auto"/>
              <w:ind w:left="114" w:right="105" w:firstLine="12"/>
              <w:jc w:val="both"/>
            </w:pPr>
            <w:r>
              <w:rPr>
                <w:spacing w:val="9"/>
              </w:rPr>
              <w:t>1.已进行资格预审的，评标委员会一般不再对投标人资格进行评审。投标人资格预</w:t>
            </w:r>
            <w:r>
              <w:rPr>
                <w:spacing w:val="8"/>
              </w:rPr>
              <w:t>审申请文件的内</w:t>
            </w:r>
            <w:r>
              <w:t xml:space="preserve"> </w:t>
            </w:r>
            <w:r>
              <w:rPr>
                <w:spacing w:val="9"/>
              </w:rPr>
              <w:t>容发生了重大变化的，由评标委员会依据资格预审文件中规定的标准和方法，对照投标人资格预审</w:t>
            </w:r>
            <w:r>
              <w:rPr>
                <w:spacing w:val="15"/>
              </w:rPr>
              <w:t xml:space="preserve"> </w:t>
            </w:r>
            <w:r>
              <w:rPr>
                <w:spacing w:val="9"/>
              </w:rPr>
              <w:t>申请文件中的资料以及开标前更新的资料，对其更新的资料进行评审，其变化后的资格条件不得低</w:t>
            </w:r>
          </w:p>
          <w:p w14:paraId="51528D68">
            <w:pPr>
              <w:pStyle w:val="15"/>
              <w:spacing w:before="26" w:line="228" w:lineRule="auto"/>
              <w:ind w:left="3570"/>
            </w:pPr>
            <w:r>
              <w:rPr>
                <w:spacing w:val="7"/>
              </w:rPr>
              <w:t>于原有资格条件要求。</w:t>
            </w:r>
          </w:p>
          <w:p w14:paraId="27D7FDD8">
            <w:pPr>
              <w:pStyle w:val="15"/>
              <w:spacing w:before="24" w:line="227" w:lineRule="auto"/>
              <w:ind w:left="1050"/>
            </w:pPr>
            <w:r>
              <w:rPr>
                <w:spacing w:val="9"/>
              </w:rPr>
              <w:t>2.未进行资格预审的，由评标委员会根据评审标准，对投标人资格进行评审。</w:t>
            </w:r>
          </w:p>
        </w:tc>
      </w:tr>
      <w:tr w14:paraId="4FC5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4" w:type="dxa"/>
            <w:vMerge w:val="restart"/>
            <w:tcBorders>
              <w:bottom w:val="nil"/>
            </w:tcBorders>
            <w:vAlign w:val="top"/>
          </w:tcPr>
          <w:p w14:paraId="437BC4AC">
            <w:pPr>
              <w:spacing w:line="249" w:lineRule="auto"/>
              <w:rPr>
                <w:rFonts w:ascii="Arial"/>
                <w:sz w:val="21"/>
              </w:rPr>
            </w:pPr>
          </w:p>
          <w:p w14:paraId="34352D7B">
            <w:pPr>
              <w:spacing w:line="250" w:lineRule="auto"/>
              <w:rPr>
                <w:rFonts w:ascii="Arial"/>
                <w:sz w:val="21"/>
              </w:rPr>
            </w:pPr>
          </w:p>
          <w:p w14:paraId="28C8E63B">
            <w:pPr>
              <w:spacing w:line="250" w:lineRule="auto"/>
              <w:rPr>
                <w:rFonts w:ascii="Arial"/>
                <w:sz w:val="21"/>
              </w:rPr>
            </w:pPr>
          </w:p>
          <w:p w14:paraId="6683FAEF">
            <w:pPr>
              <w:spacing w:line="250" w:lineRule="auto"/>
              <w:rPr>
                <w:rFonts w:ascii="Arial"/>
                <w:sz w:val="21"/>
              </w:rPr>
            </w:pPr>
          </w:p>
          <w:p w14:paraId="755FB264">
            <w:pPr>
              <w:spacing w:line="250" w:lineRule="auto"/>
              <w:rPr>
                <w:rFonts w:ascii="Arial"/>
                <w:sz w:val="21"/>
              </w:rPr>
            </w:pPr>
          </w:p>
          <w:p w14:paraId="7D26E39A">
            <w:pPr>
              <w:pStyle w:val="15"/>
              <w:spacing w:before="65" w:line="190" w:lineRule="auto"/>
              <w:ind w:left="171"/>
            </w:pPr>
            <w:r>
              <w:rPr>
                <w:spacing w:val="2"/>
              </w:rPr>
              <w:t>2.1.3</w:t>
            </w:r>
          </w:p>
        </w:tc>
        <w:tc>
          <w:tcPr>
            <w:tcW w:w="9228" w:type="dxa"/>
            <w:gridSpan w:val="2"/>
            <w:vAlign w:val="top"/>
          </w:tcPr>
          <w:p w14:paraId="70F00970">
            <w:pPr>
              <w:pStyle w:val="15"/>
              <w:spacing w:before="133" w:line="228" w:lineRule="auto"/>
              <w:ind w:left="4103"/>
            </w:pPr>
            <w:r>
              <w:rPr>
                <w:spacing w:val="6"/>
              </w:rPr>
              <w:t>响应性评审</w:t>
            </w:r>
          </w:p>
        </w:tc>
      </w:tr>
      <w:tr w14:paraId="52AEB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4" w:type="dxa"/>
            <w:vMerge w:val="continue"/>
            <w:tcBorders>
              <w:top w:val="nil"/>
              <w:bottom w:val="nil"/>
            </w:tcBorders>
            <w:vAlign w:val="top"/>
          </w:tcPr>
          <w:p w14:paraId="463388C4">
            <w:pPr>
              <w:rPr>
                <w:rFonts w:ascii="Arial"/>
                <w:sz w:val="21"/>
              </w:rPr>
            </w:pPr>
          </w:p>
        </w:tc>
        <w:tc>
          <w:tcPr>
            <w:tcW w:w="2024" w:type="dxa"/>
            <w:vAlign w:val="top"/>
          </w:tcPr>
          <w:p w14:paraId="427F5AC0">
            <w:pPr>
              <w:pStyle w:val="15"/>
              <w:spacing w:before="132" w:line="228" w:lineRule="auto"/>
              <w:ind w:left="598"/>
            </w:pPr>
            <w:r>
              <w:rPr>
                <w:spacing w:val="6"/>
              </w:rPr>
              <w:t>投标内容</w:t>
            </w:r>
          </w:p>
        </w:tc>
        <w:tc>
          <w:tcPr>
            <w:tcW w:w="7204" w:type="dxa"/>
            <w:vAlign w:val="top"/>
          </w:tcPr>
          <w:p w14:paraId="0704774A">
            <w:pPr>
              <w:pStyle w:val="15"/>
              <w:spacing w:before="132" w:line="228" w:lineRule="auto"/>
              <w:ind w:left="984"/>
            </w:pPr>
            <w:r>
              <w:rPr>
                <w:spacing w:val="9"/>
              </w:rPr>
              <w:t>投标文件载明的投标范围不小于招标文件规定的招标范围</w:t>
            </w:r>
          </w:p>
        </w:tc>
      </w:tr>
      <w:tr w14:paraId="7547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854" w:type="dxa"/>
            <w:vMerge w:val="continue"/>
            <w:tcBorders>
              <w:top w:val="nil"/>
            </w:tcBorders>
            <w:vAlign w:val="top"/>
          </w:tcPr>
          <w:p w14:paraId="0FEDBB27">
            <w:pPr>
              <w:rPr>
                <w:rFonts w:ascii="Arial"/>
                <w:sz w:val="21"/>
              </w:rPr>
            </w:pPr>
          </w:p>
        </w:tc>
        <w:tc>
          <w:tcPr>
            <w:tcW w:w="2024" w:type="dxa"/>
            <w:vAlign w:val="top"/>
          </w:tcPr>
          <w:p w14:paraId="0A36A8D4">
            <w:pPr>
              <w:spacing w:line="247" w:lineRule="auto"/>
              <w:rPr>
                <w:rFonts w:ascii="Arial"/>
                <w:sz w:val="21"/>
              </w:rPr>
            </w:pPr>
          </w:p>
          <w:p w14:paraId="60CA2278">
            <w:pPr>
              <w:spacing w:line="248" w:lineRule="auto"/>
              <w:rPr>
                <w:rFonts w:ascii="Arial"/>
                <w:sz w:val="21"/>
              </w:rPr>
            </w:pPr>
          </w:p>
          <w:p w14:paraId="48B19718">
            <w:pPr>
              <w:spacing w:line="248" w:lineRule="auto"/>
              <w:rPr>
                <w:rFonts w:ascii="Arial"/>
                <w:sz w:val="21"/>
              </w:rPr>
            </w:pPr>
          </w:p>
          <w:p w14:paraId="3E77A450">
            <w:pPr>
              <w:pStyle w:val="15"/>
              <w:spacing w:before="65" w:line="226" w:lineRule="auto"/>
              <w:ind w:left="598"/>
            </w:pPr>
            <w:r>
              <w:rPr>
                <w:spacing w:val="6"/>
              </w:rPr>
              <w:t>投标报价</w:t>
            </w:r>
          </w:p>
        </w:tc>
        <w:tc>
          <w:tcPr>
            <w:tcW w:w="7204" w:type="dxa"/>
            <w:vAlign w:val="top"/>
          </w:tcPr>
          <w:p w14:paraId="24923CC7">
            <w:pPr>
              <w:pStyle w:val="15"/>
              <w:spacing w:before="133" w:line="226" w:lineRule="auto"/>
              <w:ind w:left="1404"/>
            </w:pPr>
            <w:r>
              <w:rPr>
                <w:spacing w:val="8"/>
              </w:rPr>
              <w:t>投标报价未超过招标文件规定的最高投标限价；</w:t>
            </w:r>
          </w:p>
          <w:p w14:paraId="31A980C3">
            <w:pPr>
              <w:pStyle w:val="15"/>
              <w:spacing w:before="26" w:line="239" w:lineRule="auto"/>
              <w:ind w:left="3082" w:right="136" w:hanging="2938"/>
            </w:pPr>
            <w:r>
              <w:rPr>
                <w:spacing w:val="10"/>
              </w:rPr>
              <w:t>投标报价中的绿色施工安全防护措施项目费按</w:t>
            </w:r>
            <w:r>
              <w:rPr>
                <w:spacing w:val="9"/>
              </w:rPr>
              <w:t>照省住房城乡建设主管部门的</w:t>
            </w:r>
            <w:r>
              <w:t xml:space="preserve"> </w:t>
            </w:r>
            <w:r>
              <w:rPr>
                <w:spacing w:val="5"/>
              </w:rPr>
              <w:t>规定计算；</w:t>
            </w:r>
          </w:p>
          <w:p w14:paraId="6D00913F">
            <w:pPr>
              <w:pStyle w:val="15"/>
              <w:spacing w:before="27" w:line="226" w:lineRule="auto"/>
              <w:ind w:left="458"/>
            </w:pPr>
            <w:r>
              <w:rPr>
                <w:spacing w:val="9"/>
              </w:rPr>
              <w:t>投标报价中的安全责任险按照省住房城乡建设主管部门的规定计算；</w:t>
            </w:r>
          </w:p>
          <w:p w14:paraId="40788B3C">
            <w:pPr>
              <w:pStyle w:val="15"/>
              <w:spacing w:before="26" w:line="226" w:lineRule="auto"/>
              <w:ind w:left="458"/>
            </w:pPr>
            <w:r>
              <w:rPr>
                <w:spacing w:val="9"/>
              </w:rPr>
              <w:t>投标报价中的环境保护税按照省住房城乡建设主管部门的规定计算；</w:t>
            </w:r>
          </w:p>
          <w:p w14:paraId="7C63B9BE">
            <w:pPr>
              <w:pStyle w:val="15"/>
              <w:spacing w:before="28" w:line="226" w:lineRule="auto"/>
              <w:ind w:left="775"/>
            </w:pPr>
            <w:r>
              <w:rPr>
                <w:spacing w:val="9"/>
              </w:rPr>
              <w:t>投标报价中的增值税按照政府有关主管部门的规定计算费用；</w:t>
            </w:r>
          </w:p>
        </w:tc>
      </w:tr>
    </w:tbl>
    <w:p w14:paraId="59990957">
      <w:pPr>
        <w:pStyle w:val="6"/>
        <w:spacing w:line="186" w:lineRule="exact"/>
        <w:rPr>
          <w:sz w:val="16"/>
        </w:rPr>
      </w:pPr>
    </w:p>
    <w:p w14:paraId="1F02C828">
      <w:pPr>
        <w:spacing w:line="186" w:lineRule="exact"/>
        <w:rPr>
          <w:sz w:val="16"/>
          <w:szCs w:val="16"/>
        </w:rPr>
        <w:sectPr>
          <w:footerReference r:id="rId20" w:type="default"/>
          <w:pgSz w:w="11907" w:h="16840"/>
          <w:pgMar w:top="1004" w:right="909" w:bottom="1029" w:left="909" w:header="0" w:footer="850" w:gutter="0"/>
          <w:pgNumType w:fmt="decimal"/>
          <w:cols w:space="720" w:num="1"/>
        </w:sectPr>
      </w:pPr>
    </w:p>
    <w:tbl>
      <w:tblPr>
        <w:tblStyle w:val="14"/>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2024"/>
        <w:gridCol w:w="4701"/>
        <w:gridCol w:w="695"/>
        <w:gridCol w:w="943"/>
        <w:gridCol w:w="865"/>
      </w:tblGrid>
      <w:tr w14:paraId="6628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54" w:type="dxa"/>
            <w:vMerge w:val="restart"/>
            <w:tcBorders>
              <w:bottom w:val="nil"/>
            </w:tcBorders>
            <w:vAlign w:val="top"/>
          </w:tcPr>
          <w:p w14:paraId="3D032EA3">
            <w:pPr>
              <w:rPr>
                <w:rFonts w:ascii="Arial"/>
                <w:sz w:val="21"/>
              </w:rPr>
            </w:pPr>
          </w:p>
        </w:tc>
        <w:tc>
          <w:tcPr>
            <w:tcW w:w="2024" w:type="dxa"/>
            <w:vAlign w:val="top"/>
          </w:tcPr>
          <w:p w14:paraId="1F2AA355">
            <w:pPr>
              <w:rPr>
                <w:rFonts w:ascii="Arial"/>
                <w:sz w:val="21"/>
              </w:rPr>
            </w:pPr>
          </w:p>
        </w:tc>
        <w:tc>
          <w:tcPr>
            <w:tcW w:w="7204" w:type="dxa"/>
            <w:gridSpan w:val="4"/>
            <w:vAlign w:val="top"/>
          </w:tcPr>
          <w:p w14:paraId="39AC19ED">
            <w:pPr>
              <w:pStyle w:val="15"/>
              <w:spacing w:before="129" w:line="242" w:lineRule="auto"/>
              <w:ind w:left="3413" w:right="136" w:hanging="3269"/>
            </w:pPr>
            <w:r>
              <w:rPr>
                <w:spacing w:val="10"/>
              </w:rPr>
              <w:t>投标报价中的暂估价或暂列金额与招标人公布</w:t>
            </w:r>
            <w:r>
              <w:rPr>
                <w:spacing w:val="9"/>
              </w:rPr>
              <w:t>的暂估价或暂列金额保持一致</w:t>
            </w:r>
            <w:r>
              <w:t xml:space="preserve"> </w:t>
            </w:r>
            <w:r>
              <w:rPr>
                <w:spacing w:val="-9"/>
              </w:rPr>
              <w:t>的。</w:t>
            </w:r>
          </w:p>
        </w:tc>
      </w:tr>
      <w:tr w14:paraId="34916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54" w:type="dxa"/>
            <w:vMerge w:val="continue"/>
            <w:tcBorders>
              <w:top w:val="nil"/>
              <w:bottom w:val="nil"/>
            </w:tcBorders>
            <w:vAlign w:val="top"/>
          </w:tcPr>
          <w:p w14:paraId="3743579B">
            <w:pPr>
              <w:rPr>
                <w:rFonts w:ascii="Arial"/>
                <w:sz w:val="21"/>
              </w:rPr>
            </w:pPr>
          </w:p>
        </w:tc>
        <w:tc>
          <w:tcPr>
            <w:tcW w:w="2024" w:type="dxa"/>
            <w:vAlign w:val="top"/>
          </w:tcPr>
          <w:p w14:paraId="2D7487AC">
            <w:pPr>
              <w:pStyle w:val="15"/>
              <w:spacing w:before="128" w:line="228" w:lineRule="auto"/>
              <w:ind w:left="807"/>
            </w:pPr>
            <w:r>
              <w:rPr>
                <w:spacing w:val="3"/>
              </w:rPr>
              <w:t>工期</w:t>
            </w:r>
          </w:p>
        </w:tc>
        <w:tc>
          <w:tcPr>
            <w:tcW w:w="7204" w:type="dxa"/>
            <w:gridSpan w:val="4"/>
            <w:vAlign w:val="top"/>
          </w:tcPr>
          <w:p w14:paraId="2D81037E">
            <w:pPr>
              <w:pStyle w:val="15"/>
              <w:spacing w:before="127" w:line="228" w:lineRule="auto"/>
              <w:ind w:left="775"/>
            </w:pPr>
            <w:r>
              <w:rPr>
                <w:spacing w:val="9"/>
              </w:rPr>
              <w:t>投标文件载明的招标项目完成期限未超过招标文件要求的期限</w:t>
            </w:r>
          </w:p>
        </w:tc>
      </w:tr>
      <w:tr w14:paraId="755F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54" w:type="dxa"/>
            <w:vMerge w:val="continue"/>
            <w:tcBorders>
              <w:top w:val="nil"/>
              <w:bottom w:val="nil"/>
            </w:tcBorders>
            <w:vAlign w:val="top"/>
          </w:tcPr>
          <w:p w14:paraId="1946ACCD">
            <w:pPr>
              <w:rPr>
                <w:rFonts w:ascii="Arial"/>
                <w:sz w:val="21"/>
              </w:rPr>
            </w:pPr>
          </w:p>
        </w:tc>
        <w:tc>
          <w:tcPr>
            <w:tcW w:w="2024" w:type="dxa"/>
            <w:vAlign w:val="top"/>
          </w:tcPr>
          <w:p w14:paraId="1AEB97FF">
            <w:pPr>
              <w:pStyle w:val="15"/>
              <w:spacing w:before="127" w:line="228" w:lineRule="auto"/>
              <w:ind w:left="282"/>
            </w:pPr>
            <w:r>
              <w:rPr>
                <w:spacing w:val="8"/>
              </w:rPr>
              <w:t>工程质量和保修</w:t>
            </w:r>
          </w:p>
        </w:tc>
        <w:tc>
          <w:tcPr>
            <w:tcW w:w="7204" w:type="dxa"/>
            <w:gridSpan w:val="4"/>
            <w:vAlign w:val="top"/>
          </w:tcPr>
          <w:p w14:paraId="2B02A46E">
            <w:pPr>
              <w:pStyle w:val="15"/>
              <w:spacing w:before="127" w:line="228" w:lineRule="auto"/>
              <w:ind w:left="878"/>
            </w:pPr>
            <w:r>
              <w:rPr>
                <w:spacing w:val="9"/>
              </w:rPr>
              <w:t>投标文件载明的质量标准和保修承诺不低于招标文件的要求</w:t>
            </w:r>
          </w:p>
        </w:tc>
      </w:tr>
      <w:tr w14:paraId="1A02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54" w:type="dxa"/>
            <w:vMerge w:val="continue"/>
            <w:tcBorders>
              <w:top w:val="nil"/>
              <w:bottom w:val="nil"/>
            </w:tcBorders>
            <w:vAlign w:val="top"/>
          </w:tcPr>
          <w:p w14:paraId="6089EF03">
            <w:pPr>
              <w:rPr>
                <w:rFonts w:ascii="Arial"/>
                <w:sz w:val="21"/>
              </w:rPr>
            </w:pPr>
          </w:p>
        </w:tc>
        <w:tc>
          <w:tcPr>
            <w:tcW w:w="2024" w:type="dxa"/>
            <w:vAlign w:val="top"/>
          </w:tcPr>
          <w:p w14:paraId="480E0AD5">
            <w:pPr>
              <w:pStyle w:val="15"/>
              <w:spacing w:before="129"/>
              <w:ind w:left="595" w:right="173" w:hanging="416"/>
            </w:pPr>
            <w:r>
              <w:rPr>
                <w:spacing w:val="8"/>
              </w:rPr>
              <w:t>省外入湘企业基本</w:t>
            </w:r>
            <w:r>
              <w:rPr>
                <w:spacing w:val="1"/>
              </w:rPr>
              <w:t xml:space="preserve"> </w:t>
            </w:r>
            <w:r>
              <w:rPr>
                <w:spacing w:val="7"/>
              </w:rPr>
              <w:t>信息登记</w:t>
            </w:r>
          </w:p>
        </w:tc>
        <w:tc>
          <w:tcPr>
            <w:tcW w:w="7204" w:type="dxa"/>
            <w:gridSpan w:val="4"/>
            <w:vAlign w:val="top"/>
          </w:tcPr>
          <w:p w14:paraId="2AB03619">
            <w:pPr>
              <w:pStyle w:val="15"/>
              <w:spacing w:before="263" w:line="227" w:lineRule="auto"/>
              <w:ind w:left="2034"/>
            </w:pPr>
            <w:r>
              <w:rPr>
                <w:spacing w:val="7"/>
              </w:rPr>
              <w:t>符合第二章“投标人须知</w:t>
            </w:r>
            <w:r>
              <w:rPr>
                <w:spacing w:val="-67"/>
              </w:rPr>
              <w:t xml:space="preserve"> </w:t>
            </w:r>
            <w:r>
              <w:rPr>
                <w:spacing w:val="7"/>
              </w:rPr>
              <w:t>”的规定</w:t>
            </w:r>
          </w:p>
        </w:tc>
      </w:tr>
      <w:tr w14:paraId="559CC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54" w:type="dxa"/>
            <w:vMerge w:val="continue"/>
            <w:tcBorders>
              <w:top w:val="nil"/>
              <w:bottom w:val="nil"/>
            </w:tcBorders>
            <w:vAlign w:val="top"/>
          </w:tcPr>
          <w:p w14:paraId="545DA963">
            <w:pPr>
              <w:rPr>
                <w:rFonts w:ascii="Arial"/>
                <w:sz w:val="21"/>
              </w:rPr>
            </w:pPr>
          </w:p>
        </w:tc>
        <w:tc>
          <w:tcPr>
            <w:tcW w:w="2024" w:type="dxa"/>
            <w:vAlign w:val="top"/>
          </w:tcPr>
          <w:p w14:paraId="5289F625">
            <w:pPr>
              <w:pStyle w:val="15"/>
              <w:spacing w:before="131" w:line="239" w:lineRule="auto"/>
              <w:ind w:left="805" w:right="173" w:hanging="629"/>
            </w:pPr>
            <w:r>
              <w:rPr>
                <w:spacing w:val="8"/>
              </w:rPr>
              <w:t>拟任项目经理在建</w:t>
            </w:r>
            <w:r>
              <w:rPr>
                <w:spacing w:val="4"/>
              </w:rPr>
              <w:t xml:space="preserve"> 情况</w:t>
            </w:r>
          </w:p>
        </w:tc>
        <w:tc>
          <w:tcPr>
            <w:tcW w:w="7204" w:type="dxa"/>
            <w:gridSpan w:val="4"/>
            <w:vAlign w:val="top"/>
          </w:tcPr>
          <w:p w14:paraId="43667296">
            <w:pPr>
              <w:pStyle w:val="15"/>
              <w:spacing w:before="265" w:line="227" w:lineRule="auto"/>
              <w:ind w:left="2034"/>
            </w:pPr>
            <w:r>
              <w:rPr>
                <w:spacing w:val="7"/>
              </w:rPr>
              <w:t>符合第二章“投标人须知</w:t>
            </w:r>
            <w:r>
              <w:rPr>
                <w:spacing w:val="-67"/>
              </w:rPr>
              <w:t xml:space="preserve"> </w:t>
            </w:r>
            <w:r>
              <w:rPr>
                <w:spacing w:val="7"/>
              </w:rPr>
              <w:t>”的规定</w:t>
            </w:r>
          </w:p>
        </w:tc>
      </w:tr>
      <w:tr w14:paraId="5BB35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54" w:type="dxa"/>
            <w:vMerge w:val="continue"/>
            <w:tcBorders>
              <w:top w:val="nil"/>
              <w:bottom w:val="nil"/>
            </w:tcBorders>
            <w:vAlign w:val="top"/>
          </w:tcPr>
          <w:p w14:paraId="4CB1D671">
            <w:pPr>
              <w:rPr>
                <w:rFonts w:ascii="Arial"/>
                <w:sz w:val="21"/>
              </w:rPr>
            </w:pPr>
          </w:p>
        </w:tc>
        <w:tc>
          <w:tcPr>
            <w:tcW w:w="2024" w:type="dxa"/>
            <w:vAlign w:val="top"/>
          </w:tcPr>
          <w:p w14:paraId="0D440D06">
            <w:pPr>
              <w:spacing w:line="334" w:lineRule="auto"/>
              <w:rPr>
                <w:rFonts w:ascii="Arial"/>
                <w:sz w:val="21"/>
              </w:rPr>
            </w:pPr>
          </w:p>
          <w:p w14:paraId="7505BEE4">
            <w:pPr>
              <w:pStyle w:val="15"/>
              <w:spacing w:before="65" w:line="228" w:lineRule="auto"/>
              <w:ind w:left="598"/>
            </w:pPr>
            <w:r>
              <w:rPr>
                <w:spacing w:val="6"/>
              </w:rPr>
              <w:t>投标保证</w:t>
            </w:r>
          </w:p>
        </w:tc>
        <w:tc>
          <w:tcPr>
            <w:tcW w:w="7204" w:type="dxa"/>
            <w:gridSpan w:val="4"/>
            <w:vAlign w:val="top"/>
          </w:tcPr>
          <w:p w14:paraId="3080BDFE">
            <w:pPr>
              <w:pStyle w:val="15"/>
              <w:spacing w:before="129" w:line="227" w:lineRule="auto"/>
              <w:ind w:left="143"/>
            </w:pPr>
            <w:r>
              <w:rPr>
                <w:spacing w:val="7"/>
              </w:rPr>
              <w:t>符合第二章“投标人须知</w:t>
            </w:r>
            <w:r>
              <w:rPr>
                <w:spacing w:val="-58"/>
              </w:rPr>
              <w:t xml:space="preserve"> </w:t>
            </w:r>
            <w:r>
              <w:rPr>
                <w:spacing w:val="7"/>
              </w:rPr>
              <w:t>”第</w:t>
            </w:r>
            <w:r>
              <w:rPr>
                <w:spacing w:val="-35"/>
              </w:rPr>
              <w:t xml:space="preserve"> </w:t>
            </w:r>
            <w:r>
              <w:rPr>
                <w:spacing w:val="7"/>
              </w:rPr>
              <w:t>3.4.1</w:t>
            </w:r>
            <w:r>
              <w:rPr>
                <w:spacing w:val="-34"/>
              </w:rPr>
              <w:t xml:space="preserve"> </w:t>
            </w:r>
            <w:r>
              <w:rPr>
                <w:spacing w:val="7"/>
              </w:rPr>
              <w:t>项规定，保函受益人和投标人的全称与</w:t>
            </w:r>
          </w:p>
          <w:p w14:paraId="4E69C759">
            <w:pPr>
              <w:pStyle w:val="15"/>
              <w:spacing w:before="26" w:line="239" w:lineRule="auto"/>
              <w:ind w:left="1824" w:right="136" w:hanging="1682"/>
            </w:pPr>
            <w:r>
              <w:rPr>
                <w:spacing w:val="10"/>
              </w:rPr>
              <w:t>招标人和投标人名称一致；保函有效期起始时间</w:t>
            </w:r>
            <w:r>
              <w:rPr>
                <w:spacing w:val="9"/>
              </w:rPr>
              <w:t>应为本项目投标截止时间之</w:t>
            </w:r>
            <w:r>
              <w:t xml:space="preserve"> </w:t>
            </w:r>
            <w:r>
              <w:rPr>
                <w:spacing w:val="8"/>
              </w:rPr>
              <w:t>前；保函有效期应不短于投标有效期。</w:t>
            </w:r>
          </w:p>
        </w:tc>
      </w:tr>
      <w:tr w14:paraId="1E324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854" w:type="dxa"/>
            <w:vMerge w:val="continue"/>
            <w:tcBorders>
              <w:top w:val="nil"/>
              <w:bottom w:val="nil"/>
            </w:tcBorders>
            <w:vAlign w:val="top"/>
          </w:tcPr>
          <w:p w14:paraId="40BC6F80">
            <w:pPr>
              <w:rPr>
                <w:rFonts w:ascii="Arial"/>
                <w:sz w:val="21"/>
              </w:rPr>
            </w:pPr>
          </w:p>
        </w:tc>
        <w:tc>
          <w:tcPr>
            <w:tcW w:w="2024" w:type="dxa"/>
            <w:vAlign w:val="top"/>
          </w:tcPr>
          <w:p w14:paraId="21C678F6">
            <w:pPr>
              <w:pStyle w:val="15"/>
              <w:spacing w:before="131" w:line="228" w:lineRule="auto"/>
              <w:ind w:left="493"/>
            </w:pPr>
            <w:r>
              <w:rPr>
                <w:spacing w:val="7"/>
              </w:rPr>
              <w:t>投标有效期</w:t>
            </w:r>
          </w:p>
        </w:tc>
        <w:tc>
          <w:tcPr>
            <w:tcW w:w="7204" w:type="dxa"/>
            <w:gridSpan w:val="4"/>
            <w:vAlign w:val="top"/>
          </w:tcPr>
          <w:p w14:paraId="530C30F8">
            <w:pPr>
              <w:pStyle w:val="15"/>
              <w:spacing w:before="131" w:line="227" w:lineRule="auto"/>
              <w:ind w:left="1615"/>
            </w:pPr>
            <w:r>
              <w:rPr>
                <w:spacing w:val="9"/>
              </w:rPr>
              <w:t>投标有效期不短于投标人须知前附表的规定</w:t>
            </w:r>
          </w:p>
        </w:tc>
      </w:tr>
      <w:tr w14:paraId="0BE85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854" w:type="dxa"/>
            <w:vMerge w:val="continue"/>
            <w:tcBorders>
              <w:top w:val="nil"/>
            </w:tcBorders>
            <w:vAlign w:val="top"/>
          </w:tcPr>
          <w:p w14:paraId="73284CAC">
            <w:pPr>
              <w:rPr>
                <w:rFonts w:ascii="Arial"/>
                <w:sz w:val="21"/>
              </w:rPr>
            </w:pPr>
          </w:p>
        </w:tc>
        <w:tc>
          <w:tcPr>
            <w:tcW w:w="2024" w:type="dxa"/>
            <w:vAlign w:val="top"/>
          </w:tcPr>
          <w:p w14:paraId="62B17840">
            <w:pPr>
              <w:pStyle w:val="15"/>
              <w:spacing w:before="131" w:line="228" w:lineRule="auto"/>
              <w:ind w:left="595"/>
            </w:pPr>
            <w:r>
              <w:rPr>
                <w:spacing w:val="7"/>
              </w:rPr>
              <w:t>权利义务</w:t>
            </w:r>
          </w:p>
        </w:tc>
        <w:tc>
          <w:tcPr>
            <w:tcW w:w="7204" w:type="dxa"/>
            <w:gridSpan w:val="4"/>
            <w:vAlign w:val="top"/>
          </w:tcPr>
          <w:p w14:paraId="0C7F19D6">
            <w:pPr>
              <w:pStyle w:val="15"/>
              <w:spacing w:before="131" w:line="227" w:lineRule="auto"/>
              <w:ind w:left="1929"/>
            </w:pPr>
            <w:r>
              <w:rPr>
                <w:spacing w:val="7"/>
              </w:rPr>
              <w:t>符合第四章“合同条款及格式</w:t>
            </w:r>
            <w:r>
              <w:rPr>
                <w:spacing w:val="-66"/>
              </w:rPr>
              <w:t xml:space="preserve"> </w:t>
            </w:r>
            <w:r>
              <w:rPr>
                <w:spacing w:val="7"/>
              </w:rPr>
              <w:t>”规定</w:t>
            </w:r>
          </w:p>
        </w:tc>
      </w:tr>
      <w:tr w14:paraId="1D069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854" w:type="dxa"/>
            <w:vAlign w:val="top"/>
          </w:tcPr>
          <w:p w14:paraId="180F7E0C">
            <w:pPr>
              <w:pStyle w:val="15"/>
              <w:spacing w:before="132" w:line="228" w:lineRule="auto"/>
              <w:ind w:left="117"/>
            </w:pPr>
            <w:r>
              <w:rPr>
                <w:spacing w:val="6"/>
              </w:rPr>
              <w:t>条款号</w:t>
            </w:r>
          </w:p>
        </w:tc>
        <w:tc>
          <w:tcPr>
            <w:tcW w:w="2024" w:type="dxa"/>
            <w:vAlign w:val="top"/>
          </w:tcPr>
          <w:p w14:paraId="6C9CBE3B">
            <w:pPr>
              <w:pStyle w:val="15"/>
              <w:spacing w:before="132" w:line="228" w:lineRule="auto"/>
              <w:ind w:left="598"/>
            </w:pPr>
            <w:r>
              <w:rPr>
                <w:spacing w:val="6"/>
              </w:rPr>
              <w:t>条款内容</w:t>
            </w:r>
          </w:p>
        </w:tc>
        <w:tc>
          <w:tcPr>
            <w:tcW w:w="7204" w:type="dxa"/>
            <w:gridSpan w:val="4"/>
            <w:vAlign w:val="top"/>
          </w:tcPr>
          <w:p w14:paraId="4AE80A97">
            <w:pPr>
              <w:pStyle w:val="15"/>
              <w:spacing w:before="132" w:line="228" w:lineRule="auto"/>
              <w:ind w:left="3189"/>
            </w:pPr>
            <w:r>
              <w:rPr>
                <w:spacing w:val="6"/>
              </w:rPr>
              <w:t>编列内容</w:t>
            </w:r>
          </w:p>
        </w:tc>
      </w:tr>
      <w:tr w14:paraId="1DBC9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854" w:type="dxa"/>
            <w:vAlign w:val="top"/>
          </w:tcPr>
          <w:p w14:paraId="6F7C2723">
            <w:pPr>
              <w:pStyle w:val="15"/>
              <w:spacing w:before="298" w:line="190" w:lineRule="auto"/>
              <w:ind w:left="171"/>
            </w:pPr>
            <w:r>
              <w:rPr>
                <w:spacing w:val="2"/>
              </w:rPr>
              <w:t>2.2.1</w:t>
            </w:r>
          </w:p>
        </w:tc>
        <w:tc>
          <w:tcPr>
            <w:tcW w:w="2024" w:type="dxa"/>
            <w:vAlign w:val="top"/>
          </w:tcPr>
          <w:p w14:paraId="1CB7BF37">
            <w:pPr>
              <w:pStyle w:val="15"/>
              <w:spacing w:before="129"/>
              <w:ind w:left="553" w:right="512" w:firstLine="41"/>
            </w:pPr>
            <w:r>
              <w:rPr>
                <w:spacing w:val="7"/>
              </w:rPr>
              <w:t>权值构成</w:t>
            </w:r>
            <w:r>
              <w:t xml:space="preserve">  </w:t>
            </w:r>
            <w:r>
              <w:rPr>
                <w:spacing w:val="-5"/>
              </w:rPr>
              <w:t>(总权值</w:t>
            </w:r>
            <w:r>
              <w:rPr>
                <w:spacing w:val="-19"/>
              </w:rPr>
              <w:t xml:space="preserve"> </w:t>
            </w:r>
            <w:r>
              <w:rPr>
                <w:spacing w:val="-5"/>
              </w:rPr>
              <w:t>1)</w:t>
            </w:r>
          </w:p>
        </w:tc>
        <w:tc>
          <w:tcPr>
            <w:tcW w:w="7204" w:type="dxa"/>
            <w:gridSpan w:val="4"/>
            <w:vAlign w:val="top"/>
          </w:tcPr>
          <w:p w14:paraId="4B5A18B4">
            <w:pPr>
              <w:pStyle w:val="15"/>
              <w:spacing w:before="130" w:line="239" w:lineRule="auto"/>
              <w:ind w:left="1509" w:right="1183" w:hanging="317"/>
            </w:pPr>
            <w:r>
              <w:rPr>
                <w:spacing w:val="7"/>
              </w:rPr>
              <w:t>业绩及信用评价权重（取值范围：0.15-0.30</w:t>
            </w:r>
            <w:r>
              <w:rPr>
                <w:spacing w:val="16"/>
              </w:rPr>
              <w:t>）：</w:t>
            </w:r>
            <w:r>
              <w:rPr>
                <w:spacing w:val="7"/>
              </w:rPr>
              <w:t>0.3</w:t>
            </w:r>
            <w:r>
              <w:t xml:space="preserve"> </w:t>
            </w:r>
            <w:r>
              <w:rPr>
                <w:spacing w:val="6"/>
              </w:rPr>
              <w:t>投标报价权重（取值范围：0.70-0.85</w:t>
            </w:r>
            <w:r>
              <w:rPr>
                <w:spacing w:val="22"/>
              </w:rPr>
              <w:t>）：</w:t>
            </w:r>
            <w:r>
              <w:rPr>
                <w:spacing w:val="6"/>
              </w:rPr>
              <w:t>0.7</w:t>
            </w:r>
          </w:p>
        </w:tc>
      </w:tr>
      <w:tr w14:paraId="38901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4" w:type="dxa"/>
            <w:vAlign w:val="top"/>
          </w:tcPr>
          <w:p w14:paraId="7B45737F">
            <w:pPr>
              <w:pStyle w:val="15"/>
              <w:spacing w:before="130" w:line="228" w:lineRule="auto"/>
              <w:ind w:left="117"/>
            </w:pPr>
            <w:r>
              <w:rPr>
                <w:spacing w:val="6"/>
              </w:rPr>
              <w:t>条款号</w:t>
            </w:r>
          </w:p>
        </w:tc>
        <w:tc>
          <w:tcPr>
            <w:tcW w:w="2024" w:type="dxa"/>
            <w:vAlign w:val="top"/>
          </w:tcPr>
          <w:p w14:paraId="64A06FFB">
            <w:pPr>
              <w:pStyle w:val="15"/>
              <w:spacing w:before="130" w:line="228" w:lineRule="auto"/>
              <w:ind w:left="595"/>
            </w:pPr>
            <w:r>
              <w:rPr>
                <w:spacing w:val="7"/>
              </w:rPr>
              <w:t>评审因素</w:t>
            </w:r>
          </w:p>
        </w:tc>
        <w:tc>
          <w:tcPr>
            <w:tcW w:w="4701" w:type="dxa"/>
            <w:vAlign w:val="top"/>
          </w:tcPr>
          <w:p w14:paraId="6B6CFAF9">
            <w:pPr>
              <w:pStyle w:val="15"/>
              <w:spacing w:before="131" w:line="228" w:lineRule="auto"/>
              <w:ind w:left="1933"/>
            </w:pPr>
            <w:r>
              <w:rPr>
                <w:spacing w:val="7"/>
              </w:rPr>
              <w:t>评审标准</w:t>
            </w:r>
          </w:p>
        </w:tc>
        <w:tc>
          <w:tcPr>
            <w:tcW w:w="2503" w:type="dxa"/>
            <w:gridSpan w:val="3"/>
            <w:vAlign w:val="top"/>
          </w:tcPr>
          <w:p w14:paraId="57AEA3EA">
            <w:pPr>
              <w:pStyle w:val="15"/>
              <w:spacing w:before="131" w:line="228" w:lineRule="auto"/>
              <w:ind w:left="837"/>
            </w:pPr>
            <w:r>
              <w:rPr>
                <w:spacing w:val="7"/>
              </w:rPr>
              <w:t>评审结果</w:t>
            </w:r>
          </w:p>
        </w:tc>
      </w:tr>
      <w:tr w14:paraId="33AED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54" w:type="dxa"/>
            <w:vMerge w:val="restart"/>
            <w:vAlign w:val="top"/>
          </w:tcPr>
          <w:p w14:paraId="79C9A675">
            <w:pPr>
              <w:pStyle w:val="15"/>
              <w:spacing w:before="65" w:line="252" w:lineRule="auto"/>
              <w:ind w:right="163"/>
              <w:jc w:val="center"/>
              <w:rPr>
                <w:spacing w:val="2"/>
              </w:rPr>
            </w:pPr>
          </w:p>
          <w:p w14:paraId="71DFC2F2">
            <w:pPr>
              <w:pStyle w:val="15"/>
              <w:spacing w:before="65" w:line="252" w:lineRule="auto"/>
              <w:ind w:right="163"/>
              <w:jc w:val="center"/>
              <w:rPr>
                <w:spacing w:val="2"/>
              </w:rPr>
            </w:pPr>
          </w:p>
          <w:p w14:paraId="19C9AC50">
            <w:pPr>
              <w:pStyle w:val="15"/>
              <w:spacing w:before="65" w:line="252" w:lineRule="auto"/>
              <w:ind w:right="163"/>
              <w:jc w:val="center"/>
              <w:rPr>
                <w:spacing w:val="2"/>
              </w:rPr>
            </w:pPr>
          </w:p>
          <w:p w14:paraId="438851FD">
            <w:pPr>
              <w:pStyle w:val="15"/>
              <w:spacing w:before="65" w:line="252" w:lineRule="auto"/>
              <w:ind w:right="163"/>
              <w:jc w:val="center"/>
              <w:rPr>
                <w:spacing w:val="2"/>
              </w:rPr>
            </w:pPr>
          </w:p>
          <w:p w14:paraId="35DC41E0">
            <w:pPr>
              <w:pStyle w:val="15"/>
              <w:spacing w:before="65" w:line="252" w:lineRule="auto"/>
              <w:ind w:right="163"/>
              <w:jc w:val="center"/>
              <w:rPr>
                <w:spacing w:val="2"/>
              </w:rPr>
            </w:pPr>
          </w:p>
          <w:p w14:paraId="61D69E49">
            <w:pPr>
              <w:pStyle w:val="15"/>
              <w:spacing w:before="65" w:line="252" w:lineRule="auto"/>
              <w:ind w:right="163"/>
              <w:jc w:val="center"/>
              <w:rPr>
                <w:spacing w:val="2"/>
              </w:rPr>
            </w:pPr>
          </w:p>
          <w:p w14:paraId="263B496F">
            <w:pPr>
              <w:pStyle w:val="15"/>
              <w:spacing w:before="65" w:line="252" w:lineRule="auto"/>
              <w:ind w:right="163"/>
              <w:jc w:val="center"/>
              <w:rPr>
                <w:spacing w:val="2"/>
              </w:rPr>
            </w:pPr>
          </w:p>
          <w:p w14:paraId="5A0F21A1">
            <w:pPr>
              <w:pStyle w:val="15"/>
              <w:spacing w:before="65" w:line="252" w:lineRule="auto"/>
              <w:ind w:right="163"/>
              <w:jc w:val="center"/>
              <w:rPr>
                <w:spacing w:val="2"/>
              </w:rPr>
            </w:pPr>
          </w:p>
          <w:p w14:paraId="1740527D">
            <w:pPr>
              <w:pStyle w:val="15"/>
              <w:spacing w:before="65" w:line="252" w:lineRule="auto"/>
              <w:ind w:right="163"/>
              <w:jc w:val="center"/>
              <w:rPr>
                <w:spacing w:val="2"/>
              </w:rPr>
            </w:pPr>
          </w:p>
          <w:p w14:paraId="4E431973">
            <w:pPr>
              <w:pStyle w:val="15"/>
              <w:spacing w:before="65" w:line="252" w:lineRule="auto"/>
              <w:ind w:right="163"/>
              <w:jc w:val="center"/>
              <w:rPr>
                <w:spacing w:val="2"/>
              </w:rPr>
            </w:pPr>
          </w:p>
          <w:p w14:paraId="5F856104">
            <w:pPr>
              <w:pStyle w:val="15"/>
              <w:spacing w:before="65" w:line="252" w:lineRule="auto"/>
              <w:ind w:right="163"/>
              <w:jc w:val="center"/>
            </w:pPr>
            <w:r>
              <w:rPr>
                <w:spacing w:val="2"/>
              </w:rPr>
              <w:t xml:space="preserve">2.2.4 </w:t>
            </w:r>
            <w:r>
              <w:rPr>
                <w:spacing w:val="-2"/>
              </w:rPr>
              <w:t>（1）</w:t>
            </w:r>
          </w:p>
        </w:tc>
        <w:tc>
          <w:tcPr>
            <w:tcW w:w="9228" w:type="dxa"/>
            <w:gridSpan w:val="5"/>
            <w:vAlign w:val="top"/>
          </w:tcPr>
          <w:p w14:paraId="76163C10">
            <w:pPr>
              <w:pStyle w:val="15"/>
              <w:spacing w:before="131" w:line="228" w:lineRule="auto"/>
              <w:jc w:val="center"/>
              <w:rPr>
                <w:spacing w:val="7"/>
              </w:rPr>
            </w:pPr>
            <w:r>
              <w:rPr>
                <w:spacing w:val="8"/>
              </w:rPr>
              <w:t>施工组织设计（采用合格性评审方式）</w:t>
            </w:r>
          </w:p>
        </w:tc>
      </w:tr>
      <w:tr w14:paraId="1483B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2" w:hRule="atLeast"/>
        </w:trPr>
        <w:tc>
          <w:tcPr>
            <w:tcW w:w="854" w:type="dxa"/>
            <w:vMerge w:val="continue"/>
            <w:vAlign w:val="top"/>
          </w:tcPr>
          <w:p w14:paraId="344267AD">
            <w:pPr>
              <w:pStyle w:val="15"/>
              <w:spacing w:before="130" w:line="228" w:lineRule="auto"/>
              <w:ind w:left="117"/>
              <w:rPr>
                <w:spacing w:val="6"/>
              </w:rPr>
            </w:pPr>
          </w:p>
        </w:tc>
        <w:tc>
          <w:tcPr>
            <w:tcW w:w="2024" w:type="dxa"/>
            <w:vMerge w:val="restart"/>
            <w:vAlign w:val="center"/>
          </w:tcPr>
          <w:p w14:paraId="5649E5EE">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施工方案与技术措施</w:t>
            </w:r>
          </w:p>
        </w:tc>
        <w:tc>
          <w:tcPr>
            <w:tcW w:w="4701" w:type="dxa"/>
            <w:vAlign w:val="center"/>
          </w:tcPr>
          <w:p w14:paraId="2D84EC1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1.施工方案不完整，且缺少关键项目施工技术方案；或者市政项目缺少交通措施（除招标文件明确不需要外）；缺少建筑垃圾现场减量、分类处置、扬尘污染防治等相关内容；</w:t>
            </w:r>
          </w:p>
          <w:p w14:paraId="787E84BC">
            <w:pPr>
              <w:keepNext w:val="0"/>
              <w:keepLines w:val="0"/>
              <w:suppressLineNumbers w:val="0"/>
              <w:spacing w:before="0" w:beforeAutospacing="0" w:after="0" w:afterAutospacing="0"/>
              <w:ind w:left="0" w:leftChars="0" w:right="0" w:rightChars="0"/>
              <w:rPr>
                <w:spacing w:val="7"/>
              </w:rPr>
            </w:pPr>
            <w:r>
              <w:rPr>
                <w:rFonts w:hint="eastAsia" w:ascii="宋体" w:hAnsi="宋体" w:cs="宋体"/>
                <w:color w:val="auto"/>
                <w:szCs w:val="21"/>
                <w:highlight w:val="none"/>
              </w:rPr>
              <w:t>2.引用强制性技术标准错误，或明显违反国家和省有关规定。</w:t>
            </w:r>
          </w:p>
        </w:tc>
        <w:tc>
          <w:tcPr>
            <w:tcW w:w="2503" w:type="dxa"/>
            <w:gridSpan w:val="3"/>
            <w:vAlign w:val="center"/>
          </w:tcPr>
          <w:p w14:paraId="09E1BAAD">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不合格</w:t>
            </w:r>
          </w:p>
        </w:tc>
      </w:tr>
      <w:tr w14:paraId="4C977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54" w:type="dxa"/>
            <w:vMerge w:val="continue"/>
            <w:vAlign w:val="top"/>
          </w:tcPr>
          <w:p w14:paraId="18184878">
            <w:pPr>
              <w:pStyle w:val="15"/>
              <w:spacing w:before="130" w:line="228" w:lineRule="auto"/>
              <w:ind w:left="117"/>
              <w:rPr>
                <w:spacing w:val="6"/>
              </w:rPr>
            </w:pPr>
          </w:p>
        </w:tc>
        <w:tc>
          <w:tcPr>
            <w:tcW w:w="2024" w:type="dxa"/>
            <w:vMerge w:val="continue"/>
            <w:vAlign w:val="center"/>
          </w:tcPr>
          <w:p w14:paraId="466EA23D">
            <w:pPr>
              <w:keepNext w:val="0"/>
              <w:keepLines w:val="0"/>
              <w:suppressLineNumbers w:val="0"/>
              <w:spacing w:before="0" w:beforeAutospacing="0" w:after="0" w:afterAutospacing="0"/>
              <w:ind w:left="0" w:leftChars="0" w:right="0" w:rightChars="0"/>
              <w:jc w:val="center"/>
              <w:rPr>
                <w:spacing w:val="7"/>
              </w:rPr>
            </w:pPr>
          </w:p>
        </w:tc>
        <w:tc>
          <w:tcPr>
            <w:tcW w:w="4701" w:type="dxa"/>
            <w:vAlign w:val="center"/>
          </w:tcPr>
          <w:p w14:paraId="48EB9EB2">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无不合格内容</w:t>
            </w:r>
          </w:p>
        </w:tc>
        <w:tc>
          <w:tcPr>
            <w:tcW w:w="2503" w:type="dxa"/>
            <w:gridSpan w:val="3"/>
            <w:vAlign w:val="center"/>
          </w:tcPr>
          <w:p w14:paraId="473BD251">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合  格</w:t>
            </w:r>
          </w:p>
        </w:tc>
      </w:tr>
      <w:tr w14:paraId="163B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854" w:type="dxa"/>
            <w:vMerge w:val="continue"/>
            <w:vAlign w:val="top"/>
          </w:tcPr>
          <w:p w14:paraId="71F66862">
            <w:pPr>
              <w:pStyle w:val="15"/>
              <w:spacing w:before="130" w:line="228" w:lineRule="auto"/>
              <w:ind w:left="117"/>
              <w:rPr>
                <w:spacing w:val="6"/>
              </w:rPr>
            </w:pPr>
          </w:p>
        </w:tc>
        <w:tc>
          <w:tcPr>
            <w:tcW w:w="2024" w:type="dxa"/>
            <w:vMerge w:val="restart"/>
            <w:vAlign w:val="center"/>
          </w:tcPr>
          <w:p w14:paraId="7BF8FFFA">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质量管理体系与措施</w:t>
            </w:r>
          </w:p>
        </w:tc>
        <w:tc>
          <w:tcPr>
            <w:tcW w:w="4701" w:type="dxa"/>
            <w:vAlign w:val="center"/>
          </w:tcPr>
          <w:p w14:paraId="26EE2C68">
            <w:pPr>
              <w:keepNext w:val="0"/>
              <w:keepLines w:val="0"/>
              <w:suppressLineNumbers w:val="0"/>
              <w:tabs>
                <w:tab w:val="left" w:pos="312"/>
              </w:tabs>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1.质量目标不满足招标文件要求，缺少质量保证措施</w:t>
            </w:r>
          </w:p>
          <w:p w14:paraId="777DB619">
            <w:pPr>
              <w:keepNext w:val="0"/>
              <w:keepLines w:val="0"/>
              <w:suppressLineNumbers w:val="0"/>
              <w:spacing w:before="0" w:beforeAutospacing="0" w:after="0" w:afterAutospacing="0"/>
              <w:ind w:left="0" w:leftChars="0" w:right="0" w:rightChars="0"/>
              <w:rPr>
                <w:spacing w:val="7"/>
              </w:rPr>
            </w:pPr>
            <w:r>
              <w:rPr>
                <w:rFonts w:hint="eastAsia" w:ascii="宋体" w:hAnsi="宋体" w:cs="宋体"/>
                <w:color w:val="auto"/>
                <w:szCs w:val="21"/>
                <w:highlight w:val="none"/>
              </w:rPr>
              <w:t>2.引用强制性技术标准错误，或明显违反国家和省有关规定。</w:t>
            </w:r>
          </w:p>
        </w:tc>
        <w:tc>
          <w:tcPr>
            <w:tcW w:w="2503" w:type="dxa"/>
            <w:gridSpan w:val="3"/>
            <w:vAlign w:val="center"/>
          </w:tcPr>
          <w:p w14:paraId="3684C404">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不合格</w:t>
            </w:r>
          </w:p>
        </w:tc>
      </w:tr>
      <w:tr w14:paraId="4A15C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54" w:type="dxa"/>
            <w:vMerge w:val="continue"/>
            <w:vAlign w:val="top"/>
          </w:tcPr>
          <w:p w14:paraId="7CE0EFEC">
            <w:pPr>
              <w:pStyle w:val="15"/>
              <w:spacing w:before="130" w:line="228" w:lineRule="auto"/>
              <w:ind w:left="117"/>
              <w:rPr>
                <w:spacing w:val="6"/>
              </w:rPr>
            </w:pPr>
          </w:p>
        </w:tc>
        <w:tc>
          <w:tcPr>
            <w:tcW w:w="2024" w:type="dxa"/>
            <w:vMerge w:val="continue"/>
            <w:vAlign w:val="center"/>
          </w:tcPr>
          <w:p w14:paraId="7F66356B">
            <w:pPr>
              <w:keepNext w:val="0"/>
              <w:keepLines w:val="0"/>
              <w:suppressLineNumbers w:val="0"/>
              <w:spacing w:before="0" w:beforeAutospacing="0" w:after="0" w:afterAutospacing="0"/>
              <w:ind w:left="0" w:leftChars="0" w:right="0" w:rightChars="0"/>
              <w:jc w:val="center"/>
              <w:rPr>
                <w:spacing w:val="7"/>
              </w:rPr>
            </w:pPr>
          </w:p>
        </w:tc>
        <w:tc>
          <w:tcPr>
            <w:tcW w:w="4701" w:type="dxa"/>
            <w:vAlign w:val="center"/>
          </w:tcPr>
          <w:p w14:paraId="2FB014CC">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无不合格内容</w:t>
            </w:r>
          </w:p>
        </w:tc>
        <w:tc>
          <w:tcPr>
            <w:tcW w:w="2503" w:type="dxa"/>
            <w:gridSpan w:val="3"/>
            <w:vAlign w:val="center"/>
          </w:tcPr>
          <w:p w14:paraId="7ACA4BD3">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合  格</w:t>
            </w:r>
          </w:p>
        </w:tc>
      </w:tr>
      <w:tr w14:paraId="18F87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854" w:type="dxa"/>
            <w:vMerge w:val="continue"/>
            <w:vAlign w:val="top"/>
          </w:tcPr>
          <w:p w14:paraId="7C4CF5E0">
            <w:pPr>
              <w:pStyle w:val="15"/>
              <w:spacing w:before="130" w:line="228" w:lineRule="auto"/>
              <w:ind w:left="117"/>
              <w:rPr>
                <w:spacing w:val="6"/>
              </w:rPr>
            </w:pPr>
          </w:p>
        </w:tc>
        <w:tc>
          <w:tcPr>
            <w:tcW w:w="2024" w:type="dxa"/>
            <w:vMerge w:val="restart"/>
            <w:vAlign w:val="center"/>
          </w:tcPr>
          <w:p w14:paraId="227CCA2B">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安全管理体系与措施</w:t>
            </w:r>
          </w:p>
        </w:tc>
        <w:tc>
          <w:tcPr>
            <w:tcW w:w="4701" w:type="dxa"/>
            <w:vAlign w:val="center"/>
          </w:tcPr>
          <w:p w14:paraId="6ED13938">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1.安全目标不满足招标文件要求，缺少重大危险源识别和控制，缺少施工安全措施；</w:t>
            </w:r>
          </w:p>
          <w:p w14:paraId="4B97A6A7">
            <w:pPr>
              <w:keepNext w:val="0"/>
              <w:keepLines w:val="0"/>
              <w:suppressLineNumbers w:val="0"/>
              <w:spacing w:before="0" w:beforeAutospacing="0" w:after="0" w:afterAutospacing="0"/>
              <w:ind w:left="0" w:leftChars="0" w:right="0" w:rightChars="0"/>
              <w:rPr>
                <w:spacing w:val="7"/>
              </w:rPr>
            </w:pPr>
            <w:r>
              <w:rPr>
                <w:rFonts w:hint="eastAsia" w:ascii="宋体" w:hAnsi="宋体" w:cs="宋体"/>
                <w:color w:val="auto"/>
                <w:szCs w:val="21"/>
                <w:highlight w:val="none"/>
              </w:rPr>
              <w:t>2.引用强制性技术标准错误，或明显违反国家和省有关规定</w:t>
            </w:r>
          </w:p>
        </w:tc>
        <w:tc>
          <w:tcPr>
            <w:tcW w:w="2503" w:type="dxa"/>
            <w:gridSpan w:val="3"/>
            <w:vAlign w:val="center"/>
          </w:tcPr>
          <w:p w14:paraId="568FCF34">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不合格</w:t>
            </w:r>
          </w:p>
        </w:tc>
      </w:tr>
      <w:tr w14:paraId="12A25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854" w:type="dxa"/>
            <w:vMerge w:val="continue"/>
            <w:vAlign w:val="top"/>
          </w:tcPr>
          <w:p w14:paraId="2B76F549">
            <w:pPr>
              <w:pStyle w:val="15"/>
              <w:spacing w:before="130" w:line="228" w:lineRule="auto"/>
              <w:ind w:left="117"/>
              <w:rPr>
                <w:spacing w:val="6"/>
              </w:rPr>
            </w:pPr>
          </w:p>
        </w:tc>
        <w:tc>
          <w:tcPr>
            <w:tcW w:w="2024" w:type="dxa"/>
            <w:vMerge w:val="continue"/>
            <w:vAlign w:val="center"/>
          </w:tcPr>
          <w:p w14:paraId="2C63656F">
            <w:pPr>
              <w:keepNext w:val="0"/>
              <w:keepLines w:val="0"/>
              <w:suppressLineNumbers w:val="0"/>
              <w:spacing w:before="0" w:beforeAutospacing="0" w:after="0" w:afterAutospacing="0"/>
              <w:ind w:left="0" w:leftChars="0" w:right="0" w:rightChars="0"/>
              <w:jc w:val="center"/>
              <w:rPr>
                <w:spacing w:val="7"/>
              </w:rPr>
            </w:pPr>
          </w:p>
        </w:tc>
        <w:tc>
          <w:tcPr>
            <w:tcW w:w="4701" w:type="dxa"/>
            <w:vAlign w:val="center"/>
          </w:tcPr>
          <w:p w14:paraId="413CD247">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无不合格内容</w:t>
            </w:r>
          </w:p>
        </w:tc>
        <w:tc>
          <w:tcPr>
            <w:tcW w:w="2503" w:type="dxa"/>
            <w:gridSpan w:val="3"/>
            <w:vAlign w:val="center"/>
          </w:tcPr>
          <w:p w14:paraId="13AAD351">
            <w:pPr>
              <w:keepNext w:val="0"/>
              <w:keepLines w:val="0"/>
              <w:suppressLineNumbers w:val="0"/>
              <w:spacing w:before="0" w:beforeAutospacing="0" w:after="0" w:afterAutospacing="0"/>
              <w:ind w:left="0" w:leftChars="0" w:right="0" w:rightChars="0"/>
              <w:jc w:val="center"/>
              <w:rPr>
                <w:spacing w:val="7"/>
              </w:rPr>
            </w:pPr>
            <w:r>
              <w:rPr>
                <w:rFonts w:hint="eastAsia" w:ascii="宋体" w:hAnsi="宋体" w:cs="宋体"/>
                <w:color w:val="auto"/>
                <w:szCs w:val="21"/>
                <w:highlight w:val="none"/>
              </w:rPr>
              <w:t>合  格</w:t>
            </w:r>
          </w:p>
        </w:tc>
      </w:tr>
      <w:tr w14:paraId="6CAF6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854" w:type="dxa"/>
            <w:vMerge w:val="continue"/>
            <w:vAlign w:val="top"/>
          </w:tcPr>
          <w:p w14:paraId="4A1FEB3E">
            <w:pPr>
              <w:pStyle w:val="15"/>
              <w:spacing w:before="65" w:line="252" w:lineRule="auto"/>
              <w:ind w:left="178" w:right="163" w:hanging="7"/>
            </w:pPr>
          </w:p>
        </w:tc>
        <w:tc>
          <w:tcPr>
            <w:tcW w:w="9228" w:type="dxa"/>
            <w:gridSpan w:val="5"/>
            <w:vAlign w:val="top"/>
          </w:tcPr>
          <w:p w14:paraId="64A7B375">
            <w:pPr>
              <w:pStyle w:val="15"/>
              <w:spacing w:before="131" w:line="227" w:lineRule="auto"/>
              <w:ind w:left="127"/>
              <w:rPr>
                <w:spacing w:val="7"/>
              </w:rPr>
            </w:pPr>
          </w:p>
          <w:p w14:paraId="44997E8E">
            <w:pPr>
              <w:pStyle w:val="15"/>
              <w:spacing w:before="131" w:line="227" w:lineRule="auto"/>
              <w:ind w:left="127"/>
            </w:pPr>
            <w:r>
              <w:rPr>
                <w:spacing w:val="7"/>
              </w:rPr>
              <w:t>1.适用于施工组织设计采用合格性评审项目；</w:t>
            </w:r>
          </w:p>
          <w:p w14:paraId="659134B4">
            <w:pPr>
              <w:pStyle w:val="15"/>
              <w:spacing w:before="25" w:line="227" w:lineRule="auto"/>
              <w:ind w:left="114"/>
            </w:pPr>
            <w:r>
              <w:rPr>
                <w:spacing w:val="8"/>
              </w:rPr>
              <w:t>2.合格性评审采用明标的方式由评标委员会集体评审；</w:t>
            </w:r>
          </w:p>
          <w:p w14:paraId="485A7095">
            <w:pPr>
              <w:pStyle w:val="15"/>
              <w:spacing w:before="25"/>
              <w:ind w:left="114" w:right="107"/>
            </w:pPr>
            <w:r>
              <w:rPr>
                <w:spacing w:val="9"/>
              </w:rPr>
              <w:t>3.因施工组织设计缺项或者同一项评审内容被超过一半评标委员会成员判定为不合格的，施工组织</w:t>
            </w:r>
            <w:r>
              <w:rPr>
                <w:spacing w:val="2"/>
              </w:rPr>
              <w:t xml:space="preserve"> </w:t>
            </w:r>
            <w:r>
              <w:rPr>
                <w:spacing w:val="8"/>
              </w:rPr>
              <w:t>设计不合格，应当否决其投标；</w:t>
            </w:r>
          </w:p>
          <w:p w14:paraId="5BE91FD0">
            <w:pPr>
              <w:pStyle w:val="15"/>
              <w:spacing w:before="24" w:line="227" w:lineRule="auto"/>
              <w:ind w:left="110"/>
            </w:pPr>
            <w:r>
              <w:rPr>
                <w:spacing w:val="9"/>
              </w:rPr>
              <w:t>4.施工组织设计评审不合格的，评标委员会应当注明理由和依据。</w:t>
            </w:r>
          </w:p>
        </w:tc>
      </w:tr>
      <w:tr w14:paraId="2E1F2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854" w:type="dxa"/>
            <w:vMerge w:val="restart"/>
            <w:tcBorders>
              <w:bottom w:val="nil"/>
            </w:tcBorders>
            <w:vAlign w:val="top"/>
          </w:tcPr>
          <w:p w14:paraId="408B55B5">
            <w:pPr>
              <w:spacing w:line="250" w:lineRule="auto"/>
              <w:rPr>
                <w:rFonts w:ascii="Arial"/>
                <w:sz w:val="21"/>
              </w:rPr>
            </w:pPr>
          </w:p>
          <w:p w14:paraId="64BCED25">
            <w:pPr>
              <w:spacing w:line="250" w:lineRule="auto"/>
              <w:rPr>
                <w:rFonts w:ascii="Arial"/>
                <w:sz w:val="21"/>
              </w:rPr>
            </w:pPr>
          </w:p>
          <w:p w14:paraId="5FD139FE">
            <w:pPr>
              <w:spacing w:line="250" w:lineRule="auto"/>
              <w:rPr>
                <w:rFonts w:ascii="Arial"/>
                <w:sz w:val="21"/>
              </w:rPr>
            </w:pPr>
          </w:p>
          <w:p w14:paraId="22F59A4F">
            <w:pPr>
              <w:spacing w:line="250" w:lineRule="auto"/>
              <w:rPr>
                <w:rFonts w:ascii="Arial"/>
                <w:sz w:val="21"/>
              </w:rPr>
            </w:pPr>
          </w:p>
          <w:p w14:paraId="6855B9D0">
            <w:pPr>
              <w:spacing w:line="250" w:lineRule="auto"/>
              <w:rPr>
                <w:rFonts w:ascii="Arial"/>
                <w:sz w:val="21"/>
              </w:rPr>
            </w:pPr>
          </w:p>
          <w:p w14:paraId="5F84D31B">
            <w:pPr>
              <w:spacing w:line="250" w:lineRule="auto"/>
              <w:rPr>
                <w:rFonts w:ascii="Arial"/>
                <w:sz w:val="21"/>
              </w:rPr>
            </w:pPr>
          </w:p>
          <w:p w14:paraId="31763A23">
            <w:pPr>
              <w:spacing w:line="250" w:lineRule="auto"/>
              <w:rPr>
                <w:rFonts w:ascii="Arial"/>
                <w:sz w:val="21"/>
              </w:rPr>
            </w:pPr>
          </w:p>
          <w:p w14:paraId="2D1C90BB">
            <w:pPr>
              <w:spacing w:line="250" w:lineRule="auto"/>
              <w:rPr>
                <w:rFonts w:ascii="Arial"/>
                <w:sz w:val="21"/>
              </w:rPr>
            </w:pPr>
          </w:p>
          <w:p w14:paraId="6424EF05">
            <w:pPr>
              <w:spacing w:line="251" w:lineRule="auto"/>
              <w:rPr>
                <w:rFonts w:ascii="Arial"/>
                <w:sz w:val="21"/>
              </w:rPr>
            </w:pPr>
          </w:p>
          <w:p w14:paraId="6BE150D1">
            <w:pPr>
              <w:spacing w:line="251" w:lineRule="auto"/>
              <w:rPr>
                <w:rFonts w:ascii="Arial"/>
                <w:sz w:val="21"/>
              </w:rPr>
            </w:pPr>
          </w:p>
          <w:p w14:paraId="41ED4609">
            <w:pPr>
              <w:pStyle w:val="15"/>
              <w:spacing w:before="65" w:line="252" w:lineRule="auto"/>
              <w:ind w:left="178" w:right="163" w:hanging="7"/>
            </w:pPr>
            <w:r>
              <w:rPr>
                <w:spacing w:val="2"/>
              </w:rPr>
              <w:t xml:space="preserve">2.2.4 </w:t>
            </w:r>
            <w:r>
              <w:rPr>
                <w:spacing w:val="-2"/>
              </w:rPr>
              <w:t>（4）</w:t>
            </w:r>
          </w:p>
        </w:tc>
        <w:tc>
          <w:tcPr>
            <w:tcW w:w="9228" w:type="dxa"/>
            <w:gridSpan w:val="5"/>
            <w:vAlign w:val="top"/>
          </w:tcPr>
          <w:p w14:paraId="528C3022">
            <w:pPr>
              <w:pStyle w:val="15"/>
              <w:spacing w:before="130" w:line="228" w:lineRule="auto"/>
              <w:ind w:left="3883"/>
            </w:pPr>
            <w:r>
              <w:rPr>
                <w:spacing w:val="8"/>
              </w:rPr>
              <w:t>业绩及信用评审</w:t>
            </w:r>
          </w:p>
        </w:tc>
      </w:tr>
      <w:tr w14:paraId="7029D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854" w:type="dxa"/>
            <w:vMerge w:val="continue"/>
            <w:tcBorders>
              <w:top w:val="nil"/>
              <w:bottom w:val="nil"/>
            </w:tcBorders>
            <w:vAlign w:val="top"/>
          </w:tcPr>
          <w:p w14:paraId="61CEE09F">
            <w:pPr>
              <w:rPr>
                <w:rFonts w:ascii="Arial"/>
                <w:sz w:val="21"/>
              </w:rPr>
            </w:pPr>
          </w:p>
        </w:tc>
        <w:tc>
          <w:tcPr>
            <w:tcW w:w="2024" w:type="dxa"/>
            <w:vAlign w:val="top"/>
          </w:tcPr>
          <w:p w14:paraId="78DB917C">
            <w:pPr>
              <w:pStyle w:val="15"/>
              <w:spacing w:before="267" w:line="228" w:lineRule="auto"/>
              <w:ind w:left="595"/>
            </w:pPr>
            <w:r>
              <w:rPr>
                <w:spacing w:val="7"/>
              </w:rPr>
              <w:t>评审因素</w:t>
            </w:r>
          </w:p>
        </w:tc>
        <w:tc>
          <w:tcPr>
            <w:tcW w:w="4701" w:type="dxa"/>
            <w:vAlign w:val="top"/>
          </w:tcPr>
          <w:p w14:paraId="7A98A9AD">
            <w:pPr>
              <w:pStyle w:val="15"/>
              <w:spacing w:before="267" w:line="228" w:lineRule="auto"/>
              <w:ind w:left="1833"/>
            </w:pPr>
            <w:r>
              <w:rPr>
                <w:spacing w:val="7"/>
              </w:rPr>
              <w:t>数量和分值</w:t>
            </w:r>
          </w:p>
        </w:tc>
        <w:tc>
          <w:tcPr>
            <w:tcW w:w="695" w:type="dxa"/>
            <w:vAlign w:val="top"/>
          </w:tcPr>
          <w:p w14:paraId="18E45C49">
            <w:pPr>
              <w:pStyle w:val="15"/>
              <w:spacing w:before="132"/>
              <w:ind w:left="250" w:right="135" w:hanging="106"/>
            </w:pPr>
            <w:r>
              <w:rPr>
                <w:spacing w:val="4"/>
              </w:rPr>
              <w:t>计分</w:t>
            </w:r>
            <w:r>
              <w:t xml:space="preserve"> 制</w:t>
            </w:r>
          </w:p>
        </w:tc>
        <w:tc>
          <w:tcPr>
            <w:tcW w:w="943" w:type="dxa"/>
            <w:vAlign w:val="top"/>
          </w:tcPr>
          <w:p w14:paraId="7797D5C8">
            <w:pPr>
              <w:pStyle w:val="15"/>
              <w:spacing w:before="267" w:line="228" w:lineRule="auto"/>
              <w:ind w:left="167"/>
            </w:pPr>
            <w:r>
              <w:rPr>
                <w:spacing w:val="6"/>
              </w:rPr>
              <w:t>最低分</w:t>
            </w:r>
          </w:p>
        </w:tc>
        <w:tc>
          <w:tcPr>
            <w:tcW w:w="865" w:type="dxa"/>
            <w:vAlign w:val="top"/>
          </w:tcPr>
          <w:p w14:paraId="38389CEB">
            <w:pPr>
              <w:pStyle w:val="15"/>
              <w:spacing w:before="267" w:line="228" w:lineRule="auto"/>
              <w:ind w:left="127"/>
            </w:pPr>
            <w:r>
              <w:rPr>
                <w:spacing w:val="6"/>
              </w:rPr>
              <w:t>最高分</w:t>
            </w:r>
          </w:p>
        </w:tc>
      </w:tr>
      <w:tr w14:paraId="26D14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854" w:type="dxa"/>
            <w:vMerge w:val="continue"/>
            <w:tcBorders>
              <w:top w:val="nil"/>
              <w:bottom w:val="nil"/>
            </w:tcBorders>
            <w:vAlign w:val="top"/>
          </w:tcPr>
          <w:p w14:paraId="08CE0F98">
            <w:pPr>
              <w:rPr>
                <w:rFonts w:ascii="Arial"/>
                <w:sz w:val="21"/>
              </w:rPr>
            </w:pPr>
          </w:p>
        </w:tc>
        <w:tc>
          <w:tcPr>
            <w:tcW w:w="2024" w:type="dxa"/>
            <w:vAlign w:val="top"/>
          </w:tcPr>
          <w:p w14:paraId="1C156E38">
            <w:pPr>
              <w:pStyle w:val="15"/>
              <w:spacing w:before="131" w:line="239" w:lineRule="auto"/>
              <w:ind w:left="595" w:right="173" w:hanging="417"/>
            </w:pPr>
            <w:r>
              <w:rPr>
                <w:spacing w:val="8"/>
              </w:rPr>
              <w:t>投标人施工招投标</w:t>
            </w:r>
            <w:r>
              <w:rPr>
                <w:spacing w:val="2"/>
              </w:rPr>
              <w:t xml:space="preserve"> </w:t>
            </w:r>
            <w:r>
              <w:rPr>
                <w:spacing w:val="7"/>
              </w:rPr>
              <w:t>信用评价</w:t>
            </w:r>
          </w:p>
        </w:tc>
        <w:tc>
          <w:tcPr>
            <w:tcW w:w="4701" w:type="dxa"/>
            <w:vAlign w:val="top"/>
          </w:tcPr>
          <w:p w14:paraId="2090051F">
            <w:pPr>
              <w:pStyle w:val="15"/>
              <w:spacing w:before="267" w:line="226" w:lineRule="auto"/>
              <w:ind w:left="832"/>
            </w:pPr>
            <w:r>
              <w:rPr>
                <w:spacing w:val="8"/>
              </w:rPr>
              <w:t>施工招标投标信用评价得分×25%</w:t>
            </w:r>
          </w:p>
        </w:tc>
        <w:tc>
          <w:tcPr>
            <w:tcW w:w="695" w:type="dxa"/>
            <w:vAlign w:val="top"/>
          </w:tcPr>
          <w:p w14:paraId="6C0195ED">
            <w:pPr>
              <w:pStyle w:val="15"/>
              <w:spacing w:before="131"/>
              <w:ind w:left="250" w:right="135" w:hanging="106"/>
            </w:pPr>
            <w:r>
              <w:rPr>
                <w:spacing w:val="4"/>
              </w:rPr>
              <w:t>加分</w:t>
            </w:r>
            <w:r>
              <w:t xml:space="preserve"> 制</w:t>
            </w:r>
          </w:p>
        </w:tc>
        <w:tc>
          <w:tcPr>
            <w:tcW w:w="943" w:type="dxa"/>
            <w:vAlign w:val="top"/>
          </w:tcPr>
          <w:p w14:paraId="1FCF68C2">
            <w:pPr>
              <w:pStyle w:val="15"/>
              <w:spacing w:before="299" w:line="189" w:lineRule="auto"/>
              <w:ind w:left="322"/>
            </w:pPr>
            <w:r>
              <w:rPr>
                <w:spacing w:val="1"/>
              </w:rPr>
              <w:t>0.0</w:t>
            </w:r>
          </w:p>
        </w:tc>
        <w:tc>
          <w:tcPr>
            <w:tcW w:w="865" w:type="dxa"/>
            <w:vAlign w:val="top"/>
          </w:tcPr>
          <w:p w14:paraId="6A158F9D">
            <w:pPr>
              <w:pStyle w:val="15"/>
              <w:spacing w:before="299" w:line="189" w:lineRule="auto"/>
              <w:ind w:left="232"/>
            </w:pPr>
            <w:r>
              <w:rPr>
                <w:spacing w:val="2"/>
              </w:rPr>
              <w:t>25.0</w:t>
            </w:r>
          </w:p>
        </w:tc>
      </w:tr>
      <w:tr w14:paraId="4770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854" w:type="dxa"/>
            <w:vMerge w:val="continue"/>
            <w:tcBorders>
              <w:top w:val="nil"/>
              <w:bottom w:val="nil"/>
            </w:tcBorders>
            <w:vAlign w:val="top"/>
          </w:tcPr>
          <w:p w14:paraId="36AD2BD6">
            <w:pPr>
              <w:rPr>
                <w:rFonts w:ascii="Arial"/>
                <w:sz w:val="21"/>
              </w:rPr>
            </w:pPr>
          </w:p>
        </w:tc>
        <w:tc>
          <w:tcPr>
            <w:tcW w:w="2024" w:type="dxa"/>
            <w:vAlign w:val="top"/>
          </w:tcPr>
          <w:p w14:paraId="322AB1E5">
            <w:pPr>
              <w:pStyle w:val="15"/>
              <w:spacing w:before="131" w:line="239" w:lineRule="auto"/>
              <w:ind w:left="175" w:right="173" w:firstLine="3"/>
            </w:pPr>
            <w:r>
              <w:rPr>
                <w:spacing w:val="8"/>
              </w:rPr>
              <w:t>投标人施工项目季</w:t>
            </w:r>
            <w:r>
              <w:rPr>
                <w:spacing w:val="2"/>
              </w:rPr>
              <w:t xml:space="preserve"> </w:t>
            </w:r>
            <w:r>
              <w:rPr>
                <w:spacing w:val="8"/>
              </w:rPr>
              <w:t>度考评综合优良率</w:t>
            </w:r>
          </w:p>
        </w:tc>
        <w:tc>
          <w:tcPr>
            <w:tcW w:w="4701" w:type="dxa"/>
            <w:vAlign w:val="top"/>
          </w:tcPr>
          <w:p w14:paraId="529AC6B9">
            <w:pPr>
              <w:pStyle w:val="15"/>
              <w:spacing w:before="265" w:line="228" w:lineRule="auto"/>
              <w:ind w:left="779"/>
            </w:pPr>
            <w:r>
              <w:rPr>
                <w:spacing w:val="9"/>
              </w:rPr>
              <w:t>施工项目季度考评综合优良率得分</w:t>
            </w:r>
          </w:p>
        </w:tc>
        <w:tc>
          <w:tcPr>
            <w:tcW w:w="695" w:type="dxa"/>
            <w:vAlign w:val="top"/>
          </w:tcPr>
          <w:p w14:paraId="1B895658">
            <w:pPr>
              <w:pStyle w:val="15"/>
              <w:spacing w:before="132" w:line="239" w:lineRule="auto"/>
              <w:ind w:left="250" w:right="135" w:hanging="106"/>
            </w:pPr>
            <w:r>
              <w:rPr>
                <w:spacing w:val="4"/>
              </w:rPr>
              <w:t>加分</w:t>
            </w:r>
            <w:r>
              <w:t xml:space="preserve"> 制</w:t>
            </w:r>
          </w:p>
        </w:tc>
        <w:tc>
          <w:tcPr>
            <w:tcW w:w="943" w:type="dxa"/>
            <w:vAlign w:val="top"/>
          </w:tcPr>
          <w:p w14:paraId="47CDF43E">
            <w:pPr>
              <w:pStyle w:val="15"/>
              <w:spacing w:before="298" w:line="189" w:lineRule="auto"/>
              <w:ind w:left="322"/>
            </w:pPr>
            <w:r>
              <w:rPr>
                <w:spacing w:val="1"/>
              </w:rPr>
              <w:t>0.0</w:t>
            </w:r>
          </w:p>
        </w:tc>
        <w:tc>
          <w:tcPr>
            <w:tcW w:w="865" w:type="dxa"/>
            <w:vAlign w:val="top"/>
          </w:tcPr>
          <w:p w14:paraId="6A82ECB6">
            <w:pPr>
              <w:pStyle w:val="15"/>
              <w:spacing w:before="297" w:line="190" w:lineRule="auto"/>
              <w:ind w:left="245"/>
            </w:pPr>
            <w:r>
              <w:rPr>
                <w:spacing w:val="-2"/>
              </w:rPr>
              <w:t>10.0</w:t>
            </w:r>
          </w:p>
        </w:tc>
      </w:tr>
      <w:tr w14:paraId="1C6C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854" w:type="dxa"/>
            <w:vMerge w:val="continue"/>
            <w:tcBorders>
              <w:top w:val="nil"/>
              <w:bottom w:val="nil"/>
            </w:tcBorders>
            <w:vAlign w:val="top"/>
          </w:tcPr>
          <w:p w14:paraId="7116A6E1">
            <w:pPr>
              <w:rPr>
                <w:rFonts w:ascii="Arial"/>
                <w:sz w:val="21"/>
              </w:rPr>
            </w:pPr>
          </w:p>
        </w:tc>
        <w:tc>
          <w:tcPr>
            <w:tcW w:w="2024" w:type="dxa"/>
            <w:vAlign w:val="top"/>
          </w:tcPr>
          <w:p w14:paraId="739F35B0">
            <w:pPr>
              <w:pStyle w:val="15"/>
              <w:spacing w:before="269" w:line="239" w:lineRule="auto"/>
              <w:ind w:left="595" w:right="173" w:hanging="416"/>
            </w:pPr>
            <w:r>
              <w:rPr>
                <w:spacing w:val="8"/>
              </w:rPr>
              <w:t>项目管理机构不良</w:t>
            </w:r>
            <w:r>
              <w:rPr>
                <w:spacing w:val="1"/>
              </w:rPr>
              <w:t xml:space="preserve"> </w:t>
            </w:r>
            <w:r>
              <w:rPr>
                <w:spacing w:val="7"/>
              </w:rPr>
              <w:t>信用信息</w:t>
            </w:r>
          </w:p>
        </w:tc>
        <w:tc>
          <w:tcPr>
            <w:tcW w:w="4701" w:type="dxa"/>
            <w:vAlign w:val="top"/>
          </w:tcPr>
          <w:p w14:paraId="40F87D82">
            <w:pPr>
              <w:pStyle w:val="15"/>
              <w:spacing w:before="132" w:line="226" w:lineRule="auto"/>
              <w:ind w:left="154"/>
            </w:pPr>
            <w:r>
              <w:rPr>
                <w:spacing w:val="9"/>
              </w:rPr>
              <w:t>项目经理存在信用评价不良信用信息的，根据不</w:t>
            </w:r>
          </w:p>
          <w:p w14:paraId="3C08A782">
            <w:pPr>
              <w:pStyle w:val="15"/>
              <w:spacing w:before="28" w:line="239" w:lineRule="auto"/>
              <w:ind w:left="2042" w:right="143" w:hanging="1858"/>
            </w:pPr>
            <w:r>
              <w:rPr>
                <w:spacing w:val="8"/>
              </w:rPr>
              <w:t>良信用信息类型，按照表后注解对应的分值</w:t>
            </w:r>
            <w:r>
              <w:rPr>
                <w:spacing w:val="7"/>
              </w:rPr>
              <w:t>进行</w:t>
            </w:r>
            <w:r>
              <w:t xml:space="preserve"> </w:t>
            </w:r>
            <w:r>
              <w:rPr>
                <w:spacing w:val="2"/>
              </w:rPr>
              <w:t>扣除。</w:t>
            </w:r>
          </w:p>
        </w:tc>
        <w:tc>
          <w:tcPr>
            <w:tcW w:w="695" w:type="dxa"/>
            <w:vAlign w:val="top"/>
          </w:tcPr>
          <w:p w14:paraId="4B6A6C58">
            <w:pPr>
              <w:pStyle w:val="15"/>
              <w:spacing w:before="269" w:line="239" w:lineRule="auto"/>
              <w:ind w:left="251" w:right="135" w:hanging="103"/>
            </w:pPr>
            <w:r>
              <w:rPr>
                <w:spacing w:val="3"/>
              </w:rPr>
              <w:t>扣分</w:t>
            </w:r>
            <w:r>
              <w:t xml:space="preserve"> 制</w:t>
            </w:r>
          </w:p>
        </w:tc>
        <w:tc>
          <w:tcPr>
            <w:tcW w:w="943" w:type="dxa"/>
            <w:vAlign w:val="top"/>
          </w:tcPr>
          <w:p w14:paraId="5A040C9D">
            <w:pPr>
              <w:spacing w:line="370" w:lineRule="auto"/>
              <w:rPr>
                <w:rFonts w:ascii="Arial"/>
                <w:sz w:val="21"/>
              </w:rPr>
            </w:pPr>
          </w:p>
          <w:p w14:paraId="5EA9B0FB">
            <w:pPr>
              <w:pStyle w:val="15"/>
              <w:spacing w:before="65" w:line="190" w:lineRule="auto"/>
              <w:ind w:left="213"/>
            </w:pPr>
            <w:r>
              <w:rPr>
                <w:spacing w:val="3"/>
              </w:rPr>
              <w:t>-10.0</w:t>
            </w:r>
          </w:p>
        </w:tc>
        <w:tc>
          <w:tcPr>
            <w:tcW w:w="865" w:type="dxa"/>
            <w:vAlign w:val="top"/>
          </w:tcPr>
          <w:p w14:paraId="3A77251E">
            <w:pPr>
              <w:spacing w:line="371" w:lineRule="auto"/>
              <w:rPr>
                <w:rFonts w:ascii="Arial"/>
                <w:sz w:val="21"/>
              </w:rPr>
            </w:pPr>
          </w:p>
          <w:p w14:paraId="3A324241">
            <w:pPr>
              <w:pStyle w:val="15"/>
              <w:spacing w:before="65" w:line="189" w:lineRule="auto"/>
              <w:ind w:left="284"/>
            </w:pPr>
            <w:r>
              <w:rPr>
                <w:spacing w:val="1"/>
              </w:rPr>
              <w:t>0.0</w:t>
            </w:r>
          </w:p>
        </w:tc>
      </w:tr>
      <w:tr w14:paraId="58999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1" w:hRule="atLeast"/>
        </w:trPr>
        <w:tc>
          <w:tcPr>
            <w:tcW w:w="854" w:type="dxa"/>
            <w:vMerge w:val="continue"/>
            <w:tcBorders>
              <w:top w:val="nil"/>
            </w:tcBorders>
            <w:vAlign w:val="top"/>
          </w:tcPr>
          <w:p w14:paraId="5A9AF6D7">
            <w:pPr>
              <w:rPr>
                <w:rFonts w:ascii="Arial"/>
                <w:sz w:val="21"/>
              </w:rPr>
            </w:pPr>
          </w:p>
        </w:tc>
        <w:tc>
          <w:tcPr>
            <w:tcW w:w="9228" w:type="dxa"/>
            <w:gridSpan w:val="5"/>
            <w:vAlign w:val="top"/>
          </w:tcPr>
          <w:p w14:paraId="45AF1115">
            <w:pPr>
              <w:pStyle w:val="15"/>
              <w:spacing w:before="133" w:line="228" w:lineRule="auto"/>
              <w:ind w:left="127"/>
            </w:pPr>
            <w:r>
              <w:rPr>
                <w:spacing w:val="5"/>
              </w:rPr>
              <w:t>1.类似工程业绩</w:t>
            </w:r>
          </w:p>
          <w:p w14:paraId="17F6D0EA">
            <w:pPr>
              <w:pStyle w:val="15"/>
              <w:spacing w:before="26" w:line="228" w:lineRule="auto"/>
              <w:ind w:left="127"/>
            </w:pPr>
            <w:r>
              <w:rPr>
                <w:spacing w:val="7"/>
              </w:rPr>
              <w:t>1.1 招标人可以根据项目实际情况选取</w:t>
            </w:r>
            <w:r>
              <w:rPr>
                <w:spacing w:val="-25"/>
              </w:rPr>
              <w:t xml:space="preserve"> </w:t>
            </w:r>
            <w:r>
              <w:rPr>
                <w:spacing w:val="7"/>
              </w:rPr>
              <w:t>0-2</w:t>
            </w:r>
            <w:r>
              <w:rPr>
                <w:spacing w:val="-40"/>
              </w:rPr>
              <w:t xml:space="preserve"> </w:t>
            </w:r>
            <w:r>
              <w:rPr>
                <w:spacing w:val="7"/>
              </w:rPr>
              <w:t>个类似工程业绩纳入评审。</w:t>
            </w:r>
          </w:p>
          <w:p w14:paraId="723BEB49">
            <w:pPr>
              <w:pStyle w:val="15"/>
              <w:spacing w:before="22" w:line="244" w:lineRule="auto"/>
              <w:ind w:left="113" w:right="107" w:firstLine="13"/>
            </w:pPr>
            <w:r>
              <w:rPr>
                <w:spacing w:val="8"/>
              </w:rPr>
              <w:t>1.2 评审依据：</w:t>
            </w:r>
            <w:r>
              <w:rPr>
                <w:spacing w:val="-57"/>
              </w:rPr>
              <w:t xml:space="preserve"> </w:t>
            </w:r>
            <w:r>
              <w:rPr>
                <w:spacing w:val="8"/>
              </w:rPr>
              <w:t>以投标文件中提供的中标通知书（招标工程提交）、 合同和竣工验收</w:t>
            </w:r>
            <w:r>
              <w:rPr>
                <w:spacing w:val="7"/>
              </w:rPr>
              <w:t>资料以及本</w:t>
            </w:r>
            <w:r>
              <w:t xml:space="preserve">  </w:t>
            </w:r>
            <w:r>
              <w:rPr>
                <w:spacing w:val="9"/>
              </w:rPr>
              <w:t>项目答疑文件明确可以作为评审依据的资料的复印件为准，并提供“湖南省智慧住建云—湖南省建</w:t>
            </w:r>
            <w:r>
              <w:rPr>
                <w:spacing w:val="14"/>
              </w:rPr>
              <w:t xml:space="preserve"> </w:t>
            </w:r>
            <w:r>
              <w:rPr>
                <w:spacing w:val="8"/>
              </w:rPr>
              <w:t>筑市场监管公共服务平台</w:t>
            </w:r>
            <w:r>
              <w:rPr>
                <w:spacing w:val="-60"/>
              </w:rPr>
              <w:t xml:space="preserve"> </w:t>
            </w:r>
            <w:r>
              <w:rPr>
                <w:spacing w:val="8"/>
              </w:rPr>
              <w:t>”或者“全国建筑市场监管公共服务平台</w:t>
            </w:r>
            <w:r>
              <w:rPr>
                <w:spacing w:val="-70"/>
              </w:rPr>
              <w:t xml:space="preserve"> </w:t>
            </w:r>
            <w:r>
              <w:rPr>
                <w:spacing w:val="8"/>
              </w:rPr>
              <w:t>”上体现其作为相应承包人的</w:t>
            </w:r>
          </w:p>
          <w:p w14:paraId="565E13C5">
            <w:pPr>
              <w:pStyle w:val="15"/>
              <w:spacing w:before="24" w:line="227" w:lineRule="auto"/>
              <w:ind w:left="114"/>
            </w:pPr>
            <w:r>
              <w:rPr>
                <w:spacing w:val="9"/>
              </w:rPr>
              <w:t>项目网页截图。相关指标不一致时，依次按照中标通知书、合同、竣工验收资料的顺序认定。竣工</w:t>
            </w:r>
          </w:p>
        </w:tc>
      </w:tr>
    </w:tbl>
    <w:p w14:paraId="0BBEB052">
      <w:pPr>
        <w:pStyle w:val="6"/>
      </w:pPr>
    </w:p>
    <w:p w14:paraId="7B6D6979">
      <w:pPr>
        <w:sectPr>
          <w:footerReference r:id="rId21" w:type="default"/>
          <w:pgSz w:w="11907" w:h="16840"/>
          <w:pgMar w:top="1020" w:right="909" w:bottom="1029" w:left="909" w:header="0" w:footer="850" w:gutter="0"/>
          <w:pgNumType w:fmt="decimal"/>
          <w:cols w:space="720" w:num="1"/>
        </w:sectPr>
      </w:pPr>
    </w:p>
    <w:tbl>
      <w:tblPr>
        <w:tblStyle w:val="14"/>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9228"/>
      </w:tblGrid>
      <w:tr w14:paraId="4F9BE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8" w:hRule="atLeast"/>
        </w:trPr>
        <w:tc>
          <w:tcPr>
            <w:tcW w:w="854" w:type="dxa"/>
            <w:vAlign w:val="top"/>
          </w:tcPr>
          <w:p w14:paraId="10CEB675">
            <w:pPr>
              <w:rPr>
                <w:rFonts w:ascii="Arial"/>
                <w:sz w:val="21"/>
              </w:rPr>
            </w:pPr>
          </w:p>
        </w:tc>
        <w:tc>
          <w:tcPr>
            <w:tcW w:w="9228" w:type="dxa"/>
            <w:vAlign w:val="top"/>
          </w:tcPr>
          <w:p w14:paraId="22262385">
            <w:pPr>
              <w:pStyle w:val="15"/>
              <w:spacing w:before="130" w:line="228" w:lineRule="auto"/>
              <w:ind w:left="110"/>
            </w:pPr>
            <w:r>
              <w:rPr>
                <w:spacing w:val="9"/>
              </w:rPr>
              <w:t>验收资料是指竣工验收备案表或者竣工验收证明。</w:t>
            </w:r>
          </w:p>
          <w:p w14:paraId="6C13AA64">
            <w:pPr>
              <w:pStyle w:val="15"/>
              <w:spacing w:before="26" w:line="244" w:lineRule="auto"/>
              <w:ind w:left="111" w:right="107" w:firstLine="2"/>
              <w:jc w:val="both"/>
            </w:pPr>
            <w:r>
              <w:rPr>
                <w:spacing w:val="9"/>
              </w:rPr>
              <w:t>投标人提供的类似工程业绩同时包含多个工程类别（专业）的，其工程类别（专业）所对应的工程</w:t>
            </w:r>
            <w:r>
              <w:rPr>
                <w:spacing w:val="13"/>
              </w:rPr>
              <w:t xml:space="preserve"> </w:t>
            </w:r>
            <w:r>
              <w:rPr>
                <w:spacing w:val="9"/>
              </w:rPr>
              <w:t>量应当依次按照中标通知书、合同、竣工验收资料、项目答疑文件明确可以作为评审依据的资料进</w:t>
            </w:r>
            <w:r>
              <w:rPr>
                <w:spacing w:val="15"/>
              </w:rPr>
              <w:t xml:space="preserve"> </w:t>
            </w:r>
            <w:r>
              <w:rPr>
                <w:spacing w:val="5"/>
              </w:rPr>
              <w:t>行认定。</w:t>
            </w:r>
          </w:p>
          <w:p w14:paraId="7435A7F5">
            <w:pPr>
              <w:pStyle w:val="15"/>
              <w:spacing w:before="23" w:line="227" w:lineRule="auto"/>
              <w:ind w:left="135"/>
            </w:pPr>
            <w:r>
              <w:rPr>
                <w:spacing w:val="8"/>
              </w:rPr>
              <w:t>以上资料均不能明确区分的，由评标委员会进行认定。</w:t>
            </w:r>
          </w:p>
          <w:p w14:paraId="6DCFFF87">
            <w:pPr>
              <w:pStyle w:val="15"/>
              <w:spacing w:before="23" w:line="244" w:lineRule="auto"/>
              <w:ind w:left="113" w:right="105" w:firstLine="13"/>
            </w:pPr>
            <w:r>
              <w:rPr>
                <w:spacing w:val="8"/>
              </w:rPr>
              <w:t>1.3 评审期限：3</w:t>
            </w:r>
            <w:r>
              <w:rPr>
                <w:spacing w:val="-37"/>
              </w:rPr>
              <w:t xml:space="preserve"> </w:t>
            </w:r>
            <w:r>
              <w:rPr>
                <w:spacing w:val="8"/>
              </w:rPr>
              <w:t>年，</w:t>
            </w:r>
            <w:r>
              <w:rPr>
                <w:spacing w:val="-49"/>
              </w:rPr>
              <w:t xml:space="preserve"> </w:t>
            </w:r>
            <w:r>
              <w:rPr>
                <w:spacing w:val="8"/>
              </w:rPr>
              <w:t>自工程竣工验收文件中</w:t>
            </w:r>
            <w:r>
              <w:rPr>
                <w:spacing w:val="7"/>
              </w:rPr>
              <w:t>建设单位签字或盖章之日起计算。类似工程业绩评审</w:t>
            </w:r>
            <w:r>
              <w:t xml:space="preserve"> </w:t>
            </w:r>
            <w:r>
              <w:rPr>
                <w:spacing w:val="9"/>
              </w:rPr>
              <w:t>依据中竣工验收备案表未体现建设单位签字或盖章之日的，以竣工</w:t>
            </w:r>
            <w:r>
              <w:rPr>
                <w:spacing w:val="8"/>
              </w:rPr>
              <w:t>验收备案表“竣工验收日期</w:t>
            </w:r>
            <w:r>
              <w:rPr>
                <w:spacing w:val="-70"/>
              </w:rPr>
              <w:t xml:space="preserve"> </w:t>
            </w:r>
            <w:r>
              <w:rPr>
                <w:spacing w:val="8"/>
              </w:rPr>
              <w:t>”栏</w:t>
            </w:r>
            <w:r>
              <w:t xml:space="preserve"> </w:t>
            </w:r>
            <w:r>
              <w:rPr>
                <w:spacing w:val="7"/>
              </w:rPr>
              <w:t>中注明的时间为准。</w:t>
            </w:r>
          </w:p>
          <w:p w14:paraId="4E759268">
            <w:pPr>
              <w:pStyle w:val="15"/>
              <w:spacing w:before="26" w:line="228" w:lineRule="auto"/>
              <w:ind w:left="114"/>
            </w:pPr>
            <w:r>
              <w:rPr>
                <w:spacing w:val="6"/>
              </w:rPr>
              <w:t>2. 不良信用信息：</w:t>
            </w:r>
          </w:p>
          <w:p w14:paraId="58E3C5F1">
            <w:pPr>
              <w:pStyle w:val="15"/>
              <w:spacing w:before="23" w:line="247" w:lineRule="auto"/>
              <w:ind w:left="111" w:right="105" w:firstLine="1"/>
              <w:jc w:val="both"/>
            </w:pPr>
            <w:r>
              <w:rPr>
                <w:spacing w:val="9"/>
              </w:rPr>
              <w:t>按照以下不良信用信息扣分标准扣分，严重失信行为名单（含失信黑名单，</w:t>
            </w:r>
            <w:r>
              <w:rPr>
                <w:spacing w:val="8"/>
              </w:rPr>
              <w:t>下同）每次扣</w:t>
            </w:r>
            <w:r>
              <w:rPr>
                <w:spacing w:val="-38"/>
              </w:rPr>
              <w:t xml:space="preserve"> </w:t>
            </w:r>
            <w:r>
              <w:rPr>
                <w:spacing w:val="8"/>
              </w:rPr>
              <w:t>8</w:t>
            </w:r>
            <w:r>
              <w:rPr>
                <w:spacing w:val="-36"/>
              </w:rPr>
              <w:t xml:space="preserve"> </w:t>
            </w:r>
            <w:r>
              <w:rPr>
                <w:spacing w:val="8"/>
              </w:rPr>
              <w:t>分、刑</w:t>
            </w:r>
            <w:r>
              <w:t xml:space="preserve"> </w:t>
            </w:r>
            <w:r>
              <w:rPr>
                <w:spacing w:val="7"/>
              </w:rPr>
              <w:t>事处罚每次扣</w:t>
            </w:r>
            <w:r>
              <w:rPr>
                <w:spacing w:val="-33"/>
              </w:rPr>
              <w:t xml:space="preserve"> </w:t>
            </w:r>
            <w:r>
              <w:rPr>
                <w:spacing w:val="7"/>
              </w:rPr>
              <w:t>2</w:t>
            </w:r>
            <w:r>
              <w:rPr>
                <w:spacing w:val="-38"/>
              </w:rPr>
              <w:t xml:space="preserve"> </w:t>
            </w:r>
            <w:r>
              <w:rPr>
                <w:spacing w:val="7"/>
              </w:rPr>
              <w:t>分、失信被执行人每次扣</w:t>
            </w:r>
            <w:r>
              <w:rPr>
                <w:spacing w:val="-21"/>
              </w:rPr>
              <w:t xml:space="preserve"> </w:t>
            </w:r>
            <w:r>
              <w:rPr>
                <w:spacing w:val="7"/>
              </w:rPr>
              <w:t>1</w:t>
            </w:r>
            <w:r>
              <w:rPr>
                <w:spacing w:val="-38"/>
              </w:rPr>
              <w:t xml:space="preserve"> </w:t>
            </w:r>
            <w:r>
              <w:rPr>
                <w:spacing w:val="7"/>
              </w:rPr>
              <w:t>分、行政处罚每次扣</w:t>
            </w:r>
            <w:r>
              <w:rPr>
                <w:spacing w:val="-38"/>
              </w:rPr>
              <w:t xml:space="preserve"> </w:t>
            </w:r>
            <w:r>
              <w:rPr>
                <w:spacing w:val="7"/>
              </w:rPr>
              <w:t>0.5</w:t>
            </w:r>
            <w:r>
              <w:rPr>
                <w:spacing w:val="-35"/>
              </w:rPr>
              <w:t xml:space="preserve"> </w:t>
            </w:r>
            <w:r>
              <w:rPr>
                <w:spacing w:val="7"/>
              </w:rPr>
              <w:t>分、严重不良行为记录每次扣</w:t>
            </w:r>
            <w:r>
              <w:t xml:space="preserve"> </w:t>
            </w:r>
            <w:r>
              <w:rPr>
                <w:spacing w:val="8"/>
              </w:rPr>
              <w:t>0.5</w:t>
            </w:r>
            <w:r>
              <w:rPr>
                <w:spacing w:val="-21"/>
              </w:rPr>
              <w:t xml:space="preserve"> </w:t>
            </w:r>
            <w:r>
              <w:rPr>
                <w:spacing w:val="8"/>
              </w:rPr>
              <w:t>分、一般不良行为记录每次扣</w:t>
            </w:r>
            <w:r>
              <w:rPr>
                <w:spacing w:val="-37"/>
              </w:rPr>
              <w:t xml:space="preserve"> </w:t>
            </w:r>
            <w:r>
              <w:rPr>
                <w:spacing w:val="8"/>
              </w:rPr>
              <w:t>0.3</w:t>
            </w:r>
            <w:r>
              <w:rPr>
                <w:spacing w:val="-38"/>
              </w:rPr>
              <w:t xml:space="preserve"> </w:t>
            </w:r>
            <w:r>
              <w:rPr>
                <w:spacing w:val="8"/>
              </w:rPr>
              <w:t>分。湖南省行政区域内的不良行为记录以湖南省住房和城乡</w:t>
            </w:r>
            <w:r>
              <w:t xml:space="preserve"> </w:t>
            </w:r>
            <w:r>
              <w:rPr>
                <w:spacing w:val="9"/>
              </w:rPr>
              <w:t>建设厅发布的结果为准；湖南省行政区域外的不良行为记录以全国建筑市场监管公共服务平台发布</w:t>
            </w:r>
            <w:r>
              <w:rPr>
                <w:spacing w:val="15"/>
              </w:rPr>
              <w:t xml:space="preserve"> </w:t>
            </w:r>
            <w:r>
              <w:rPr>
                <w:spacing w:val="8"/>
              </w:rPr>
              <w:t>的信息为准，按严重不良行为记录扣分。</w:t>
            </w:r>
          </w:p>
          <w:p w14:paraId="4DF56F0D">
            <w:pPr>
              <w:pStyle w:val="15"/>
              <w:spacing w:before="27" w:line="226" w:lineRule="auto"/>
              <w:ind w:left="114"/>
            </w:pPr>
            <w:r>
              <w:rPr>
                <w:spacing w:val="8"/>
              </w:rPr>
              <w:t>不良信用信息扣分有效期同综合评估法后备注。</w:t>
            </w:r>
          </w:p>
          <w:p w14:paraId="5369D082">
            <w:pPr>
              <w:pStyle w:val="15"/>
              <w:spacing w:before="26" w:line="228" w:lineRule="auto"/>
              <w:ind w:left="115"/>
            </w:pPr>
            <w:r>
              <w:rPr>
                <w:spacing w:val="5"/>
              </w:rPr>
              <w:t>3.</w:t>
            </w:r>
            <w:r>
              <w:rPr>
                <w:spacing w:val="29"/>
              </w:rPr>
              <w:t xml:space="preserve"> </w:t>
            </w:r>
            <w:r>
              <w:rPr>
                <w:spacing w:val="5"/>
              </w:rPr>
              <w:t>园林绿化工程定义</w:t>
            </w:r>
          </w:p>
          <w:p w14:paraId="295F6454">
            <w:pPr>
              <w:pStyle w:val="15"/>
              <w:spacing w:before="28" w:line="245" w:lineRule="auto"/>
              <w:ind w:left="112" w:right="40"/>
            </w:pPr>
            <w:r>
              <w:rPr>
                <w:spacing w:val="6"/>
              </w:rPr>
              <w:t>本办法所称园林绿化工程的定义按照住房城乡建设部《园林绿化工程建设管理规定》（建</w:t>
            </w:r>
            <w:r>
              <w:rPr>
                <w:spacing w:val="5"/>
              </w:rPr>
              <w:t>城〔2017〕</w:t>
            </w:r>
            <w:r>
              <w:t xml:space="preserve"> </w:t>
            </w:r>
            <w:r>
              <w:rPr>
                <w:spacing w:val="9"/>
              </w:rPr>
              <w:t>251</w:t>
            </w:r>
            <w:r>
              <w:rPr>
                <w:spacing w:val="-31"/>
              </w:rPr>
              <w:t xml:space="preserve"> </w:t>
            </w:r>
            <w:r>
              <w:rPr>
                <w:spacing w:val="9"/>
              </w:rPr>
              <w:t>号）相关条款执行。园林绿化工程施工招标时，应在招标文件载明其属于园林绿化工程，招标</w:t>
            </w:r>
            <w:r>
              <w:t xml:space="preserve">  </w:t>
            </w:r>
            <w:r>
              <w:rPr>
                <w:spacing w:val="9"/>
              </w:rPr>
              <w:t>人不得将具备原城市园林绿化企业资质、市政公用工程施工总承包资质、建筑工程施工总承包资质</w:t>
            </w:r>
            <w:r>
              <w:rPr>
                <w:spacing w:val="16"/>
              </w:rPr>
              <w:t xml:space="preserve"> </w:t>
            </w:r>
            <w:r>
              <w:rPr>
                <w:spacing w:val="9"/>
              </w:rPr>
              <w:t>等其他企业资质作为园林绿化工程投标人资格条件。</w:t>
            </w:r>
          </w:p>
          <w:p w14:paraId="2348D9AB">
            <w:pPr>
              <w:pStyle w:val="15"/>
              <w:numPr>
                <w:ilvl w:val="0"/>
                <w:numId w:val="1"/>
              </w:numPr>
              <w:spacing w:before="25" w:line="226" w:lineRule="auto"/>
              <w:ind w:left="110"/>
              <w:rPr>
                <w:spacing w:val="9"/>
              </w:rPr>
            </w:pPr>
            <w:r>
              <w:rPr>
                <w:rFonts w:hint="eastAsia"/>
                <w:spacing w:val="9"/>
              </w:rPr>
              <w:t>施工单位信用评价以“湖南省智慧住建云—湖南省建筑市场监管公共服务平台”最新公布的信息为准；无施工单位信用评价查询结果的，企业投标时按照施工单位信用评价得分处于末位的合格投标人的分值计取；省外企业无施工单位信用评价查询结果的，可以提供注册地省级住房和城乡建设部门提供的施工单位信用评价结果（百分制）作为评审依据。</w:t>
            </w:r>
          </w:p>
          <w:p w14:paraId="0BACD02F">
            <w:pPr>
              <w:pStyle w:val="15"/>
              <w:numPr>
                <w:ilvl w:val="0"/>
                <w:numId w:val="1"/>
              </w:numPr>
              <w:spacing w:before="25" w:line="226" w:lineRule="auto"/>
              <w:ind w:left="110"/>
              <w:rPr>
                <w:rFonts w:hint="eastAsia"/>
                <w:spacing w:val="9"/>
              </w:rPr>
            </w:pPr>
            <w:r>
              <w:rPr>
                <w:rFonts w:hint="eastAsia"/>
                <w:spacing w:val="9"/>
              </w:rPr>
              <w:t>施工项目季度考评综合优良率得分</w:t>
            </w:r>
          </w:p>
          <w:p w14:paraId="437DF088">
            <w:pPr>
              <w:pStyle w:val="15"/>
              <w:spacing w:before="25" w:line="226" w:lineRule="auto"/>
              <w:ind w:left="110"/>
              <w:rPr>
                <w:rFonts w:hint="eastAsia"/>
                <w:spacing w:val="9"/>
              </w:rPr>
            </w:pPr>
            <w:r>
              <w:rPr>
                <w:rFonts w:hint="eastAsia"/>
                <w:spacing w:val="9"/>
              </w:rPr>
              <w:t>F=(K/A)×4＋ [1-KP/（K+KP）] ×4＋（AP1×0.1+AP2×0.2+AP3×0.3+AP4×0.4）×2</w:t>
            </w:r>
          </w:p>
          <w:p w14:paraId="56C1FA92">
            <w:pPr>
              <w:pStyle w:val="15"/>
              <w:spacing w:before="25" w:line="226" w:lineRule="auto"/>
              <w:ind w:left="110"/>
              <w:rPr>
                <w:rFonts w:hint="eastAsia"/>
                <w:spacing w:val="9"/>
              </w:rPr>
            </w:pPr>
            <w:r>
              <w:rPr>
                <w:rFonts w:hint="eastAsia"/>
                <w:spacing w:val="9"/>
              </w:rPr>
              <w:t>F：施工项目季度考评综合优良率得分</w:t>
            </w:r>
          </w:p>
          <w:p w14:paraId="08AFDEDD">
            <w:pPr>
              <w:pStyle w:val="15"/>
              <w:spacing w:before="25" w:line="226" w:lineRule="auto"/>
              <w:ind w:left="110"/>
              <w:rPr>
                <w:rFonts w:hint="eastAsia"/>
                <w:spacing w:val="9"/>
              </w:rPr>
            </w:pPr>
            <w:r>
              <w:rPr>
                <w:rFonts w:hint="eastAsia"/>
                <w:spacing w:val="9"/>
              </w:rPr>
              <w:t>A: 企业季度考评在建工地宗数</w:t>
            </w:r>
          </w:p>
          <w:p w14:paraId="209081BF">
            <w:pPr>
              <w:pStyle w:val="15"/>
              <w:spacing w:before="25" w:line="226" w:lineRule="auto"/>
              <w:ind w:left="110"/>
              <w:rPr>
                <w:rFonts w:hint="eastAsia"/>
                <w:spacing w:val="9"/>
              </w:rPr>
            </w:pPr>
            <w:r>
              <w:rPr>
                <w:rFonts w:hint="eastAsia"/>
                <w:spacing w:val="9"/>
              </w:rPr>
              <w:t>K: 企业季度考评优良工地宗数</w:t>
            </w:r>
          </w:p>
          <w:p w14:paraId="4DAC589A">
            <w:pPr>
              <w:pStyle w:val="15"/>
              <w:spacing w:before="25" w:line="226" w:lineRule="auto"/>
              <w:ind w:left="110"/>
              <w:rPr>
                <w:rFonts w:hint="eastAsia"/>
                <w:spacing w:val="9"/>
              </w:rPr>
            </w:pPr>
            <w:r>
              <w:rPr>
                <w:rFonts w:hint="eastAsia"/>
                <w:spacing w:val="9"/>
              </w:rPr>
              <w:t>KP: 全省所有企业的季度考评优良工地平均数</w:t>
            </w:r>
          </w:p>
          <w:p w14:paraId="7A6270C2">
            <w:pPr>
              <w:pStyle w:val="15"/>
              <w:spacing w:before="25" w:line="226" w:lineRule="auto"/>
              <w:ind w:left="110"/>
              <w:rPr>
                <w:rFonts w:hint="eastAsia"/>
                <w:spacing w:val="9"/>
              </w:rPr>
            </w:pPr>
            <w:r>
              <w:rPr>
                <w:rFonts w:hint="eastAsia"/>
                <w:spacing w:val="9"/>
              </w:rPr>
              <w:t>AP1 、AP2 、AP3 、AP4：企业考评季度之前连续四个季度考评优良比例（K/A，K或者A为0时，该项数据计0分）</w:t>
            </w:r>
          </w:p>
          <w:p w14:paraId="37CDE277">
            <w:pPr>
              <w:pStyle w:val="15"/>
              <w:spacing w:before="25" w:line="226" w:lineRule="auto"/>
              <w:ind w:left="110"/>
            </w:pPr>
            <w:r>
              <w:rPr>
                <w:rFonts w:hint="eastAsia"/>
                <w:spacing w:val="9"/>
              </w:rPr>
              <w:t xml:space="preserve">  施工项目季度考评综合优良率得分以“湖南省智慧住建云—湖南省建筑市场监管公共服务平台”最新公布的信息为准，无查询结果的，投标时按照施工项目季度考评综合优良率得分处于末位的合格投标人的分值计取；省外企业无施工项目季度考评综合优良率得分查询结果的，可以提供注册地省级住房和城乡建设部门公开发布的用于计算施工项目季度考评综合优良率的相关基础数据作为评审依据。</w:t>
            </w:r>
          </w:p>
        </w:tc>
      </w:tr>
      <w:tr w14:paraId="6D0AD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4" w:type="dxa"/>
            <w:vMerge w:val="restart"/>
            <w:tcBorders>
              <w:bottom w:val="nil"/>
            </w:tcBorders>
            <w:vAlign w:val="top"/>
          </w:tcPr>
          <w:p w14:paraId="015ABF24">
            <w:pPr>
              <w:spacing w:line="260" w:lineRule="auto"/>
              <w:rPr>
                <w:rFonts w:ascii="Arial"/>
                <w:sz w:val="21"/>
              </w:rPr>
            </w:pPr>
          </w:p>
          <w:p w14:paraId="5626B5AF">
            <w:pPr>
              <w:spacing w:line="260" w:lineRule="auto"/>
              <w:rPr>
                <w:rFonts w:ascii="Arial"/>
                <w:sz w:val="21"/>
              </w:rPr>
            </w:pPr>
          </w:p>
          <w:p w14:paraId="7E59374A">
            <w:pPr>
              <w:spacing w:line="261" w:lineRule="auto"/>
              <w:rPr>
                <w:rFonts w:ascii="Arial"/>
                <w:sz w:val="21"/>
              </w:rPr>
            </w:pPr>
          </w:p>
          <w:p w14:paraId="77625B06">
            <w:pPr>
              <w:spacing w:line="261" w:lineRule="auto"/>
              <w:rPr>
                <w:rFonts w:ascii="Arial"/>
                <w:sz w:val="21"/>
              </w:rPr>
            </w:pPr>
          </w:p>
          <w:p w14:paraId="2CDC594F">
            <w:pPr>
              <w:spacing w:line="261" w:lineRule="auto"/>
              <w:rPr>
                <w:rFonts w:ascii="Arial"/>
                <w:sz w:val="21"/>
              </w:rPr>
            </w:pPr>
          </w:p>
          <w:p w14:paraId="4C9D0A1D">
            <w:pPr>
              <w:spacing w:line="261" w:lineRule="auto"/>
              <w:rPr>
                <w:rFonts w:ascii="Arial"/>
                <w:sz w:val="21"/>
              </w:rPr>
            </w:pPr>
          </w:p>
          <w:p w14:paraId="2687C300">
            <w:pPr>
              <w:spacing w:line="261" w:lineRule="auto"/>
              <w:rPr>
                <w:rFonts w:ascii="Arial"/>
                <w:sz w:val="21"/>
              </w:rPr>
            </w:pPr>
          </w:p>
          <w:p w14:paraId="267A4C4C">
            <w:pPr>
              <w:pStyle w:val="15"/>
              <w:spacing w:before="65" w:line="252" w:lineRule="auto"/>
              <w:ind w:left="178" w:right="163" w:hanging="7"/>
            </w:pPr>
            <w:r>
              <w:rPr>
                <w:spacing w:val="2"/>
              </w:rPr>
              <w:t xml:space="preserve">2.2.4 </w:t>
            </w:r>
            <w:r>
              <w:rPr>
                <w:spacing w:val="-2"/>
              </w:rPr>
              <w:t>（5）</w:t>
            </w:r>
          </w:p>
        </w:tc>
        <w:tc>
          <w:tcPr>
            <w:tcW w:w="9228" w:type="dxa"/>
            <w:vAlign w:val="top"/>
          </w:tcPr>
          <w:p w14:paraId="663237E7">
            <w:pPr>
              <w:pStyle w:val="15"/>
              <w:spacing w:before="133" w:line="226" w:lineRule="auto"/>
              <w:ind w:left="3990"/>
            </w:pPr>
            <w:r>
              <w:rPr>
                <w:spacing w:val="7"/>
              </w:rPr>
              <w:t>投标报价评审</w:t>
            </w:r>
          </w:p>
        </w:tc>
      </w:tr>
      <w:tr w14:paraId="7E5D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854" w:type="dxa"/>
            <w:vMerge w:val="continue"/>
            <w:tcBorders>
              <w:top w:val="nil"/>
            </w:tcBorders>
            <w:vAlign w:val="top"/>
          </w:tcPr>
          <w:p w14:paraId="021B9C30">
            <w:pPr>
              <w:rPr>
                <w:rFonts w:ascii="Arial"/>
                <w:sz w:val="21"/>
              </w:rPr>
            </w:pPr>
          </w:p>
        </w:tc>
        <w:tc>
          <w:tcPr>
            <w:tcW w:w="9228" w:type="dxa"/>
            <w:vAlign w:val="top"/>
          </w:tcPr>
          <w:p w14:paraId="0446DAC5">
            <w:pPr>
              <w:pStyle w:val="15"/>
              <w:spacing w:before="130" w:line="226" w:lineRule="auto"/>
              <w:ind w:left="127"/>
            </w:pPr>
            <w:r>
              <w:rPr>
                <w:spacing w:val="7"/>
              </w:rPr>
              <w:t>1．适用于经评审的最低投标价法；</w:t>
            </w:r>
          </w:p>
          <w:p w14:paraId="47FF90C4">
            <w:pPr>
              <w:pStyle w:val="15"/>
              <w:spacing w:before="28" w:line="226" w:lineRule="auto"/>
              <w:ind w:left="114"/>
            </w:pPr>
            <w:r>
              <w:rPr>
                <w:spacing w:val="3"/>
              </w:rPr>
              <w:t>2．基准价：Y= A×（1-P）+B×</w:t>
            </w:r>
            <w:r>
              <w:rPr>
                <w:spacing w:val="-42"/>
              </w:rPr>
              <w:t xml:space="preserve"> </w:t>
            </w:r>
            <w:r>
              <w:rPr>
                <w:spacing w:val="3"/>
              </w:rPr>
              <w:t>(1-β)</w:t>
            </w:r>
            <w:r>
              <w:rPr>
                <w:spacing w:val="-64"/>
              </w:rPr>
              <w:t xml:space="preserve"> </w:t>
            </w:r>
            <w:r>
              <w:rPr>
                <w:spacing w:val="3"/>
              </w:rPr>
              <w:t>×P</w:t>
            </w:r>
          </w:p>
          <w:p w14:paraId="1066EE0F">
            <w:pPr>
              <w:pStyle w:val="15"/>
              <w:spacing w:before="26" w:line="239" w:lineRule="auto"/>
              <w:ind w:left="106" w:right="4449" w:hanging="1"/>
            </w:pPr>
            <w:r>
              <w:rPr>
                <w:spacing w:val="7"/>
              </w:rPr>
              <w:t>A——进入报价评审环节且不低于成本的最低报价；</w:t>
            </w:r>
            <w:r>
              <w:rPr>
                <w:spacing w:val="6"/>
              </w:rPr>
              <w:t xml:space="preserve"> </w:t>
            </w:r>
            <w:r>
              <w:rPr>
                <w:spacing w:val="8"/>
              </w:rPr>
              <w:t>B——最高投标限价；</w:t>
            </w:r>
          </w:p>
          <w:p w14:paraId="150F1048">
            <w:pPr>
              <w:pStyle w:val="15"/>
              <w:spacing w:before="25" w:line="239" w:lineRule="auto"/>
              <w:ind w:left="113" w:right="122" w:hanging="5"/>
            </w:pPr>
            <w:r>
              <w:rPr>
                <w:spacing w:val="8"/>
              </w:rPr>
              <w:t>P——招标人根据项目实际设定抽取区间后随机抽取，抽取区间(间隔</w:t>
            </w:r>
            <w:r>
              <w:rPr>
                <w:spacing w:val="-33"/>
              </w:rPr>
              <w:t xml:space="preserve"> </w:t>
            </w:r>
            <w:r>
              <w:rPr>
                <w:spacing w:val="8"/>
              </w:rPr>
              <w:t>0.5%)：60%～62.5%、62.5%~</w:t>
            </w:r>
            <w:r>
              <w:t xml:space="preserve"> </w:t>
            </w:r>
            <w:r>
              <w:rPr>
                <w:spacing w:val="6"/>
              </w:rPr>
              <w:t>65%、65%～67.5%、67.5%～70%；本项目的抽取区间为</w:t>
            </w:r>
            <w:r>
              <w:rPr>
                <w:spacing w:val="-35"/>
              </w:rPr>
              <w:t xml:space="preserve"> </w:t>
            </w:r>
            <w:r>
              <w:rPr>
                <w:spacing w:val="6"/>
              </w:rPr>
              <w:t>67.5%-70</w:t>
            </w:r>
            <w:r>
              <w:rPr>
                <w:spacing w:val="5"/>
              </w:rPr>
              <w:t xml:space="preserve"> %。</w:t>
            </w:r>
          </w:p>
          <w:p w14:paraId="0D73FEE0">
            <w:pPr>
              <w:pStyle w:val="15"/>
              <w:spacing w:before="28" w:line="227" w:lineRule="auto"/>
              <w:ind w:left="154"/>
            </w:pPr>
            <w:r>
              <w:rPr>
                <w:spacing w:val="5"/>
              </w:rPr>
              <w:t>β—— 4%、5%、6%、7%、8%</w:t>
            </w:r>
            <w:r>
              <w:rPr>
                <w:spacing w:val="29"/>
              </w:rPr>
              <w:t xml:space="preserve"> </w:t>
            </w:r>
            <w:r>
              <w:rPr>
                <w:spacing w:val="5"/>
              </w:rPr>
              <w:t>，开标时随机抽取确定；</w:t>
            </w:r>
          </w:p>
          <w:p w14:paraId="26A53D9F">
            <w:pPr>
              <w:pStyle w:val="15"/>
              <w:spacing w:before="26" w:line="239" w:lineRule="auto"/>
              <w:ind w:left="130" w:right="196" w:hanging="15"/>
            </w:pPr>
            <w:r>
              <w:rPr>
                <w:spacing w:val="10"/>
              </w:rPr>
              <w:t>3．经评审的最低投标价，为进入报价评审环节的</w:t>
            </w:r>
            <w:r>
              <w:rPr>
                <w:spacing w:val="9"/>
              </w:rPr>
              <w:t>有效投标报价中大于或者等于基准价的投标报价</w:t>
            </w:r>
            <w:r>
              <w:t xml:space="preserve"> </w:t>
            </w:r>
            <w:r>
              <w:rPr>
                <w:spacing w:val="4"/>
              </w:rPr>
              <w:t>中的最低报价。</w:t>
            </w:r>
          </w:p>
          <w:p w14:paraId="4EEE2747">
            <w:pPr>
              <w:pStyle w:val="15"/>
              <w:spacing w:before="29" w:line="226" w:lineRule="auto"/>
              <w:ind w:left="110"/>
            </w:pPr>
            <w:r>
              <w:rPr>
                <w:spacing w:val="8"/>
              </w:rPr>
              <w:t>4.如进入投标报价评审的所有投标人投标报价得分均为</w:t>
            </w:r>
            <w:r>
              <w:rPr>
                <w:spacing w:val="-25"/>
              </w:rPr>
              <w:t xml:space="preserve"> </w:t>
            </w:r>
            <w:r>
              <w:rPr>
                <w:spacing w:val="8"/>
              </w:rPr>
              <w:t>0</w:t>
            </w:r>
            <w:r>
              <w:rPr>
                <w:spacing w:val="-38"/>
              </w:rPr>
              <w:t xml:space="preserve"> </w:t>
            </w:r>
            <w:r>
              <w:rPr>
                <w:spacing w:val="8"/>
              </w:rPr>
              <w:t>分的，重新招标。</w:t>
            </w:r>
          </w:p>
          <w:p w14:paraId="78E684B1">
            <w:pPr>
              <w:pStyle w:val="15"/>
              <w:spacing w:before="27" w:line="238" w:lineRule="auto"/>
              <w:ind w:left="114" w:right="20"/>
            </w:pPr>
            <w:r>
              <w:rPr>
                <w:spacing w:val="7"/>
              </w:rPr>
              <w:t>投标报价＞基准价：100-0.5L（L=(投标报价 - 经评审的最低投标价)×100/经评审的最低投标价）</w:t>
            </w:r>
            <w:r>
              <w:rPr>
                <w:spacing w:val="16"/>
              </w:rPr>
              <w:t xml:space="preserve"> </w:t>
            </w:r>
            <w:r>
              <w:rPr>
                <w:spacing w:val="7"/>
              </w:rPr>
              <w:t>投标报价＝经评审的最低投标价:100</w:t>
            </w:r>
            <w:r>
              <w:rPr>
                <w:spacing w:val="-22"/>
              </w:rPr>
              <w:t xml:space="preserve"> </w:t>
            </w:r>
            <w:r>
              <w:rPr>
                <w:spacing w:val="7"/>
              </w:rPr>
              <w:t>分</w:t>
            </w:r>
          </w:p>
          <w:p w14:paraId="416FB3CE">
            <w:pPr>
              <w:pStyle w:val="15"/>
              <w:spacing w:before="29" w:line="226" w:lineRule="auto"/>
              <w:ind w:left="114"/>
            </w:pPr>
            <w:r>
              <w:rPr>
                <w:spacing w:val="8"/>
              </w:rPr>
              <w:t>投标报价＜经评审的最低投标价:0</w:t>
            </w:r>
            <w:r>
              <w:rPr>
                <w:spacing w:val="-36"/>
              </w:rPr>
              <w:t xml:space="preserve"> </w:t>
            </w:r>
            <w:r>
              <w:rPr>
                <w:spacing w:val="8"/>
              </w:rPr>
              <w:t>分</w:t>
            </w:r>
          </w:p>
        </w:tc>
      </w:tr>
    </w:tbl>
    <w:p w14:paraId="22E7FEA1">
      <w:pPr>
        <w:spacing w:before="9"/>
      </w:pPr>
    </w:p>
    <w:p w14:paraId="3C0C30A0">
      <w:pPr>
        <w:spacing w:before="9"/>
      </w:pPr>
    </w:p>
    <w:tbl>
      <w:tblPr>
        <w:tblStyle w:val="14"/>
        <w:tblW w:w="9304"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2096"/>
        <w:gridCol w:w="6366"/>
      </w:tblGrid>
      <w:tr w14:paraId="0172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42" w:type="dxa"/>
            <w:vAlign w:val="top"/>
          </w:tcPr>
          <w:p w14:paraId="4DB3C985">
            <w:pPr>
              <w:pStyle w:val="15"/>
              <w:spacing w:before="35" w:line="234" w:lineRule="auto"/>
              <w:ind w:left="326" w:right="210" w:hanging="108"/>
            </w:pPr>
            <w:r>
              <w:rPr>
                <w:spacing w:val="3"/>
              </w:rPr>
              <w:t>条款</w:t>
            </w:r>
            <w:r>
              <w:t xml:space="preserve"> 号</w:t>
            </w:r>
          </w:p>
        </w:tc>
        <w:tc>
          <w:tcPr>
            <w:tcW w:w="8462" w:type="dxa"/>
            <w:gridSpan w:val="2"/>
            <w:vAlign w:val="top"/>
          </w:tcPr>
          <w:p w14:paraId="0616E032">
            <w:pPr>
              <w:pStyle w:val="15"/>
              <w:spacing w:before="169" w:line="228" w:lineRule="auto"/>
              <w:ind w:left="3819"/>
            </w:pPr>
            <w:r>
              <w:rPr>
                <w:spacing w:val="6"/>
              </w:rPr>
              <w:t>编列内容</w:t>
            </w:r>
          </w:p>
        </w:tc>
      </w:tr>
      <w:tr w14:paraId="6A9C4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42" w:type="dxa"/>
            <w:vAlign w:val="top"/>
          </w:tcPr>
          <w:p w14:paraId="33B8B448">
            <w:pPr>
              <w:pStyle w:val="15"/>
              <w:spacing w:before="64" w:line="187" w:lineRule="auto"/>
              <w:ind w:left="377"/>
            </w:pPr>
            <w:r>
              <w:t>3</w:t>
            </w:r>
          </w:p>
        </w:tc>
        <w:tc>
          <w:tcPr>
            <w:tcW w:w="2096" w:type="dxa"/>
            <w:vAlign w:val="top"/>
          </w:tcPr>
          <w:p w14:paraId="7CDFFF48">
            <w:pPr>
              <w:pStyle w:val="15"/>
              <w:spacing w:before="31" w:line="217" w:lineRule="auto"/>
              <w:ind w:left="420"/>
            </w:pPr>
            <w:r>
              <w:rPr>
                <w:spacing w:val="8"/>
              </w:rPr>
              <w:t>评标详细程序</w:t>
            </w:r>
          </w:p>
        </w:tc>
        <w:tc>
          <w:tcPr>
            <w:tcW w:w="6366" w:type="dxa"/>
            <w:vAlign w:val="top"/>
          </w:tcPr>
          <w:p w14:paraId="32518DAC">
            <w:pPr>
              <w:pStyle w:val="15"/>
              <w:spacing w:before="31" w:line="217" w:lineRule="auto"/>
              <w:ind w:left="115"/>
            </w:pPr>
            <w:r>
              <w:rPr>
                <w:spacing w:val="5"/>
              </w:rPr>
              <w:t>详见本章附件</w:t>
            </w:r>
            <w:r>
              <w:rPr>
                <w:spacing w:val="-31"/>
              </w:rPr>
              <w:t xml:space="preserve"> </w:t>
            </w:r>
            <w:r>
              <w:rPr>
                <w:spacing w:val="5"/>
              </w:rPr>
              <w:t>3-1</w:t>
            </w:r>
          </w:p>
        </w:tc>
      </w:tr>
      <w:tr w14:paraId="05A8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42" w:type="dxa"/>
            <w:vAlign w:val="top"/>
          </w:tcPr>
          <w:p w14:paraId="706C8B4D">
            <w:pPr>
              <w:pStyle w:val="15"/>
              <w:spacing w:before="65" w:line="185" w:lineRule="auto"/>
              <w:ind w:left="168"/>
            </w:pPr>
            <w:r>
              <w:rPr>
                <w:spacing w:val="2"/>
              </w:rPr>
              <w:t>3.1.2</w:t>
            </w:r>
          </w:p>
        </w:tc>
        <w:tc>
          <w:tcPr>
            <w:tcW w:w="2096" w:type="dxa"/>
            <w:vAlign w:val="top"/>
          </w:tcPr>
          <w:p w14:paraId="7F1ED6C8">
            <w:pPr>
              <w:pStyle w:val="15"/>
              <w:spacing w:before="33" w:line="215" w:lineRule="auto"/>
              <w:ind w:left="427"/>
            </w:pPr>
            <w:r>
              <w:rPr>
                <w:spacing w:val="7"/>
              </w:rPr>
              <w:t>否决投标情形</w:t>
            </w:r>
          </w:p>
        </w:tc>
        <w:tc>
          <w:tcPr>
            <w:tcW w:w="6366" w:type="dxa"/>
            <w:vAlign w:val="top"/>
          </w:tcPr>
          <w:p w14:paraId="5C20AE9B">
            <w:pPr>
              <w:pStyle w:val="15"/>
              <w:spacing w:before="33" w:line="215" w:lineRule="auto"/>
              <w:ind w:left="115"/>
            </w:pPr>
            <w:r>
              <w:rPr>
                <w:spacing w:val="6"/>
              </w:rPr>
              <w:t>详见第二章附件</w:t>
            </w:r>
            <w:r>
              <w:rPr>
                <w:spacing w:val="-35"/>
              </w:rPr>
              <w:t xml:space="preserve"> </w:t>
            </w:r>
            <w:r>
              <w:rPr>
                <w:spacing w:val="6"/>
              </w:rPr>
              <w:t>2-2</w:t>
            </w:r>
          </w:p>
        </w:tc>
      </w:tr>
      <w:tr w14:paraId="1A870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42" w:type="dxa"/>
            <w:vAlign w:val="top"/>
          </w:tcPr>
          <w:p w14:paraId="15552E3B">
            <w:pPr>
              <w:pStyle w:val="15"/>
              <w:spacing w:before="200" w:line="189" w:lineRule="auto"/>
              <w:ind w:left="168"/>
            </w:pPr>
            <w:r>
              <w:rPr>
                <w:spacing w:val="2"/>
              </w:rPr>
              <w:t>3.2.2</w:t>
            </w:r>
          </w:p>
        </w:tc>
        <w:tc>
          <w:tcPr>
            <w:tcW w:w="2096" w:type="dxa"/>
            <w:vAlign w:val="top"/>
          </w:tcPr>
          <w:p w14:paraId="132BD1F3">
            <w:pPr>
              <w:pStyle w:val="15"/>
              <w:spacing w:before="31" w:line="234" w:lineRule="auto"/>
              <w:ind w:left="529" w:right="208" w:hanging="317"/>
            </w:pPr>
            <w:r>
              <w:rPr>
                <w:spacing w:val="8"/>
              </w:rPr>
              <w:t>判断投标人是否低</w:t>
            </w:r>
            <w:r>
              <w:rPr>
                <w:spacing w:val="4"/>
              </w:rPr>
              <w:t xml:space="preserve"> </w:t>
            </w:r>
            <w:r>
              <w:rPr>
                <w:spacing w:val="7"/>
              </w:rPr>
              <w:t>于成本报价</w:t>
            </w:r>
          </w:p>
        </w:tc>
        <w:tc>
          <w:tcPr>
            <w:tcW w:w="6366" w:type="dxa"/>
            <w:vAlign w:val="top"/>
          </w:tcPr>
          <w:p w14:paraId="16061CB0">
            <w:pPr>
              <w:pStyle w:val="15"/>
              <w:spacing w:before="167" w:line="226" w:lineRule="auto"/>
              <w:ind w:left="115"/>
            </w:pPr>
            <w:r>
              <w:rPr>
                <w:spacing w:val="7"/>
              </w:rPr>
              <w:t>详见第二章附件</w:t>
            </w:r>
            <w:r>
              <w:rPr>
                <w:spacing w:val="-28"/>
              </w:rPr>
              <w:t xml:space="preserve"> </w:t>
            </w:r>
            <w:r>
              <w:rPr>
                <w:spacing w:val="7"/>
              </w:rPr>
              <w:t>2-3</w:t>
            </w:r>
            <w:r>
              <w:rPr>
                <w:spacing w:val="-38"/>
              </w:rPr>
              <w:t xml:space="preserve"> </w:t>
            </w:r>
            <w:r>
              <w:rPr>
                <w:spacing w:val="7"/>
              </w:rPr>
              <w:t>投标报价成本评审办法</w:t>
            </w:r>
          </w:p>
        </w:tc>
      </w:tr>
      <w:tr w14:paraId="4722E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42" w:type="dxa"/>
            <w:vAlign w:val="top"/>
          </w:tcPr>
          <w:p w14:paraId="5F8B927B">
            <w:pPr>
              <w:spacing w:line="273" w:lineRule="auto"/>
              <w:rPr>
                <w:rFonts w:ascii="Arial"/>
                <w:sz w:val="21"/>
              </w:rPr>
            </w:pPr>
          </w:p>
          <w:p w14:paraId="164071A7">
            <w:pPr>
              <w:pStyle w:val="15"/>
              <w:spacing w:before="65" w:line="189" w:lineRule="auto"/>
              <w:ind w:left="168"/>
            </w:pPr>
            <w:r>
              <w:rPr>
                <w:spacing w:val="2"/>
              </w:rPr>
              <w:t>3.3.2</w:t>
            </w:r>
          </w:p>
        </w:tc>
        <w:tc>
          <w:tcPr>
            <w:tcW w:w="2096" w:type="dxa"/>
            <w:vAlign w:val="top"/>
          </w:tcPr>
          <w:p w14:paraId="77F95F3F">
            <w:pPr>
              <w:pStyle w:val="15"/>
              <w:spacing w:before="33" w:line="226" w:lineRule="auto"/>
              <w:ind w:left="210"/>
            </w:pPr>
            <w:r>
              <w:rPr>
                <w:spacing w:val="8"/>
              </w:rPr>
              <w:t>进入投标报价评审</w:t>
            </w:r>
          </w:p>
          <w:p w14:paraId="712DFCCA">
            <w:pPr>
              <w:pStyle w:val="15"/>
              <w:spacing w:before="28" w:line="228" w:lineRule="auto"/>
              <w:ind w:left="221"/>
            </w:pPr>
            <w:r>
              <w:rPr>
                <w:spacing w:val="7"/>
              </w:rPr>
              <w:t>阶段投标人数量的</w:t>
            </w:r>
          </w:p>
          <w:p w14:paraId="77B72DE8">
            <w:pPr>
              <w:pStyle w:val="15"/>
              <w:spacing w:before="24" w:line="219" w:lineRule="auto"/>
              <w:ind w:left="632"/>
            </w:pPr>
            <w:r>
              <w:rPr>
                <w:spacing w:val="7"/>
              </w:rPr>
              <w:t>确定方式</w:t>
            </w:r>
          </w:p>
        </w:tc>
        <w:tc>
          <w:tcPr>
            <w:tcW w:w="6366" w:type="dxa"/>
            <w:vAlign w:val="top"/>
          </w:tcPr>
          <w:p w14:paraId="254901DE">
            <w:pPr>
              <w:rPr>
                <w:rFonts w:ascii="Arial"/>
                <w:sz w:val="21"/>
              </w:rPr>
            </w:pPr>
          </w:p>
          <w:p w14:paraId="3BA99B9D">
            <w:pPr>
              <w:pStyle w:val="15"/>
              <w:spacing w:before="65" w:line="227" w:lineRule="auto"/>
              <w:ind w:left="115"/>
            </w:pPr>
            <w:r>
              <w:rPr>
                <w:spacing w:val="8"/>
              </w:rPr>
              <w:t>详见投标人须知前附表</w:t>
            </w:r>
          </w:p>
        </w:tc>
      </w:tr>
    </w:tbl>
    <w:p w14:paraId="67A560C6">
      <w:pPr>
        <w:pStyle w:val="6"/>
      </w:pPr>
    </w:p>
    <w:p w14:paraId="1F07A4E9">
      <w:pPr>
        <w:sectPr>
          <w:footerReference r:id="rId22" w:type="default"/>
          <w:pgSz w:w="11907" w:h="16840"/>
          <w:pgMar w:top="1020" w:right="909" w:bottom="1029" w:left="909" w:header="0" w:footer="850" w:gutter="0"/>
          <w:pgNumType w:fmt="decimal"/>
          <w:cols w:space="720" w:num="1"/>
        </w:sectPr>
      </w:pPr>
    </w:p>
    <w:p w14:paraId="437133F3">
      <w:pPr>
        <w:spacing w:before="60" w:line="221" w:lineRule="auto"/>
        <w:ind w:left="2536"/>
        <w:rPr>
          <w:rFonts w:ascii="黑体" w:hAnsi="黑体" w:eastAsia="黑体" w:cs="黑体"/>
          <w:sz w:val="30"/>
          <w:szCs w:val="30"/>
        </w:rPr>
      </w:pPr>
      <w:r>
        <w:rPr>
          <w:rFonts w:ascii="黑体" w:hAnsi="黑体" w:eastAsia="黑体" w:cs="黑体"/>
          <w:spacing w:val="-1"/>
          <w:sz w:val="30"/>
          <w:szCs w:val="30"/>
        </w:rPr>
        <w:t>评标办法（经评审的最低投标价法）</w:t>
      </w:r>
    </w:p>
    <w:p w14:paraId="01B074F4">
      <w:pPr>
        <w:spacing w:before="239" w:line="334" w:lineRule="auto"/>
        <w:ind w:left="4" w:right="2" w:firstLine="418"/>
        <w:rPr>
          <w:rFonts w:ascii="宋体" w:hAnsi="宋体" w:eastAsia="宋体" w:cs="宋体"/>
          <w:sz w:val="20"/>
          <w:szCs w:val="20"/>
        </w:rPr>
      </w:pPr>
      <w:r>
        <w:rPr>
          <w:rFonts w:ascii="宋体" w:hAnsi="宋体" w:eastAsia="宋体" w:cs="宋体"/>
          <w:spacing w:val="10"/>
          <w:sz w:val="20"/>
          <w:szCs w:val="20"/>
        </w:rPr>
        <w:t>本次评标采用经评审的最低投标价法。评标委员会对满足招标文件</w:t>
      </w:r>
      <w:r>
        <w:rPr>
          <w:rFonts w:ascii="宋体" w:hAnsi="宋体" w:eastAsia="宋体" w:cs="宋体"/>
          <w:spacing w:val="9"/>
          <w:sz w:val="20"/>
          <w:szCs w:val="20"/>
        </w:rPr>
        <w:t>实质要求的投标文件，根据规定的评</w:t>
      </w:r>
      <w:r>
        <w:rPr>
          <w:rFonts w:ascii="宋体" w:hAnsi="宋体" w:eastAsia="宋体" w:cs="宋体"/>
          <w:sz w:val="20"/>
          <w:szCs w:val="20"/>
        </w:rPr>
        <w:t xml:space="preserve"> </w:t>
      </w:r>
      <w:r>
        <w:rPr>
          <w:rFonts w:ascii="宋体" w:hAnsi="宋体" w:eastAsia="宋体" w:cs="宋体"/>
          <w:spacing w:val="9"/>
          <w:sz w:val="20"/>
          <w:szCs w:val="20"/>
        </w:rPr>
        <w:t>分标准进行评审计分，并按评标总得分由高到低顺序推荐中标候选人。</w:t>
      </w:r>
    </w:p>
    <w:p w14:paraId="136B9793">
      <w:pPr>
        <w:spacing w:line="221" w:lineRule="auto"/>
        <w:ind w:left="28"/>
        <w:outlineLvl w:val="1"/>
        <w:rPr>
          <w:rFonts w:ascii="黑体" w:hAnsi="黑体" w:eastAsia="黑体" w:cs="黑体"/>
          <w:sz w:val="30"/>
          <w:szCs w:val="30"/>
        </w:rPr>
      </w:pPr>
      <w:bookmarkStart w:id="148" w:name="bookmark117"/>
      <w:bookmarkEnd w:id="148"/>
      <w:bookmarkStart w:id="149" w:name="bookmark118"/>
      <w:bookmarkEnd w:id="149"/>
      <w:bookmarkStart w:id="150" w:name="_Toc31988"/>
      <w:r>
        <w:rPr>
          <w:rFonts w:ascii="Times New Roman" w:hAnsi="Times New Roman" w:eastAsia="Times New Roman" w:cs="Times New Roman"/>
          <w:spacing w:val="-6"/>
          <w:sz w:val="30"/>
          <w:szCs w:val="30"/>
        </w:rPr>
        <w:t>1.</w:t>
      </w:r>
      <w:r>
        <w:rPr>
          <w:rFonts w:ascii="黑体" w:hAnsi="黑体" w:eastAsia="黑体" w:cs="黑体"/>
          <w:spacing w:val="-6"/>
          <w:sz w:val="30"/>
          <w:szCs w:val="30"/>
        </w:rPr>
        <w:t>评审标准</w:t>
      </w:r>
      <w:bookmarkEnd w:id="150"/>
    </w:p>
    <w:p w14:paraId="0227DA5E">
      <w:pPr>
        <w:spacing w:before="116" w:line="227" w:lineRule="auto"/>
        <w:ind w:left="431"/>
        <w:rPr>
          <w:rFonts w:ascii="宋体" w:hAnsi="宋体" w:eastAsia="宋体" w:cs="宋体"/>
          <w:sz w:val="20"/>
          <w:szCs w:val="20"/>
        </w:rPr>
      </w:pPr>
      <w:r>
        <w:rPr>
          <w:rFonts w:ascii="Calibri" w:hAnsi="Calibri" w:eastAsia="Calibri" w:cs="Calibri"/>
          <w:spacing w:val="7"/>
          <w:sz w:val="20"/>
          <w:szCs w:val="20"/>
        </w:rPr>
        <w:t xml:space="preserve">1.1  </w:t>
      </w:r>
      <w:r>
        <w:rPr>
          <w:rFonts w:ascii="宋体" w:hAnsi="宋体" w:eastAsia="宋体" w:cs="宋体"/>
          <w:spacing w:val="7"/>
          <w:sz w:val="20"/>
          <w:szCs w:val="20"/>
        </w:rPr>
        <w:t>形式评审标准：见评标办法前附表。</w:t>
      </w:r>
    </w:p>
    <w:p w14:paraId="796A2DFD">
      <w:pPr>
        <w:spacing w:before="155" w:line="227" w:lineRule="auto"/>
        <w:ind w:left="431"/>
        <w:rPr>
          <w:rFonts w:ascii="宋体" w:hAnsi="宋体" w:eastAsia="宋体" w:cs="宋体"/>
          <w:sz w:val="20"/>
          <w:szCs w:val="20"/>
        </w:rPr>
      </w:pPr>
      <w:r>
        <w:rPr>
          <w:rFonts w:ascii="Calibri" w:hAnsi="Calibri" w:eastAsia="Calibri" w:cs="Calibri"/>
          <w:spacing w:val="6"/>
          <w:sz w:val="20"/>
          <w:szCs w:val="20"/>
        </w:rPr>
        <w:t>1.2</w:t>
      </w:r>
      <w:r>
        <w:rPr>
          <w:rFonts w:ascii="Calibri" w:hAnsi="Calibri" w:eastAsia="Calibri" w:cs="Calibri"/>
          <w:spacing w:val="24"/>
          <w:sz w:val="20"/>
          <w:szCs w:val="20"/>
        </w:rPr>
        <w:t xml:space="preserve">  </w:t>
      </w:r>
      <w:r>
        <w:rPr>
          <w:rFonts w:ascii="宋体" w:hAnsi="宋体" w:eastAsia="宋体" w:cs="宋体"/>
          <w:spacing w:val="6"/>
          <w:sz w:val="20"/>
          <w:szCs w:val="20"/>
        </w:rPr>
        <w:t>资格评审标准：见评标办法前附表</w:t>
      </w:r>
    </w:p>
    <w:p w14:paraId="5A1C3C4C">
      <w:pPr>
        <w:spacing w:before="155" w:line="227" w:lineRule="auto"/>
        <w:ind w:left="864"/>
        <w:rPr>
          <w:rFonts w:ascii="宋体" w:hAnsi="宋体" w:eastAsia="宋体" w:cs="宋体"/>
          <w:sz w:val="20"/>
          <w:szCs w:val="20"/>
        </w:rPr>
      </w:pPr>
      <w:r>
        <w:rPr>
          <w:rFonts w:ascii="宋体" w:hAnsi="宋体" w:eastAsia="宋体" w:cs="宋体"/>
          <w:spacing w:val="9"/>
          <w:sz w:val="20"/>
          <w:szCs w:val="20"/>
        </w:rPr>
        <w:t>已进行资格预审的，见本招标项目资格预审文件第三章</w:t>
      </w:r>
      <w:r>
        <w:rPr>
          <w:rFonts w:ascii="Calibri" w:hAnsi="Calibri" w:eastAsia="Calibri" w:cs="Calibri"/>
          <w:spacing w:val="9"/>
          <w:sz w:val="20"/>
          <w:szCs w:val="20"/>
        </w:rPr>
        <w:t>“</w:t>
      </w:r>
      <w:r>
        <w:rPr>
          <w:rFonts w:ascii="宋体" w:hAnsi="宋体" w:eastAsia="宋体" w:cs="宋体"/>
          <w:spacing w:val="9"/>
          <w:sz w:val="20"/>
          <w:szCs w:val="20"/>
        </w:rPr>
        <w:t>资格审查</w:t>
      </w:r>
      <w:r>
        <w:rPr>
          <w:rFonts w:ascii="宋体" w:hAnsi="宋体" w:eastAsia="宋体" w:cs="宋体"/>
          <w:spacing w:val="8"/>
          <w:sz w:val="20"/>
          <w:szCs w:val="20"/>
        </w:rPr>
        <w:t>办法</w:t>
      </w:r>
      <w:r>
        <w:rPr>
          <w:rFonts w:ascii="Calibri" w:hAnsi="Calibri" w:eastAsia="Calibri" w:cs="Calibri"/>
          <w:spacing w:val="8"/>
          <w:sz w:val="20"/>
          <w:szCs w:val="20"/>
        </w:rPr>
        <w:t>”</w:t>
      </w:r>
      <w:r>
        <w:rPr>
          <w:rFonts w:ascii="宋体" w:hAnsi="宋体" w:eastAsia="宋体" w:cs="宋体"/>
          <w:spacing w:val="8"/>
          <w:sz w:val="20"/>
          <w:szCs w:val="20"/>
        </w:rPr>
        <w:t>详细审查标准</w:t>
      </w:r>
    </w:p>
    <w:p w14:paraId="7248982A">
      <w:pPr>
        <w:spacing w:before="153" w:line="227" w:lineRule="auto"/>
        <w:ind w:left="431"/>
        <w:rPr>
          <w:rFonts w:ascii="宋体" w:hAnsi="宋体" w:eastAsia="宋体" w:cs="宋体"/>
          <w:sz w:val="20"/>
          <w:szCs w:val="20"/>
        </w:rPr>
      </w:pPr>
      <w:r>
        <w:rPr>
          <w:rFonts w:ascii="Calibri" w:hAnsi="Calibri" w:eastAsia="Calibri" w:cs="Calibri"/>
          <w:spacing w:val="6"/>
          <w:sz w:val="20"/>
          <w:szCs w:val="20"/>
        </w:rPr>
        <w:t>1.3</w:t>
      </w:r>
      <w:r>
        <w:rPr>
          <w:rFonts w:ascii="Calibri" w:hAnsi="Calibri" w:eastAsia="Calibri" w:cs="Calibri"/>
          <w:spacing w:val="22"/>
          <w:sz w:val="20"/>
          <w:szCs w:val="20"/>
        </w:rPr>
        <w:t xml:space="preserve">  </w:t>
      </w:r>
      <w:r>
        <w:rPr>
          <w:rFonts w:ascii="宋体" w:hAnsi="宋体" w:eastAsia="宋体" w:cs="宋体"/>
          <w:spacing w:val="6"/>
          <w:sz w:val="20"/>
          <w:szCs w:val="20"/>
        </w:rPr>
        <w:t>响应性评审标准：见评标办法前附表。</w:t>
      </w:r>
    </w:p>
    <w:p w14:paraId="41CFBC77">
      <w:pPr>
        <w:spacing w:before="154" w:line="227" w:lineRule="auto"/>
        <w:ind w:left="431"/>
        <w:rPr>
          <w:rFonts w:ascii="宋体" w:hAnsi="宋体" w:eastAsia="宋体" w:cs="宋体"/>
          <w:sz w:val="20"/>
          <w:szCs w:val="20"/>
        </w:rPr>
      </w:pPr>
      <w:r>
        <w:rPr>
          <w:rFonts w:ascii="Calibri" w:hAnsi="Calibri" w:eastAsia="Calibri" w:cs="Calibri"/>
          <w:spacing w:val="7"/>
          <w:sz w:val="20"/>
          <w:szCs w:val="20"/>
        </w:rPr>
        <w:t>1.4</w:t>
      </w:r>
      <w:r>
        <w:rPr>
          <w:rFonts w:ascii="Calibri" w:hAnsi="Calibri" w:eastAsia="Calibri" w:cs="Calibri"/>
          <w:spacing w:val="27"/>
          <w:w w:val="101"/>
          <w:sz w:val="20"/>
          <w:szCs w:val="20"/>
        </w:rPr>
        <w:t xml:space="preserve"> </w:t>
      </w:r>
      <w:r>
        <w:rPr>
          <w:rFonts w:ascii="宋体" w:hAnsi="宋体" w:eastAsia="宋体" w:cs="宋体"/>
          <w:spacing w:val="7"/>
          <w:sz w:val="20"/>
          <w:szCs w:val="20"/>
        </w:rPr>
        <w:t>施工组织设计评审标准：见评标办法前附表；</w:t>
      </w:r>
    </w:p>
    <w:p w14:paraId="3857944F">
      <w:pPr>
        <w:spacing w:before="155" w:line="227" w:lineRule="auto"/>
        <w:ind w:left="431"/>
        <w:rPr>
          <w:rFonts w:ascii="宋体" w:hAnsi="宋体" w:eastAsia="宋体" w:cs="宋体"/>
          <w:sz w:val="20"/>
          <w:szCs w:val="20"/>
        </w:rPr>
      </w:pPr>
      <w:r>
        <w:rPr>
          <w:rFonts w:ascii="Calibri" w:hAnsi="Calibri" w:eastAsia="Calibri" w:cs="Calibri"/>
          <w:spacing w:val="7"/>
          <w:sz w:val="20"/>
          <w:szCs w:val="20"/>
        </w:rPr>
        <w:t>1.5</w:t>
      </w:r>
      <w:r>
        <w:rPr>
          <w:rFonts w:ascii="Calibri" w:hAnsi="Calibri" w:eastAsia="Calibri" w:cs="Calibri"/>
          <w:spacing w:val="31"/>
          <w:w w:val="101"/>
          <w:sz w:val="20"/>
          <w:szCs w:val="20"/>
        </w:rPr>
        <w:t xml:space="preserve"> </w:t>
      </w:r>
      <w:r>
        <w:rPr>
          <w:rFonts w:ascii="宋体" w:hAnsi="宋体" w:eastAsia="宋体" w:cs="宋体"/>
          <w:spacing w:val="7"/>
          <w:sz w:val="20"/>
          <w:szCs w:val="20"/>
        </w:rPr>
        <w:t>业绩及信用评审评审标准：见评标办法前附表；</w:t>
      </w:r>
    </w:p>
    <w:p w14:paraId="771A1611">
      <w:pPr>
        <w:spacing w:before="153" w:line="226" w:lineRule="auto"/>
        <w:ind w:left="431"/>
        <w:rPr>
          <w:rFonts w:ascii="宋体" w:hAnsi="宋体" w:eastAsia="宋体" w:cs="宋体"/>
          <w:sz w:val="20"/>
          <w:szCs w:val="20"/>
        </w:rPr>
      </w:pPr>
      <w:r>
        <w:rPr>
          <w:rFonts w:ascii="Calibri" w:hAnsi="Calibri" w:eastAsia="Calibri" w:cs="Calibri"/>
          <w:spacing w:val="7"/>
          <w:sz w:val="20"/>
          <w:szCs w:val="20"/>
        </w:rPr>
        <w:t>1.6</w:t>
      </w:r>
      <w:r>
        <w:rPr>
          <w:rFonts w:ascii="Calibri" w:hAnsi="Calibri" w:eastAsia="Calibri" w:cs="Calibri"/>
          <w:spacing w:val="21"/>
          <w:w w:val="101"/>
          <w:sz w:val="20"/>
          <w:szCs w:val="20"/>
        </w:rPr>
        <w:t xml:space="preserve"> </w:t>
      </w:r>
      <w:r>
        <w:rPr>
          <w:rFonts w:ascii="宋体" w:hAnsi="宋体" w:eastAsia="宋体" w:cs="宋体"/>
          <w:spacing w:val="7"/>
          <w:sz w:val="20"/>
          <w:szCs w:val="20"/>
        </w:rPr>
        <w:t>投标报价评审标准：见评标办法前附表。</w:t>
      </w:r>
    </w:p>
    <w:p w14:paraId="7A48E62A">
      <w:pPr>
        <w:spacing w:before="77" w:line="222" w:lineRule="auto"/>
        <w:outlineLvl w:val="1"/>
        <w:rPr>
          <w:rFonts w:ascii="黑体" w:hAnsi="黑体" w:eastAsia="黑体" w:cs="黑体"/>
          <w:sz w:val="30"/>
          <w:szCs w:val="30"/>
        </w:rPr>
      </w:pPr>
      <w:bookmarkStart w:id="151" w:name="bookmark120"/>
      <w:bookmarkEnd w:id="151"/>
      <w:bookmarkStart w:id="152" w:name="bookmark119"/>
      <w:bookmarkEnd w:id="152"/>
      <w:bookmarkStart w:id="153" w:name="bookmark122"/>
      <w:bookmarkEnd w:id="153"/>
      <w:bookmarkStart w:id="154" w:name="_Toc18692"/>
      <w:r>
        <w:rPr>
          <w:rFonts w:ascii="Times New Roman" w:hAnsi="Times New Roman" w:eastAsia="Times New Roman" w:cs="Times New Roman"/>
          <w:spacing w:val="-1"/>
          <w:sz w:val="30"/>
          <w:szCs w:val="30"/>
        </w:rPr>
        <w:t>2.</w:t>
      </w:r>
      <w:r>
        <w:rPr>
          <w:rFonts w:ascii="黑体" w:hAnsi="黑体" w:eastAsia="黑体" w:cs="黑体"/>
          <w:spacing w:val="-1"/>
          <w:sz w:val="30"/>
          <w:szCs w:val="30"/>
        </w:rPr>
        <w:t>评审程序及澄清</w:t>
      </w:r>
      <w:bookmarkEnd w:id="154"/>
    </w:p>
    <w:p w14:paraId="4D05451A">
      <w:pPr>
        <w:spacing w:before="92" w:line="222" w:lineRule="auto"/>
        <w:ind w:left="7"/>
        <w:outlineLvl w:val="2"/>
        <w:rPr>
          <w:rFonts w:ascii="黑体" w:hAnsi="黑体" w:eastAsia="黑体" w:cs="黑体"/>
          <w:sz w:val="24"/>
          <w:szCs w:val="24"/>
        </w:rPr>
      </w:pPr>
      <w:bookmarkStart w:id="155" w:name="bookmark121"/>
      <w:bookmarkEnd w:id="155"/>
      <w:bookmarkStart w:id="156" w:name="_Toc21740"/>
      <w:r>
        <w:rPr>
          <w:rFonts w:ascii="Calibri" w:hAnsi="Calibri" w:eastAsia="Calibri" w:cs="Calibri"/>
          <w:spacing w:val="-4"/>
          <w:sz w:val="24"/>
          <w:szCs w:val="24"/>
        </w:rPr>
        <w:t>2.1</w:t>
      </w:r>
      <w:r>
        <w:rPr>
          <w:rFonts w:ascii="Calibri" w:hAnsi="Calibri" w:eastAsia="Calibri" w:cs="Calibri"/>
          <w:spacing w:val="11"/>
          <w:sz w:val="24"/>
          <w:szCs w:val="24"/>
        </w:rPr>
        <w:t xml:space="preserve">  </w:t>
      </w:r>
      <w:r>
        <w:rPr>
          <w:rFonts w:ascii="黑体" w:hAnsi="黑体" w:eastAsia="黑体" w:cs="黑体"/>
          <w:spacing w:val="-4"/>
          <w:sz w:val="24"/>
          <w:szCs w:val="24"/>
        </w:rPr>
        <w:t>评审程序</w:t>
      </w:r>
      <w:bookmarkEnd w:id="156"/>
    </w:p>
    <w:p w14:paraId="501AF54A">
      <w:pPr>
        <w:spacing w:before="137" w:line="228" w:lineRule="auto"/>
        <w:ind w:left="431"/>
        <w:rPr>
          <w:rFonts w:ascii="宋体" w:hAnsi="宋体" w:eastAsia="宋体" w:cs="宋体"/>
          <w:sz w:val="20"/>
          <w:szCs w:val="20"/>
        </w:rPr>
      </w:pPr>
      <w:r>
        <w:rPr>
          <w:rFonts w:ascii="Calibri" w:hAnsi="Calibri" w:eastAsia="Calibri" w:cs="Calibri"/>
          <w:spacing w:val="4"/>
          <w:sz w:val="20"/>
          <w:szCs w:val="20"/>
        </w:rPr>
        <w:t>1</w:t>
      </w:r>
      <w:r>
        <w:rPr>
          <w:rFonts w:ascii="Calibri" w:hAnsi="Calibri" w:eastAsia="Calibri" w:cs="Calibri"/>
          <w:spacing w:val="-15"/>
          <w:sz w:val="20"/>
          <w:szCs w:val="20"/>
        </w:rPr>
        <w:t xml:space="preserve"> </w:t>
      </w:r>
      <w:r>
        <w:rPr>
          <w:rFonts w:ascii="宋体" w:hAnsi="宋体" w:eastAsia="宋体" w:cs="宋体"/>
          <w:spacing w:val="4"/>
          <w:sz w:val="20"/>
          <w:szCs w:val="20"/>
        </w:rPr>
        <w:t>．施工组织设计评审。</w:t>
      </w:r>
    </w:p>
    <w:p w14:paraId="0F03FEC2">
      <w:pPr>
        <w:spacing w:before="153" w:line="228" w:lineRule="auto"/>
        <w:ind w:left="425"/>
        <w:rPr>
          <w:rFonts w:ascii="宋体" w:hAnsi="宋体" w:eastAsia="宋体" w:cs="宋体"/>
          <w:sz w:val="20"/>
          <w:szCs w:val="20"/>
        </w:rPr>
      </w:pPr>
      <w:r>
        <w:rPr>
          <w:rFonts w:ascii="Calibri" w:hAnsi="Calibri" w:eastAsia="Calibri" w:cs="Calibri"/>
          <w:spacing w:val="5"/>
          <w:sz w:val="20"/>
          <w:szCs w:val="20"/>
        </w:rPr>
        <w:t>2</w:t>
      </w:r>
      <w:r>
        <w:rPr>
          <w:rFonts w:ascii="Calibri" w:hAnsi="Calibri" w:eastAsia="Calibri" w:cs="Calibri"/>
          <w:spacing w:val="-6"/>
          <w:sz w:val="20"/>
          <w:szCs w:val="20"/>
        </w:rPr>
        <w:t xml:space="preserve"> </w:t>
      </w:r>
      <w:r>
        <w:rPr>
          <w:rFonts w:ascii="宋体" w:hAnsi="宋体" w:eastAsia="宋体" w:cs="宋体"/>
          <w:spacing w:val="5"/>
          <w:sz w:val="20"/>
          <w:szCs w:val="20"/>
        </w:rPr>
        <w:t>．形式、资格、响应性评审。</w:t>
      </w:r>
    </w:p>
    <w:p w14:paraId="4C816599">
      <w:pPr>
        <w:spacing w:before="154" w:line="228" w:lineRule="auto"/>
        <w:ind w:left="424"/>
        <w:rPr>
          <w:rFonts w:ascii="宋体" w:hAnsi="宋体" w:eastAsia="宋体" w:cs="宋体"/>
          <w:sz w:val="20"/>
          <w:szCs w:val="20"/>
        </w:rPr>
      </w:pPr>
      <w:r>
        <w:rPr>
          <w:rFonts w:ascii="Calibri" w:hAnsi="Calibri" w:eastAsia="Calibri" w:cs="Calibri"/>
          <w:spacing w:val="5"/>
          <w:sz w:val="20"/>
          <w:szCs w:val="20"/>
        </w:rPr>
        <w:t>3.</w:t>
      </w:r>
      <w:r>
        <w:rPr>
          <w:rFonts w:ascii="Calibri" w:hAnsi="Calibri" w:eastAsia="Calibri" w:cs="Calibri"/>
          <w:spacing w:val="13"/>
          <w:sz w:val="20"/>
          <w:szCs w:val="20"/>
        </w:rPr>
        <w:t xml:space="preserve">  </w:t>
      </w:r>
      <w:r>
        <w:rPr>
          <w:rFonts w:ascii="宋体" w:hAnsi="宋体" w:eastAsia="宋体" w:cs="宋体"/>
          <w:spacing w:val="5"/>
          <w:sz w:val="20"/>
          <w:szCs w:val="20"/>
        </w:rPr>
        <w:t>业绩及信用评审。</w:t>
      </w:r>
    </w:p>
    <w:p w14:paraId="554EB38B">
      <w:pPr>
        <w:spacing w:before="152" w:line="226" w:lineRule="auto"/>
        <w:ind w:left="418"/>
        <w:rPr>
          <w:rFonts w:ascii="宋体" w:hAnsi="宋体" w:eastAsia="宋体" w:cs="宋体"/>
          <w:sz w:val="20"/>
          <w:szCs w:val="20"/>
        </w:rPr>
      </w:pPr>
      <w:r>
        <w:rPr>
          <w:rFonts w:ascii="Calibri" w:hAnsi="Calibri" w:eastAsia="Calibri" w:cs="Calibri"/>
          <w:spacing w:val="6"/>
          <w:sz w:val="20"/>
          <w:szCs w:val="20"/>
        </w:rPr>
        <w:t>4</w:t>
      </w:r>
      <w:r>
        <w:rPr>
          <w:rFonts w:ascii="Calibri" w:hAnsi="Calibri" w:eastAsia="Calibri" w:cs="Calibri"/>
          <w:spacing w:val="-8"/>
          <w:sz w:val="20"/>
          <w:szCs w:val="20"/>
        </w:rPr>
        <w:t xml:space="preserve"> </w:t>
      </w:r>
      <w:r>
        <w:rPr>
          <w:rFonts w:ascii="宋体" w:hAnsi="宋体" w:eastAsia="宋体" w:cs="宋体"/>
          <w:spacing w:val="6"/>
          <w:sz w:val="20"/>
          <w:szCs w:val="20"/>
        </w:rPr>
        <w:t>．确定进入报价评审的投标人。</w:t>
      </w:r>
    </w:p>
    <w:p w14:paraId="7212CF4C">
      <w:pPr>
        <w:spacing w:before="156" w:line="226" w:lineRule="auto"/>
        <w:ind w:left="423"/>
        <w:rPr>
          <w:rFonts w:ascii="宋体" w:hAnsi="宋体" w:eastAsia="宋体" w:cs="宋体"/>
          <w:sz w:val="20"/>
          <w:szCs w:val="20"/>
        </w:rPr>
      </w:pPr>
      <w:r>
        <w:rPr>
          <w:rFonts w:ascii="Calibri" w:hAnsi="Calibri" w:eastAsia="Calibri" w:cs="Calibri"/>
          <w:spacing w:val="2"/>
          <w:sz w:val="20"/>
          <w:szCs w:val="20"/>
        </w:rPr>
        <w:t>5</w:t>
      </w:r>
      <w:r>
        <w:rPr>
          <w:rFonts w:ascii="Calibri" w:hAnsi="Calibri" w:eastAsia="Calibri" w:cs="Calibri"/>
          <w:spacing w:val="-18"/>
          <w:sz w:val="20"/>
          <w:szCs w:val="20"/>
        </w:rPr>
        <w:t xml:space="preserve"> </w:t>
      </w:r>
      <w:r>
        <w:rPr>
          <w:rFonts w:ascii="宋体" w:hAnsi="宋体" w:eastAsia="宋体" w:cs="宋体"/>
          <w:spacing w:val="2"/>
          <w:sz w:val="20"/>
          <w:szCs w:val="20"/>
        </w:rPr>
        <w:t>．报价评审。</w:t>
      </w:r>
    </w:p>
    <w:p w14:paraId="5AC56E1D">
      <w:pPr>
        <w:spacing w:before="156" w:line="228" w:lineRule="auto"/>
        <w:ind w:left="424"/>
        <w:rPr>
          <w:rFonts w:ascii="宋体" w:hAnsi="宋体" w:eastAsia="宋体" w:cs="宋体"/>
          <w:sz w:val="20"/>
          <w:szCs w:val="20"/>
        </w:rPr>
      </w:pPr>
      <w:r>
        <w:rPr>
          <w:rFonts w:ascii="Calibri" w:hAnsi="Calibri" w:eastAsia="Calibri" w:cs="Calibri"/>
          <w:spacing w:val="3"/>
          <w:sz w:val="20"/>
          <w:szCs w:val="20"/>
        </w:rPr>
        <w:t>6</w:t>
      </w:r>
      <w:r>
        <w:rPr>
          <w:rFonts w:ascii="Calibri" w:hAnsi="Calibri" w:eastAsia="Calibri" w:cs="Calibri"/>
          <w:spacing w:val="-11"/>
          <w:sz w:val="20"/>
          <w:szCs w:val="20"/>
        </w:rPr>
        <w:t xml:space="preserve"> </w:t>
      </w:r>
      <w:r>
        <w:rPr>
          <w:rFonts w:ascii="宋体" w:hAnsi="宋体" w:eastAsia="宋体" w:cs="宋体"/>
          <w:spacing w:val="3"/>
          <w:sz w:val="20"/>
          <w:szCs w:val="20"/>
        </w:rPr>
        <w:t>．汇总评分结果。</w:t>
      </w:r>
    </w:p>
    <w:p w14:paraId="1BE02570">
      <w:pPr>
        <w:spacing w:before="126" w:line="222" w:lineRule="auto"/>
        <w:ind w:left="7"/>
        <w:outlineLvl w:val="2"/>
        <w:rPr>
          <w:rFonts w:ascii="黑体" w:hAnsi="黑体" w:eastAsia="黑体" w:cs="黑体"/>
          <w:sz w:val="24"/>
          <w:szCs w:val="24"/>
        </w:rPr>
      </w:pPr>
      <w:bookmarkStart w:id="157" w:name="bookmark124"/>
      <w:bookmarkEnd w:id="157"/>
      <w:bookmarkStart w:id="158" w:name="bookmark123"/>
      <w:bookmarkEnd w:id="158"/>
      <w:bookmarkStart w:id="159" w:name="_Toc18648"/>
      <w:r>
        <w:rPr>
          <w:rFonts w:ascii="Calibri" w:hAnsi="Calibri" w:eastAsia="Calibri" w:cs="Calibri"/>
          <w:spacing w:val="-1"/>
          <w:sz w:val="24"/>
          <w:szCs w:val="24"/>
        </w:rPr>
        <w:t xml:space="preserve">2.2  </w:t>
      </w:r>
      <w:r>
        <w:rPr>
          <w:rFonts w:ascii="黑体" w:hAnsi="黑体" w:eastAsia="黑体" w:cs="黑体"/>
          <w:spacing w:val="-1"/>
          <w:sz w:val="24"/>
          <w:szCs w:val="24"/>
        </w:rPr>
        <w:t>投标文件的澄清和补正</w:t>
      </w:r>
      <w:bookmarkEnd w:id="159"/>
    </w:p>
    <w:p w14:paraId="733835BA">
      <w:pPr>
        <w:spacing w:before="138" w:line="298" w:lineRule="auto"/>
        <w:ind w:left="3" w:firstLine="421"/>
        <w:rPr>
          <w:rFonts w:ascii="宋体" w:hAnsi="宋体" w:eastAsia="宋体" w:cs="宋体"/>
          <w:sz w:val="20"/>
          <w:szCs w:val="20"/>
        </w:rPr>
      </w:pPr>
      <w:r>
        <w:rPr>
          <w:rFonts w:ascii="Calibri" w:hAnsi="Calibri" w:eastAsia="Calibri" w:cs="Calibri"/>
          <w:spacing w:val="11"/>
          <w:sz w:val="20"/>
          <w:szCs w:val="20"/>
        </w:rPr>
        <w:t xml:space="preserve">2.2.1  </w:t>
      </w:r>
      <w:r>
        <w:rPr>
          <w:rFonts w:ascii="宋体" w:hAnsi="宋体" w:eastAsia="宋体" w:cs="宋体"/>
          <w:spacing w:val="11"/>
          <w:sz w:val="20"/>
          <w:szCs w:val="20"/>
        </w:rPr>
        <w:t>评标委员会可以书面形式要求投标人对所提交的投标文件中不明确的内容进行书面澄清、说明或</w:t>
      </w:r>
      <w:r>
        <w:rPr>
          <w:rFonts w:ascii="宋体" w:hAnsi="宋体" w:eastAsia="宋体" w:cs="宋体"/>
          <w:sz w:val="20"/>
          <w:szCs w:val="20"/>
        </w:rPr>
        <w:t xml:space="preserve"> </w:t>
      </w:r>
      <w:r>
        <w:rPr>
          <w:rFonts w:ascii="宋体" w:hAnsi="宋体" w:eastAsia="宋体" w:cs="宋体"/>
          <w:spacing w:val="9"/>
          <w:sz w:val="20"/>
          <w:szCs w:val="20"/>
        </w:rPr>
        <w:t>者补正。评标委员会不接受投标人主动提出的澄清、说明或补正。</w:t>
      </w:r>
    </w:p>
    <w:p w14:paraId="7A4BE222">
      <w:pPr>
        <w:spacing w:before="152" w:line="299" w:lineRule="auto"/>
        <w:ind w:left="1" w:firstLine="424"/>
        <w:rPr>
          <w:rFonts w:ascii="宋体" w:hAnsi="宋体" w:eastAsia="宋体" w:cs="宋体"/>
          <w:sz w:val="20"/>
          <w:szCs w:val="20"/>
        </w:rPr>
      </w:pPr>
      <w:r>
        <w:rPr>
          <w:rFonts w:ascii="Calibri" w:hAnsi="Calibri" w:eastAsia="Calibri" w:cs="Calibri"/>
          <w:spacing w:val="11"/>
          <w:sz w:val="20"/>
          <w:szCs w:val="20"/>
        </w:rPr>
        <w:t xml:space="preserve">2.2.2  </w:t>
      </w:r>
      <w:r>
        <w:rPr>
          <w:rFonts w:ascii="宋体" w:hAnsi="宋体" w:eastAsia="宋体" w:cs="宋体"/>
          <w:spacing w:val="11"/>
          <w:sz w:val="20"/>
          <w:szCs w:val="20"/>
        </w:rPr>
        <w:t>澄清、说明和补正不得改变投标文件的实质性内容。投标人的书面澄清、说明和补正属于投标文</w:t>
      </w:r>
      <w:r>
        <w:rPr>
          <w:rFonts w:ascii="宋体" w:hAnsi="宋体" w:eastAsia="宋体" w:cs="宋体"/>
          <w:sz w:val="20"/>
          <w:szCs w:val="20"/>
        </w:rPr>
        <w:t xml:space="preserve"> </w:t>
      </w:r>
      <w:r>
        <w:rPr>
          <w:rFonts w:ascii="宋体" w:hAnsi="宋体" w:eastAsia="宋体" w:cs="宋体"/>
          <w:spacing w:val="7"/>
          <w:sz w:val="20"/>
          <w:szCs w:val="20"/>
        </w:rPr>
        <w:t>件的组成部分。</w:t>
      </w:r>
    </w:p>
    <w:p w14:paraId="7F728181">
      <w:pPr>
        <w:spacing w:before="155" w:line="304" w:lineRule="auto"/>
        <w:ind w:left="6" w:firstLine="419"/>
        <w:rPr>
          <w:rFonts w:ascii="宋体" w:hAnsi="宋体" w:eastAsia="宋体" w:cs="宋体"/>
          <w:sz w:val="20"/>
          <w:szCs w:val="20"/>
        </w:rPr>
      </w:pPr>
      <w:r>
        <w:rPr>
          <w:rFonts w:ascii="Calibri" w:hAnsi="Calibri" w:eastAsia="Calibri" w:cs="Calibri"/>
          <w:spacing w:val="11"/>
          <w:sz w:val="20"/>
          <w:szCs w:val="20"/>
        </w:rPr>
        <w:t xml:space="preserve">2.2.3  </w:t>
      </w:r>
      <w:r>
        <w:rPr>
          <w:rFonts w:ascii="宋体" w:hAnsi="宋体" w:eastAsia="宋体" w:cs="宋体"/>
          <w:spacing w:val="11"/>
          <w:sz w:val="20"/>
          <w:szCs w:val="20"/>
        </w:rPr>
        <w:t>评标委员会对投标人提交的澄清、说明或补正有疑问的，可以要求投标人进一步澄清、说明或补</w:t>
      </w:r>
      <w:r>
        <w:rPr>
          <w:rFonts w:ascii="宋体" w:hAnsi="宋体" w:eastAsia="宋体" w:cs="宋体"/>
          <w:sz w:val="20"/>
          <w:szCs w:val="20"/>
        </w:rPr>
        <w:t xml:space="preserve"> </w:t>
      </w:r>
      <w:r>
        <w:rPr>
          <w:rFonts w:ascii="宋体" w:hAnsi="宋体" w:eastAsia="宋体" w:cs="宋体"/>
          <w:spacing w:val="-2"/>
          <w:sz w:val="20"/>
          <w:szCs w:val="20"/>
        </w:rPr>
        <w:t>正。</w:t>
      </w:r>
    </w:p>
    <w:p w14:paraId="6342E5C3">
      <w:pPr>
        <w:spacing w:before="140" w:line="227" w:lineRule="auto"/>
        <w:jc w:val="right"/>
        <w:rPr>
          <w:rFonts w:ascii="宋体" w:hAnsi="宋体" w:eastAsia="宋体" w:cs="宋体"/>
          <w:sz w:val="20"/>
          <w:szCs w:val="20"/>
        </w:rPr>
      </w:pPr>
      <w:r>
        <w:rPr>
          <w:rFonts w:ascii="Calibri" w:hAnsi="Calibri" w:eastAsia="Calibri" w:cs="Calibri"/>
          <w:spacing w:val="11"/>
          <w:sz w:val="20"/>
          <w:szCs w:val="20"/>
        </w:rPr>
        <w:t xml:space="preserve">2.2.4  </w:t>
      </w:r>
      <w:r>
        <w:rPr>
          <w:rFonts w:ascii="宋体" w:hAnsi="宋体" w:eastAsia="宋体" w:cs="宋体"/>
          <w:spacing w:val="11"/>
          <w:sz w:val="20"/>
          <w:szCs w:val="20"/>
        </w:rPr>
        <w:t>评审过程中，评标委员会拟作出否决投标决定的，应要求投标人进行书面澄清、说明或补正，未</w:t>
      </w:r>
    </w:p>
    <w:p w14:paraId="7D4B6753">
      <w:pPr>
        <w:spacing w:before="155" w:line="228" w:lineRule="auto"/>
        <w:rPr>
          <w:rFonts w:ascii="宋体" w:hAnsi="宋体" w:eastAsia="宋体" w:cs="宋体"/>
          <w:sz w:val="20"/>
          <w:szCs w:val="20"/>
        </w:rPr>
      </w:pPr>
      <w:r>
        <w:rPr>
          <w:rFonts w:ascii="宋体" w:hAnsi="宋体" w:eastAsia="宋体" w:cs="宋体"/>
          <w:spacing w:val="9"/>
          <w:sz w:val="20"/>
          <w:szCs w:val="20"/>
        </w:rPr>
        <w:t>进行该程序的，不得作出否决投标决定，投标人未按要求进行回复的除外。</w:t>
      </w:r>
    </w:p>
    <w:p w14:paraId="75DA3309">
      <w:pPr>
        <w:spacing w:before="92" w:line="222" w:lineRule="auto"/>
        <w:ind w:left="564"/>
        <w:outlineLvl w:val="1"/>
        <w:rPr>
          <w:rFonts w:ascii="黑体" w:hAnsi="黑体" w:eastAsia="黑体" w:cs="黑体"/>
          <w:sz w:val="28"/>
          <w:szCs w:val="28"/>
        </w:rPr>
      </w:pPr>
      <w:bookmarkStart w:id="160" w:name="_Toc11864"/>
      <w:r>
        <w:rPr>
          <w:rFonts w:ascii="Calibri" w:hAnsi="Calibri" w:eastAsia="Calibri" w:cs="Calibri"/>
          <w:b/>
          <w:bCs/>
          <w:spacing w:val="-4"/>
          <w:sz w:val="28"/>
          <w:szCs w:val="28"/>
        </w:rPr>
        <w:t>3.</w:t>
      </w:r>
      <w:r>
        <w:rPr>
          <w:rFonts w:ascii="黑体" w:hAnsi="黑体" w:eastAsia="黑体" w:cs="黑体"/>
          <w:b/>
          <w:bCs/>
          <w:spacing w:val="-4"/>
          <w:sz w:val="28"/>
          <w:szCs w:val="28"/>
        </w:rPr>
        <w:t>评标结果</w:t>
      </w:r>
      <w:bookmarkEnd w:id="160"/>
    </w:p>
    <w:p w14:paraId="73553C99">
      <w:pPr>
        <w:spacing w:before="122" w:line="322" w:lineRule="auto"/>
        <w:ind w:left="1" w:firstLine="423"/>
        <w:rPr>
          <w:rFonts w:ascii="宋体" w:hAnsi="宋体" w:eastAsia="宋体" w:cs="宋体"/>
          <w:sz w:val="20"/>
          <w:szCs w:val="20"/>
        </w:rPr>
      </w:pPr>
      <w:r>
        <w:rPr>
          <w:rFonts w:ascii="Calibri" w:hAnsi="Calibri" w:eastAsia="Calibri" w:cs="Calibri"/>
          <w:spacing w:val="10"/>
          <w:sz w:val="20"/>
          <w:szCs w:val="20"/>
        </w:rPr>
        <w:t xml:space="preserve">3.1  </w:t>
      </w:r>
      <w:r>
        <w:rPr>
          <w:rFonts w:ascii="宋体" w:hAnsi="宋体" w:eastAsia="宋体" w:cs="宋体"/>
          <w:spacing w:val="10"/>
          <w:sz w:val="20"/>
          <w:szCs w:val="20"/>
        </w:rPr>
        <w:t>评标委员会按照评标总得分由高到低的顺序推荐中标候选人。投标人评标总得分相同时，按照其投</w:t>
      </w:r>
      <w:r>
        <w:rPr>
          <w:rFonts w:ascii="宋体" w:hAnsi="宋体" w:eastAsia="宋体" w:cs="宋体"/>
          <w:spacing w:val="8"/>
          <w:sz w:val="20"/>
          <w:szCs w:val="20"/>
        </w:rPr>
        <w:t xml:space="preserve"> </w:t>
      </w:r>
      <w:r>
        <w:rPr>
          <w:rFonts w:ascii="宋体" w:hAnsi="宋体" w:eastAsia="宋体" w:cs="宋体"/>
          <w:spacing w:val="9"/>
          <w:sz w:val="20"/>
          <w:szCs w:val="20"/>
        </w:rPr>
        <w:t>标报价由低至高排序。投标报价也相同时，按照业绩及信用评审得分由高到低确定排序。以</w:t>
      </w:r>
      <w:r>
        <w:rPr>
          <w:rFonts w:ascii="宋体" w:hAnsi="宋体" w:eastAsia="宋体" w:cs="宋体"/>
          <w:spacing w:val="8"/>
          <w:sz w:val="20"/>
          <w:szCs w:val="20"/>
        </w:rPr>
        <w:t>上都相同时，</w:t>
      </w:r>
      <w:r>
        <w:rPr>
          <w:rFonts w:ascii="宋体" w:hAnsi="宋体" w:eastAsia="宋体" w:cs="宋体"/>
          <w:spacing w:val="-58"/>
          <w:sz w:val="20"/>
          <w:szCs w:val="20"/>
        </w:rPr>
        <w:t xml:space="preserve"> </w:t>
      </w:r>
      <w:r>
        <w:rPr>
          <w:rFonts w:ascii="宋体" w:hAnsi="宋体" w:eastAsia="宋体" w:cs="宋体"/>
          <w:spacing w:val="8"/>
          <w:sz w:val="20"/>
          <w:szCs w:val="20"/>
        </w:rPr>
        <w:t>由</w:t>
      </w:r>
      <w:r>
        <w:rPr>
          <w:rFonts w:ascii="宋体" w:hAnsi="宋体" w:eastAsia="宋体" w:cs="宋体"/>
          <w:sz w:val="20"/>
          <w:szCs w:val="20"/>
        </w:rPr>
        <w:t xml:space="preserve"> </w:t>
      </w:r>
      <w:r>
        <w:rPr>
          <w:rFonts w:ascii="宋体" w:hAnsi="宋体" w:eastAsia="宋体" w:cs="宋体"/>
          <w:spacing w:val="8"/>
          <w:sz w:val="20"/>
          <w:szCs w:val="20"/>
        </w:rPr>
        <w:t>评标委员会投票确定排序。</w:t>
      </w:r>
    </w:p>
    <w:p w14:paraId="767B6805">
      <w:pPr>
        <w:spacing w:before="155" w:line="226" w:lineRule="auto"/>
        <w:ind w:left="424"/>
        <w:outlineLvl w:val="2"/>
        <w:rPr>
          <w:rFonts w:ascii="宋体" w:hAnsi="宋体" w:eastAsia="宋体" w:cs="宋体"/>
          <w:sz w:val="20"/>
          <w:szCs w:val="20"/>
        </w:rPr>
      </w:pPr>
      <w:bookmarkStart w:id="161" w:name="_Toc24960"/>
      <w:r>
        <w:rPr>
          <w:rFonts w:ascii="Calibri" w:hAnsi="Calibri" w:eastAsia="Calibri" w:cs="Calibri"/>
          <w:spacing w:val="8"/>
          <w:sz w:val="20"/>
          <w:szCs w:val="20"/>
        </w:rPr>
        <w:t xml:space="preserve">3.2  </w:t>
      </w:r>
      <w:r>
        <w:rPr>
          <w:rFonts w:ascii="宋体" w:hAnsi="宋体" w:eastAsia="宋体" w:cs="宋体"/>
          <w:spacing w:val="8"/>
          <w:sz w:val="20"/>
          <w:szCs w:val="20"/>
        </w:rPr>
        <w:t>评标委员会完成评标后，向招标人提交书面评标报告。</w:t>
      </w:r>
      <w:bookmarkEnd w:id="161"/>
    </w:p>
    <w:p w14:paraId="48F7283C">
      <w:pPr>
        <w:spacing w:line="226" w:lineRule="auto"/>
        <w:rPr>
          <w:rFonts w:ascii="宋体" w:hAnsi="宋体" w:eastAsia="宋体" w:cs="宋体"/>
          <w:sz w:val="20"/>
          <w:szCs w:val="20"/>
        </w:rPr>
        <w:sectPr>
          <w:footerReference r:id="rId23" w:type="default"/>
          <w:pgSz w:w="11907" w:h="16840"/>
          <w:pgMar w:top="1004" w:right="1020" w:bottom="1029" w:left="1026" w:header="0" w:footer="850" w:gutter="0"/>
          <w:pgNumType w:fmt="decimal"/>
          <w:cols w:space="720" w:num="1"/>
        </w:sectPr>
      </w:pPr>
    </w:p>
    <w:p w14:paraId="3B037761">
      <w:pPr>
        <w:spacing w:before="48" w:line="222" w:lineRule="auto"/>
        <w:ind w:left="15"/>
        <w:outlineLvl w:val="1"/>
        <w:rPr>
          <w:rFonts w:ascii="黑体" w:hAnsi="黑体" w:eastAsia="黑体" w:cs="黑体"/>
          <w:sz w:val="24"/>
          <w:szCs w:val="24"/>
        </w:rPr>
      </w:pPr>
      <w:bookmarkStart w:id="162" w:name="_Toc26307"/>
      <w:r>
        <w:rPr>
          <w:rFonts w:ascii="黑体" w:hAnsi="黑体" w:eastAsia="黑体" w:cs="黑体"/>
          <w:spacing w:val="-3"/>
          <w:sz w:val="24"/>
          <w:szCs w:val="24"/>
        </w:rPr>
        <w:t>附件</w:t>
      </w:r>
      <w:r>
        <w:rPr>
          <w:rFonts w:ascii="黑体" w:hAnsi="黑体" w:eastAsia="黑体" w:cs="黑体"/>
          <w:spacing w:val="-48"/>
          <w:sz w:val="24"/>
          <w:szCs w:val="24"/>
        </w:rPr>
        <w:t xml:space="preserve"> </w:t>
      </w:r>
      <w:r>
        <w:rPr>
          <w:rFonts w:ascii="Calibri" w:hAnsi="Calibri" w:eastAsia="Calibri" w:cs="Calibri"/>
          <w:spacing w:val="-3"/>
          <w:sz w:val="24"/>
          <w:szCs w:val="24"/>
        </w:rPr>
        <w:t>3-1</w:t>
      </w:r>
      <w:r>
        <w:rPr>
          <w:rFonts w:ascii="黑体" w:hAnsi="黑体" w:eastAsia="黑体" w:cs="黑体"/>
          <w:spacing w:val="-3"/>
          <w:sz w:val="24"/>
          <w:szCs w:val="24"/>
        </w:rPr>
        <w:t>：评标详细程序</w:t>
      </w:r>
      <w:bookmarkEnd w:id="162"/>
    </w:p>
    <w:p w14:paraId="0A71F50C">
      <w:pPr>
        <w:spacing w:before="85" w:line="222" w:lineRule="auto"/>
        <w:ind w:left="4094"/>
        <w:rPr>
          <w:rFonts w:ascii="黑体" w:hAnsi="黑体" w:eastAsia="黑体" w:cs="黑体"/>
          <w:sz w:val="28"/>
          <w:szCs w:val="28"/>
        </w:rPr>
      </w:pPr>
      <w:r>
        <w:rPr>
          <w:rFonts w:ascii="黑体" w:hAnsi="黑体" w:eastAsia="黑体" w:cs="黑体"/>
          <w:spacing w:val="-2"/>
          <w:sz w:val="28"/>
          <w:szCs w:val="28"/>
        </w:rPr>
        <w:t>评标详细程序</w:t>
      </w:r>
    </w:p>
    <w:p w14:paraId="7C8395F6">
      <w:pPr>
        <w:spacing w:before="136" w:line="362" w:lineRule="auto"/>
        <w:ind w:left="17" w:right="2" w:firstLine="404"/>
        <w:rPr>
          <w:rFonts w:ascii="宋体" w:hAnsi="宋体" w:eastAsia="宋体" w:cs="宋体"/>
          <w:sz w:val="20"/>
          <w:szCs w:val="20"/>
        </w:rPr>
      </w:pPr>
      <w:r>
        <w:rPr>
          <w:rFonts w:ascii="宋体" w:hAnsi="宋体" w:eastAsia="宋体" w:cs="宋体"/>
          <w:spacing w:val="10"/>
          <w:sz w:val="20"/>
          <w:szCs w:val="20"/>
        </w:rPr>
        <w:t>本附件是评标办法的组成部分，是对本评标办法规定的评审程序的</w:t>
      </w:r>
      <w:r>
        <w:rPr>
          <w:rFonts w:ascii="宋体" w:hAnsi="宋体" w:eastAsia="宋体" w:cs="宋体"/>
          <w:spacing w:val="9"/>
          <w:sz w:val="20"/>
          <w:szCs w:val="20"/>
        </w:rPr>
        <w:t>进一步细化，评标委员会应当按照本</w:t>
      </w:r>
      <w:r>
        <w:rPr>
          <w:rFonts w:ascii="宋体" w:hAnsi="宋体" w:eastAsia="宋体" w:cs="宋体"/>
          <w:sz w:val="20"/>
          <w:szCs w:val="20"/>
        </w:rPr>
        <w:t xml:space="preserve"> </w:t>
      </w:r>
      <w:r>
        <w:rPr>
          <w:rFonts w:ascii="宋体" w:hAnsi="宋体" w:eastAsia="宋体" w:cs="宋体"/>
          <w:spacing w:val="6"/>
          <w:sz w:val="20"/>
          <w:szCs w:val="20"/>
        </w:rPr>
        <w:t>附件规定开展评标工作。</w:t>
      </w:r>
    </w:p>
    <w:p w14:paraId="02C7A7CC">
      <w:pPr>
        <w:spacing w:before="36" w:line="222" w:lineRule="auto"/>
        <w:ind w:left="253"/>
        <w:outlineLvl w:val="1"/>
        <w:rPr>
          <w:rFonts w:ascii="黑体" w:hAnsi="黑体" w:eastAsia="黑体" w:cs="黑体"/>
          <w:sz w:val="24"/>
          <w:szCs w:val="24"/>
        </w:rPr>
      </w:pPr>
      <w:bookmarkStart w:id="163" w:name="_Toc31708"/>
      <w:r>
        <w:rPr>
          <w:rFonts w:ascii="Calibri" w:hAnsi="Calibri" w:eastAsia="Calibri" w:cs="Calibri"/>
          <w:spacing w:val="-4"/>
          <w:sz w:val="24"/>
          <w:szCs w:val="24"/>
        </w:rPr>
        <w:t>1.</w:t>
      </w:r>
      <w:r>
        <w:rPr>
          <w:rFonts w:ascii="黑体" w:hAnsi="黑体" w:eastAsia="黑体" w:cs="黑体"/>
          <w:spacing w:val="-4"/>
          <w:sz w:val="24"/>
          <w:szCs w:val="24"/>
        </w:rPr>
        <w:t>基本程序</w:t>
      </w:r>
      <w:bookmarkEnd w:id="163"/>
    </w:p>
    <w:p w14:paraId="50E7BB4C">
      <w:pPr>
        <w:spacing w:before="174" w:line="228" w:lineRule="auto"/>
        <w:ind w:left="420"/>
        <w:rPr>
          <w:rFonts w:ascii="宋体" w:hAnsi="宋体" w:eastAsia="宋体" w:cs="宋体"/>
          <w:sz w:val="20"/>
          <w:szCs w:val="20"/>
        </w:rPr>
      </w:pPr>
      <w:r>
        <w:rPr>
          <w:rFonts w:ascii="宋体" w:hAnsi="宋体" w:eastAsia="宋体" w:cs="宋体"/>
          <w:spacing w:val="8"/>
          <w:sz w:val="20"/>
          <w:szCs w:val="20"/>
        </w:rPr>
        <w:t>评标活动将按以下六个步骤进行：</w:t>
      </w:r>
    </w:p>
    <w:p w14:paraId="00E4136C">
      <w:pPr>
        <w:spacing w:before="162" w:line="228" w:lineRule="auto"/>
        <w:ind w:left="430"/>
        <w:rPr>
          <w:rFonts w:ascii="宋体" w:hAnsi="宋体" w:eastAsia="宋体" w:cs="宋体"/>
          <w:sz w:val="20"/>
          <w:szCs w:val="20"/>
        </w:rPr>
      </w:pPr>
      <w:r>
        <w:rPr>
          <w:rFonts w:ascii="宋体" w:hAnsi="宋体" w:eastAsia="宋体" w:cs="宋体"/>
          <w:spacing w:val="5"/>
          <w:sz w:val="20"/>
          <w:szCs w:val="20"/>
        </w:rPr>
        <w:t>（</w:t>
      </w:r>
      <w:r>
        <w:rPr>
          <w:rFonts w:ascii="Calibri" w:hAnsi="Calibri" w:eastAsia="Calibri" w:cs="Calibri"/>
          <w:spacing w:val="5"/>
          <w:sz w:val="20"/>
          <w:szCs w:val="20"/>
        </w:rPr>
        <w:t>1</w:t>
      </w:r>
      <w:r>
        <w:rPr>
          <w:rFonts w:ascii="宋体" w:hAnsi="宋体" w:eastAsia="宋体" w:cs="宋体"/>
          <w:spacing w:val="5"/>
          <w:sz w:val="20"/>
          <w:szCs w:val="20"/>
        </w:rPr>
        <w:t>）评标准备；</w:t>
      </w:r>
    </w:p>
    <w:p w14:paraId="5219B42B">
      <w:pPr>
        <w:spacing w:before="161" w:line="228" w:lineRule="auto"/>
        <w:ind w:left="430"/>
        <w:rPr>
          <w:rFonts w:ascii="宋体" w:hAnsi="宋体" w:eastAsia="宋体" w:cs="宋体"/>
          <w:sz w:val="20"/>
          <w:szCs w:val="20"/>
        </w:rPr>
      </w:pPr>
      <w:r>
        <w:rPr>
          <w:rFonts w:ascii="宋体" w:hAnsi="宋体" w:eastAsia="宋体" w:cs="宋体"/>
          <w:spacing w:val="6"/>
          <w:sz w:val="20"/>
          <w:szCs w:val="20"/>
        </w:rPr>
        <w:t>（</w:t>
      </w:r>
      <w:r>
        <w:rPr>
          <w:rFonts w:ascii="Calibri" w:hAnsi="Calibri" w:eastAsia="Calibri" w:cs="Calibri"/>
          <w:spacing w:val="6"/>
          <w:sz w:val="20"/>
          <w:szCs w:val="20"/>
        </w:rPr>
        <w:t>2</w:t>
      </w:r>
      <w:r>
        <w:rPr>
          <w:rFonts w:ascii="宋体" w:hAnsi="宋体" w:eastAsia="宋体" w:cs="宋体"/>
          <w:spacing w:val="6"/>
          <w:sz w:val="20"/>
          <w:szCs w:val="20"/>
        </w:rPr>
        <w:t>）施工组织设计评审；</w:t>
      </w:r>
    </w:p>
    <w:p w14:paraId="486E6277">
      <w:pPr>
        <w:spacing w:before="160" w:line="228" w:lineRule="auto"/>
        <w:ind w:left="430"/>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3</w:t>
      </w:r>
      <w:r>
        <w:rPr>
          <w:rFonts w:ascii="宋体" w:hAnsi="宋体" w:eastAsia="宋体" w:cs="宋体"/>
          <w:spacing w:val="7"/>
          <w:sz w:val="20"/>
          <w:szCs w:val="20"/>
        </w:rPr>
        <w:t>）形式、资格、响应性评审；</w:t>
      </w:r>
    </w:p>
    <w:p w14:paraId="460B63C1">
      <w:pPr>
        <w:spacing w:before="163" w:line="228" w:lineRule="auto"/>
        <w:ind w:left="430"/>
        <w:rPr>
          <w:rFonts w:ascii="宋体" w:hAnsi="宋体" w:eastAsia="宋体" w:cs="宋体"/>
          <w:sz w:val="20"/>
          <w:szCs w:val="20"/>
        </w:rPr>
      </w:pPr>
      <w:r>
        <w:rPr>
          <w:rFonts w:ascii="宋体" w:hAnsi="宋体" w:eastAsia="宋体" w:cs="宋体"/>
          <w:spacing w:val="6"/>
          <w:sz w:val="20"/>
          <w:szCs w:val="20"/>
        </w:rPr>
        <w:t>（</w:t>
      </w:r>
      <w:r>
        <w:rPr>
          <w:rFonts w:ascii="Calibri" w:hAnsi="Calibri" w:eastAsia="Calibri" w:cs="Calibri"/>
          <w:spacing w:val="6"/>
          <w:sz w:val="20"/>
          <w:szCs w:val="20"/>
        </w:rPr>
        <w:t>4</w:t>
      </w:r>
      <w:r>
        <w:rPr>
          <w:rFonts w:ascii="宋体" w:hAnsi="宋体" w:eastAsia="宋体" w:cs="宋体"/>
          <w:spacing w:val="6"/>
          <w:sz w:val="20"/>
          <w:szCs w:val="20"/>
        </w:rPr>
        <w:t>）业绩及信用评审；</w:t>
      </w:r>
    </w:p>
    <w:p w14:paraId="1BDDE7A4">
      <w:pPr>
        <w:spacing w:before="162" w:line="226" w:lineRule="auto"/>
        <w:ind w:left="430"/>
        <w:rPr>
          <w:rFonts w:ascii="宋体" w:hAnsi="宋体" w:eastAsia="宋体" w:cs="宋体"/>
          <w:sz w:val="20"/>
          <w:szCs w:val="20"/>
        </w:rPr>
      </w:pPr>
      <w:r>
        <w:rPr>
          <w:rFonts w:ascii="宋体" w:hAnsi="宋体" w:eastAsia="宋体" w:cs="宋体"/>
          <w:spacing w:val="6"/>
          <w:sz w:val="20"/>
          <w:szCs w:val="20"/>
        </w:rPr>
        <w:t>（</w:t>
      </w:r>
      <w:r>
        <w:rPr>
          <w:rFonts w:ascii="Calibri" w:hAnsi="Calibri" w:eastAsia="Calibri" w:cs="Calibri"/>
          <w:spacing w:val="6"/>
          <w:sz w:val="20"/>
          <w:szCs w:val="20"/>
        </w:rPr>
        <w:t>5</w:t>
      </w:r>
      <w:r>
        <w:rPr>
          <w:rFonts w:ascii="宋体" w:hAnsi="宋体" w:eastAsia="宋体" w:cs="宋体"/>
          <w:spacing w:val="6"/>
          <w:sz w:val="20"/>
          <w:szCs w:val="20"/>
        </w:rPr>
        <w:t>）投标报价评审；</w:t>
      </w:r>
    </w:p>
    <w:p w14:paraId="2AD8B249">
      <w:pPr>
        <w:spacing w:before="163" w:line="294" w:lineRule="auto"/>
        <w:ind w:left="246" w:right="5806" w:firstLine="184"/>
        <w:rPr>
          <w:rFonts w:ascii="黑体" w:hAnsi="黑体" w:eastAsia="黑体" w:cs="黑体"/>
          <w:sz w:val="24"/>
          <w:szCs w:val="24"/>
        </w:rPr>
      </w:pPr>
      <w:r>
        <w:rPr>
          <w:rFonts w:ascii="宋体" w:hAnsi="宋体" w:eastAsia="宋体" w:cs="宋体"/>
          <w:spacing w:val="6"/>
          <w:sz w:val="20"/>
          <w:szCs w:val="20"/>
        </w:rPr>
        <w:t>（</w:t>
      </w:r>
      <w:r>
        <w:rPr>
          <w:rFonts w:ascii="Calibri" w:hAnsi="Calibri" w:eastAsia="Calibri" w:cs="Calibri"/>
          <w:spacing w:val="6"/>
          <w:sz w:val="20"/>
          <w:szCs w:val="20"/>
        </w:rPr>
        <w:t>6</w:t>
      </w:r>
      <w:r>
        <w:rPr>
          <w:rFonts w:ascii="宋体" w:hAnsi="宋体" w:eastAsia="宋体" w:cs="宋体"/>
          <w:spacing w:val="6"/>
          <w:sz w:val="20"/>
          <w:szCs w:val="20"/>
        </w:rPr>
        <w:t>）推荐中标候选人及提交评标报告。</w:t>
      </w:r>
      <w:r>
        <w:rPr>
          <w:rFonts w:ascii="宋体" w:hAnsi="宋体" w:eastAsia="宋体" w:cs="宋体"/>
          <w:spacing w:val="11"/>
          <w:sz w:val="20"/>
          <w:szCs w:val="20"/>
        </w:rPr>
        <w:t xml:space="preserve"> </w:t>
      </w:r>
      <w:r>
        <w:rPr>
          <w:rFonts w:ascii="Calibri" w:hAnsi="Calibri" w:eastAsia="Calibri" w:cs="Calibri"/>
          <w:spacing w:val="-3"/>
          <w:sz w:val="24"/>
          <w:szCs w:val="24"/>
        </w:rPr>
        <w:t>2.</w:t>
      </w:r>
      <w:r>
        <w:rPr>
          <w:rFonts w:ascii="黑体" w:hAnsi="黑体" w:eastAsia="黑体" w:cs="黑体"/>
          <w:spacing w:val="-3"/>
          <w:sz w:val="24"/>
          <w:szCs w:val="24"/>
        </w:rPr>
        <w:t>评标准备</w:t>
      </w:r>
    </w:p>
    <w:p w14:paraId="4CCBA474">
      <w:pPr>
        <w:spacing w:before="175" w:line="227" w:lineRule="auto"/>
        <w:ind w:left="424"/>
        <w:outlineLvl w:val="2"/>
        <w:rPr>
          <w:rFonts w:ascii="宋体" w:hAnsi="宋体" w:eastAsia="宋体" w:cs="宋体"/>
          <w:sz w:val="20"/>
          <w:szCs w:val="20"/>
        </w:rPr>
      </w:pPr>
      <w:bookmarkStart w:id="164" w:name="_Toc4834"/>
      <w:r>
        <w:rPr>
          <w:rFonts w:ascii="Calibri" w:hAnsi="Calibri" w:eastAsia="Calibri" w:cs="Calibri"/>
          <w:spacing w:val="7"/>
          <w:sz w:val="20"/>
          <w:szCs w:val="20"/>
        </w:rPr>
        <w:t xml:space="preserve">2.1  </w:t>
      </w:r>
      <w:r>
        <w:rPr>
          <w:rFonts w:ascii="宋体" w:hAnsi="宋体" w:eastAsia="宋体" w:cs="宋体"/>
          <w:spacing w:val="7"/>
          <w:sz w:val="20"/>
          <w:szCs w:val="20"/>
        </w:rPr>
        <w:t>评标委员会成员签到</w:t>
      </w:r>
      <w:bookmarkEnd w:id="164"/>
    </w:p>
    <w:p w14:paraId="6D2489D3">
      <w:pPr>
        <w:spacing w:before="162" w:line="227" w:lineRule="auto"/>
        <w:ind w:left="420"/>
        <w:rPr>
          <w:rFonts w:ascii="宋体" w:hAnsi="宋体" w:eastAsia="宋体" w:cs="宋体"/>
          <w:sz w:val="20"/>
          <w:szCs w:val="20"/>
        </w:rPr>
      </w:pPr>
      <w:r>
        <w:rPr>
          <w:rFonts w:ascii="宋体" w:hAnsi="宋体" w:eastAsia="宋体" w:cs="宋体"/>
          <w:spacing w:val="9"/>
          <w:sz w:val="20"/>
          <w:szCs w:val="20"/>
        </w:rPr>
        <w:t>评标委员会成员到达评标现场时应在签到表上签到以证明其出席。</w:t>
      </w:r>
    </w:p>
    <w:p w14:paraId="3F75664C">
      <w:pPr>
        <w:spacing w:before="162" w:line="227" w:lineRule="auto"/>
        <w:ind w:left="424"/>
        <w:outlineLvl w:val="2"/>
        <w:rPr>
          <w:rFonts w:ascii="宋体" w:hAnsi="宋体" w:eastAsia="宋体" w:cs="宋体"/>
          <w:sz w:val="20"/>
          <w:szCs w:val="20"/>
        </w:rPr>
      </w:pPr>
      <w:bookmarkStart w:id="165" w:name="_Toc18955"/>
      <w:r>
        <w:rPr>
          <w:rFonts w:ascii="Calibri" w:hAnsi="Calibri" w:eastAsia="Calibri" w:cs="Calibri"/>
          <w:spacing w:val="6"/>
          <w:sz w:val="20"/>
          <w:szCs w:val="20"/>
        </w:rPr>
        <w:t>2.2</w:t>
      </w:r>
      <w:r>
        <w:rPr>
          <w:rFonts w:ascii="Calibri" w:hAnsi="Calibri" w:eastAsia="Calibri" w:cs="Calibri"/>
          <w:spacing w:val="12"/>
          <w:w w:val="101"/>
          <w:sz w:val="20"/>
          <w:szCs w:val="20"/>
        </w:rPr>
        <w:t xml:space="preserve">  </w:t>
      </w:r>
      <w:r>
        <w:rPr>
          <w:rFonts w:ascii="宋体" w:hAnsi="宋体" w:eastAsia="宋体" w:cs="宋体"/>
          <w:spacing w:val="6"/>
          <w:sz w:val="20"/>
          <w:szCs w:val="20"/>
        </w:rPr>
        <w:t>评标委员会的分工</w:t>
      </w:r>
      <w:bookmarkEnd w:id="165"/>
    </w:p>
    <w:p w14:paraId="3A49DE71">
      <w:pPr>
        <w:spacing w:before="164" w:line="367" w:lineRule="auto"/>
        <w:ind w:firstLine="419"/>
        <w:rPr>
          <w:rFonts w:ascii="宋体" w:hAnsi="宋体" w:eastAsia="宋体" w:cs="宋体"/>
          <w:sz w:val="20"/>
          <w:szCs w:val="20"/>
        </w:rPr>
      </w:pPr>
      <w:r>
        <w:rPr>
          <w:rFonts w:ascii="宋体" w:hAnsi="宋体" w:eastAsia="宋体" w:cs="宋体"/>
          <w:spacing w:val="10"/>
          <w:sz w:val="20"/>
          <w:szCs w:val="20"/>
        </w:rPr>
        <w:t>评标委员会首先推举一名评标委员会主任。评标委员会主任负责主持</w:t>
      </w:r>
      <w:r>
        <w:rPr>
          <w:rFonts w:ascii="宋体" w:hAnsi="宋体" w:eastAsia="宋体" w:cs="宋体"/>
          <w:spacing w:val="9"/>
          <w:sz w:val="20"/>
          <w:szCs w:val="20"/>
        </w:rPr>
        <w:t>评标活动。评标委员会主任在与其</w:t>
      </w:r>
      <w:r>
        <w:rPr>
          <w:rFonts w:ascii="宋体" w:hAnsi="宋体" w:eastAsia="宋体" w:cs="宋体"/>
          <w:sz w:val="20"/>
          <w:szCs w:val="20"/>
        </w:rPr>
        <w:t xml:space="preserve"> </w:t>
      </w:r>
      <w:r>
        <w:rPr>
          <w:rFonts w:ascii="宋体" w:hAnsi="宋体" w:eastAsia="宋体" w:cs="宋体"/>
          <w:spacing w:val="10"/>
          <w:sz w:val="20"/>
          <w:szCs w:val="20"/>
        </w:rPr>
        <w:t>他评标委员会成员协商的基础上，可以将评标委员会划分为技术组和商务组，</w:t>
      </w:r>
      <w:r>
        <w:rPr>
          <w:rFonts w:ascii="宋体" w:hAnsi="宋体" w:eastAsia="宋体" w:cs="宋体"/>
          <w:spacing w:val="9"/>
          <w:sz w:val="20"/>
          <w:szCs w:val="20"/>
        </w:rPr>
        <w:t>但最终评审结果须全体评标委</w:t>
      </w:r>
      <w:r>
        <w:rPr>
          <w:rFonts w:ascii="宋体" w:hAnsi="宋体" w:eastAsia="宋体" w:cs="宋体"/>
          <w:sz w:val="20"/>
          <w:szCs w:val="20"/>
        </w:rPr>
        <w:t xml:space="preserve"> </w:t>
      </w:r>
      <w:r>
        <w:rPr>
          <w:rFonts w:ascii="宋体" w:hAnsi="宋体" w:eastAsia="宋体" w:cs="宋体"/>
          <w:spacing w:val="7"/>
          <w:sz w:val="20"/>
          <w:szCs w:val="20"/>
        </w:rPr>
        <w:t>员会一致认可。</w:t>
      </w:r>
    </w:p>
    <w:p w14:paraId="3573E537">
      <w:pPr>
        <w:spacing w:before="32" w:line="228" w:lineRule="auto"/>
        <w:ind w:left="424"/>
        <w:outlineLvl w:val="2"/>
        <w:rPr>
          <w:rFonts w:ascii="宋体" w:hAnsi="宋体" w:eastAsia="宋体" w:cs="宋体"/>
          <w:sz w:val="20"/>
          <w:szCs w:val="20"/>
        </w:rPr>
      </w:pPr>
      <w:bookmarkStart w:id="166" w:name="_Toc32208"/>
      <w:r>
        <w:rPr>
          <w:rFonts w:ascii="Calibri" w:hAnsi="Calibri" w:eastAsia="Calibri" w:cs="Calibri"/>
          <w:spacing w:val="4"/>
          <w:sz w:val="20"/>
          <w:szCs w:val="20"/>
        </w:rPr>
        <w:t>2.3</w:t>
      </w:r>
      <w:r>
        <w:rPr>
          <w:rFonts w:ascii="Calibri" w:hAnsi="Calibri" w:eastAsia="Calibri" w:cs="Calibri"/>
          <w:spacing w:val="17"/>
          <w:w w:val="101"/>
          <w:sz w:val="20"/>
          <w:szCs w:val="20"/>
        </w:rPr>
        <w:t xml:space="preserve">  </w:t>
      </w:r>
      <w:r>
        <w:rPr>
          <w:rFonts w:ascii="宋体" w:hAnsi="宋体" w:eastAsia="宋体" w:cs="宋体"/>
          <w:spacing w:val="4"/>
          <w:sz w:val="20"/>
          <w:szCs w:val="20"/>
        </w:rPr>
        <w:t>熟悉文件资料</w:t>
      </w:r>
      <w:bookmarkEnd w:id="166"/>
    </w:p>
    <w:p w14:paraId="35025C7A">
      <w:pPr>
        <w:spacing w:before="163" w:line="327" w:lineRule="auto"/>
        <w:ind w:left="1" w:firstLine="422"/>
        <w:rPr>
          <w:rFonts w:ascii="宋体" w:hAnsi="宋体" w:eastAsia="宋体" w:cs="宋体"/>
          <w:sz w:val="20"/>
          <w:szCs w:val="20"/>
        </w:rPr>
      </w:pPr>
      <w:r>
        <w:rPr>
          <w:rFonts w:ascii="Calibri" w:hAnsi="Calibri" w:eastAsia="Calibri" w:cs="Calibri"/>
          <w:spacing w:val="11"/>
          <w:sz w:val="20"/>
          <w:szCs w:val="20"/>
        </w:rPr>
        <w:t xml:space="preserve">2.3.1  </w:t>
      </w:r>
      <w:r>
        <w:rPr>
          <w:rFonts w:ascii="宋体" w:hAnsi="宋体" w:eastAsia="宋体" w:cs="宋体"/>
          <w:spacing w:val="11"/>
          <w:sz w:val="20"/>
          <w:szCs w:val="20"/>
        </w:rPr>
        <w:t>评标委员会主任应组织评标委员会成员认真研究招标文件，了解和熟悉招标目的、招标范围、主</w:t>
      </w:r>
      <w:r>
        <w:rPr>
          <w:rFonts w:ascii="宋体" w:hAnsi="宋体" w:eastAsia="宋体" w:cs="宋体"/>
          <w:sz w:val="20"/>
          <w:szCs w:val="20"/>
        </w:rPr>
        <w:t xml:space="preserve"> </w:t>
      </w:r>
      <w:r>
        <w:rPr>
          <w:rFonts w:ascii="宋体" w:hAnsi="宋体" w:eastAsia="宋体" w:cs="宋体"/>
          <w:spacing w:val="10"/>
          <w:sz w:val="20"/>
          <w:szCs w:val="20"/>
        </w:rPr>
        <w:t>要合同条件、技术标准和要求、质量标准和工期要求等，掌握评标标准</w:t>
      </w:r>
      <w:r>
        <w:rPr>
          <w:rFonts w:ascii="宋体" w:hAnsi="宋体" w:eastAsia="宋体" w:cs="宋体"/>
          <w:spacing w:val="9"/>
          <w:sz w:val="20"/>
          <w:szCs w:val="20"/>
        </w:rPr>
        <w:t>和方法。未在招标文件中规定的标准</w:t>
      </w:r>
      <w:r>
        <w:rPr>
          <w:rFonts w:ascii="宋体" w:hAnsi="宋体" w:eastAsia="宋体" w:cs="宋体"/>
          <w:sz w:val="20"/>
          <w:szCs w:val="20"/>
        </w:rPr>
        <w:t xml:space="preserve"> </w:t>
      </w:r>
      <w:r>
        <w:rPr>
          <w:rFonts w:ascii="宋体" w:hAnsi="宋体" w:eastAsia="宋体" w:cs="宋体"/>
          <w:spacing w:val="8"/>
          <w:sz w:val="20"/>
          <w:szCs w:val="20"/>
        </w:rPr>
        <w:t>和方法不得作为评标的依据。</w:t>
      </w:r>
    </w:p>
    <w:p w14:paraId="3B40C109">
      <w:pPr>
        <w:spacing w:before="161" w:line="340" w:lineRule="auto"/>
        <w:ind w:left="1" w:firstLine="422"/>
        <w:rPr>
          <w:rFonts w:ascii="宋体" w:hAnsi="宋体" w:eastAsia="宋体" w:cs="宋体"/>
          <w:sz w:val="20"/>
          <w:szCs w:val="20"/>
        </w:rPr>
      </w:pPr>
      <w:r>
        <w:rPr>
          <w:rFonts w:ascii="Calibri" w:hAnsi="Calibri" w:eastAsia="Calibri" w:cs="Calibri"/>
          <w:spacing w:val="11"/>
          <w:sz w:val="20"/>
          <w:szCs w:val="20"/>
        </w:rPr>
        <w:t xml:space="preserve">2.3.2  </w:t>
      </w:r>
      <w:r>
        <w:rPr>
          <w:rFonts w:ascii="宋体" w:hAnsi="宋体" w:eastAsia="宋体" w:cs="宋体"/>
          <w:spacing w:val="11"/>
          <w:sz w:val="20"/>
          <w:szCs w:val="20"/>
        </w:rPr>
        <w:t>招标人或招标代理机构应向评标委员会提供评标所需的信息和数据，包括招标文件、未在开标会</w:t>
      </w:r>
      <w:r>
        <w:rPr>
          <w:rFonts w:ascii="宋体" w:hAnsi="宋体" w:eastAsia="宋体" w:cs="宋体"/>
          <w:sz w:val="20"/>
          <w:szCs w:val="20"/>
        </w:rPr>
        <w:t xml:space="preserve"> </w:t>
      </w:r>
      <w:r>
        <w:rPr>
          <w:rFonts w:ascii="宋体" w:hAnsi="宋体" w:eastAsia="宋体" w:cs="宋体"/>
          <w:spacing w:val="10"/>
          <w:sz w:val="20"/>
          <w:szCs w:val="20"/>
        </w:rPr>
        <w:t>上当场拒绝的各投标文件、开标会记录、资格预审申请文件（适用于已进行</w:t>
      </w:r>
      <w:r>
        <w:rPr>
          <w:rFonts w:ascii="宋体" w:hAnsi="宋体" w:eastAsia="宋体" w:cs="宋体"/>
          <w:spacing w:val="9"/>
          <w:sz w:val="20"/>
          <w:szCs w:val="20"/>
        </w:rPr>
        <w:t>资格预审的）、最高投标限价或</w:t>
      </w:r>
      <w:r>
        <w:rPr>
          <w:rFonts w:ascii="宋体" w:hAnsi="宋体" w:eastAsia="宋体" w:cs="宋体"/>
          <w:sz w:val="20"/>
          <w:szCs w:val="20"/>
        </w:rPr>
        <w:t xml:space="preserve"> </w:t>
      </w:r>
      <w:r>
        <w:rPr>
          <w:rFonts w:ascii="宋体" w:hAnsi="宋体" w:eastAsia="宋体" w:cs="宋体"/>
          <w:spacing w:val="10"/>
          <w:sz w:val="20"/>
          <w:szCs w:val="20"/>
        </w:rPr>
        <w:t>标底（如果有）、工程所在地工程造价管理部门颁布的工程造价信息、定额</w:t>
      </w:r>
      <w:r>
        <w:rPr>
          <w:rFonts w:ascii="宋体" w:hAnsi="宋体" w:eastAsia="宋体" w:cs="宋体"/>
          <w:spacing w:val="9"/>
          <w:sz w:val="20"/>
          <w:szCs w:val="20"/>
        </w:rPr>
        <w:t>（如作为计价依据时）、有关的</w:t>
      </w:r>
      <w:r>
        <w:rPr>
          <w:rFonts w:ascii="宋体" w:hAnsi="宋体" w:eastAsia="宋体" w:cs="宋体"/>
          <w:sz w:val="20"/>
          <w:szCs w:val="20"/>
        </w:rPr>
        <w:t xml:space="preserve"> </w:t>
      </w:r>
      <w:r>
        <w:rPr>
          <w:rFonts w:ascii="宋体" w:hAnsi="宋体" w:eastAsia="宋体" w:cs="宋体"/>
          <w:spacing w:val="9"/>
          <w:sz w:val="20"/>
          <w:szCs w:val="20"/>
        </w:rPr>
        <w:t>法律、法规、规章、国家标准以及招标人或评标委员会认为必要的其他信息和数据。</w:t>
      </w:r>
    </w:p>
    <w:p w14:paraId="3C5E200E">
      <w:pPr>
        <w:spacing w:before="162" w:line="227" w:lineRule="auto"/>
        <w:ind w:left="424"/>
        <w:outlineLvl w:val="2"/>
        <w:rPr>
          <w:rFonts w:ascii="宋体" w:hAnsi="宋体" w:eastAsia="宋体" w:cs="宋体"/>
          <w:sz w:val="20"/>
          <w:szCs w:val="20"/>
        </w:rPr>
      </w:pPr>
      <w:bookmarkStart w:id="167" w:name="_Toc11505"/>
      <w:r>
        <w:rPr>
          <w:rFonts w:ascii="Calibri" w:hAnsi="Calibri" w:eastAsia="Calibri" w:cs="Calibri"/>
          <w:spacing w:val="8"/>
          <w:sz w:val="20"/>
          <w:szCs w:val="20"/>
        </w:rPr>
        <w:t xml:space="preserve">2.4  </w:t>
      </w:r>
      <w:r>
        <w:rPr>
          <w:rFonts w:ascii="宋体" w:hAnsi="宋体" w:eastAsia="宋体" w:cs="宋体"/>
          <w:spacing w:val="8"/>
          <w:sz w:val="20"/>
          <w:szCs w:val="20"/>
        </w:rPr>
        <w:t>对投标文件进行基础性数据分析和整理工作（以下简称：清标）</w:t>
      </w:r>
      <w:bookmarkEnd w:id="167"/>
    </w:p>
    <w:p w14:paraId="3BFB23F6">
      <w:pPr>
        <w:spacing w:before="162" w:line="340" w:lineRule="auto"/>
        <w:ind w:firstLine="424"/>
        <w:rPr>
          <w:rFonts w:ascii="宋体" w:hAnsi="宋体" w:eastAsia="宋体" w:cs="宋体"/>
          <w:sz w:val="20"/>
          <w:szCs w:val="20"/>
        </w:rPr>
      </w:pPr>
      <w:r>
        <w:rPr>
          <w:rFonts w:ascii="Calibri" w:hAnsi="Calibri" w:eastAsia="Calibri" w:cs="Calibri"/>
          <w:spacing w:val="11"/>
          <w:sz w:val="20"/>
          <w:szCs w:val="20"/>
        </w:rPr>
        <w:t xml:space="preserve">2.4.1  </w:t>
      </w:r>
      <w:r>
        <w:rPr>
          <w:rFonts w:ascii="宋体" w:hAnsi="宋体" w:eastAsia="宋体" w:cs="宋体"/>
          <w:spacing w:val="11"/>
          <w:sz w:val="20"/>
          <w:szCs w:val="20"/>
        </w:rPr>
        <w:t>在不改变投标人投标文件实质性内容的前提下，评标委员会应当进行清标，发现并提取其中可能</w:t>
      </w:r>
      <w:r>
        <w:rPr>
          <w:rFonts w:ascii="宋体" w:hAnsi="宋体" w:eastAsia="宋体" w:cs="宋体"/>
          <w:sz w:val="20"/>
          <w:szCs w:val="20"/>
        </w:rPr>
        <w:t xml:space="preserve"> </w:t>
      </w:r>
      <w:r>
        <w:rPr>
          <w:rFonts w:ascii="宋体" w:hAnsi="宋体" w:eastAsia="宋体" w:cs="宋体"/>
          <w:spacing w:val="10"/>
          <w:sz w:val="20"/>
          <w:szCs w:val="20"/>
        </w:rPr>
        <w:t>存在的对招标范围理解的偏差、投标报价的算术性错误、错漏项、投标报</w:t>
      </w:r>
      <w:r>
        <w:rPr>
          <w:rFonts w:ascii="宋体" w:hAnsi="宋体" w:eastAsia="宋体" w:cs="宋体"/>
          <w:spacing w:val="9"/>
          <w:sz w:val="20"/>
          <w:szCs w:val="20"/>
        </w:rPr>
        <w:t>价构成不合理、不平衡报价等明显</w:t>
      </w:r>
      <w:r>
        <w:rPr>
          <w:rFonts w:ascii="宋体" w:hAnsi="宋体" w:eastAsia="宋体" w:cs="宋体"/>
          <w:sz w:val="20"/>
          <w:szCs w:val="20"/>
        </w:rPr>
        <w:t xml:space="preserve"> </w:t>
      </w:r>
      <w:r>
        <w:rPr>
          <w:rFonts w:ascii="宋体" w:hAnsi="宋体" w:eastAsia="宋体" w:cs="宋体"/>
          <w:spacing w:val="10"/>
          <w:sz w:val="20"/>
          <w:szCs w:val="20"/>
        </w:rPr>
        <w:t>异常的问题，并将这些问题整理形成清标成果。评标委员会对清标成果审议后</w:t>
      </w:r>
      <w:r>
        <w:rPr>
          <w:rFonts w:ascii="宋体" w:hAnsi="宋体" w:eastAsia="宋体" w:cs="宋体"/>
          <w:spacing w:val="9"/>
          <w:sz w:val="20"/>
          <w:szCs w:val="20"/>
        </w:rPr>
        <w:t>，对于需要投标人进行澄清、</w:t>
      </w:r>
      <w:r>
        <w:rPr>
          <w:rFonts w:ascii="宋体" w:hAnsi="宋体" w:eastAsia="宋体" w:cs="宋体"/>
          <w:sz w:val="20"/>
          <w:szCs w:val="20"/>
        </w:rPr>
        <w:t xml:space="preserve"> </w:t>
      </w:r>
      <w:r>
        <w:rPr>
          <w:rFonts w:ascii="宋体" w:hAnsi="宋体" w:eastAsia="宋体" w:cs="宋体"/>
          <w:spacing w:val="9"/>
          <w:sz w:val="20"/>
          <w:szCs w:val="20"/>
        </w:rPr>
        <w:t>说明或补正的问题，形成质疑问卷，向投标人发出问题澄清通知或者质疑问卷。</w:t>
      </w:r>
    </w:p>
    <w:p w14:paraId="3F657001">
      <w:pPr>
        <w:spacing w:before="161" w:line="302" w:lineRule="auto"/>
        <w:ind w:left="2" w:firstLine="421"/>
        <w:rPr>
          <w:rFonts w:ascii="宋体" w:hAnsi="宋体" w:eastAsia="宋体" w:cs="宋体"/>
          <w:sz w:val="20"/>
          <w:szCs w:val="20"/>
        </w:rPr>
      </w:pPr>
      <w:r>
        <w:rPr>
          <w:rFonts w:ascii="Calibri" w:hAnsi="Calibri" w:eastAsia="Calibri" w:cs="Calibri"/>
          <w:spacing w:val="11"/>
          <w:sz w:val="20"/>
          <w:szCs w:val="20"/>
        </w:rPr>
        <w:t>2.4.2</w:t>
      </w:r>
      <w:r>
        <w:rPr>
          <w:rFonts w:ascii="Calibri" w:hAnsi="Calibri" w:eastAsia="Calibri" w:cs="Calibri"/>
          <w:spacing w:val="15"/>
          <w:w w:val="101"/>
          <w:sz w:val="20"/>
          <w:szCs w:val="20"/>
        </w:rPr>
        <w:t xml:space="preserve">  </w:t>
      </w:r>
      <w:r>
        <w:rPr>
          <w:rFonts w:ascii="宋体" w:hAnsi="宋体" w:eastAsia="宋体" w:cs="宋体"/>
          <w:spacing w:val="11"/>
          <w:sz w:val="20"/>
          <w:szCs w:val="20"/>
        </w:rPr>
        <w:t>投标人应当按照评标委员会的要求，在规定的时间内通过电子交易平台提</w:t>
      </w:r>
      <w:r>
        <w:rPr>
          <w:rFonts w:ascii="宋体" w:hAnsi="宋体" w:eastAsia="宋体" w:cs="宋体"/>
          <w:spacing w:val="10"/>
          <w:sz w:val="20"/>
          <w:szCs w:val="20"/>
        </w:rPr>
        <w:t>供加盖公章或法定代表</w:t>
      </w:r>
      <w:r>
        <w:rPr>
          <w:rFonts w:ascii="宋体" w:hAnsi="宋体" w:eastAsia="宋体" w:cs="宋体"/>
          <w:sz w:val="20"/>
          <w:szCs w:val="20"/>
        </w:rPr>
        <w:t xml:space="preserve"> </w:t>
      </w:r>
      <w:r>
        <w:rPr>
          <w:rFonts w:ascii="宋体" w:hAnsi="宋体" w:eastAsia="宋体" w:cs="宋体"/>
          <w:spacing w:val="9"/>
          <w:sz w:val="20"/>
          <w:szCs w:val="20"/>
        </w:rPr>
        <w:t>人（或其委托代理人）签署的澄清、说明或者补正资料。</w:t>
      </w:r>
    </w:p>
    <w:p w14:paraId="4F058998">
      <w:pPr>
        <w:spacing w:before="166" w:line="222" w:lineRule="auto"/>
        <w:ind w:left="4"/>
        <w:outlineLvl w:val="1"/>
        <w:rPr>
          <w:rFonts w:ascii="黑体" w:hAnsi="黑体" w:eastAsia="黑体" w:cs="黑体"/>
          <w:sz w:val="24"/>
          <w:szCs w:val="24"/>
        </w:rPr>
      </w:pPr>
      <w:bookmarkStart w:id="168" w:name="_Toc32173"/>
      <w:r>
        <w:rPr>
          <w:rFonts w:ascii="Calibri" w:hAnsi="Calibri" w:eastAsia="Calibri" w:cs="Calibri"/>
          <w:spacing w:val="-2"/>
          <w:sz w:val="24"/>
          <w:szCs w:val="24"/>
        </w:rPr>
        <w:t>3.</w:t>
      </w:r>
      <w:r>
        <w:rPr>
          <w:rFonts w:ascii="黑体" w:hAnsi="黑体" w:eastAsia="黑体" w:cs="黑体"/>
          <w:spacing w:val="-2"/>
          <w:sz w:val="24"/>
          <w:szCs w:val="24"/>
        </w:rPr>
        <w:t>施工组织设计评审</w:t>
      </w:r>
      <w:bookmarkEnd w:id="168"/>
    </w:p>
    <w:p w14:paraId="6BB510D1">
      <w:pPr>
        <w:spacing w:line="222" w:lineRule="auto"/>
        <w:rPr>
          <w:rFonts w:ascii="黑体" w:hAnsi="黑体" w:eastAsia="黑体" w:cs="黑体"/>
          <w:sz w:val="24"/>
          <w:szCs w:val="24"/>
        </w:rPr>
        <w:sectPr>
          <w:footerReference r:id="rId24" w:type="default"/>
          <w:pgSz w:w="11907" w:h="16840"/>
          <w:pgMar w:top="1006" w:right="1020" w:bottom="1029" w:left="1027" w:header="0" w:footer="850" w:gutter="0"/>
          <w:pgNumType w:fmt="decimal"/>
          <w:cols w:space="720" w:num="1"/>
        </w:sectPr>
      </w:pPr>
    </w:p>
    <w:p w14:paraId="48C529E1">
      <w:pPr>
        <w:spacing w:before="41" w:line="357" w:lineRule="auto"/>
        <w:ind w:right="4300" w:firstLine="421"/>
        <w:rPr>
          <w:rFonts w:ascii="黑体" w:hAnsi="黑体" w:eastAsia="黑体" w:cs="黑体"/>
          <w:sz w:val="24"/>
          <w:szCs w:val="24"/>
        </w:rPr>
      </w:pPr>
      <w:r>
        <w:rPr>
          <w:rFonts w:ascii="宋体" w:hAnsi="宋体" w:eastAsia="宋体" w:cs="宋体"/>
          <w:spacing w:val="8"/>
          <w:sz w:val="20"/>
          <w:szCs w:val="20"/>
        </w:rPr>
        <w:t>评标委员会对所有投标人提交的施工组织设计进行评审。</w:t>
      </w:r>
      <w:r>
        <w:rPr>
          <w:rFonts w:ascii="宋体" w:hAnsi="宋体" w:eastAsia="宋体" w:cs="宋体"/>
          <w:spacing w:val="5"/>
          <w:sz w:val="20"/>
          <w:szCs w:val="20"/>
        </w:rPr>
        <w:t xml:space="preserve"> </w:t>
      </w:r>
      <w:r>
        <w:rPr>
          <w:rFonts w:ascii="Calibri" w:hAnsi="Calibri" w:eastAsia="Calibri" w:cs="Calibri"/>
          <w:spacing w:val="-1"/>
          <w:sz w:val="24"/>
          <w:szCs w:val="24"/>
        </w:rPr>
        <w:t>4.</w:t>
      </w:r>
      <w:r>
        <w:rPr>
          <w:rFonts w:ascii="黑体" w:hAnsi="黑体" w:eastAsia="黑体" w:cs="黑体"/>
          <w:spacing w:val="-1"/>
          <w:sz w:val="24"/>
          <w:szCs w:val="24"/>
        </w:rPr>
        <w:t>形式、资格、响应性评审。</w:t>
      </w:r>
    </w:p>
    <w:p w14:paraId="0E983D36">
      <w:pPr>
        <w:spacing w:before="25" w:line="227" w:lineRule="auto"/>
        <w:ind w:left="422"/>
        <w:rPr>
          <w:rFonts w:ascii="宋体" w:hAnsi="宋体" w:eastAsia="宋体" w:cs="宋体"/>
          <w:sz w:val="20"/>
          <w:szCs w:val="20"/>
        </w:rPr>
      </w:pPr>
      <w:r>
        <w:rPr>
          <w:rFonts w:ascii="宋体" w:hAnsi="宋体" w:eastAsia="宋体" w:cs="宋体"/>
          <w:spacing w:val="10"/>
          <w:sz w:val="20"/>
          <w:szCs w:val="20"/>
        </w:rPr>
        <w:t>评标委员会依据评标办法的规定对投标文件进行评</w:t>
      </w:r>
      <w:r>
        <w:rPr>
          <w:rFonts w:ascii="宋体" w:hAnsi="宋体" w:eastAsia="宋体" w:cs="宋体"/>
          <w:spacing w:val="9"/>
          <w:sz w:val="20"/>
          <w:szCs w:val="20"/>
        </w:rPr>
        <w:t>审。有一项不符合评审标准的，应当予以否决。</w:t>
      </w:r>
    </w:p>
    <w:p w14:paraId="0BC97C9C">
      <w:pPr>
        <w:spacing w:before="162" w:line="228" w:lineRule="auto"/>
        <w:ind w:left="420"/>
        <w:outlineLvl w:val="2"/>
        <w:rPr>
          <w:rFonts w:ascii="宋体" w:hAnsi="宋体" w:eastAsia="宋体" w:cs="宋体"/>
          <w:sz w:val="20"/>
          <w:szCs w:val="20"/>
        </w:rPr>
      </w:pPr>
      <w:bookmarkStart w:id="169" w:name="_Toc30927"/>
      <w:r>
        <w:rPr>
          <w:rFonts w:ascii="Calibri" w:hAnsi="Calibri" w:eastAsia="Calibri" w:cs="Calibri"/>
          <w:spacing w:val="4"/>
          <w:sz w:val="20"/>
          <w:szCs w:val="20"/>
        </w:rPr>
        <w:t>4.1</w:t>
      </w:r>
      <w:r>
        <w:rPr>
          <w:rFonts w:ascii="Calibri" w:hAnsi="Calibri" w:eastAsia="Calibri" w:cs="Calibri"/>
          <w:spacing w:val="14"/>
          <w:w w:val="102"/>
          <w:sz w:val="20"/>
          <w:szCs w:val="20"/>
        </w:rPr>
        <w:t xml:space="preserve">  </w:t>
      </w:r>
      <w:r>
        <w:rPr>
          <w:rFonts w:ascii="宋体" w:hAnsi="宋体" w:eastAsia="宋体" w:cs="宋体"/>
          <w:spacing w:val="4"/>
          <w:sz w:val="20"/>
          <w:szCs w:val="20"/>
        </w:rPr>
        <w:t>形式评审</w:t>
      </w:r>
      <w:bookmarkEnd w:id="169"/>
    </w:p>
    <w:p w14:paraId="34FE083E">
      <w:pPr>
        <w:spacing w:before="160" w:line="227" w:lineRule="auto"/>
        <w:ind w:left="422"/>
        <w:rPr>
          <w:rFonts w:ascii="宋体" w:hAnsi="宋体" w:eastAsia="宋体" w:cs="宋体"/>
          <w:sz w:val="20"/>
          <w:szCs w:val="20"/>
        </w:rPr>
      </w:pPr>
      <w:r>
        <w:rPr>
          <w:rFonts w:ascii="宋体" w:hAnsi="宋体" w:eastAsia="宋体" w:cs="宋体"/>
          <w:spacing w:val="10"/>
          <w:sz w:val="20"/>
          <w:szCs w:val="20"/>
        </w:rPr>
        <w:t>评标委员会根据评标办法前附表中规定的评审因素和评</w:t>
      </w:r>
      <w:r>
        <w:rPr>
          <w:rFonts w:ascii="宋体" w:hAnsi="宋体" w:eastAsia="宋体" w:cs="宋体"/>
          <w:spacing w:val="9"/>
          <w:sz w:val="20"/>
          <w:szCs w:val="20"/>
        </w:rPr>
        <w:t>审标准，对投标人的投标文件进行形式评审。</w:t>
      </w:r>
    </w:p>
    <w:p w14:paraId="5712482B">
      <w:pPr>
        <w:pStyle w:val="6"/>
        <w:spacing w:line="353" w:lineRule="auto"/>
      </w:pPr>
    </w:p>
    <w:p w14:paraId="0367AB42">
      <w:pPr>
        <w:spacing w:before="65" w:line="228" w:lineRule="auto"/>
        <w:ind w:left="420"/>
        <w:outlineLvl w:val="2"/>
        <w:rPr>
          <w:rFonts w:ascii="宋体" w:hAnsi="宋体" w:eastAsia="宋体" w:cs="宋体"/>
          <w:sz w:val="20"/>
          <w:szCs w:val="20"/>
        </w:rPr>
      </w:pPr>
      <w:bookmarkStart w:id="170" w:name="_Toc26714"/>
      <w:r>
        <w:rPr>
          <w:rFonts w:ascii="Calibri" w:hAnsi="Calibri" w:eastAsia="Calibri" w:cs="Calibri"/>
          <w:spacing w:val="3"/>
          <w:sz w:val="20"/>
          <w:szCs w:val="20"/>
        </w:rPr>
        <w:t>4.2</w:t>
      </w:r>
      <w:r>
        <w:rPr>
          <w:rFonts w:ascii="Calibri" w:hAnsi="Calibri" w:eastAsia="Calibri" w:cs="Calibri"/>
          <w:spacing w:val="18"/>
          <w:w w:val="101"/>
          <w:sz w:val="20"/>
          <w:szCs w:val="20"/>
        </w:rPr>
        <w:t xml:space="preserve">  </w:t>
      </w:r>
      <w:r>
        <w:rPr>
          <w:rFonts w:ascii="宋体" w:hAnsi="宋体" w:eastAsia="宋体" w:cs="宋体"/>
          <w:spacing w:val="3"/>
          <w:sz w:val="20"/>
          <w:szCs w:val="20"/>
        </w:rPr>
        <w:t>资格评审</w:t>
      </w:r>
      <w:bookmarkEnd w:id="170"/>
    </w:p>
    <w:p w14:paraId="0DD5E5CC">
      <w:pPr>
        <w:spacing w:before="161" w:line="362" w:lineRule="auto"/>
        <w:ind w:left="5" w:right="68" w:firstLine="425"/>
        <w:rPr>
          <w:rFonts w:ascii="宋体" w:hAnsi="宋体" w:eastAsia="宋体" w:cs="宋体"/>
          <w:sz w:val="20"/>
          <w:szCs w:val="20"/>
        </w:rPr>
      </w:pPr>
      <w:r>
        <w:rPr>
          <w:rFonts w:ascii="MS Gothic" w:hAnsi="MS Gothic" w:eastAsia="MS Gothic" w:cs="MS Gothic"/>
          <w:color w:val="0000FF"/>
          <w:spacing w:val="8"/>
          <w:sz w:val="20"/>
          <w:szCs w:val="20"/>
        </w:rPr>
        <w:t>☑</w:t>
      </w:r>
      <w:r>
        <w:rPr>
          <w:rFonts w:ascii="Calibri" w:hAnsi="Calibri" w:eastAsia="Calibri" w:cs="Calibri"/>
          <w:spacing w:val="8"/>
          <w:sz w:val="20"/>
          <w:szCs w:val="20"/>
        </w:rPr>
        <w:t>4.2.1</w:t>
      </w:r>
      <w:r>
        <w:rPr>
          <w:rFonts w:ascii="Calibri" w:hAnsi="Calibri" w:eastAsia="Calibri" w:cs="Calibri"/>
          <w:spacing w:val="18"/>
          <w:w w:val="102"/>
          <w:sz w:val="20"/>
          <w:szCs w:val="20"/>
        </w:rPr>
        <w:t xml:space="preserve"> </w:t>
      </w:r>
      <w:r>
        <w:rPr>
          <w:rFonts w:ascii="宋体" w:hAnsi="宋体" w:eastAsia="宋体" w:cs="宋体"/>
          <w:spacing w:val="8"/>
          <w:sz w:val="20"/>
          <w:szCs w:val="20"/>
        </w:rPr>
        <w:t>未进行资格预审的，由评标委员会根据评</w:t>
      </w:r>
      <w:r>
        <w:rPr>
          <w:rFonts w:ascii="宋体" w:hAnsi="宋体" w:eastAsia="宋体" w:cs="宋体"/>
          <w:spacing w:val="7"/>
          <w:sz w:val="20"/>
          <w:szCs w:val="20"/>
        </w:rPr>
        <w:t>标办法前附表规定的评审因素和评审标准，对投标人的</w:t>
      </w:r>
      <w:r>
        <w:rPr>
          <w:rFonts w:ascii="宋体" w:hAnsi="宋体" w:eastAsia="宋体" w:cs="宋体"/>
          <w:sz w:val="20"/>
          <w:szCs w:val="20"/>
        </w:rPr>
        <w:t xml:space="preserve"> </w:t>
      </w:r>
      <w:r>
        <w:rPr>
          <w:rFonts w:ascii="宋体" w:hAnsi="宋体" w:eastAsia="宋体" w:cs="宋体"/>
          <w:spacing w:val="7"/>
          <w:sz w:val="20"/>
          <w:szCs w:val="20"/>
        </w:rPr>
        <w:t>投标文件进行资格评审。</w:t>
      </w:r>
    </w:p>
    <w:p w14:paraId="6F163147">
      <w:pPr>
        <w:spacing w:before="32" w:line="367" w:lineRule="auto"/>
        <w:ind w:left="5" w:right="68" w:firstLine="438"/>
        <w:jc w:val="both"/>
        <w:rPr>
          <w:rFonts w:ascii="宋体" w:hAnsi="宋体" w:eastAsia="宋体" w:cs="宋体"/>
          <w:sz w:val="20"/>
          <w:szCs w:val="20"/>
        </w:rPr>
      </w:pPr>
      <w:r>
        <w:rPr>
          <w:rFonts w:ascii="宋体" w:hAnsi="宋体" w:eastAsia="宋体" w:cs="宋体"/>
          <w:color w:val="0000FF"/>
          <w:spacing w:val="7"/>
          <w:sz w:val="20"/>
          <w:szCs w:val="20"/>
        </w:rPr>
        <w:t>□</w:t>
      </w:r>
      <w:r>
        <w:rPr>
          <w:rFonts w:ascii="Calibri" w:hAnsi="Calibri" w:eastAsia="Calibri" w:cs="Calibri"/>
          <w:spacing w:val="7"/>
          <w:sz w:val="20"/>
          <w:szCs w:val="20"/>
        </w:rPr>
        <w:t>4.2.1</w:t>
      </w:r>
      <w:r>
        <w:rPr>
          <w:rFonts w:ascii="Calibri" w:hAnsi="Calibri" w:eastAsia="Calibri" w:cs="Calibri"/>
          <w:spacing w:val="38"/>
          <w:w w:val="101"/>
          <w:sz w:val="20"/>
          <w:szCs w:val="20"/>
        </w:rPr>
        <w:t xml:space="preserve"> </w:t>
      </w:r>
      <w:r>
        <w:rPr>
          <w:rFonts w:ascii="宋体" w:hAnsi="宋体" w:eastAsia="宋体" w:cs="宋体"/>
          <w:spacing w:val="7"/>
          <w:sz w:val="20"/>
          <w:szCs w:val="20"/>
        </w:rPr>
        <w:t>已进行资格预审的，评标委员会一般不再对投标人资格进行评审。投标人资</w:t>
      </w:r>
      <w:r>
        <w:rPr>
          <w:rFonts w:ascii="宋体" w:hAnsi="宋体" w:eastAsia="宋体" w:cs="宋体"/>
          <w:spacing w:val="6"/>
          <w:sz w:val="20"/>
          <w:szCs w:val="20"/>
        </w:rPr>
        <w:t>格预审申请文件的内</w:t>
      </w:r>
      <w:r>
        <w:rPr>
          <w:rFonts w:ascii="宋体" w:hAnsi="宋体" w:eastAsia="宋体" w:cs="宋体"/>
          <w:sz w:val="20"/>
          <w:szCs w:val="20"/>
        </w:rPr>
        <w:t xml:space="preserve"> </w:t>
      </w:r>
      <w:r>
        <w:rPr>
          <w:rFonts w:ascii="宋体" w:hAnsi="宋体" w:eastAsia="宋体" w:cs="宋体"/>
          <w:spacing w:val="10"/>
          <w:sz w:val="20"/>
          <w:szCs w:val="20"/>
        </w:rPr>
        <w:t>容发生重大变化的，由评标委员会依据资格预审文件规定的标准和方法</w:t>
      </w:r>
      <w:r>
        <w:rPr>
          <w:rFonts w:ascii="宋体" w:hAnsi="宋体" w:eastAsia="宋体" w:cs="宋体"/>
          <w:spacing w:val="9"/>
          <w:sz w:val="20"/>
          <w:szCs w:val="20"/>
        </w:rPr>
        <w:t>，对照投标人资格预审申请文件中的</w:t>
      </w:r>
      <w:r>
        <w:rPr>
          <w:rFonts w:ascii="宋体" w:hAnsi="宋体" w:eastAsia="宋体" w:cs="宋体"/>
          <w:sz w:val="20"/>
          <w:szCs w:val="20"/>
        </w:rPr>
        <w:t xml:space="preserve"> </w:t>
      </w:r>
      <w:r>
        <w:rPr>
          <w:rFonts w:ascii="宋体" w:hAnsi="宋体" w:eastAsia="宋体" w:cs="宋体"/>
          <w:spacing w:val="10"/>
          <w:sz w:val="20"/>
          <w:szCs w:val="20"/>
        </w:rPr>
        <w:t>资料以及开标前更新的资料，对其更新的资料进行</w:t>
      </w:r>
      <w:r>
        <w:rPr>
          <w:rFonts w:ascii="宋体" w:hAnsi="宋体" w:eastAsia="宋体" w:cs="宋体"/>
          <w:spacing w:val="9"/>
          <w:sz w:val="20"/>
          <w:szCs w:val="20"/>
        </w:rPr>
        <w:t>评审，其变化后的资格条件不得低于原有资格条件要求。</w:t>
      </w:r>
    </w:p>
    <w:p w14:paraId="06CED24E">
      <w:pPr>
        <w:spacing w:before="288" w:line="227" w:lineRule="auto"/>
        <w:jc w:val="right"/>
        <w:rPr>
          <w:rFonts w:ascii="宋体" w:hAnsi="宋体" w:eastAsia="宋体" w:cs="宋体"/>
          <w:sz w:val="20"/>
          <w:szCs w:val="20"/>
        </w:rPr>
      </w:pPr>
      <w:r>
        <w:rPr>
          <w:rFonts w:ascii="Calibri" w:hAnsi="Calibri" w:eastAsia="Calibri" w:cs="Calibri"/>
          <w:spacing w:val="6"/>
          <w:sz w:val="20"/>
          <w:szCs w:val="20"/>
        </w:rPr>
        <w:t xml:space="preserve">4.2.2    </w:t>
      </w:r>
      <w:r>
        <w:rPr>
          <w:rFonts w:ascii="宋体" w:hAnsi="宋体" w:eastAsia="宋体" w:cs="宋体"/>
          <w:spacing w:val="6"/>
          <w:sz w:val="20"/>
          <w:szCs w:val="20"/>
        </w:rPr>
        <w:t>资格评审过程中，评标委员会发现投标人提交的资格审查资料不全时，应当听取该投标人的说明。</w:t>
      </w:r>
    </w:p>
    <w:p w14:paraId="0C7F143C">
      <w:pPr>
        <w:spacing w:before="165" w:line="228" w:lineRule="auto"/>
        <w:ind w:left="420"/>
        <w:outlineLvl w:val="2"/>
        <w:rPr>
          <w:rFonts w:ascii="宋体" w:hAnsi="宋体" w:eastAsia="宋体" w:cs="宋体"/>
          <w:sz w:val="20"/>
          <w:szCs w:val="20"/>
        </w:rPr>
      </w:pPr>
      <w:bookmarkStart w:id="171" w:name="_Toc15386"/>
      <w:r>
        <w:rPr>
          <w:rFonts w:ascii="Calibri" w:hAnsi="Calibri" w:eastAsia="Calibri" w:cs="Calibri"/>
          <w:spacing w:val="4"/>
          <w:sz w:val="20"/>
          <w:szCs w:val="20"/>
        </w:rPr>
        <w:t>4.3</w:t>
      </w:r>
      <w:r>
        <w:rPr>
          <w:rFonts w:ascii="Calibri" w:hAnsi="Calibri" w:eastAsia="Calibri" w:cs="Calibri"/>
          <w:spacing w:val="18"/>
          <w:w w:val="101"/>
          <w:sz w:val="20"/>
          <w:szCs w:val="20"/>
        </w:rPr>
        <w:t xml:space="preserve">  </w:t>
      </w:r>
      <w:r>
        <w:rPr>
          <w:rFonts w:ascii="宋体" w:hAnsi="宋体" w:eastAsia="宋体" w:cs="宋体"/>
          <w:spacing w:val="4"/>
          <w:sz w:val="20"/>
          <w:szCs w:val="20"/>
        </w:rPr>
        <w:t>响应性评审</w:t>
      </w:r>
      <w:bookmarkEnd w:id="171"/>
    </w:p>
    <w:p w14:paraId="04CA6FE0">
      <w:pPr>
        <w:spacing w:before="162" w:line="302" w:lineRule="auto"/>
        <w:ind w:left="2" w:right="68" w:firstLine="417"/>
        <w:rPr>
          <w:rFonts w:ascii="宋体" w:hAnsi="宋体" w:eastAsia="宋体" w:cs="宋体"/>
          <w:sz w:val="20"/>
          <w:szCs w:val="20"/>
        </w:rPr>
      </w:pPr>
      <w:r>
        <w:rPr>
          <w:rFonts w:ascii="Calibri" w:hAnsi="Calibri" w:eastAsia="Calibri" w:cs="Calibri"/>
          <w:spacing w:val="11"/>
          <w:sz w:val="20"/>
          <w:szCs w:val="20"/>
        </w:rPr>
        <w:t xml:space="preserve">4.3.1  </w:t>
      </w:r>
      <w:r>
        <w:rPr>
          <w:rFonts w:ascii="宋体" w:hAnsi="宋体" w:eastAsia="宋体" w:cs="宋体"/>
          <w:spacing w:val="11"/>
          <w:sz w:val="20"/>
          <w:szCs w:val="20"/>
        </w:rPr>
        <w:t>评标委员会根据评标办法前附表中规定的评审因素和评审标准，对投标人的投标文件进行响应性</w:t>
      </w:r>
      <w:r>
        <w:rPr>
          <w:rFonts w:ascii="宋体" w:hAnsi="宋体" w:eastAsia="宋体" w:cs="宋体"/>
          <w:spacing w:val="5"/>
          <w:sz w:val="20"/>
          <w:szCs w:val="20"/>
        </w:rPr>
        <w:t xml:space="preserve"> </w:t>
      </w:r>
      <w:r>
        <w:rPr>
          <w:rFonts w:ascii="宋体" w:hAnsi="宋体" w:eastAsia="宋体" w:cs="宋体"/>
          <w:spacing w:val="3"/>
          <w:sz w:val="20"/>
          <w:szCs w:val="20"/>
        </w:rPr>
        <w:t>评审。</w:t>
      </w:r>
    </w:p>
    <w:p w14:paraId="318B319D">
      <w:pPr>
        <w:spacing w:before="159" w:line="303" w:lineRule="auto"/>
        <w:ind w:left="20" w:right="68" w:firstLine="399"/>
        <w:rPr>
          <w:rFonts w:ascii="宋体" w:hAnsi="宋体" w:eastAsia="宋体" w:cs="宋体"/>
          <w:sz w:val="20"/>
          <w:szCs w:val="20"/>
        </w:rPr>
      </w:pPr>
      <w:r>
        <w:rPr>
          <w:rFonts w:ascii="Calibri" w:hAnsi="Calibri" w:eastAsia="Calibri" w:cs="Calibri"/>
          <w:spacing w:val="8"/>
          <w:sz w:val="20"/>
          <w:szCs w:val="20"/>
        </w:rPr>
        <w:t xml:space="preserve">4.3.2  </w:t>
      </w:r>
      <w:r>
        <w:rPr>
          <w:rFonts w:ascii="宋体" w:hAnsi="宋体" w:eastAsia="宋体" w:cs="宋体"/>
          <w:spacing w:val="8"/>
          <w:sz w:val="20"/>
          <w:szCs w:val="20"/>
        </w:rPr>
        <w:t>招标文件设定了最高投标限价</w:t>
      </w:r>
      <w:r>
        <w:rPr>
          <w:rFonts w:ascii="宋体" w:hAnsi="宋体" w:eastAsia="宋体" w:cs="宋体"/>
          <w:spacing w:val="7"/>
          <w:sz w:val="20"/>
          <w:szCs w:val="20"/>
        </w:rPr>
        <w:t>的，投标人投标价格不得超出（不含等于）</w:t>
      </w:r>
      <w:r>
        <w:rPr>
          <w:rFonts w:ascii="Calibri" w:hAnsi="Calibri" w:eastAsia="Calibri" w:cs="Calibri"/>
          <w:spacing w:val="7"/>
          <w:sz w:val="20"/>
          <w:szCs w:val="20"/>
        </w:rPr>
        <w:t>“</w:t>
      </w:r>
      <w:r>
        <w:rPr>
          <w:rFonts w:ascii="宋体" w:hAnsi="宋体" w:eastAsia="宋体" w:cs="宋体"/>
          <w:spacing w:val="7"/>
          <w:sz w:val="20"/>
          <w:szCs w:val="20"/>
        </w:rPr>
        <w:t>投标人须知</w:t>
      </w:r>
      <w:r>
        <w:rPr>
          <w:rFonts w:ascii="Calibri" w:hAnsi="Calibri" w:eastAsia="Calibri" w:cs="Calibri"/>
          <w:spacing w:val="7"/>
          <w:sz w:val="20"/>
          <w:szCs w:val="20"/>
        </w:rPr>
        <w:t>”</w:t>
      </w:r>
      <w:r>
        <w:rPr>
          <w:rFonts w:ascii="宋体" w:hAnsi="宋体" w:eastAsia="宋体" w:cs="宋体"/>
          <w:spacing w:val="7"/>
          <w:sz w:val="20"/>
          <w:szCs w:val="20"/>
        </w:rPr>
        <w:t>前附表载明</w:t>
      </w:r>
      <w:r>
        <w:rPr>
          <w:rFonts w:ascii="宋体" w:hAnsi="宋体" w:eastAsia="宋体" w:cs="宋体"/>
          <w:sz w:val="20"/>
          <w:szCs w:val="20"/>
        </w:rPr>
        <w:t xml:space="preserve"> </w:t>
      </w:r>
      <w:r>
        <w:rPr>
          <w:rFonts w:ascii="宋体" w:hAnsi="宋体" w:eastAsia="宋体" w:cs="宋体"/>
          <w:spacing w:val="5"/>
          <w:sz w:val="20"/>
          <w:szCs w:val="20"/>
        </w:rPr>
        <w:t>的最高投标限价。</w:t>
      </w:r>
    </w:p>
    <w:p w14:paraId="62184398">
      <w:pPr>
        <w:spacing w:before="163" w:line="228" w:lineRule="auto"/>
        <w:outlineLvl w:val="2"/>
        <w:rPr>
          <w:rFonts w:ascii="宋体" w:hAnsi="宋体" w:eastAsia="宋体" w:cs="宋体"/>
          <w:sz w:val="20"/>
          <w:szCs w:val="20"/>
        </w:rPr>
      </w:pPr>
      <w:bookmarkStart w:id="172" w:name="_Toc18981"/>
      <w:r>
        <w:rPr>
          <w:rFonts w:ascii="Calibri" w:hAnsi="Calibri" w:eastAsia="Calibri" w:cs="Calibri"/>
          <w:spacing w:val="6"/>
          <w:sz w:val="20"/>
          <w:szCs w:val="20"/>
        </w:rPr>
        <w:t>4.4</w:t>
      </w:r>
      <w:r>
        <w:rPr>
          <w:rFonts w:ascii="Calibri" w:hAnsi="Calibri" w:eastAsia="Calibri" w:cs="Calibri"/>
          <w:spacing w:val="12"/>
          <w:sz w:val="20"/>
          <w:szCs w:val="20"/>
        </w:rPr>
        <w:t xml:space="preserve">  </w:t>
      </w:r>
      <w:r>
        <w:rPr>
          <w:rFonts w:ascii="宋体" w:hAnsi="宋体" w:eastAsia="宋体" w:cs="宋体"/>
          <w:spacing w:val="6"/>
          <w:sz w:val="20"/>
          <w:szCs w:val="20"/>
        </w:rPr>
        <w:t>算术错误修正</w:t>
      </w:r>
      <w:bookmarkEnd w:id="172"/>
    </w:p>
    <w:p w14:paraId="68C38E82">
      <w:pPr>
        <w:spacing w:before="162" w:line="350" w:lineRule="auto"/>
        <w:ind w:left="5" w:right="68" w:firstLine="417"/>
        <w:rPr>
          <w:rFonts w:ascii="宋体" w:hAnsi="宋体" w:eastAsia="宋体" w:cs="宋体"/>
          <w:sz w:val="20"/>
          <w:szCs w:val="20"/>
        </w:rPr>
      </w:pPr>
      <w:r>
        <w:rPr>
          <w:rFonts w:ascii="宋体" w:hAnsi="宋体" w:eastAsia="宋体" w:cs="宋体"/>
          <w:spacing w:val="10"/>
          <w:sz w:val="20"/>
          <w:szCs w:val="20"/>
        </w:rPr>
        <w:t>评标委员会检查投标人投标报价是否有算术错误，算术性错误分析和修正按</w:t>
      </w:r>
      <w:r>
        <w:rPr>
          <w:rFonts w:ascii="宋体" w:hAnsi="宋体" w:eastAsia="宋体" w:cs="宋体"/>
          <w:spacing w:val="9"/>
          <w:sz w:val="20"/>
          <w:szCs w:val="20"/>
        </w:rPr>
        <w:t>以下原则进行，修正的价格</w:t>
      </w:r>
      <w:r>
        <w:rPr>
          <w:rFonts w:ascii="宋体" w:hAnsi="宋体" w:eastAsia="宋体" w:cs="宋体"/>
          <w:sz w:val="20"/>
          <w:szCs w:val="20"/>
        </w:rPr>
        <w:t xml:space="preserve"> </w:t>
      </w:r>
      <w:r>
        <w:rPr>
          <w:rFonts w:ascii="宋体" w:hAnsi="宋体" w:eastAsia="宋体" w:cs="宋体"/>
          <w:spacing w:val="9"/>
          <w:sz w:val="20"/>
          <w:szCs w:val="20"/>
        </w:rPr>
        <w:t>经投标人通过电子交易平台确认后具有约束力。投标人不接受修正价格的，应当否决其投标。</w:t>
      </w:r>
    </w:p>
    <w:p w14:paraId="1EFF135F">
      <w:pPr>
        <w:spacing w:before="30" w:line="228" w:lineRule="auto"/>
        <w:ind w:left="433"/>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1</w:t>
      </w:r>
      <w:r>
        <w:rPr>
          <w:rFonts w:ascii="宋体" w:hAnsi="宋体" w:eastAsia="宋体" w:cs="宋体"/>
          <w:spacing w:val="9"/>
          <w:sz w:val="20"/>
          <w:szCs w:val="20"/>
        </w:rPr>
        <w:t>）投标文件中的大写金额与小写金额不一致的，以大</w:t>
      </w:r>
      <w:r>
        <w:rPr>
          <w:rFonts w:ascii="宋体" w:hAnsi="宋体" w:eastAsia="宋体" w:cs="宋体"/>
          <w:spacing w:val="8"/>
          <w:sz w:val="20"/>
          <w:szCs w:val="20"/>
        </w:rPr>
        <w:t>写金额为准；</w:t>
      </w:r>
    </w:p>
    <w:p w14:paraId="3F9C060F">
      <w:pPr>
        <w:spacing w:before="151" w:line="295" w:lineRule="auto"/>
        <w:ind w:left="8" w:right="68" w:firstLine="425"/>
        <w:rPr>
          <w:rFonts w:ascii="宋体" w:hAnsi="宋体" w:eastAsia="宋体" w:cs="宋体"/>
          <w:sz w:val="20"/>
          <w:szCs w:val="20"/>
        </w:rPr>
      </w:pPr>
      <w:r>
        <w:rPr>
          <w:rFonts w:ascii="宋体" w:hAnsi="宋体" w:eastAsia="宋体" w:cs="宋体"/>
          <w:spacing w:val="11"/>
          <w:sz w:val="20"/>
          <w:szCs w:val="20"/>
        </w:rPr>
        <w:t>（</w:t>
      </w:r>
      <w:r>
        <w:rPr>
          <w:rFonts w:ascii="Calibri" w:hAnsi="Calibri" w:eastAsia="Calibri" w:cs="Calibri"/>
          <w:spacing w:val="11"/>
          <w:sz w:val="20"/>
          <w:szCs w:val="20"/>
        </w:rPr>
        <w:t>2</w:t>
      </w:r>
      <w:r>
        <w:rPr>
          <w:rFonts w:ascii="宋体" w:hAnsi="宋体" w:eastAsia="宋体" w:cs="宋体"/>
          <w:spacing w:val="11"/>
          <w:sz w:val="20"/>
          <w:szCs w:val="20"/>
        </w:rPr>
        <w:t>）总价金额与依据单价计算出的结果不一致的，</w:t>
      </w:r>
      <w:r>
        <w:rPr>
          <w:rFonts w:ascii="宋体" w:hAnsi="宋体" w:eastAsia="宋体" w:cs="宋体"/>
          <w:spacing w:val="-57"/>
          <w:sz w:val="20"/>
          <w:szCs w:val="20"/>
        </w:rPr>
        <w:t xml:space="preserve"> </w:t>
      </w:r>
      <w:r>
        <w:rPr>
          <w:rFonts w:ascii="宋体" w:hAnsi="宋体" w:eastAsia="宋体" w:cs="宋体"/>
          <w:spacing w:val="11"/>
          <w:sz w:val="20"/>
          <w:szCs w:val="20"/>
        </w:rPr>
        <w:t>以单价金额为准修正</w:t>
      </w:r>
      <w:r>
        <w:rPr>
          <w:rFonts w:ascii="宋体" w:hAnsi="宋体" w:eastAsia="宋体" w:cs="宋体"/>
          <w:spacing w:val="10"/>
          <w:sz w:val="20"/>
          <w:szCs w:val="20"/>
        </w:rPr>
        <w:t>总价，但单价金额小数点有明</w:t>
      </w:r>
      <w:r>
        <w:rPr>
          <w:rFonts w:ascii="宋体" w:hAnsi="宋体" w:eastAsia="宋体" w:cs="宋体"/>
          <w:sz w:val="20"/>
          <w:szCs w:val="20"/>
        </w:rPr>
        <w:t xml:space="preserve"> </w:t>
      </w:r>
      <w:r>
        <w:rPr>
          <w:rFonts w:ascii="宋体" w:hAnsi="宋体" w:eastAsia="宋体" w:cs="宋体"/>
          <w:spacing w:val="6"/>
          <w:sz w:val="20"/>
          <w:szCs w:val="20"/>
        </w:rPr>
        <w:t>显错误的除外。</w:t>
      </w:r>
    </w:p>
    <w:p w14:paraId="3451F754">
      <w:pPr>
        <w:spacing w:before="148" w:line="367" w:lineRule="auto"/>
        <w:ind w:left="5" w:right="70" w:firstLine="417"/>
        <w:jc w:val="both"/>
        <w:rPr>
          <w:rFonts w:ascii="宋体" w:hAnsi="宋体" w:eastAsia="宋体" w:cs="宋体"/>
          <w:sz w:val="20"/>
          <w:szCs w:val="20"/>
        </w:rPr>
      </w:pPr>
      <w:r>
        <w:rPr>
          <w:rFonts w:ascii="宋体" w:hAnsi="宋体" w:eastAsia="宋体" w:cs="宋体"/>
          <w:spacing w:val="10"/>
          <w:sz w:val="20"/>
          <w:szCs w:val="20"/>
        </w:rPr>
        <w:t>评标委员会根据算术错误修正结果计算评标价。评标委员会对算术错</w:t>
      </w:r>
      <w:r>
        <w:rPr>
          <w:rFonts w:ascii="宋体" w:hAnsi="宋体" w:eastAsia="宋体" w:cs="宋体"/>
          <w:spacing w:val="9"/>
          <w:sz w:val="20"/>
          <w:szCs w:val="20"/>
        </w:rPr>
        <w:t>误的修正应向投标人作澄清。投标</w:t>
      </w:r>
      <w:r>
        <w:rPr>
          <w:rFonts w:ascii="宋体" w:hAnsi="宋体" w:eastAsia="宋体" w:cs="宋体"/>
          <w:sz w:val="20"/>
          <w:szCs w:val="20"/>
        </w:rPr>
        <w:t xml:space="preserve"> </w:t>
      </w:r>
      <w:r>
        <w:rPr>
          <w:rFonts w:ascii="宋体" w:hAnsi="宋体" w:eastAsia="宋体" w:cs="宋体"/>
          <w:spacing w:val="10"/>
          <w:sz w:val="20"/>
          <w:szCs w:val="20"/>
        </w:rPr>
        <w:t>人对修正结果应通过电子交易平台进行确认。投标人对修正结果有不</w:t>
      </w:r>
      <w:r>
        <w:rPr>
          <w:rFonts w:ascii="宋体" w:hAnsi="宋体" w:eastAsia="宋体" w:cs="宋体"/>
          <w:spacing w:val="9"/>
          <w:sz w:val="20"/>
          <w:szCs w:val="20"/>
        </w:rPr>
        <w:t>同意见或未通过电子交易平台进行确认</w:t>
      </w:r>
      <w:r>
        <w:rPr>
          <w:rFonts w:ascii="宋体" w:hAnsi="宋体" w:eastAsia="宋体" w:cs="宋体"/>
          <w:sz w:val="20"/>
          <w:szCs w:val="20"/>
        </w:rPr>
        <w:t xml:space="preserve"> </w:t>
      </w:r>
      <w:r>
        <w:rPr>
          <w:rFonts w:ascii="宋体" w:hAnsi="宋体" w:eastAsia="宋体" w:cs="宋体"/>
          <w:spacing w:val="9"/>
          <w:sz w:val="20"/>
          <w:szCs w:val="20"/>
        </w:rPr>
        <w:t>的，评标委员会应重新复核修正结果，再次按上述程序分别进行确认、复核。</w:t>
      </w:r>
    </w:p>
    <w:p w14:paraId="6852B509">
      <w:pPr>
        <w:spacing w:before="32" w:line="228" w:lineRule="auto"/>
        <w:ind w:left="420"/>
        <w:outlineLvl w:val="2"/>
        <w:rPr>
          <w:rFonts w:ascii="宋体" w:hAnsi="宋体" w:eastAsia="宋体" w:cs="宋体"/>
          <w:sz w:val="20"/>
          <w:szCs w:val="20"/>
        </w:rPr>
      </w:pPr>
      <w:bookmarkStart w:id="173" w:name="_Toc29391"/>
      <w:r>
        <w:rPr>
          <w:rFonts w:ascii="Calibri" w:hAnsi="Calibri" w:eastAsia="Calibri" w:cs="Calibri"/>
          <w:spacing w:val="6"/>
          <w:sz w:val="20"/>
          <w:szCs w:val="20"/>
        </w:rPr>
        <w:t>4.5</w:t>
      </w:r>
      <w:r>
        <w:rPr>
          <w:rFonts w:ascii="Calibri" w:hAnsi="Calibri" w:eastAsia="Calibri" w:cs="Calibri"/>
          <w:spacing w:val="24"/>
          <w:sz w:val="20"/>
          <w:szCs w:val="20"/>
        </w:rPr>
        <w:t xml:space="preserve"> </w:t>
      </w:r>
      <w:r>
        <w:rPr>
          <w:rFonts w:ascii="宋体" w:hAnsi="宋体" w:eastAsia="宋体" w:cs="宋体"/>
          <w:spacing w:val="6"/>
          <w:sz w:val="20"/>
          <w:szCs w:val="20"/>
        </w:rPr>
        <w:t>是否予以否决投标</w:t>
      </w:r>
      <w:bookmarkEnd w:id="173"/>
    </w:p>
    <w:p w14:paraId="5D7B992A">
      <w:pPr>
        <w:spacing w:before="162" w:line="303" w:lineRule="auto"/>
        <w:ind w:left="9" w:right="68" w:firstLine="410"/>
        <w:rPr>
          <w:rFonts w:ascii="宋体" w:hAnsi="宋体" w:eastAsia="宋体" w:cs="宋体"/>
          <w:sz w:val="20"/>
          <w:szCs w:val="20"/>
        </w:rPr>
      </w:pPr>
      <w:r>
        <w:rPr>
          <w:rFonts w:ascii="Calibri" w:hAnsi="Calibri" w:eastAsia="Calibri" w:cs="Calibri"/>
          <w:spacing w:val="8"/>
          <w:sz w:val="20"/>
          <w:szCs w:val="20"/>
        </w:rPr>
        <w:t>4.6.1</w:t>
      </w:r>
      <w:r>
        <w:rPr>
          <w:rFonts w:ascii="Calibri" w:hAnsi="Calibri" w:eastAsia="Calibri" w:cs="Calibri"/>
          <w:spacing w:val="17"/>
          <w:sz w:val="20"/>
          <w:szCs w:val="20"/>
        </w:rPr>
        <w:t xml:space="preserve"> </w:t>
      </w:r>
      <w:r>
        <w:rPr>
          <w:rFonts w:ascii="宋体" w:hAnsi="宋体" w:eastAsia="宋体" w:cs="宋体"/>
          <w:spacing w:val="8"/>
          <w:sz w:val="20"/>
          <w:szCs w:val="20"/>
        </w:rPr>
        <w:t>评标委员会在评标过程中，依据</w:t>
      </w:r>
      <w:r>
        <w:rPr>
          <w:rFonts w:ascii="宋体" w:hAnsi="宋体" w:eastAsia="宋体" w:cs="宋体"/>
          <w:spacing w:val="7"/>
          <w:sz w:val="20"/>
          <w:szCs w:val="20"/>
        </w:rPr>
        <w:t>第二章附件</w:t>
      </w:r>
      <w:r>
        <w:rPr>
          <w:rFonts w:ascii="宋体" w:hAnsi="宋体" w:eastAsia="宋体" w:cs="宋体"/>
          <w:spacing w:val="-36"/>
          <w:sz w:val="20"/>
          <w:szCs w:val="20"/>
        </w:rPr>
        <w:t xml:space="preserve"> </w:t>
      </w:r>
      <w:r>
        <w:rPr>
          <w:rFonts w:ascii="Calibri" w:hAnsi="Calibri" w:eastAsia="Calibri" w:cs="Calibri"/>
          <w:spacing w:val="7"/>
          <w:sz w:val="20"/>
          <w:szCs w:val="20"/>
        </w:rPr>
        <w:t>2-2</w:t>
      </w:r>
      <w:r>
        <w:rPr>
          <w:rFonts w:ascii="Calibri" w:hAnsi="Calibri" w:eastAsia="Calibri" w:cs="Calibri"/>
          <w:spacing w:val="38"/>
          <w:sz w:val="20"/>
          <w:szCs w:val="20"/>
        </w:rPr>
        <w:t xml:space="preserve"> </w:t>
      </w:r>
      <w:r>
        <w:rPr>
          <w:rFonts w:ascii="宋体" w:hAnsi="宋体" w:eastAsia="宋体" w:cs="宋体"/>
          <w:spacing w:val="7"/>
          <w:sz w:val="20"/>
          <w:szCs w:val="20"/>
        </w:rPr>
        <w:t>中规定的否决投标情形，判断是否对投标人的投标</w:t>
      </w:r>
      <w:r>
        <w:rPr>
          <w:rFonts w:ascii="宋体" w:hAnsi="宋体" w:eastAsia="宋体" w:cs="宋体"/>
          <w:sz w:val="20"/>
          <w:szCs w:val="20"/>
        </w:rPr>
        <w:t xml:space="preserve"> </w:t>
      </w:r>
      <w:r>
        <w:rPr>
          <w:rFonts w:ascii="宋体" w:hAnsi="宋体" w:eastAsia="宋体" w:cs="宋体"/>
          <w:spacing w:val="4"/>
          <w:sz w:val="20"/>
          <w:szCs w:val="20"/>
        </w:rPr>
        <w:t>予以否决。</w:t>
      </w:r>
    </w:p>
    <w:p w14:paraId="0E548D5E">
      <w:pPr>
        <w:spacing w:before="161" w:line="302" w:lineRule="auto"/>
        <w:ind w:left="6" w:right="68" w:firstLine="413"/>
        <w:rPr>
          <w:rFonts w:ascii="宋体" w:hAnsi="宋体" w:eastAsia="宋体" w:cs="宋体"/>
          <w:sz w:val="20"/>
          <w:szCs w:val="20"/>
        </w:rPr>
      </w:pPr>
      <w:r>
        <w:rPr>
          <w:rFonts w:ascii="Calibri" w:hAnsi="Calibri" w:eastAsia="Calibri" w:cs="Calibri"/>
          <w:spacing w:val="8"/>
          <w:sz w:val="20"/>
          <w:szCs w:val="20"/>
        </w:rPr>
        <w:t xml:space="preserve">4.5.2  </w:t>
      </w:r>
      <w:r>
        <w:rPr>
          <w:rFonts w:ascii="宋体" w:hAnsi="宋体" w:eastAsia="宋体" w:cs="宋体"/>
          <w:spacing w:val="8"/>
          <w:sz w:val="20"/>
          <w:szCs w:val="20"/>
        </w:rPr>
        <w:t>第二章附件</w:t>
      </w:r>
      <w:r>
        <w:rPr>
          <w:rFonts w:ascii="宋体" w:hAnsi="宋体" w:eastAsia="宋体" w:cs="宋体"/>
          <w:spacing w:val="-55"/>
          <w:sz w:val="20"/>
          <w:szCs w:val="20"/>
        </w:rPr>
        <w:t xml:space="preserve"> </w:t>
      </w:r>
      <w:r>
        <w:rPr>
          <w:rFonts w:ascii="Calibri" w:hAnsi="Calibri" w:eastAsia="Calibri" w:cs="Calibri"/>
          <w:spacing w:val="8"/>
          <w:sz w:val="20"/>
          <w:szCs w:val="20"/>
        </w:rPr>
        <w:t xml:space="preserve">2-2 </w:t>
      </w:r>
      <w:r>
        <w:rPr>
          <w:rFonts w:ascii="宋体" w:hAnsi="宋体" w:eastAsia="宋体" w:cs="宋体"/>
          <w:spacing w:val="8"/>
          <w:sz w:val="20"/>
          <w:szCs w:val="20"/>
        </w:rPr>
        <w:t>集中列示的否决投标情形如果与第二章</w:t>
      </w:r>
      <w:r>
        <w:rPr>
          <w:rFonts w:ascii="Calibri" w:hAnsi="Calibri" w:eastAsia="Calibri" w:cs="Calibri"/>
          <w:spacing w:val="8"/>
          <w:sz w:val="20"/>
          <w:szCs w:val="20"/>
        </w:rPr>
        <w:t>“</w:t>
      </w:r>
      <w:r>
        <w:rPr>
          <w:rFonts w:ascii="宋体" w:hAnsi="宋体" w:eastAsia="宋体" w:cs="宋体"/>
          <w:spacing w:val="8"/>
          <w:sz w:val="20"/>
          <w:szCs w:val="20"/>
        </w:rPr>
        <w:t>投标人须知</w:t>
      </w:r>
      <w:r>
        <w:rPr>
          <w:rFonts w:ascii="Calibri" w:hAnsi="Calibri" w:eastAsia="Calibri" w:cs="Calibri"/>
          <w:spacing w:val="8"/>
          <w:sz w:val="20"/>
          <w:szCs w:val="20"/>
        </w:rPr>
        <w:t>”</w:t>
      </w:r>
      <w:r>
        <w:rPr>
          <w:rFonts w:ascii="宋体" w:hAnsi="宋体" w:eastAsia="宋体" w:cs="宋体"/>
          <w:spacing w:val="8"/>
          <w:sz w:val="20"/>
          <w:szCs w:val="20"/>
        </w:rPr>
        <w:t>和本章列示的否决投标条款相</w:t>
      </w:r>
      <w:r>
        <w:rPr>
          <w:rFonts w:ascii="宋体" w:hAnsi="宋体" w:eastAsia="宋体" w:cs="宋体"/>
          <w:sz w:val="20"/>
          <w:szCs w:val="20"/>
        </w:rPr>
        <w:t xml:space="preserve"> </w:t>
      </w:r>
      <w:r>
        <w:rPr>
          <w:rFonts w:ascii="宋体" w:hAnsi="宋体" w:eastAsia="宋体" w:cs="宋体"/>
          <w:spacing w:val="5"/>
          <w:sz w:val="20"/>
          <w:szCs w:val="20"/>
        </w:rPr>
        <w:t>互抵触和矛盾时，</w:t>
      </w:r>
      <w:r>
        <w:rPr>
          <w:rFonts w:ascii="宋体" w:hAnsi="宋体" w:eastAsia="宋体" w:cs="宋体"/>
          <w:spacing w:val="-53"/>
          <w:sz w:val="20"/>
          <w:szCs w:val="20"/>
        </w:rPr>
        <w:t xml:space="preserve"> </w:t>
      </w:r>
      <w:r>
        <w:rPr>
          <w:rFonts w:ascii="宋体" w:hAnsi="宋体" w:eastAsia="宋体" w:cs="宋体"/>
          <w:spacing w:val="5"/>
          <w:sz w:val="20"/>
          <w:szCs w:val="20"/>
        </w:rPr>
        <w:t>以附件</w:t>
      </w:r>
      <w:r>
        <w:rPr>
          <w:rFonts w:ascii="宋体" w:hAnsi="宋体" w:eastAsia="宋体" w:cs="宋体"/>
          <w:spacing w:val="-35"/>
          <w:sz w:val="20"/>
          <w:szCs w:val="20"/>
        </w:rPr>
        <w:t xml:space="preserve"> </w:t>
      </w:r>
      <w:r>
        <w:rPr>
          <w:rFonts w:ascii="Calibri" w:hAnsi="Calibri" w:eastAsia="Calibri" w:cs="Calibri"/>
          <w:spacing w:val="5"/>
          <w:sz w:val="20"/>
          <w:szCs w:val="20"/>
        </w:rPr>
        <w:t>2-2</w:t>
      </w:r>
      <w:r>
        <w:rPr>
          <w:rFonts w:ascii="Calibri" w:hAnsi="Calibri" w:eastAsia="Calibri" w:cs="Calibri"/>
          <w:spacing w:val="18"/>
          <w:sz w:val="20"/>
          <w:szCs w:val="20"/>
        </w:rPr>
        <w:t xml:space="preserve"> </w:t>
      </w:r>
      <w:r>
        <w:rPr>
          <w:rFonts w:ascii="宋体" w:hAnsi="宋体" w:eastAsia="宋体" w:cs="宋体"/>
          <w:spacing w:val="5"/>
          <w:sz w:val="20"/>
          <w:szCs w:val="20"/>
        </w:rPr>
        <w:t>集中列示的为准。</w:t>
      </w:r>
    </w:p>
    <w:p w14:paraId="7BED14E1">
      <w:pPr>
        <w:spacing w:before="166" w:line="222" w:lineRule="auto"/>
        <w:ind w:left="6"/>
        <w:outlineLvl w:val="1"/>
        <w:rPr>
          <w:rFonts w:ascii="黑体" w:hAnsi="黑体" w:eastAsia="黑体" w:cs="黑体"/>
          <w:sz w:val="24"/>
          <w:szCs w:val="24"/>
        </w:rPr>
      </w:pPr>
      <w:bookmarkStart w:id="174" w:name="_Toc29789"/>
      <w:r>
        <w:rPr>
          <w:rFonts w:ascii="Calibri" w:hAnsi="Calibri" w:eastAsia="Calibri" w:cs="Calibri"/>
          <w:spacing w:val="-1"/>
          <w:sz w:val="24"/>
          <w:szCs w:val="24"/>
        </w:rPr>
        <w:t>5.</w:t>
      </w:r>
      <w:r>
        <w:rPr>
          <w:rFonts w:ascii="黑体" w:hAnsi="黑体" w:eastAsia="黑体" w:cs="黑体"/>
          <w:spacing w:val="-1"/>
          <w:sz w:val="24"/>
          <w:szCs w:val="24"/>
        </w:rPr>
        <w:t>业绩及信用评审、投标报价评审</w:t>
      </w:r>
      <w:bookmarkEnd w:id="174"/>
    </w:p>
    <w:p w14:paraId="0CB55E70">
      <w:pPr>
        <w:spacing w:before="175" w:line="227" w:lineRule="auto"/>
        <w:ind w:left="422"/>
        <w:rPr>
          <w:rFonts w:ascii="宋体" w:hAnsi="宋体" w:eastAsia="宋体" w:cs="宋体"/>
          <w:sz w:val="20"/>
          <w:szCs w:val="20"/>
        </w:rPr>
      </w:pPr>
      <w:r>
        <w:rPr>
          <w:rFonts w:ascii="宋体" w:hAnsi="宋体" w:eastAsia="宋体" w:cs="宋体"/>
          <w:spacing w:val="9"/>
          <w:sz w:val="20"/>
          <w:szCs w:val="20"/>
        </w:rPr>
        <w:t>评标委员会按照规定的评审因素和标准进行评审计分。</w:t>
      </w:r>
    </w:p>
    <w:p w14:paraId="6C777ACC">
      <w:pPr>
        <w:spacing w:before="210" w:line="228" w:lineRule="auto"/>
        <w:ind w:left="425"/>
        <w:rPr>
          <w:rFonts w:ascii="宋体" w:hAnsi="宋体" w:eastAsia="宋体" w:cs="宋体"/>
          <w:sz w:val="20"/>
          <w:szCs w:val="20"/>
        </w:rPr>
      </w:pPr>
      <w:r>
        <w:rPr>
          <w:rFonts w:ascii="Calibri" w:hAnsi="Calibri" w:eastAsia="Calibri" w:cs="Calibri"/>
          <w:spacing w:val="7"/>
          <w:sz w:val="20"/>
          <w:szCs w:val="20"/>
        </w:rPr>
        <w:t xml:space="preserve">5.1  </w:t>
      </w:r>
      <w:r>
        <w:rPr>
          <w:rFonts w:ascii="宋体" w:hAnsi="宋体" w:eastAsia="宋体" w:cs="宋体"/>
          <w:spacing w:val="7"/>
          <w:sz w:val="20"/>
          <w:szCs w:val="20"/>
        </w:rPr>
        <w:t>业绩及信用评审计分</w:t>
      </w:r>
    </w:p>
    <w:p w14:paraId="1DE2E416">
      <w:pPr>
        <w:spacing w:line="228" w:lineRule="auto"/>
        <w:rPr>
          <w:rFonts w:ascii="宋体" w:hAnsi="宋体" w:eastAsia="宋体" w:cs="宋体"/>
          <w:sz w:val="20"/>
          <w:szCs w:val="20"/>
        </w:rPr>
        <w:sectPr>
          <w:footerReference r:id="rId25" w:type="default"/>
          <w:pgSz w:w="11907" w:h="16840"/>
          <w:pgMar w:top="1008" w:right="952" w:bottom="1029" w:left="1024" w:header="0" w:footer="850" w:gutter="0"/>
          <w:pgNumType w:fmt="decimal"/>
          <w:cols w:space="720" w:num="1"/>
        </w:sectPr>
      </w:pPr>
    </w:p>
    <w:p w14:paraId="3A6E411E">
      <w:pPr>
        <w:spacing w:before="41" w:line="226" w:lineRule="auto"/>
        <w:ind w:left="423"/>
        <w:rPr>
          <w:rFonts w:ascii="宋体" w:hAnsi="宋体" w:eastAsia="宋体" w:cs="宋体"/>
          <w:sz w:val="20"/>
          <w:szCs w:val="20"/>
        </w:rPr>
      </w:pPr>
      <w:r>
        <w:rPr>
          <w:rFonts w:ascii="Calibri" w:hAnsi="Calibri" w:eastAsia="Calibri" w:cs="Calibri"/>
          <w:spacing w:val="6"/>
          <w:sz w:val="20"/>
          <w:szCs w:val="20"/>
        </w:rPr>
        <w:t>5.2</w:t>
      </w:r>
      <w:r>
        <w:rPr>
          <w:rFonts w:ascii="Calibri" w:hAnsi="Calibri" w:eastAsia="Calibri" w:cs="Calibri"/>
          <w:spacing w:val="34"/>
          <w:sz w:val="20"/>
          <w:szCs w:val="20"/>
        </w:rPr>
        <w:t xml:space="preserve"> </w:t>
      </w:r>
      <w:r>
        <w:rPr>
          <w:rFonts w:ascii="宋体" w:hAnsi="宋体" w:eastAsia="宋体" w:cs="宋体"/>
          <w:spacing w:val="6"/>
          <w:sz w:val="20"/>
          <w:szCs w:val="20"/>
        </w:rPr>
        <w:t>投标报价评审按下列程序进行：</w:t>
      </w:r>
    </w:p>
    <w:p w14:paraId="775F51C3">
      <w:pPr>
        <w:spacing w:before="163" w:line="226" w:lineRule="auto"/>
        <w:ind w:left="425"/>
        <w:outlineLvl w:val="2"/>
        <w:rPr>
          <w:rFonts w:ascii="宋体" w:hAnsi="宋体" w:eastAsia="宋体" w:cs="宋体"/>
          <w:sz w:val="20"/>
          <w:szCs w:val="20"/>
        </w:rPr>
      </w:pPr>
      <w:bookmarkStart w:id="175" w:name="_Toc24898"/>
      <w:r>
        <w:rPr>
          <w:rFonts w:ascii="宋体" w:hAnsi="宋体" w:eastAsia="宋体" w:cs="宋体"/>
          <w:spacing w:val="6"/>
          <w:sz w:val="20"/>
          <w:szCs w:val="20"/>
        </w:rPr>
        <w:t>5.2.1</w:t>
      </w:r>
      <w:r>
        <w:rPr>
          <w:rFonts w:ascii="宋体" w:hAnsi="宋体" w:eastAsia="宋体" w:cs="宋体"/>
          <w:spacing w:val="-25"/>
          <w:sz w:val="20"/>
          <w:szCs w:val="20"/>
        </w:rPr>
        <w:t xml:space="preserve"> </w:t>
      </w:r>
      <w:r>
        <w:rPr>
          <w:rFonts w:ascii="宋体" w:hAnsi="宋体" w:eastAsia="宋体" w:cs="宋体"/>
          <w:spacing w:val="6"/>
          <w:sz w:val="20"/>
          <w:szCs w:val="20"/>
        </w:rPr>
        <w:t>是否以低于成本报价竞争</w:t>
      </w:r>
      <w:bookmarkEnd w:id="175"/>
    </w:p>
    <w:p w14:paraId="62527F13">
      <w:pPr>
        <w:spacing w:before="165" w:line="361" w:lineRule="auto"/>
        <w:ind w:right="2" w:firstLine="420"/>
        <w:rPr>
          <w:rFonts w:ascii="宋体" w:hAnsi="宋体" w:eastAsia="宋体" w:cs="宋体"/>
          <w:sz w:val="20"/>
          <w:szCs w:val="20"/>
        </w:rPr>
      </w:pPr>
      <w:r>
        <w:rPr>
          <w:rFonts w:ascii="宋体" w:hAnsi="宋体" w:eastAsia="宋体" w:cs="宋体"/>
          <w:spacing w:val="10"/>
          <w:sz w:val="20"/>
          <w:szCs w:val="20"/>
        </w:rPr>
        <w:t>评标委员会应当对低于报价评审警戒线的投标人的报价进行评审，以</w:t>
      </w:r>
      <w:r>
        <w:rPr>
          <w:rFonts w:ascii="宋体" w:hAnsi="宋体" w:eastAsia="宋体" w:cs="宋体"/>
          <w:spacing w:val="9"/>
          <w:sz w:val="20"/>
          <w:szCs w:val="20"/>
        </w:rPr>
        <w:t>判断投标报价是否低于成本。投标</w:t>
      </w:r>
      <w:r>
        <w:rPr>
          <w:rFonts w:ascii="宋体" w:hAnsi="宋体" w:eastAsia="宋体" w:cs="宋体"/>
          <w:sz w:val="20"/>
          <w:szCs w:val="20"/>
        </w:rPr>
        <w:t xml:space="preserve"> </w:t>
      </w:r>
      <w:r>
        <w:rPr>
          <w:rFonts w:ascii="宋体" w:hAnsi="宋体" w:eastAsia="宋体" w:cs="宋体"/>
          <w:spacing w:val="8"/>
          <w:sz w:val="20"/>
          <w:szCs w:val="20"/>
        </w:rPr>
        <w:t>报价成本评审按照第二章附件</w:t>
      </w:r>
      <w:r>
        <w:rPr>
          <w:rFonts w:ascii="宋体" w:hAnsi="宋体" w:eastAsia="宋体" w:cs="宋体"/>
          <w:spacing w:val="-36"/>
          <w:sz w:val="20"/>
          <w:szCs w:val="20"/>
        </w:rPr>
        <w:t xml:space="preserve"> </w:t>
      </w:r>
      <w:r>
        <w:rPr>
          <w:rFonts w:ascii="Calibri" w:hAnsi="Calibri" w:eastAsia="Calibri" w:cs="Calibri"/>
          <w:spacing w:val="8"/>
          <w:sz w:val="20"/>
          <w:szCs w:val="20"/>
        </w:rPr>
        <w:t>2-3</w:t>
      </w:r>
      <w:r>
        <w:rPr>
          <w:rFonts w:ascii="Calibri" w:hAnsi="Calibri" w:eastAsia="Calibri" w:cs="Calibri"/>
          <w:spacing w:val="37"/>
          <w:w w:val="102"/>
          <w:sz w:val="20"/>
          <w:szCs w:val="20"/>
        </w:rPr>
        <w:t xml:space="preserve"> </w:t>
      </w:r>
      <w:r>
        <w:rPr>
          <w:rFonts w:ascii="宋体" w:hAnsi="宋体" w:eastAsia="宋体" w:cs="宋体"/>
          <w:spacing w:val="8"/>
          <w:sz w:val="20"/>
          <w:szCs w:val="20"/>
        </w:rPr>
        <w:t>中的规定进行，对低于成本竞标的投标人予以否决。</w:t>
      </w:r>
    </w:p>
    <w:p w14:paraId="6E40C703">
      <w:pPr>
        <w:spacing w:before="33" w:line="226" w:lineRule="auto"/>
        <w:ind w:left="425"/>
        <w:outlineLvl w:val="2"/>
        <w:rPr>
          <w:rFonts w:ascii="宋体" w:hAnsi="宋体" w:eastAsia="宋体" w:cs="宋体"/>
          <w:sz w:val="20"/>
          <w:szCs w:val="20"/>
        </w:rPr>
      </w:pPr>
      <w:bookmarkStart w:id="176" w:name="_Toc22871"/>
      <w:r>
        <w:rPr>
          <w:rFonts w:ascii="宋体" w:hAnsi="宋体" w:eastAsia="宋体" w:cs="宋体"/>
          <w:spacing w:val="6"/>
          <w:sz w:val="20"/>
          <w:szCs w:val="20"/>
        </w:rPr>
        <w:t>5.2.2</w:t>
      </w:r>
      <w:r>
        <w:rPr>
          <w:rFonts w:ascii="宋体" w:hAnsi="宋体" w:eastAsia="宋体" w:cs="宋体"/>
          <w:spacing w:val="-34"/>
          <w:sz w:val="20"/>
          <w:szCs w:val="20"/>
        </w:rPr>
        <w:t xml:space="preserve"> </w:t>
      </w:r>
      <w:r>
        <w:rPr>
          <w:rFonts w:ascii="宋体" w:hAnsi="宋体" w:eastAsia="宋体" w:cs="宋体"/>
          <w:spacing w:val="6"/>
          <w:sz w:val="20"/>
          <w:szCs w:val="20"/>
        </w:rPr>
        <w:t>对投标总报价进行评审。</w:t>
      </w:r>
      <w:bookmarkEnd w:id="176"/>
    </w:p>
    <w:p w14:paraId="34BC2271">
      <w:pPr>
        <w:spacing w:before="164" w:line="363" w:lineRule="auto"/>
        <w:ind w:left="420" w:right="5211"/>
        <w:rPr>
          <w:rFonts w:ascii="宋体" w:hAnsi="宋体" w:eastAsia="宋体" w:cs="宋体"/>
          <w:sz w:val="20"/>
          <w:szCs w:val="20"/>
        </w:rPr>
      </w:pPr>
      <w:r>
        <w:rPr>
          <w:rFonts w:ascii="Calibri" w:hAnsi="Calibri" w:eastAsia="Calibri" w:cs="Calibri"/>
          <w:spacing w:val="7"/>
          <w:sz w:val="20"/>
          <w:szCs w:val="20"/>
        </w:rPr>
        <w:t>&lt;1&gt;</w:t>
      </w:r>
      <w:r>
        <w:rPr>
          <w:rFonts w:ascii="宋体" w:hAnsi="宋体" w:eastAsia="宋体" w:cs="宋体"/>
          <w:spacing w:val="7"/>
          <w:sz w:val="20"/>
          <w:szCs w:val="20"/>
        </w:rPr>
        <w:t>按照评标办法前附表的规定计算</w:t>
      </w:r>
      <w:r>
        <w:rPr>
          <w:rFonts w:ascii="Calibri" w:hAnsi="Calibri" w:eastAsia="Calibri" w:cs="Calibri"/>
          <w:spacing w:val="7"/>
          <w:sz w:val="20"/>
          <w:szCs w:val="20"/>
        </w:rPr>
        <w:t>“</w:t>
      </w:r>
      <w:r>
        <w:rPr>
          <w:rFonts w:ascii="宋体" w:hAnsi="宋体" w:eastAsia="宋体" w:cs="宋体"/>
          <w:spacing w:val="7"/>
          <w:sz w:val="20"/>
          <w:szCs w:val="20"/>
        </w:rPr>
        <w:t>基准</w:t>
      </w:r>
      <w:r>
        <w:rPr>
          <w:rFonts w:ascii="宋体" w:hAnsi="宋体" w:eastAsia="宋体" w:cs="宋体"/>
          <w:spacing w:val="6"/>
          <w:sz w:val="20"/>
          <w:szCs w:val="20"/>
        </w:rPr>
        <w:t>价</w:t>
      </w:r>
      <w:r>
        <w:rPr>
          <w:rFonts w:ascii="Calibri" w:hAnsi="Calibri" w:eastAsia="Calibri" w:cs="Calibri"/>
          <w:spacing w:val="6"/>
          <w:sz w:val="20"/>
          <w:szCs w:val="20"/>
        </w:rPr>
        <w:t>”</w:t>
      </w:r>
      <w:r>
        <w:rPr>
          <w:rFonts w:ascii="宋体" w:hAnsi="宋体" w:eastAsia="宋体" w:cs="宋体"/>
          <w:spacing w:val="6"/>
          <w:sz w:val="20"/>
          <w:szCs w:val="20"/>
        </w:rPr>
        <w:t>。</w:t>
      </w:r>
      <w:r>
        <w:rPr>
          <w:rFonts w:ascii="宋体" w:hAnsi="宋体" w:eastAsia="宋体" w:cs="宋体"/>
          <w:sz w:val="20"/>
          <w:szCs w:val="20"/>
        </w:rPr>
        <w:t xml:space="preserve"> </w:t>
      </w:r>
      <w:r>
        <w:rPr>
          <w:rFonts w:ascii="Calibri" w:hAnsi="Calibri" w:eastAsia="Calibri" w:cs="Calibri"/>
          <w:spacing w:val="7"/>
          <w:sz w:val="20"/>
          <w:szCs w:val="20"/>
        </w:rPr>
        <w:t>&lt;2&gt;</w:t>
      </w:r>
      <w:r>
        <w:rPr>
          <w:rFonts w:ascii="宋体" w:hAnsi="宋体" w:eastAsia="宋体" w:cs="宋体"/>
          <w:spacing w:val="7"/>
          <w:sz w:val="20"/>
          <w:szCs w:val="20"/>
        </w:rPr>
        <w:t>计算报价得分</w:t>
      </w:r>
    </w:p>
    <w:p w14:paraId="37B473AE">
      <w:pPr>
        <w:spacing w:before="31" w:line="361" w:lineRule="auto"/>
        <w:ind w:firstLine="422"/>
        <w:rPr>
          <w:rFonts w:ascii="宋体" w:hAnsi="宋体" w:eastAsia="宋体" w:cs="宋体"/>
          <w:sz w:val="20"/>
          <w:szCs w:val="20"/>
        </w:rPr>
      </w:pPr>
      <w:r>
        <w:rPr>
          <w:rFonts w:ascii="宋体" w:hAnsi="宋体" w:eastAsia="宋体" w:cs="宋体"/>
          <w:spacing w:val="10"/>
          <w:sz w:val="20"/>
          <w:szCs w:val="20"/>
        </w:rPr>
        <w:t>按照评标办法前附表的规定计算通过了形式、资格、响应性评审、施</w:t>
      </w:r>
      <w:r>
        <w:rPr>
          <w:rFonts w:ascii="宋体" w:hAnsi="宋体" w:eastAsia="宋体" w:cs="宋体"/>
          <w:spacing w:val="9"/>
          <w:sz w:val="20"/>
          <w:szCs w:val="20"/>
        </w:rPr>
        <w:t>工组织设计评审，并且未被认定为</w:t>
      </w:r>
      <w:r>
        <w:rPr>
          <w:rFonts w:ascii="宋体" w:hAnsi="宋体" w:eastAsia="宋体" w:cs="宋体"/>
          <w:sz w:val="20"/>
          <w:szCs w:val="20"/>
        </w:rPr>
        <w:t xml:space="preserve"> </w:t>
      </w:r>
      <w:r>
        <w:rPr>
          <w:rFonts w:ascii="宋体" w:hAnsi="宋体" w:eastAsia="宋体" w:cs="宋体"/>
          <w:spacing w:val="8"/>
          <w:sz w:val="20"/>
          <w:szCs w:val="20"/>
        </w:rPr>
        <w:t>低于成本竞争的投标人投标报价的</w:t>
      </w:r>
      <w:r>
        <w:rPr>
          <w:rFonts w:ascii="Calibri" w:hAnsi="Calibri" w:eastAsia="Calibri" w:cs="Calibri"/>
          <w:spacing w:val="8"/>
          <w:sz w:val="20"/>
          <w:szCs w:val="20"/>
        </w:rPr>
        <w:t>“</w:t>
      </w:r>
      <w:r>
        <w:rPr>
          <w:rFonts w:ascii="宋体" w:hAnsi="宋体" w:eastAsia="宋体" w:cs="宋体"/>
          <w:spacing w:val="8"/>
          <w:sz w:val="20"/>
          <w:szCs w:val="20"/>
        </w:rPr>
        <w:t>偏差率</w:t>
      </w:r>
      <w:r>
        <w:rPr>
          <w:rFonts w:ascii="Calibri" w:hAnsi="Calibri" w:eastAsia="Calibri" w:cs="Calibri"/>
          <w:spacing w:val="8"/>
          <w:sz w:val="20"/>
          <w:szCs w:val="20"/>
        </w:rPr>
        <w:t>”</w:t>
      </w:r>
      <w:r>
        <w:rPr>
          <w:rFonts w:ascii="宋体" w:hAnsi="宋体" w:eastAsia="宋体" w:cs="宋体"/>
          <w:spacing w:val="8"/>
          <w:sz w:val="20"/>
          <w:szCs w:val="20"/>
        </w:rPr>
        <w:t>。</w:t>
      </w:r>
    </w:p>
    <w:p w14:paraId="006D4D7E">
      <w:pPr>
        <w:spacing w:before="34" w:line="226" w:lineRule="auto"/>
        <w:ind w:left="423"/>
        <w:rPr>
          <w:rFonts w:ascii="宋体" w:hAnsi="宋体" w:eastAsia="宋体" w:cs="宋体"/>
          <w:sz w:val="20"/>
          <w:szCs w:val="20"/>
        </w:rPr>
      </w:pPr>
      <w:r>
        <w:rPr>
          <w:rFonts w:ascii="宋体" w:hAnsi="宋体" w:eastAsia="宋体" w:cs="宋体"/>
          <w:spacing w:val="9"/>
          <w:sz w:val="20"/>
          <w:szCs w:val="20"/>
        </w:rPr>
        <w:t>按照评标办法前附表中规定的评分标准，对照投标报价的偏差率，分别对投标报价进行计分。</w:t>
      </w:r>
    </w:p>
    <w:p w14:paraId="6C1C90E5">
      <w:pPr>
        <w:spacing w:before="165" w:line="228" w:lineRule="auto"/>
        <w:ind w:left="423"/>
        <w:rPr>
          <w:rFonts w:ascii="宋体" w:hAnsi="宋体" w:eastAsia="宋体" w:cs="宋体"/>
          <w:sz w:val="20"/>
          <w:szCs w:val="20"/>
        </w:rPr>
      </w:pPr>
      <w:r>
        <w:rPr>
          <w:rFonts w:ascii="Calibri" w:hAnsi="Calibri" w:eastAsia="Calibri" w:cs="Calibri"/>
          <w:spacing w:val="6"/>
          <w:sz w:val="20"/>
          <w:szCs w:val="20"/>
        </w:rPr>
        <w:t>5.3</w:t>
      </w:r>
      <w:r>
        <w:rPr>
          <w:rFonts w:ascii="Calibri" w:hAnsi="Calibri" w:eastAsia="Calibri" w:cs="Calibri"/>
          <w:spacing w:val="18"/>
          <w:w w:val="101"/>
          <w:sz w:val="20"/>
          <w:szCs w:val="20"/>
        </w:rPr>
        <w:t xml:space="preserve"> </w:t>
      </w:r>
      <w:r>
        <w:rPr>
          <w:rFonts w:ascii="宋体" w:hAnsi="宋体" w:eastAsia="宋体" w:cs="宋体"/>
          <w:spacing w:val="6"/>
          <w:sz w:val="20"/>
          <w:szCs w:val="20"/>
        </w:rPr>
        <w:t>澄清、说明或补正</w:t>
      </w:r>
    </w:p>
    <w:p w14:paraId="28BDC8BE">
      <w:pPr>
        <w:spacing w:before="161" w:line="367" w:lineRule="auto"/>
        <w:ind w:left="3" w:right="2" w:firstLine="417"/>
        <w:rPr>
          <w:rFonts w:ascii="宋体" w:hAnsi="宋体" w:eastAsia="宋体" w:cs="宋体"/>
          <w:sz w:val="20"/>
          <w:szCs w:val="20"/>
        </w:rPr>
      </w:pPr>
      <w:r>
        <w:rPr>
          <w:rFonts w:ascii="宋体" w:hAnsi="宋体" w:eastAsia="宋体" w:cs="宋体"/>
          <w:spacing w:val="10"/>
          <w:sz w:val="20"/>
          <w:szCs w:val="20"/>
        </w:rPr>
        <w:t>在评审过程中，评标委员会应当就投标文件中不明确的内容要求投标</w:t>
      </w:r>
      <w:r>
        <w:rPr>
          <w:rFonts w:ascii="宋体" w:hAnsi="宋体" w:eastAsia="宋体" w:cs="宋体"/>
          <w:spacing w:val="9"/>
          <w:sz w:val="20"/>
          <w:szCs w:val="20"/>
        </w:rPr>
        <w:t>人进行澄清、说明或者补正。投标</w:t>
      </w:r>
      <w:r>
        <w:rPr>
          <w:rFonts w:ascii="宋体" w:hAnsi="宋体" w:eastAsia="宋体" w:cs="宋体"/>
          <w:sz w:val="20"/>
          <w:szCs w:val="20"/>
        </w:rPr>
        <w:t xml:space="preserve"> </w:t>
      </w:r>
      <w:r>
        <w:rPr>
          <w:rFonts w:ascii="宋体" w:hAnsi="宋体" w:eastAsia="宋体" w:cs="宋体"/>
          <w:spacing w:val="10"/>
          <w:sz w:val="20"/>
          <w:szCs w:val="20"/>
        </w:rPr>
        <w:t>人应当在规定的时间内通过电子交易平台提供加盖公章或法定代表人</w:t>
      </w:r>
      <w:r>
        <w:rPr>
          <w:rFonts w:ascii="宋体" w:hAnsi="宋体" w:eastAsia="宋体" w:cs="宋体"/>
          <w:spacing w:val="9"/>
          <w:sz w:val="20"/>
          <w:szCs w:val="20"/>
        </w:rPr>
        <w:t>（或其委托代理人）签署的澄清、说明</w:t>
      </w:r>
      <w:r>
        <w:rPr>
          <w:rFonts w:ascii="宋体" w:hAnsi="宋体" w:eastAsia="宋体" w:cs="宋体"/>
          <w:sz w:val="20"/>
          <w:szCs w:val="20"/>
        </w:rPr>
        <w:t xml:space="preserve"> </w:t>
      </w:r>
      <w:r>
        <w:rPr>
          <w:rFonts w:ascii="宋体" w:hAnsi="宋体" w:eastAsia="宋体" w:cs="宋体"/>
          <w:spacing w:val="8"/>
          <w:sz w:val="20"/>
          <w:szCs w:val="20"/>
        </w:rPr>
        <w:t>或者补正资料。澄清、说明或补正按照评标办法正文第</w:t>
      </w:r>
      <w:r>
        <w:rPr>
          <w:rFonts w:ascii="宋体" w:hAnsi="宋体" w:eastAsia="宋体" w:cs="宋体"/>
          <w:spacing w:val="-33"/>
          <w:sz w:val="20"/>
          <w:szCs w:val="20"/>
        </w:rPr>
        <w:t xml:space="preserve"> </w:t>
      </w:r>
      <w:r>
        <w:rPr>
          <w:rFonts w:ascii="Calibri" w:hAnsi="Calibri" w:eastAsia="Calibri" w:cs="Calibri"/>
          <w:spacing w:val="8"/>
          <w:sz w:val="20"/>
          <w:szCs w:val="20"/>
        </w:rPr>
        <w:t>2.</w:t>
      </w:r>
      <w:r>
        <w:rPr>
          <w:rFonts w:ascii="Calibri" w:hAnsi="Calibri" w:eastAsia="Calibri" w:cs="Calibri"/>
          <w:spacing w:val="7"/>
          <w:sz w:val="20"/>
          <w:szCs w:val="20"/>
        </w:rPr>
        <w:t>3</w:t>
      </w:r>
      <w:r>
        <w:rPr>
          <w:rFonts w:ascii="Calibri" w:hAnsi="Calibri" w:eastAsia="Calibri" w:cs="Calibri"/>
          <w:spacing w:val="19"/>
          <w:sz w:val="20"/>
          <w:szCs w:val="20"/>
        </w:rPr>
        <w:t xml:space="preserve"> </w:t>
      </w:r>
      <w:r>
        <w:rPr>
          <w:rFonts w:ascii="宋体" w:hAnsi="宋体" w:eastAsia="宋体" w:cs="宋体"/>
          <w:spacing w:val="7"/>
          <w:sz w:val="20"/>
          <w:szCs w:val="20"/>
        </w:rPr>
        <w:t>项执行。</w:t>
      </w:r>
    </w:p>
    <w:p w14:paraId="6AB61C5C">
      <w:pPr>
        <w:spacing w:before="32" w:line="228" w:lineRule="auto"/>
        <w:ind w:left="423"/>
        <w:rPr>
          <w:rFonts w:ascii="宋体" w:hAnsi="宋体" w:eastAsia="宋体" w:cs="宋体"/>
          <w:sz w:val="20"/>
          <w:szCs w:val="20"/>
        </w:rPr>
      </w:pPr>
      <w:r>
        <w:rPr>
          <w:rFonts w:ascii="Calibri" w:hAnsi="Calibri" w:eastAsia="Calibri" w:cs="Calibri"/>
          <w:spacing w:val="5"/>
          <w:sz w:val="20"/>
          <w:szCs w:val="20"/>
        </w:rPr>
        <w:t>5.4</w:t>
      </w:r>
      <w:r>
        <w:rPr>
          <w:rFonts w:ascii="Calibri" w:hAnsi="Calibri" w:eastAsia="Calibri" w:cs="Calibri"/>
          <w:spacing w:val="19"/>
          <w:w w:val="101"/>
          <w:sz w:val="20"/>
          <w:szCs w:val="20"/>
        </w:rPr>
        <w:t xml:space="preserve"> </w:t>
      </w:r>
      <w:r>
        <w:rPr>
          <w:rFonts w:ascii="宋体" w:hAnsi="宋体" w:eastAsia="宋体" w:cs="宋体"/>
          <w:spacing w:val="5"/>
          <w:sz w:val="20"/>
          <w:szCs w:val="20"/>
        </w:rPr>
        <w:t>汇总评分结果</w:t>
      </w:r>
    </w:p>
    <w:p w14:paraId="2379EEE6">
      <w:pPr>
        <w:spacing w:before="160" w:line="356" w:lineRule="auto"/>
        <w:ind w:left="422" w:right="454" w:hanging="2"/>
        <w:rPr>
          <w:rFonts w:ascii="Calibri" w:hAnsi="Calibri" w:eastAsia="Calibri" w:cs="Calibri"/>
          <w:sz w:val="20"/>
          <w:szCs w:val="20"/>
        </w:rPr>
      </w:pPr>
      <w:r>
        <w:rPr>
          <w:rFonts w:ascii="宋体" w:hAnsi="宋体" w:eastAsia="宋体" w:cs="宋体"/>
          <w:spacing w:val="9"/>
          <w:sz w:val="20"/>
          <w:szCs w:val="20"/>
        </w:rPr>
        <w:t>评审工作全部结束后，汇总评审计分结果，并按照评标总得分由高至低的次序对投标人进</w:t>
      </w:r>
      <w:r>
        <w:rPr>
          <w:rFonts w:ascii="宋体" w:hAnsi="宋体" w:eastAsia="宋体" w:cs="宋体"/>
          <w:spacing w:val="8"/>
          <w:sz w:val="20"/>
          <w:szCs w:val="20"/>
        </w:rPr>
        <w:t>行排序。</w:t>
      </w:r>
      <w:r>
        <w:rPr>
          <w:rFonts w:ascii="宋体" w:hAnsi="宋体" w:eastAsia="宋体" w:cs="宋体"/>
          <w:sz w:val="20"/>
          <w:szCs w:val="20"/>
        </w:rPr>
        <w:t xml:space="preserve"> </w:t>
      </w:r>
      <w:r>
        <w:rPr>
          <w:rFonts w:ascii="Calibri" w:hAnsi="Calibri" w:eastAsia="Calibri" w:cs="Calibri"/>
          <w:spacing w:val="3"/>
          <w:sz w:val="20"/>
          <w:szCs w:val="20"/>
        </w:rPr>
        <w:t>C= J1×G+J2×H</w:t>
      </w:r>
    </w:p>
    <w:p w14:paraId="27A8ACA4">
      <w:pPr>
        <w:spacing w:before="47" w:line="362" w:lineRule="auto"/>
        <w:ind w:left="422" w:right="7236"/>
        <w:rPr>
          <w:rFonts w:ascii="宋体" w:hAnsi="宋体" w:eastAsia="宋体" w:cs="宋体"/>
          <w:sz w:val="20"/>
          <w:szCs w:val="20"/>
        </w:rPr>
      </w:pPr>
      <w:r>
        <w:rPr>
          <w:rFonts w:ascii="宋体" w:hAnsi="宋体" w:eastAsia="宋体" w:cs="宋体"/>
          <w:spacing w:val="8"/>
          <w:sz w:val="20"/>
          <w:szCs w:val="20"/>
        </w:rPr>
        <w:t>其中：</w:t>
      </w:r>
      <w:r>
        <w:rPr>
          <w:rFonts w:ascii="Calibri" w:hAnsi="Calibri" w:eastAsia="Calibri" w:cs="Calibri"/>
          <w:spacing w:val="8"/>
          <w:sz w:val="20"/>
          <w:szCs w:val="20"/>
        </w:rPr>
        <w:t>C</w:t>
      </w:r>
      <w:r>
        <w:rPr>
          <w:rFonts w:ascii="宋体" w:hAnsi="宋体" w:eastAsia="宋体" w:cs="宋体"/>
          <w:spacing w:val="8"/>
          <w:sz w:val="20"/>
          <w:szCs w:val="20"/>
        </w:rPr>
        <w:t>——评标总得分</w:t>
      </w:r>
      <w:r>
        <w:rPr>
          <w:rFonts w:ascii="宋体" w:hAnsi="宋体" w:eastAsia="宋体" w:cs="宋体"/>
          <w:spacing w:val="5"/>
          <w:sz w:val="20"/>
          <w:szCs w:val="20"/>
        </w:rPr>
        <w:t xml:space="preserve"> </w:t>
      </w:r>
      <w:r>
        <w:rPr>
          <w:rFonts w:ascii="Calibri" w:hAnsi="Calibri" w:eastAsia="Calibri" w:cs="Calibri"/>
          <w:spacing w:val="8"/>
          <w:sz w:val="20"/>
          <w:szCs w:val="20"/>
        </w:rPr>
        <w:t>G</w:t>
      </w:r>
      <w:r>
        <w:rPr>
          <w:rFonts w:ascii="宋体" w:hAnsi="宋体" w:eastAsia="宋体" w:cs="宋体"/>
          <w:spacing w:val="8"/>
          <w:sz w:val="20"/>
          <w:szCs w:val="20"/>
        </w:rPr>
        <w:t>——业绩及信用</w:t>
      </w:r>
    </w:p>
    <w:p w14:paraId="09B81BC4">
      <w:pPr>
        <w:spacing w:before="32" w:line="226" w:lineRule="auto"/>
        <w:ind w:left="431"/>
        <w:rPr>
          <w:rFonts w:ascii="宋体" w:hAnsi="宋体" w:eastAsia="宋体" w:cs="宋体"/>
          <w:sz w:val="20"/>
          <w:szCs w:val="20"/>
        </w:rPr>
      </w:pPr>
      <w:r>
        <w:rPr>
          <w:rFonts w:ascii="Calibri" w:hAnsi="Calibri" w:eastAsia="Calibri" w:cs="Calibri"/>
          <w:spacing w:val="7"/>
          <w:sz w:val="20"/>
          <w:szCs w:val="20"/>
        </w:rPr>
        <w:t>H</w:t>
      </w:r>
      <w:r>
        <w:rPr>
          <w:rFonts w:ascii="宋体" w:hAnsi="宋体" w:eastAsia="宋体" w:cs="宋体"/>
          <w:spacing w:val="7"/>
          <w:sz w:val="20"/>
          <w:szCs w:val="20"/>
        </w:rPr>
        <w:t>——投标报价评审得分</w:t>
      </w:r>
    </w:p>
    <w:p w14:paraId="3FABC785">
      <w:pPr>
        <w:spacing w:before="165" w:line="228" w:lineRule="auto"/>
        <w:ind w:left="414"/>
        <w:rPr>
          <w:rFonts w:ascii="宋体" w:hAnsi="宋体" w:eastAsia="宋体" w:cs="宋体"/>
          <w:sz w:val="20"/>
          <w:szCs w:val="20"/>
        </w:rPr>
      </w:pPr>
      <w:r>
        <w:rPr>
          <w:rFonts w:ascii="Calibri" w:hAnsi="Calibri" w:eastAsia="Calibri" w:cs="Calibri"/>
          <w:spacing w:val="7"/>
          <w:sz w:val="20"/>
          <w:szCs w:val="20"/>
        </w:rPr>
        <w:t>J1</w:t>
      </w:r>
      <w:r>
        <w:rPr>
          <w:rFonts w:ascii="Calibri" w:hAnsi="Calibri" w:eastAsia="Calibri" w:cs="Calibri"/>
          <w:spacing w:val="-23"/>
          <w:sz w:val="20"/>
          <w:szCs w:val="20"/>
        </w:rPr>
        <w:t xml:space="preserve"> </w:t>
      </w:r>
      <w:r>
        <w:rPr>
          <w:rFonts w:ascii="宋体" w:hAnsi="宋体" w:eastAsia="宋体" w:cs="宋体"/>
          <w:spacing w:val="7"/>
          <w:sz w:val="20"/>
          <w:szCs w:val="20"/>
        </w:rPr>
        <w:t>、</w:t>
      </w:r>
      <w:r>
        <w:rPr>
          <w:rFonts w:ascii="Calibri" w:hAnsi="Calibri" w:eastAsia="Calibri" w:cs="Calibri"/>
          <w:spacing w:val="7"/>
          <w:sz w:val="20"/>
          <w:szCs w:val="20"/>
        </w:rPr>
        <w:t>J2</w:t>
      </w:r>
      <w:r>
        <w:rPr>
          <w:rFonts w:ascii="宋体" w:hAnsi="宋体" w:eastAsia="宋体" w:cs="宋体"/>
          <w:spacing w:val="7"/>
          <w:sz w:val="20"/>
          <w:szCs w:val="20"/>
        </w:rPr>
        <w:t>——各项评审因素的权重</w:t>
      </w:r>
    </w:p>
    <w:p w14:paraId="080A96ED">
      <w:pPr>
        <w:spacing w:before="162" w:line="314" w:lineRule="auto"/>
        <w:ind w:left="246" w:right="3318" w:firstLine="177"/>
        <w:rPr>
          <w:rFonts w:ascii="黑体" w:hAnsi="黑体" w:eastAsia="黑体" w:cs="黑体"/>
          <w:sz w:val="24"/>
          <w:szCs w:val="24"/>
        </w:rPr>
      </w:pPr>
      <w:r>
        <w:rPr>
          <w:rFonts w:ascii="Calibri" w:hAnsi="Calibri" w:eastAsia="Calibri" w:cs="Calibri"/>
          <w:spacing w:val="7"/>
          <w:sz w:val="20"/>
          <w:szCs w:val="20"/>
        </w:rPr>
        <w:t>5.5</w:t>
      </w:r>
      <w:r>
        <w:rPr>
          <w:rFonts w:ascii="Calibri" w:hAnsi="Calibri" w:eastAsia="Calibri" w:cs="Calibri"/>
          <w:spacing w:val="27"/>
          <w:w w:val="101"/>
          <w:sz w:val="20"/>
          <w:szCs w:val="20"/>
        </w:rPr>
        <w:t xml:space="preserve"> </w:t>
      </w:r>
      <w:r>
        <w:rPr>
          <w:rFonts w:ascii="宋体" w:hAnsi="宋体" w:eastAsia="宋体" w:cs="宋体"/>
          <w:spacing w:val="7"/>
          <w:sz w:val="20"/>
          <w:szCs w:val="20"/>
        </w:rPr>
        <w:t>评分分值计算保留小数点后两位，小数点后第三位</w:t>
      </w:r>
      <w:r>
        <w:rPr>
          <w:rFonts w:ascii="Calibri" w:hAnsi="Calibri" w:eastAsia="Calibri" w:cs="Calibri"/>
          <w:spacing w:val="7"/>
          <w:sz w:val="20"/>
          <w:szCs w:val="20"/>
        </w:rPr>
        <w:t>“</w:t>
      </w:r>
      <w:r>
        <w:rPr>
          <w:rFonts w:ascii="宋体" w:hAnsi="宋体" w:eastAsia="宋体" w:cs="宋体"/>
          <w:spacing w:val="7"/>
          <w:sz w:val="20"/>
          <w:szCs w:val="20"/>
        </w:rPr>
        <w:t>四舍五入</w:t>
      </w:r>
      <w:r>
        <w:rPr>
          <w:rFonts w:ascii="Calibri" w:hAnsi="Calibri" w:eastAsia="Calibri" w:cs="Calibri"/>
          <w:spacing w:val="7"/>
          <w:sz w:val="20"/>
          <w:szCs w:val="20"/>
        </w:rPr>
        <w:t>”</w:t>
      </w:r>
      <w:r>
        <w:rPr>
          <w:rFonts w:ascii="宋体" w:hAnsi="宋体" w:eastAsia="宋体" w:cs="宋体"/>
          <w:spacing w:val="7"/>
          <w:sz w:val="20"/>
          <w:szCs w:val="20"/>
        </w:rPr>
        <w:t>。</w:t>
      </w:r>
      <w:r>
        <w:rPr>
          <w:rFonts w:ascii="宋体" w:hAnsi="宋体" w:eastAsia="宋体" w:cs="宋体"/>
          <w:sz w:val="20"/>
          <w:szCs w:val="20"/>
        </w:rPr>
        <w:t xml:space="preserve"> </w:t>
      </w:r>
      <w:r>
        <w:rPr>
          <w:rFonts w:ascii="Calibri" w:hAnsi="Calibri" w:eastAsia="Calibri" w:cs="Calibri"/>
          <w:spacing w:val="-6"/>
          <w:sz w:val="24"/>
          <w:szCs w:val="24"/>
        </w:rPr>
        <w:t>6.</w:t>
      </w:r>
      <w:r>
        <w:rPr>
          <w:rFonts w:ascii="Calibri" w:hAnsi="Calibri" w:eastAsia="Calibri" w:cs="Calibri"/>
          <w:spacing w:val="-20"/>
          <w:sz w:val="24"/>
          <w:szCs w:val="24"/>
        </w:rPr>
        <w:t xml:space="preserve"> </w:t>
      </w:r>
      <w:r>
        <w:rPr>
          <w:rFonts w:ascii="黑体" w:hAnsi="黑体" w:eastAsia="黑体" w:cs="黑体"/>
          <w:spacing w:val="-6"/>
          <w:sz w:val="24"/>
          <w:szCs w:val="24"/>
        </w:rPr>
        <w:t>中标人的确定</w:t>
      </w:r>
    </w:p>
    <w:p w14:paraId="43FC0D09">
      <w:pPr>
        <w:spacing w:before="175" w:line="227" w:lineRule="auto"/>
        <w:ind w:left="424"/>
        <w:rPr>
          <w:rFonts w:ascii="宋体" w:hAnsi="宋体" w:eastAsia="宋体" w:cs="宋体"/>
          <w:sz w:val="20"/>
          <w:szCs w:val="20"/>
        </w:rPr>
      </w:pPr>
      <w:r>
        <w:rPr>
          <w:rFonts w:ascii="Calibri" w:hAnsi="Calibri" w:eastAsia="Calibri" w:cs="Calibri"/>
          <w:spacing w:val="6"/>
          <w:sz w:val="20"/>
          <w:szCs w:val="20"/>
        </w:rPr>
        <w:t>6.1</w:t>
      </w:r>
      <w:r>
        <w:rPr>
          <w:rFonts w:ascii="Calibri" w:hAnsi="Calibri" w:eastAsia="Calibri" w:cs="Calibri"/>
          <w:spacing w:val="11"/>
          <w:w w:val="101"/>
          <w:sz w:val="20"/>
          <w:szCs w:val="20"/>
        </w:rPr>
        <w:t xml:space="preserve">  </w:t>
      </w:r>
      <w:r>
        <w:rPr>
          <w:rFonts w:ascii="宋体" w:hAnsi="宋体" w:eastAsia="宋体" w:cs="宋体"/>
          <w:spacing w:val="6"/>
          <w:sz w:val="20"/>
          <w:szCs w:val="20"/>
        </w:rPr>
        <w:t>推荐中标候选人</w:t>
      </w:r>
    </w:p>
    <w:p w14:paraId="356C87F9">
      <w:pPr>
        <w:spacing w:before="162" w:line="227" w:lineRule="auto"/>
        <w:ind w:left="424"/>
        <w:outlineLvl w:val="2"/>
        <w:rPr>
          <w:rFonts w:ascii="Calibri" w:hAnsi="Calibri" w:eastAsia="Calibri" w:cs="Calibri"/>
          <w:sz w:val="20"/>
          <w:szCs w:val="20"/>
        </w:rPr>
      </w:pPr>
      <w:bookmarkStart w:id="177" w:name="_Toc14968"/>
      <w:r>
        <w:rPr>
          <w:rFonts w:ascii="Calibri" w:hAnsi="Calibri" w:eastAsia="Calibri" w:cs="Calibri"/>
          <w:spacing w:val="8"/>
          <w:sz w:val="20"/>
          <w:szCs w:val="20"/>
        </w:rPr>
        <w:t>6.1.1</w:t>
      </w:r>
      <w:r>
        <w:rPr>
          <w:rFonts w:ascii="Calibri" w:hAnsi="Calibri" w:eastAsia="Calibri" w:cs="Calibri"/>
          <w:spacing w:val="17"/>
          <w:w w:val="101"/>
          <w:sz w:val="20"/>
          <w:szCs w:val="20"/>
        </w:rPr>
        <w:t xml:space="preserve"> </w:t>
      </w:r>
      <w:r>
        <w:rPr>
          <w:rFonts w:ascii="宋体" w:hAnsi="宋体" w:eastAsia="宋体" w:cs="宋体"/>
          <w:spacing w:val="8"/>
          <w:sz w:val="20"/>
          <w:szCs w:val="20"/>
        </w:rPr>
        <w:t>评标委员会在推荐中标候选人时，应遵照以</w:t>
      </w:r>
      <w:r>
        <w:rPr>
          <w:rFonts w:ascii="宋体" w:hAnsi="宋体" w:eastAsia="宋体" w:cs="宋体"/>
          <w:spacing w:val="7"/>
          <w:sz w:val="20"/>
          <w:szCs w:val="20"/>
        </w:rPr>
        <w:t>下原则</w:t>
      </w:r>
      <w:r>
        <w:rPr>
          <w:rFonts w:ascii="Calibri" w:hAnsi="Calibri" w:eastAsia="Calibri" w:cs="Calibri"/>
          <w:spacing w:val="7"/>
          <w:sz w:val="20"/>
          <w:szCs w:val="20"/>
        </w:rPr>
        <w:t>:</w:t>
      </w:r>
      <w:bookmarkEnd w:id="177"/>
    </w:p>
    <w:p w14:paraId="0AE11557">
      <w:pPr>
        <w:spacing w:before="162" w:line="302" w:lineRule="auto"/>
        <w:ind w:left="3" w:right="2" w:firstLine="428"/>
        <w:rPr>
          <w:rFonts w:ascii="宋体" w:hAnsi="宋体" w:eastAsia="宋体" w:cs="宋体"/>
          <w:sz w:val="20"/>
          <w:szCs w:val="20"/>
        </w:rPr>
      </w:pPr>
      <w:r>
        <w:rPr>
          <w:rFonts w:ascii="宋体" w:hAnsi="宋体" w:eastAsia="宋体" w:cs="宋体"/>
          <w:spacing w:val="10"/>
          <w:sz w:val="20"/>
          <w:szCs w:val="20"/>
        </w:rPr>
        <w:t>（</w:t>
      </w:r>
      <w:r>
        <w:rPr>
          <w:rFonts w:ascii="Calibri" w:hAnsi="Calibri" w:eastAsia="Calibri" w:cs="Calibri"/>
          <w:spacing w:val="10"/>
          <w:sz w:val="20"/>
          <w:szCs w:val="20"/>
        </w:rPr>
        <w:t>1</w:t>
      </w:r>
      <w:r>
        <w:rPr>
          <w:rFonts w:ascii="宋体" w:hAnsi="宋体" w:eastAsia="宋体" w:cs="宋体"/>
          <w:spacing w:val="10"/>
          <w:sz w:val="20"/>
          <w:szCs w:val="20"/>
        </w:rPr>
        <w:t>） 评标委员会按照评标总得分由高至低的次序排列，并根据第二章</w:t>
      </w:r>
      <w:r>
        <w:rPr>
          <w:rFonts w:ascii="Calibri" w:hAnsi="Calibri" w:eastAsia="Calibri" w:cs="Calibri"/>
          <w:spacing w:val="10"/>
          <w:sz w:val="20"/>
          <w:szCs w:val="20"/>
        </w:rPr>
        <w:t>“</w:t>
      </w:r>
      <w:r>
        <w:rPr>
          <w:rFonts w:ascii="宋体" w:hAnsi="宋体" w:eastAsia="宋体" w:cs="宋体"/>
          <w:spacing w:val="9"/>
          <w:sz w:val="20"/>
          <w:szCs w:val="20"/>
        </w:rPr>
        <w:t>投标人须知</w:t>
      </w:r>
      <w:r>
        <w:rPr>
          <w:rFonts w:ascii="Calibri" w:hAnsi="Calibri" w:eastAsia="Calibri" w:cs="Calibri"/>
          <w:spacing w:val="9"/>
          <w:sz w:val="20"/>
          <w:szCs w:val="20"/>
        </w:rPr>
        <w:t>”</w:t>
      </w:r>
      <w:r>
        <w:rPr>
          <w:rFonts w:ascii="宋体" w:hAnsi="宋体" w:eastAsia="宋体" w:cs="宋体"/>
          <w:spacing w:val="9"/>
          <w:sz w:val="20"/>
          <w:szCs w:val="20"/>
        </w:rPr>
        <w:t>前规定的中标候选</w:t>
      </w:r>
      <w:r>
        <w:rPr>
          <w:rFonts w:ascii="宋体" w:hAnsi="宋体" w:eastAsia="宋体" w:cs="宋体"/>
          <w:sz w:val="20"/>
          <w:szCs w:val="20"/>
        </w:rPr>
        <w:t xml:space="preserve"> </w:t>
      </w:r>
      <w:r>
        <w:rPr>
          <w:rFonts w:ascii="宋体" w:hAnsi="宋体" w:eastAsia="宋体" w:cs="宋体"/>
          <w:spacing w:val="9"/>
          <w:sz w:val="20"/>
          <w:szCs w:val="20"/>
        </w:rPr>
        <w:t>人数量，将排序在前的投标人推荐为中标候选人。</w:t>
      </w:r>
    </w:p>
    <w:p w14:paraId="305EBD85">
      <w:pPr>
        <w:spacing w:before="161" w:line="302" w:lineRule="auto"/>
        <w:ind w:right="2" w:firstLine="430"/>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2</w:t>
      </w:r>
      <w:r>
        <w:rPr>
          <w:rFonts w:ascii="宋体" w:hAnsi="宋体" w:eastAsia="宋体" w:cs="宋体"/>
          <w:spacing w:val="9"/>
          <w:sz w:val="20"/>
          <w:szCs w:val="20"/>
        </w:rPr>
        <w:t>） 评标委员会根据规定予以否决投标后，如果因有效投标不足</w:t>
      </w:r>
      <w:r>
        <w:rPr>
          <w:rFonts w:ascii="宋体" w:hAnsi="宋体" w:eastAsia="宋体" w:cs="宋体"/>
          <w:spacing w:val="-37"/>
          <w:sz w:val="20"/>
          <w:szCs w:val="20"/>
        </w:rPr>
        <w:t xml:space="preserve"> </w:t>
      </w:r>
      <w:r>
        <w:rPr>
          <w:rFonts w:ascii="Calibri" w:hAnsi="Calibri" w:eastAsia="Calibri" w:cs="Calibri"/>
          <w:spacing w:val="8"/>
          <w:sz w:val="20"/>
          <w:szCs w:val="20"/>
        </w:rPr>
        <w:t>3</w:t>
      </w:r>
      <w:r>
        <w:rPr>
          <w:rFonts w:ascii="Calibri" w:hAnsi="Calibri" w:eastAsia="Calibri" w:cs="Calibri"/>
          <w:spacing w:val="15"/>
          <w:w w:val="102"/>
          <w:sz w:val="20"/>
          <w:szCs w:val="20"/>
        </w:rPr>
        <w:t xml:space="preserve"> </w:t>
      </w:r>
      <w:r>
        <w:rPr>
          <w:rFonts w:ascii="宋体" w:hAnsi="宋体" w:eastAsia="宋体" w:cs="宋体"/>
          <w:spacing w:val="8"/>
          <w:sz w:val="20"/>
          <w:szCs w:val="20"/>
        </w:rPr>
        <w:t>个使得投标明显缺乏竞争的，评标</w:t>
      </w:r>
      <w:r>
        <w:rPr>
          <w:rFonts w:ascii="宋体" w:hAnsi="宋体" w:eastAsia="宋体" w:cs="宋体"/>
          <w:sz w:val="20"/>
          <w:szCs w:val="20"/>
        </w:rPr>
        <w:t xml:space="preserve"> </w:t>
      </w:r>
      <w:r>
        <w:rPr>
          <w:rFonts w:ascii="宋体" w:hAnsi="宋体" w:eastAsia="宋体" w:cs="宋体"/>
          <w:spacing w:val="8"/>
          <w:sz w:val="20"/>
          <w:szCs w:val="20"/>
        </w:rPr>
        <w:t>委员会可以建议招标人重新招标。</w:t>
      </w:r>
    </w:p>
    <w:p w14:paraId="5AE50F41">
      <w:pPr>
        <w:spacing w:before="165" w:line="227" w:lineRule="auto"/>
        <w:ind w:left="424"/>
        <w:rPr>
          <w:rFonts w:ascii="宋体" w:hAnsi="宋体" w:eastAsia="宋体" w:cs="宋体"/>
          <w:sz w:val="20"/>
          <w:szCs w:val="20"/>
        </w:rPr>
      </w:pPr>
      <w:r>
        <w:rPr>
          <w:rFonts w:ascii="Calibri" w:hAnsi="Calibri" w:eastAsia="Calibri" w:cs="Calibri"/>
          <w:spacing w:val="8"/>
          <w:sz w:val="20"/>
          <w:szCs w:val="20"/>
        </w:rPr>
        <w:t>6.1.2</w:t>
      </w:r>
      <w:r>
        <w:rPr>
          <w:rFonts w:ascii="Calibri" w:hAnsi="Calibri" w:eastAsia="Calibri" w:cs="Calibri"/>
          <w:spacing w:val="14"/>
          <w:sz w:val="20"/>
          <w:szCs w:val="20"/>
        </w:rPr>
        <w:t xml:space="preserve">  </w:t>
      </w:r>
      <w:r>
        <w:rPr>
          <w:rFonts w:ascii="宋体" w:hAnsi="宋体" w:eastAsia="宋体" w:cs="宋体"/>
          <w:spacing w:val="8"/>
          <w:sz w:val="20"/>
          <w:szCs w:val="20"/>
        </w:rPr>
        <w:t>投标人数量少于</w:t>
      </w:r>
      <w:r>
        <w:rPr>
          <w:rFonts w:ascii="宋体" w:hAnsi="宋体" w:eastAsia="宋体" w:cs="宋体"/>
          <w:spacing w:val="-37"/>
          <w:sz w:val="20"/>
          <w:szCs w:val="20"/>
        </w:rPr>
        <w:t xml:space="preserve"> </w:t>
      </w:r>
      <w:r>
        <w:rPr>
          <w:rFonts w:ascii="Calibri" w:hAnsi="Calibri" w:eastAsia="Calibri" w:cs="Calibri"/>
          <w:spacing w:val="8"/>
          <w:sz w:val="20"/>
          <w:szCs w:val="20"/>
        </w:rPr>
        <w:t>3</w:t>
      </w:r>
      <w:r>
        <w:rPr>
          <w:rFonts w:ascii="Calibri" w:hAnsi="Calibri" w:eastAsia="Calibri" w:cs="Calibri"/>
          <w:spacing w:val="16"/>
          <w:sz w:val="20"/>
          <w:szCs w:val="20"/>
        </w:rPr>
        <w:t xml:space="preserve"> </w:t>
      </w:r>
      <w:r>
        <w:rPr>
          <w:rFonts w:ascii="宋体" w:hAnsi="宋体" w:eastAsia="宋体" w:cs="宋体"/>
          <w:spacing w:val="8"/>
          <w:sz w:val="20"/>
          <w:szCs w:val="20"/>
        </w:rPr>
        <w:t>个或者所有投</w:t>
      </w:r>
      <w:r>
        <w:rPr>
          <w:rFonts w:ascii="宋体" w:hAnsi="宋体" w:eastAsia="宋体" w:cs="宋体"/>
          <w:spacing w:val="7"/>
          <w:sz w:val="20"/>
          <w:szCs w:val="20"/>
        </w:rPr>
        <w:t>标被否决的，招标人应当依法重新招标。</w:t>
      </w:r>
    </w:p>
    <w:p w14:paraId="7297C2F5">
      <w:pPr>
        <w:spacing w:before="162" w:line="228" w:lineRule="auto"/>
        <w:ind w:left="424"/>
        <w:rPr>
          <w:rFonts w:ascii="宋体" w:hAnsi="宋体" w:eastAsia="宋体" w:cs="宋体"/>
          <w:sz w:val="20"/>
          <w:szCs w:val="20"/>
        </w:rPr>
      </w:pPr>
      <w:r>
        <w:rPr>
          <w:rFonts w:ascii="Calibri" w:hAnsi="Calibri" w:eastAsia="Calibri" w:cs="Calibri"/>
          <w:spacing w:val="5"/>
          <w:sz w:val="20"/>
          <w:szCs w:val="20"/>
        </w:rPr>
        <w:t>6.2</w:t>
      </w:r>
      <w:r>
        <w:rPr>
          <w:rFonts w:ascii="Calibri" w:hAnsi="Calibri" w:eastAsia="Calibri" w:cs="Calibri"/>
          <w:spacing w:val="11"/>
          <w:w w:val="101"/>
          <w:sz w:val="20"/>
          <w:szCs w:val="20"/>
        </w:rPr>
        <w:t xml:space="preserve">  </w:t>
      </w:r>
      <w:r>
        <w:rPr>
          <w:rFonts w:ascii="宋体" w:hAnsi="宋体" w:eastAsia="宋体" w:cs="宋体"/>
          <w:spacing w:val="5"/>
          <w:sz w:val="20"/>
          <w:szCs w:val="20"/>
        </w:rPr>
        <w:t>确定中标人</w:t>
      </w:r>
    </w:p>
    <w:p w14:paraId="3FC7F551">
      <w:pPr>
        <w:spacing w:before="161" w:line="227" w:lineRule="auto"/>
        <w:ind w:left="422"/>
        <w:rPr>
          <w:rFonts w:ascii="宋体" w:hAnsi="宋体" w:eastAsia="宋体" w:cs="宋体"/>
          <w:sz w:val="20"/>
          <w:szCs w:val="20"/>
        </w:rPr>
      </w:pPr>
      <w:r>
        <w:rPr>
          <w:rFonts w:ascii="宋体" w:hAnsi="宋体" w:eastAsia="宋体" w:cs="宋体"/>
          <w:spacing w:val="9"/>
          <w:sz w:val="20"/>
          <w:szCs w:val="20"/>
        </w:rPr>
        <w:t>招标人对评标委员会推荐的中标候选人进行公示。公示期满，按照相关规定确定中标人。</w:t>
      </w:r>
    </w:p>
    <w:p w14:paraId="7E45147C">
      <w:pPr>
        <w:spacing w:before="162" w:line="226" w:lineRule="auto"/>
        <w:ind w:left="424"/>
        <w:rPr>
          <w:rFonts w:ascii="宋体" w:hAnsi="宋体" w:eastAsia="宋体" w:cs="宋体"/>
          <w:sz w:val="20"/>
          <w:szCs w:val="20"/>
        </w:rPr>
      </w:pPr>
      <w:r>
        <w:rPr>
          <w:rFonts w:ascii="Calibri" w:hAnsi="Calibri" w:eastAsia="Calibri" w:cs="Calibri"/>
          <w:spacing w:val="5"/>
          <w:sz w:val="20"/>
          <w:szCs w:val="20"/>
        </w:rPr>
        <w:t>6.3</w:t>
      </w:r>
      <w:r>
        <w:rPr>
          <w:rFonts w:ascii="Calibri" w:hAnsi="Calibri" w:eastAsia="Calibri" w:cs="Calibri"/>
          <w:spacing w:val="13"/>
          <w:sz w:val="20"/>
          <w:szCs w:val="20"/>
        </w:rPr>
        <w:t xml:space="preserve">  </w:t>
      </w:r>
      <w:r>
        <w:rPr>
          <w:rFonts w:ascii="宋体" w:hAnsi="宋体" w:eastAsia="宋体" w:cs="宋体"/>
          <w:spacing w:val="5"/>
          <w:sz w:val="20"/>
          <w:szCs w:val="20"/>
        </w:rPr>
        <w:t>编制评标报告</w:t>
      </w:r>
    </w:p>
    <w:p w14:paraId="42BD0E1B">
      <w:pPr>
        <w:spacing w:before="166" w:line="361" w:lineRule="auto"/>
        <w:ind w:left="2" w:firstLine="418"/>
        <w:rPr>
          <w:rFonts w:ascii="宋体" w:hAnsi="宋体" w:eastAsia="宋体" w:cs="宋体"/>
          <w:sz w:val="20"/>
          <w:szCs w:val="20"/>
        </w:rPr>
      </w:pPr>
      <w:r>
        <w:rPr>
          <w:rFonts w:ascii="宋体" w:hAnsi="宋体" w:eastAsia="宋体" w:cs="宋体"/>
          <w:spacing w:val="10"/>
          <w:sz w:val="20"/>
          <w:szCs w:val="20"/>
        </w:rPr>
        <w:t>评标委员会根据评标办法的规定向招标人提交评标报告。评标报告应当由全</w:t>
      </w:r>
      <w:r>
        <w:rPr>
          <w:rFonts w:ascii="宋体" w:hAnsi="宋体" w:eastAsia="宋体" w:cs="宋体"/>
          <w:spacing w:val="9"/>
          <w:sz w:val="20"/>
          <w:szCs w:val="20"/>
        </w:rPr>
        <w:t>体评标委员会成员签字。评</w:t>
      </w:r>
      <w:r>
        <w:rPr>
          <w:rFonts w:ascii="宋体" w:hAnsi="宋体" w:eastAsia="宋体" w:cs="宋体"/>
          <w:sz w:val="20"/>
          <w:szCs w:val="20"/>
        </w:rPr>
        <w:t xml:space="preserve"> </w:t>
      </w:r>
      <w:r>
        <w:rPr>
          <w:rFonts w:ascii="宋体" w:hAnsi="宋体" w:eastAsia="宋体" w:cs="宋体"/>
          <w:spacing w:val="8"/>
          <w:sz w:val="20"/>
          <w:szCs w:val="20"/>
        </w:rPr>
        <w:t>标报告应当包括以下内容：</w:t>
      </w:r>
    </w:p>
    <w:p w14:paraId="393D60FE">
      <w:pPr>
        <w:spacing w:before="105" w:line="227" w:lineRule="auto"/>
        <w:ind w:left="431"/>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1</w:t>
      </w:r>
      <w:r>
        <w:rPr>
          <w:rFonts w:ascii="宋体" w:hAnsi="宋体" w:eastAsia="宋体" w:cs="宋体"/>
          <w:spacing w:val="7"/>
          <w:sz w:val="20"/>
          <w:szCs w:val="20"/>
        </w:rPr>
        <w:t>）基本情况和数据表；</w:t>
      </w:r>
    </w:p>
    <w:p w14:paraId="428CC53C">
      <w:pPr>
        <w:spacing w:line="227" w:lineRule="auto"/>
        <w:rPr>
          <w:rFonts w:ascii="宋体" w:hAnsi="宋体" w:eastAsia="宋体" w:cs="宋体"/>
          <w:sz w:val="20"/>
          <w:szCs w:val="20"/>
        </w:rPr>
        <w:sectPr>
          <w:footerReference r:id="rId26" w:type="default"/>
          <w:pgSz w:w="11907" w:h="16840"/>
          <w:pgMar w:top="1008" w:right="1020" w:bottom="1029" w:left="1026" w:header="0" w:footer="850" w:gutter="0"/>
          <w:pgNumType w:fmt="decimal"/>
          <w:cols w:space="720" w:num="1"/>
        </w:sectPr>
      </w:pPr>
    </w:p>
    <w:p w14:paraId="1DCC4AFB">
      <w:pPr>
        <w:spacing w:before="41" w:line="227" w:lineRule="auto"/>
        <w:ind w:left="430"/>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2</w:t>
      </w:r>
      <w:r>
        <w:rPr>
          <w:rFonts w:ascii="宋体" w:hAnsi="宋体" w:eastAsia="宋体" w:cs="宋体"/>
          <w:spacing w:val="7"/>
          <w:sz w:val="20"/>
          <w:szCs w:val="20"/>
        </w:rPr>
        <w:t>）评标委员会成员名单；</w:t>
      </w:r>
    </w:p>
    <w:p w14:paraId="768132E3">
      <w:pPr>
        <w:spacing w:before="167" w:line="228" w:lineRule="auto"/>
        <w:ind w:left="430"/>
        <w:rPr>
          <w:rFonts w:ascii="宋体" w:hAnsi="宋体" w:eastAsia="宋体" w:cs="宋体"/>
          <w:sz w:val="20"/>
          <w:szCs w:val="20"/>
        </w:rPr>
      </w:pPr>
      <w:r>
        <w:rPr>
          <w:rFonts w:ascii="宋体" w:hAnsi="宋体" w:eastAsia="宋体" w:cs="宋体"/>
          <w:spacing w:val="5"/>
          <w:sz w:val="20"/>
          <w:szCs w:val="20"/>
        </w:rPr>
        <w:t>（</w:t>
      </w:r>
      <w:r>
        <w:rPr>
          <w:rFonts w:ascii="Calibri" w:hAnsi="Calibri" w:eastAsia="Calibri" w:cs="Calibri"/>
          <w:spacing w:val="5"/>
          <w:sz w:val="20"/>
          <w:szCs w:val="20"/>
        </w:rPr>
        <w:t>3</w:t>
      </w:r>
      <w:r>
        <w:rPr>
          <w:rFonts w:ascii="宋体" w:hAnsi="宋体" w:eastAsia="宋体" w:cs="宋体"/>
          <w:spacing w:val="5"/>
          <w:sz w:val="20"/>
          <w:szCs w:val="20"/>
        </w:rPr>
        <w:t>）开标记录；</w:t>
      </w:r>
    </w:p>
    <w:p w14:paraId="75067CD6">
      <w:pPr>
        <w:spacing w:before="165" w:line="228" w:lineRule="auto"/>
        <w:ind w:left="430"/>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4</w:t>
      </w:r>
      <w:r>
        <w:rPr>
          <w:rFonts w:ascii="宋体" w:hAnsi="宋体" w:eastAsia="宋体" w:cs="宋体"/>
          <w:spacing w:val="7"/>
          <w:sz w:val="20"/>
          <w:szCs w:val="20"/>
        </w:rPr>
        <w:t>）符合要求的投标一览表；</w:t>
      </w:r>
    </w:p>
    <w:p w14:paraId="77E8D899">
      <w:pPr>
        <w:spacing w:before="165" w:line="228" w:lineRule="auto"/>
        <w:ind w:left="430"/>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5</w:t>
      </w:r>
      <w:r>
        <w:rPr>
          <w:rFonts w:ascii="宋体" w:hAnsi="宋体" w:eastAsia="宋体" w:cs="宋体"/>
          <w:spacing w:val="7"/>
          <w:sz w:val="20"/>
          <w:szCs w:val="20"/>
        </w:rPr>
        <w:t>）否决投标情况说明；</w:t>
      </w:r>
    </w:p>
    <w:p w14:paraId="4CE334E9">
      <w:pPr>
        <w:spacing w:before="165" w:line="228" w:lineRule="auto"/>
        <w:ind w:left="430"/>
        <w:rPr>
          <w:rFonts w:ascii="宋体" w:hAnsi="宋体" w:eastAsia="宋体" w:cs="宋体"/>
          <w:sz w:val="20"/>
          <w:szCs w:val="20"/>
        </w:rPr>
      </w:pPr>
      <w:r>
        <w:rPr>
          <w:rFonts w:ascii="宋体" w:hAnsi="宋体" w:eastAsia="宋体" w:cs="宋体"/>
          <w:spacing w:val="8"/>
          <w:sz w:val="20"/>
          <w:szCs w:val="20"/>
        </w:rPr>
        <w:t>（</w:t>
      </w:r>
      <w:r>
        <w:rPr>
          <w:rFonts w:ascii="Calibri" w:hAnsi="Calibri" w:eastAsia="Calibri" w:cs="Calibri"/>
          <w:spacing w:val="8"/>
          <w:sz w:val="20"/>
          <w:szCs w:val="20"/>
        </w:rPr>
        <w:t>6</w:t>
      </w:r>
      <w:r>
        <w:rPr>
          <w:rFonts w:ascii="宋体" w:hAnsi="宋体" w:eastAsia="宋体" w:cs="宋体"/>
          <w:spacing w:val="8"/>
          <w:sz w:val="20"/>
          <w:szCs w:val="20"/>
        </w:rPr>
        <w:t>）评标标准、评标方法或者评标因素一览表；</w:t>
      </w:r>
    </w:p>
    <w:p w14:paraId="510D03BE">
      <w:pPr>
        <w:spacing w:before="166" w:line="270" w:lineRule="auto"/>
        <w:ind w:left="3" w:right="35" w:firstLine="427"/>
        <w:rPr>
          <w:rFonts w:ascii="宋体" w:hAnsi="宋体" w:eastAsia="宋体" w:cs="宋体"/>
          <w:sz w:val="20"/>
          <w:szCs w:val="20"/>
        </w:rPr>
      </w:pPr>
      <w:r>
        <w:rPr>
          <w:rFonts w:ascii="宋体" w:hAnsi="宋体" w:eastAsia="宋体" w:cs="宋体"/>
          <w:spacing w:val="11"/>
          <w:sz w:val="20"/>
          <w:szCs w:val="20"/>
        </w:rPr>
        <w:t>（</w:t>
      </w:r>
      <w:r>
        <w:rPr>
          <w:rFonts w:ascii="Calibri" w:hAnsi="Calibri" w:eastAsia="Calibri" w:cs="Calibri"/>
          <w:spacing w:val="11"/>
          <w:sz w:val="20"/>
          <w:szCs w:val="20"/>
        </w:rPr>
        <w:t>7</w:t>
      </w:r>
      <w:r>
        <w:rPr>
          <w:rFonts w:ascii="宋体" w:hAnsi="宋体" w:eastAsia="宋体" w:cs="宋体"/>
          <w:spacing w:val="11"/>
          <w:sz w:val="20"/>
          <w:szCs w:val="20"/>
        </w:rPr>
        <w:t>）经评审的价格一览表（包括评标委员会在评标过程中所形成的所有记载评标结果、结</w:t>
      </w:r>
      <w:r>
        <w:rPr>
          <w:rFonts w:ascii="宋体" w:hAnsi="宋体" w:eastAsia="宋体" w:cs="宋体"/>
          <w:spacing w:val="10"/>
          <w:sz w:val="20"/>
          <w:szCs w:val="20"/>
        </w:rPr>
        <w:t>论的表格、</w:t>
      </w:r>
      <w:r>
        <w:rPr>
          <w:rFonts w:ascii="宋体" w:hAnsi="宋体" w:eastAsia="宋体" w:cs="宋体"/>
          <w:sz w:val="20"/>
          <w:szCs w:val="20"/>
        </w:rPr>
        <w:t xml:space="preserve"> </w:t>
      </w:r>
      <w:r>
        <w:rPr>
          <w:rFonts w:ascii="宋体" w:hAnsi="宋体" w:eastAsia="宋体" w:cs="宋体"/>
          <w:spacing w:val="8"/>
          <w:sz w:val="20"/>
          <w:szCs w:val="20"/>
        </w:rPr>
        <w:t>说明、记录等文件</w:t>
      </w:r>
      <w:r>
        <w:rPr>
          <w:rFonts w:ascii="宋体" w:hAnsi="宋体" w:eastAsia="宋体" w:cs="宋体"/>
          <w:spacing w:val="1"/>
          <w:sz w:val="20"/>
          <w:szCs w:val="20"/>
        </w:rPr>
        <w:t>）；</w:t>
      </w:r>
    </w:p>
    <w:p w14:paraId="0187C0A1">
      <w:pPr>
        <w:spacing w:before="167" w:line="228" w:lineRule="auto"/>
        <w:ind w:left="430"/>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8</w:t>
      </w:r>
      <w:r>
        <w:rPr>
          <w:rFonts w:ascii="宋体" w:hAnsi="宋体" w:eastAsia="宋体" w:cs="宋体"/>
          <w:spacing w:val="7"/>
          <w:sz w:val="20"/>
          <w:szCs w:val="20"/>
        </w:rPr>
        <w:t>）经评审的投标人排序；</w:t>
      </w:r>
    </w:p>
    <w:p w14:paraId="64028993">
      <w:pPr>
        <w:spacing w:before="165" w:line="227" w:lineRule="auto"/>
        <w:ind w:left="430"/>
        <w:rPr>
          <w:rFonts w:ascii="宋体" w:hAnsi="宋体" w:eastAsia="宋体" w:cs="宋体"/>
          <w:sz w:val="20"/>
          <w:szCs w:val="20"/>
        </w:rPr>
      </w:pPr>
      <w:r>
        <w:rPr>
          <w:rFonts w:ascii="宋体" w:hAnsi="宋体" w:eastAsia="宋体" w:cs="宋体"/>
          <w:spacing w:val="8"/>
          <w:sz w:val="20"/>
          <w:szCs w:val="20"/>
        </w:rPr>
        <w:t>（</w:t>
      </w:r>
      <w:r>
        <w:rPr>
          <w:rFonts w:ascii="Calibri" w:hAnsi="Calibri" w:eastAsia="Calibri" w:cs="Calibri"/>
          <w:spacing w:val="8"/>
          <w:sz w:val="20"/>
          <w:szCs w:val="20"/>
        </w:rPr>
        <w:t>9</w:t>
      </w:r>
      <w:r>
        <w:rPr>
          <w:rFonts w:ascii="宋体" w:hAnsi="宋体" w:eastAsia="宋体" w:cs="宋体"/>
          <w:spacing w:val="8"/>
          <w:sz w:val="20"/>
          <w:szCs w:val="20"/>
        </w:rPr>
        <w:t>）推荐的中标候选人名单与签订合同前要处理的事宜；</w:t>
      </w:r>
    </w:p>
    <w:p w14:paraId="20C0EE1D">
      <w:pPr>
        <w:spacing w:before="167" w:line="228" w:lineRule="auto"/>
        <w:ind w:left="430"/>
        <w:rPr>
          <w:rFonts w:ascii="宋体" w:hAnsi="宋体" w:eastAsia="宋体" w:cs="宋体"/>
          <w:sz w:val="20"/>
          <w:szCs w:val="20"/>
        </w:rPr>
      </w:pPr>
      <w:r>
        <w:rPr>
          <w:rFonts w:ascii="宋体" w:hAnsi="宋体" w:eastAsia="宋体" w:cs="宋体"/>
          <w:spacing w:val="7"/>
          <w:sz w:val="20"/>
          <w:szCs w:val="20"/>
        </w:rPr>
        <w:t>（</w:t>
      </w:r>
      <w:r>
        <w:rPr>
          <w:rFonts w:ascii="Calibri" w:hAnsi="Calibri" w:eastAsia="Calibri" w:cs="Calibri"/>
          <w:spacing w:val="7"/>
          <w:sz w:val="20"/>
          <w:szCs w:val="20"/>
        </w:rPr>
        <w:t>10</w:t>
      </w:r>
      <w:r>
        <w:rPr>
          <w:rFonts w:ascii="宋体" w:hAnsi="宋体" w:eastAsia="宋体" w:cs="宋体"/>
          <w:spacing w:val="7"/>
          <w:sz w:val="20"/>
          <w:szCs w:val="20"/>
        </w:rPr>
        <w:t>）澄清、说明、补正事项纪要。</w:t>
      </w:r>
    </w:p>
    <w:p w14:paraId="65A70143">
      <w:pPr>
        <w:spacing w:before="146" w:line="222" w:lineRule="auto"/>
        <w:ind w:left="4"/>
        <w:outlineLvl w:val="1"/>
        <w:rPr>
          <w:rFonts w:ascii="黑体" w:hAnsi="黑体" w:eastAsia="黑体" w:cs="黑体"/>
          <w:sz w:val="24"/>
          <w:szCs w:val="24"/>
        </w:rPr>
      </w:pPr>
      <w:bookmarkStart w:id="178" w:name="_Toc27111"/>
      <w:r>
        <w:rPr>
          <w:rFonts w:ascii="Calibri" w:hAnsi="Calibri" w:eastAsia="Calibri" w:cs="Calibri"/>
          <w:spacing w:val="-5"/>
          <w:sz w:val="24"/>
          <w:szCs w:val="24"/>
        </w:rPr>
        <w:t>7</w:t>
      </w:r>
      <w:r>
        <w:rPr>
          <w:rFonts w:ascii="Calibri" w:hAnsi="Calibri" w:eastAsia="Calibri" w:cs="Calibri"/>
          <w:spacing w:val="-14"/>
          <w:sz w:val="24"/>
          <w:szCs w:val="24"/>
        </w:rPr>
        <w:t xml:space="preserve"> </w:t>
      </w:r>
      <w:r>
        <w:rPr>
          <w:rFonts w:ascii="黑体" w:hAnsi="黑体" w:eastAsia="黑体" w:cs="黑体"/>
          <w:spacing w:val="-5"/>
          <w:sz w:val="24"/>
          <w:szCs w:val="24"/>
        </w:rPr>
        <w:t>．特殊情况的处置程序</w:t>
      </w:r>
      <w:bookmarkEnd w:id="178"/>
    </w:p>
    <w:p w14:paraId="5E3A59B5">
      <w:pPr>
        <w:spacing w:before="221" w:line="228" w:lineRule="auto"/>
        <w:ind w:left="422"/>
        <w:outlineLvl w:val="2"/>
        <w:rPr>
          <w:rFonts w:ascii="宋体" w:hAnsi="宋体" w:eastAsia="宋体" w:cs="宋体"/>
          <w:sz w:val="20"/>
          <w:szCs w:val="20"/>
        </w:rPr>
      </w:pPr>
      <w:bookmarkStart w:id="179" w:name="_Toc5715"/>
      <w:r>
        <w:rPr>
          <w:rFonts w:ascii="Calibri" w:hAnsi="Calibri" w:eastAsia="Calibri" w:cs="Calibri"/>
          <w:spacing w:val="6"/>
          <w:sz w:val="20"/>
          <w:szCs w:val="20"/>
        </w:rPr>
        <w:t>7.1</w:t>
      </w:r>
      <w:r>
        <w:rPr>
          <w:rFonts w:ascii="Calibri" w:hAnsi="Calibri" w:eastAsia="Calibri" w:cs="Calibri"/>
          <w:spacing w:val="13"/>
          <w:sz w:val="20"/>
          <w:szCs w:val="20"/>
        </w:rPr>
        <w:t xml:space="preserve">  </w:t>
      </w:r>
      <w:r>
        <w:rPr>
          <w:rFonts w:ascii="宋体" w:hAnsi="宋体" w:eastAsia="宋体" w:cs="宋体"/>
          <w:spacing w:val="6"/>
          <w:sz w:val="20"/>
          <w:szCs w:val="20"/>
        </w:rPr>
        <w:t>关于评标活动暂停</w:t>
      </w:r>
      <w:bookmarkEnd w:id="179"/>
    </w:p>
    <w:p w14:paraId="362BEB3D">
      <w:pPr>
        <w:spacing w:before="162" w:line="303" w:lineRule="auto"/>
        <w:ind w:left="1" w:firstLine="421"/>
        <w:rPr>
          <w:rFonts w:ascii="宋体" w:hAnsi="宋体" w:eastAsia="宋体" w:cs="宋体"/>
          <w:sz w:val="20"/>
          <w:szCs w:val="20"/>
        </w:rPr>
      </w:pPr>
      <w:r>
        <w:rPr>
          <w:rFonts w:ascii="Calibri" w:hAnsi="Calibri" w:eastAsia="Calibri" w:cs="Calibri"/>
          <w:spacing w:val="10"/>
          <w:sz w:val="20"/>
          <w:szCs w:val="20"/>
        </w:rPr>
        <w:t xml:space="preserve">7.1.1  </w:t>
      </w:r>
      <w:r>
        <w:rPr>
          <w:rFonts w:ascii="宋体" w:hAnsi="宋体" w:eastAsia="宋体" w:cs="宋体"/>
          <w:spacing w:val="10"/>
          <w:sz w:val="20"/>
          <w:szCs w:val="20"/>
        </w:rPr>
        <w:t>评标委员会应当执行连续评标的原则，按评标办法中规定的程序、</w:t>
      </w:r>
      <w:r>
        <w:rPr>
          <w:rFonts w:ascii="宋体" w:hAnsi="宋体" w:eastAsia="宋体" w:cs="宋体"/>
          <w:spacing w:val="-51"/>
          <w:sz w:val="20"/>
          <w:szCs w:val="20"/>
        </w:rPr>
        <w:t xml:space="preserve"> </w:t>
      </w:r>
      <w:r>
        <w:rPr>
          <w:rFonts w:ascii="宋体" w:hAnsi="宋体" w:eastAsia="宋体" w:cs="宋体"/>
          <w:spacing w:val="10"/>
          <w:sz w:val="20"/>
          <w:szCs w:val="20"/>
        </w:rPr>
        <w:t>内容、方法、标准完成全部评</w:t>
      </w:r>
      <w:r>
        <w:rPr>
          <w:rFonts w:ascii="宋体" w:hAnsi="宋体" w:eastAsia="宋体" w:cs="宋体"/>
          <w:sz w:val="20"/>
          <w:szCs w:val="20"/>
        </w:rPr>
        <w:t xml:space="preserve"> </w:t>
      </w:r>
      <w:r>
        <w:rPr>
          <w:rFonts w:ascii="宋体" w:hAnsi="宋体" w:eastAsia="宋体" w:cs="宋体"/>
          <w:spacing w:val="8"/>
          <w:sz w:val="20"/>
          <w:szCs w:val="20"/>
        </w:rPr>
        <w:t>标工作。除特殊情况外，评标活动不得暂停。</w:t>
      </w:r>
    </w:p>
    <w:p w14:paraId="64440C8D">
      <w:pPr>
        <w:spacing w:before="208" w:line="302" w:lineRule="auto"/>
        <w:ind w:left="5" w:firstLine="417"/>
        <w:rPr>
          <w:rFonts w:ascii="宋体" w:hAnsi="宋体" w:eastAsia="宋体" w:cs="宋体"/>
          <w:sz w:val="20"/>
          <w:szCs w:val="20"/>
        </w:rPr>
      </w:pPr>
      <w:r>
        <w:rPr>
          <w:rFonts w:ascii="Calibri" w:hAnsi="Calibri" w:eastAsia="Calibri" w:cs="Calibri"/>
          <w:spacing w:val="11"/>
          <w:sz w:val="20"/>
          <w:szCs w:val="20"/>
        </w:rPr>
        <w:t>7.1.2</w:t>
      </w:r>
      <w:r>
        <w:rPr>
          <w:rFonts w:ascii="Calibri" w:hAnsi="Calibri" w:eastAsia="Calibri" w:cs="Calibri"/>
          <w:spacing w:val="15"/>
          <w:w w:val="101"/>
          <w:sz w:val="20"/>
          <w:szCs w:val="20"/>
        </w:rPr>
        <w:t xml:space="preserve">  </w:t>
      </w:r>
      <w:r>
        <w:rPr>
          <w:rFonts w:ascii="宋体" w:hAnsi="宋体" w:eastAsia="宋体" w:cs="宋体"/>
          <w:spacing w:val="11"/>
          <w:sz w:val="20"/>
          <w:szCs w:val="20"/>
        </w:rPr>
        <w:t>发生评标暂停情况时，评标委员会应当封存全部投标文件和评标记录，待特</w:t>
      </w:r>
      <w:r>
        <w:rPr>
          <w:rFonts w:ascii="宋体" w:hAnsi="宋体" w:eastAsia="宋体" w:cs="宋体"/>
          <w:spacing w:val="10"/>
          <w:sz w:val="20"/>
          <w:szCs w:val="20"/>
        </w:rPr>
        <w:t>殊情况的影响结束且</w:t>
      </w:r>
      <w:r>
        <w:rPr>
          <w:rFonts w:ascii="宋体" w:hAnsi="宋体" w:eastAsia="宋体" w:cs="宋体"/>
          <w:sz w:val="20"/>
          <w:szCs w:val="20"/>
        </w:rPr>
        <w:t xml:space="preserve"> </w:t>
      </w:r>
      <w:r>
        <w:rPr>
          <w:rFonts w:ascii="宋体" w:hAnsi="宋体" w:eastAsia="宋体" w:cs="宋体"/>
          <w:spacing w:val="9"/>
          <w:sz w:val="20"/>
          <w:szCs w:val="20"/>
        </w:rPr>
        <w:t>具备继续评标的条件时，由原评标委员会继续</w:t>
      </w:r>
      <w:r>
        <w:rPr>
          <w:rFonts w:ascii="宋体" w:hAnsi="宋体" w:eastAsia="宋体" w:cs="宋体"/>
          <w:spacing w:val="8"/>
          <w:sz w:val="20"/>
          <w:szCs w:val="20"/>
        </w:rPr>
        <w:t>评标。</w:t>
      </w:r>
    </w:p>
    <w:p w14:paraId="6C73F514">
      <w:pPr>
        <w:spacing w:before="163" w:line="228" w:lineRule="auto"/>
        <w:ind w:left="422"/>
        <w:outlineLvl w:val="2"/>
        <w:rPr>
          <w:rFonts w:ascii="宋体" w:hAnsi="宋体" w:eastAsia="宋体" w:cs="宋体"/>
          <w:sz w:val="20"/>
          <w:szCs w:val="20"/>
        </w:rPr>
      </w:pPr>
      <w:bookmarkStart w:id="180" w:name="_Toc1881"/>
      <w:r>
        <w:rPr>
          <w:rFonts w:ascii="Calibri" w:hAnsi="Calibri" w:eastAsia="Calibri" w:cs="Calibri"/>
          <w:spacing w:val="6"/>
          <w:sz w:val="20"/>
          <w:szCs w:val="20"/>
        </w:rPr>
        <w:t>7.2</w:t>
      </w:r>
      <w:r>
        <w:rPr>
          <w:rFonts w:ascii="Calibri" w:hAnsi="Calibri" w:eastAsia="Calibri" w:cs="Calibri"/>
          <w:spacing w:val="17"/>
          <w:sz w:val="20"/>
          <w:szCs w:val="20"/>
        </w:rPr>
        <w:t xml:space="preserve">  </w:t>
      </w:r>
      <w:r>
        <w:rPr>
          <w:rFonts w:ascii="宋体" w:hAnsi="宋体" w:eastAsia="宋体" w:cs="宋体"/>
          <w:spacing w:val="6"/>
          <w:sz w:val="20"/>
          <w:szCs w:val="20"/>
        </w:rPr>
        <w:t>关于评标中途更换评委</w:t>
      </w:r>
      <w:bookmarkEnd w:id="180"/>
    </w:p>
    <w:p w14:paraId="28A65523">
      <w:pPr>
        <w:spacing w:before="163" w:line="227" w:lineRule="auto"/>
        <w:ind w:left="422"/>
        <w:rPr>
          <w:rFonts w:ascii="宋体" w:hAnsi="宋体" w:eastAsia="宋体" w:cs="宋体"/>
          <w:sz w:val="20"/>
          <w:szCs w:val="20"/>
        </w:rPr>
      </w:pPr>
      <w:r>
        <w:rPr>
          <w:rFonts w:ascii="Calibri" w:hAnsi="Calibri" w:eastAsia="Calibri" w:cs="Calibri"/>
          <w:spacing w:val="8"/>
          <w:sz w:val="20"/>
          <w:szCs w:val="20"/>
        </w:rPr>
        <w:t>7.2.1</w:t>
      </w:r>
      <w:r>
        <w:rPr>
          <w:rFonts w:ascii="Calibri" w:hAnsi="Calibri" w:eastAsia="Calibri" w:cs="Calibri"/>
          <w:spacing w:val="19"/>
          <w:sz w:val="20"/>
          <w:szCs w:val="20"/>
        </w:rPr>
        <w:t xml:space="preserve">  </w:t>
      </w:r>
      <w:r>
        <w:rPr>
          <w:rFonts w:ascii="宋体" w:hAnsi="宋体" w:eastAsia="宋体" w:cs="宋体"/>
          <w:spacing w:val="8"/>
          <w:sz w:val="20"/>
          <w:szCs w:val="20"/>
        </w:rPr>
        <w:t>除非发生下列情况之一，不得在评标中途</w:t>
      </w:r>
      <w:r>
        <w:rPr>
          <w:rFonts w:ascii="宋体" w:hAnsi="宋体" w:eastAsia="宋体" w:cs="宋体"/>
          <w:spacing w:val="7"/>
          <w:sz w:val="20"/>
          <w:szCs w:val="20"/>
        </w:rPr>
        <w:t>更换评标委员会成员：</w:t>
      </w:r>
    </w:p>
    <w:p w14:paraId="59E11BE7">
      <w:pPr>
        <w:spacing w:before="162" w:line="227" w:lineRule="auto"/>
        <w:ind w:left="219"/>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1</w:t>
      </w:r>
      <w:r>
        <w:rPr>
          <w:rFonts w:ascii="宋体" w:hAnsi="宋体" w:eastAsia="宋体" w:cs="宋体"/>
          <w:spacing w:val="9"/>
          <w:sz w:val="20"/>
          <w:szCs w:val="20"/>
        </w:rPr>
        <w:t>）因不可抗拒的原因，评标委员会成员不能到场或需在评标中途退出评标活动。</w:t>
      </w:r>
    </w:p>
    <w:p w14:paraId="550801CF">
      <w:pPr>
        <w:spacing w:before="162" w:line="227" w:lineRule="auto"/>
        <w:ind w:left="219"/>
        <w:rPr>
          <w:rFonts w:ascii="宋体" w:hAnsi="宋体" w:eastAsia="宋体" w:cs="宋体"/>
          <w:sz w:val="20"/>
          <w:szCs w:val="20"/>
        </w:rPr>
      </w:pPr>
      <w:r>
        <w:rPr>
          <w:rFonts w:ascii="宋体" w:hAnsi="宋体" w:eastAsia="宋体" w:cs="宋体"/>
          <w:spacing w:val="9"/>
          <w:sz w:val="20"/>
          <w:szCs w:val="20"/>
        </w:rPr>
        <w:t>（</w:t>
      </w:r>
      <w:r>
        <w:rPr>
          <w:rFonts w:ascii="Calibri" w:hAnsi="Calibri" w:eastAsia="Calibri" w:cs="Calibri"/>
          <w:spacing w:val="9"/>
          <w:sz w:val="20"/>
          <w:szCs w:val="20"/>
        </w:rPr>
        <w:t>2</w:t>
      </w:r>
      <w:r>
        <w:rPr>
          <w:rFonts w:ascii="宋体" w:hAnsi="宋体" w:eastAsia="宋体" w:cs="宋体"/>
          <w:spacing w:val="9"/>
          <w:sz w:val="20"/>
          <w:szCs w:val="20"/>
        </w:rPr>
        <w:t>）根据法律法规规定，某个或某几个评标委员会成</w:t>
      </w:r>
      <w:r>
        <w:rPr>
          <w:rFonts w:ascii="宋体" w:hAnsi="宋体" w:eastAsia="宋体" w:cs="宋体"/>
          <w:spacing w:val="8"/>
          <w:sz w:val="20"/>
          <w:szCs w:val="20"/>
        </w:rPr>
        <w:t>员需要回避。</w:t>
      </w:r>
    </w:p>
    <w:p w14:paraId="677E75C5">
      <w:pPr>
        <w:spacing w:before="163" w:line="302" w:lineRule="auto"/>
        <w:ind w:left="4" w:firstLine="418"/>
        <w:rPr>
          <w:rFonts w:ascii="宋体" w:hAnsi="宋体" w:eastAsia="宋体" w:cs="宋体"/>
          <w:sz w:val="20"/>
          <w:szCs w:val="20"/>
        </w:rPr>
      </w:pPr>
      <w:r>
        <w:rPr>
          <w:rFonts w:ascii="Calibri" w:hAnsi="Calibri" w:eastAsia="Calibri" w:cs="Calibri"/>
          <w:spacing w:val="10"/>
          <w:sz w:val="20"/>
          <w:szCs w:val="20"/>
        </w:rPr>
        <w:t xml:space="preserve">7.2.2  </w:t>
      </w:r>
      <w:r>
        <w:rPr>
          <w:rFonts w:ascii="宋体" w:hAnsi="宋体" w:eastAsia="宋体" w:cs="宋体"/>
          <w:spacing w:val="10"/>
          <w:sz w:val="20"/>
          <w:szCs w:val="20"/>
        </w:rPr>
        <w:t>退出评标的评标委员会成员，其完成的评标行为无效。</w:t>
      </w:r>
      <w:r>
        <w:rPr>
          <w:rFonts w:ascii="宋体" w:hAnsi="宋体" w:eastAsia="宋体" w:cs="宋体"/>
          <w:spacing w:val="-51"/>
          <w:sz w:val="20"/>
          <w:szCs w:val="20"/>
        </w:rPr>
        <w:t xml:space="preserve"> </w:t>
      </w:r>
      <w:r>
        <w:rPr>
          <w:rFonts w:ascii="宋体" w:hAnsi="宋体" w:eastAsia="宋体" w:cs="宋体"/>
          <w:spacing w:val="10"/>
          <w:sz w:val="20"/>
          <w:szCs w:val="20"/>
        </w:rPr>
        <w:t>由招标人根据有关规定另行确定替代者进</w:t>
      </w:r>
      <w:r>
        <w:rPr>
          <w:rFonts w:ascii="宋体" w:hAnsi="宋体" w:eastAsia="宋体" w:cs="宋体"/>
          <w:sz w:val="20"/>
          <w:szCs w:val="20"/>
        </w:rPr>
        <w:t xml:space="preserve"> </w:t>
      </w:r>
      <w:r>
        <w:rPr>
          <w:rFonts w:ascii="宋体" w:hAnsi="宋体" w:eastAsia="宋体" w:cs="宋体"/>
          <w:spacing w:val="4"/>
          <w:sz w:val="20"/>
          <w:szCs w:val="20"/>
        </w:rPr>
        <w:t>行评标。</w:t>
      </w:r>
    </w:p>
    <w:p w14:paraId="318CADC1">
      <w:pPr>
        <w:spacing w:before="161" w:line="228" w:lineRule="auto"/>
        <w:ind w:left="422"/>
        <w:outlineLvl w:val="2"/>
        <w:rPr>
          <w:rFonts w:ascii="宋体" w:hAnsi="宋体" w:eastAsia="宋体" w:cs="宋体"/>
          <w:sz w:val="20"/>
          <w:szCs w:val="20"/>
        </w:rPr>
      </w:pPr>
      <w:bookmarkStart w:id="181" w:name="_Toc7700"/>
      <w:r>
        <w:rPr>
          <w:rFonts w:ascii="Calibri" w:hAnsi="Calibri" w:eastAsia="Calibri" w:cs="Calibri"/>
          <w:spacing w:val="4"/>
          <w:sz w:val="20"/>
          <w:szCs w:val="20"/>
        </w:rPr>
        <w:t>7.3</w:t>
      </w:r>
      <w:r>
        <w:rPr>
          <w:rFonts w:ascii="Calibri" w:hAnsi="Calibri" w:eastAsia="Calibri" w:cs="Calibri"/>
          <w:spacing w:val="12"/>
          <w:sz w:val="20"/>
          <w:szCs w:val="20"/>
        </w:rPr>
        <w:t xml:space="preserve">  </w:t>
      </w:r>
      <w:r>
        <w:rPr>
          <w:rFonts w:ascii="宋体" w:hAnsi="宋体" w:eastAsia="宋体" w:cs="宋体"/>
          <w:spacing w:val="4"/>
          <w:sz w:val="20"/>
          <w:szCs w:val="20"/>
        </w:rPr>
        <w:t>记名投票</w:t>
      </w:r>
      <w:bookmarkEnd w:id="181"/>
    </w:p>
    <w:p w14:paraId="4EC4C74A">
      <w:pPr>
        <w:spacing w:before="163" w:line="362" w:lineRule="auto"/>
        <w:ind w:right="2" w:firstLine="419"/>
        <w:rPr>
          <w:rFonts w:ascii="宋体" w:hAnsi="宋体" w:eastAsia="宋体" w:cs="宋体"/>
          <w:sz w:val="20"/>
          <w:szCs w:val="20"/>
        </w:rPr>
      </w:pPr>
      <w:r>
        <w:rPr>
          <w:rFonts w:ascii="宋体" w:hAnsi="宋体" w:eastAsia="宋体" w:cs="宋体"/>
          <w:spacing w:val="10"/>
          <w:sz w:val="20"/>
          <w:szCs w:val="20"/>
        </w:rPr>
        <w:t>在任何评标环节中，需评标委员会就某项定性的评审结论做出表决的</w:t>
      </w:r>
      <w:r>
        <w:rPr>
          <w:rFonts w:ascii="宋体" w:hAnsi="宋体" w:eastAsia="宋体" w:cs="宋体"/>
          <w:spacing w:val="9"/>
          <w:sz w:val="20"/>
          <w:szCs w:val="20"/>
        </w:rPr>
        <w:t>，由评标委员会全体成员按照少数</w:t>
      </w:r>
      <w:r>
        <w:rPr>
          <w:rFonts w:ascii="宋体" w:hAnsi="宋体" w:eastAsia="宋体" w:cs="宋体"/>
          <w:sz w:val="20"/>
          <w:szCs w:val="20"/>
        </w:rPr>
        <w:t xml:space="preserve"> </w:t>
      </w:r>
      <w:r>
        <w:rPr>
          <w:rFonts w:ascii="宋体" w:hAnsi="宋体" w:eastAsia="宋体" w:cs="宋体"/>
          <w:spacing w:val="6"/>
          <w:sz w:val="20"/>
          <w:szCs w:val="20"/>
        </w:rPr>
        <w:t>服从多数的原则，</w:t>
      </w:r>
      <w:r>
        <w:rPr>
          <w:rFonts w:ascii="宋体" w:hAnsi="宋体" w:eastAsia="宋体" w:cs="宋体"/>
          <w:spacing w:val="-49"/>
          <w:sz w:val="20"/>
          <w:szCs w:val="20"/>
        </w:rPr>
        <w:t xml:space="preserve"> </w:t>
      </w:r>
      <w:r>
        <w:rPr>
          <w:rFonts w:ascii="宋体" w:hAnsi="宋体" w:eastAsia="宋体" w:cs="宋体"/>
          <w:spacing w:val="6"/>
          <w:sz w:val="20"/>
          <w:szCs w:val="20"/>
        </w:rPr>
        <w:t>以记名投票方式表决。</w:t>
      </w:r>
    </w:p>
    <w:p w14:paraId="34D0C369">
      <w:pPr>
        <w:spacing w:before="37" w:line="222" w:lineRule="auto"/>
        <w:ind w:left="2"/>
        <w:outlineLvl w:val="1"/>
        <w:rPr>
          <w:rFonts w:ascii="黑体" w:hAnsi="黑体" w:eastAsia="黑体" w:cs="黑体"/>
          <w:sz w:val="24"/>
          <w:szCs w:val="24"/>
        </w:rPr>
      </w:pPr>
      <w:bookmarkStart w:id="182" w:name="_Toc30314"/>
      <w:r>
        <w:rPr>
          <w:rFonts w:ascii="Calibri" w:hAnsi="Calibri" w:eastAsia="Calibri" w:cs="Calibri"/>
          <w:spacing w:val="-2"/>
          <w:sz w:val="24"/>
          <w:szCs w:val="24"/>
        </w:rPr>
        <w:t>8.</w:t>
      </w:r>
      <w:r>
        <w:rPr>
          <w:rFonts w:ascii="黑体" w:hAnsi="黑体" w:eastAsia="黑体" w:cs="黑体"/>
          <w:spacing w:val="-2"/>
          <w:sz w:val="24"/>
          <w:szCs w:val="24"/>
        </w:rPr>
        <w:t>补充条款</w:t>
      </w:r>
      <w:bookmarkEnd w:id="182"/>
    </w:p>
    <w:p w14:paraId="3000A07D">
      <w:pPr>
        <w:spacing w:before="174" w:line="362" w:lineRule="auto"/>
        <w:ind w:right="2" w:firstLine="421"/>
        <w:rPr>
          <w:rFonts w:ascii="宋体" w:hAnsi="宋体" w:eastAsia="宋体" w:cs="宋体"/>
          <w:sz w:val="20"/>
          <w:szCs w:val="20"/>
        </w:rPr>
      </w:pPr>
      <w:r>
        <w:rPr>
          <w:rFonts w:ascii="Calibri" w:hAnsi="Calibri" w:eastAsia="Calibri" w:cs="Calibri"/>
          <w:spacing w:val="11"/>
          <w:sz w:val="20"/>
          <w:szCs w:val="20"/>
        </w:rPr>
        <w:t>8.1</w:t>
      </w:r>
      <w:r>
        <w:rPr>
          <w:rFonts w:ascii="Calibri" w:hAnsi="Calibri" w:eastAsia="Calibri" w:cs="Calibri"/>
          <w:spacing w:val="29"/>
          <w:w w:val="102"/>
          <w:sz w:val="20"/>
          <w:szCs w:val="20"/>
        </w:rPr>
        <w:t xml:space="preserve"> </w:t>
      </w:r>
      <w:r>
        <w:rPr>
          <w:rFonts w:ascii="宋体" w:hAnsi="宋体" w:eastAsia="宋体" w:cs="宋体"/>
          <w:spacing w:val="11"/>
          <w:sz w:val="20"/>
          <w:szCs w:val="20"/>
        </w:rPr>
        <w:t>评标过程中，评标委员会成员对法律法规及相关政策文件理解不一致或者不熟悉的问题，应当在现</w:t>
      </w:r>
      <w:r>
        <w:rPr>
          <w:rFonts w:ascii="宋体" w:hAnsi="宋体" w:eastAsia="宋体" w:cs="宋体"/>
          <w:sz w:val="20"/>
          <w:szCs w:val="20"/>
        </w:rPr>
        <w:t xml:space="preserve"> </w:t>
      </w:r>
      <w:r>
        <w:rPr>
          <w:rFonts w:ascii="宋体" w:hAnsi="宋体" w:eastAsia="宋体" w:cs="宋体"/>
          <w:spacing w:val="9"/>
          <w:sz w:val="20"/>
          <w:szCs w:val="20"/>
        </w:rPr>
        <w:t>场提请行政监管部门解释。对招标文件中存在的其他问题应当提请招标人澄清。</w:t>
      </w:r>
    </w:p>
    <w:p w14:paraId="5D720D6E">
      <w:pPr>
        <w:spacing w:before="32" w:line="362" w:lineRule="auto"/>
        <w:ind w:left="5" w:firstLine="414"/>
        <w:rPr>
          <w:rFonts w:ascii="宋体" w:hAnsi="宋体" w:eastAsia="宋体" w:cs="宋体"/>
          <w:sz w:val="20"/>
          <w:szCs w:val="20"/>
        </w:rPr>
      </w:pPr>
      <w:r>
        <w:rPr>
          <w:rFonts w:ascii="宋体" w:hAnsi="宋体" w:eastAsia="宋体" w:cs="宋体"/>
          <w:spacing w:val="10"/>
          <w:sz w:val="20"/>
          <w:szCs w:val="20"/>
        </w:rPr>
        <w:t>对上述情形以外的问题，由评标委员会集体讨论决定。无法形成一致意见时</w:t>
      </w:r>
      <w:r>
        <w:rPr>
          <w:rFonts w:ascii="宋体" w:hAnsi="宋体" w:eastAsia="宋体" w:cs="宋体"/>
          <w:spacing w:val="9"/>
          <w:sz w:val="20"/>
          <w:szCs w:val="20"/>
        </w:rPr>
        <w:t>，应当按照少数服从多数原</w:t>
      </w:r>
      <w:r>
        <w:rPr>
          <w:rFonts w:ascii="宋体" w:hAnsi="宋体" w:eastAsia="宋体" w:cs="宋体"/>
          <w:sz w:val="20"/>
          <w:szCs w:val="20"/>
        </w:rPr>
        <w:t xml:space="preserve"> </w:t>
      </w:r>
      <w:r>
        <w:rPr>
          <w:rFonts w:ascii="宋体" w:hAnsi="宋体" w:eastAsia="宋体" w:cs="宋体"/>
          <w:spacing w:val="7"/>
          <w:sz w:val="20"/>
          <w:szCs w:val="20"/>
        </w:rPr>
        <w:t>则进行表决并予记录。</w:t>
      </w:r>
    </w:p>
    <w:p w14:paraId="6F47B4C6">
      <w:pPr>
        <w:spacing w:before="35" w:line="362" w:lineRule="auto"/>
        <w:ind w:left="4" w:right="2" w:firstLine="416"/>
        <w:rPr>
          <w:rFonts w:ascii="宋体" w:hAnsi="宋体" w:eastAsia="宋体" w:cs="宋体"/>
          <w:sz w:val="20"/>
          <w:szCs w:val="20"/>
        </w:rPr>
      </w:pPr>
      <w:r>
        <w:rPr>
          <w:rFonts w:ascii="Calibri" w:hAnsi="Calibri" w:eastAsia="Calibri" w:cs="Calibri"/>
          <w:spacing w:val="11"/>
          <w:sz w:val="20"/>
          <w:szCs w:val="20"/>
        </w:rPr>
        <w:t>8.2</w:t>
      </w:r>
      <w:r>
        <w:rPr>
          <w:rFonts w:ascii="Calibri" w:hAnsi="Calibri" w:eastAsia="Calibri" w:cs="Calibri"/>
          <w:spacing w:val="29"/>
          <w:w w:val="102"/>
          <w:sz w:val="20"/>
          <w:szCs w:val="20"/>
        </w:rPr>
        <w:t xml:space="preserve"> </w:t>
      </w:r>
      <w:r>
        <w:rPr>
          <w:rFonts w:ascii="宋体" w:hAnsi="宋体" w:eastAsia="宋体" w:cs="宋体"/>
          <w:spacing w:val="11"/>
          <w:sz w:val="20"/>
          <w:szCs w:val="20"/>
        </w:rPr>
        <w:t>评标专家签署评标报告前，评标委员会主任评委应当组织评标专家并邀请招标人、招标代理机构进</w:t>
      </w:r>
      <w:r>
        <w:rPr>
          <w:rFonts w:ascii="宋体" w:hAnsi="宋体" w:eastAsia="宋体" w:cs="宋体"/>
          <w:sz w:val="20"/>
          <w:szCs w:val="20"/>
        </w:rPr>
        <w:t xml:space="preserve"> </w:t>
      </w:r>
      <w:r>
        <w:rPr>
          <w:rFonts w:ascii="宋体" w:hAnsi="宋体" w:eastAsia="宋体" w:cs="宋体"/>
          <w:spacing w:val="4"/>
          <w:sz w:val="20"/>
          <w:szCs w:val="20"/>
        </w:rPr>
        <w:t>行复核。</w:t>
      </w:r>
    </w:p>
    <w:p w14:paraId="169ED93E">
      <w:pPr>
        <w:spacing w:before="178" w:line="76" w:lineRule="exact"/>
        <w:ind w:left="428"/>
        <w:rPr>
          <w:rFonts w:ascii="Calibri" w:hAnsi="Calibri" w:eastAsia="Calibri" w:cs="Calibri"/>
          <w:sz w:val="20"/>
          <w:szCs w:val="20"/>
        </w:rPr>
      </w:pPr>
      <w:r>
        <w:rPr>
          <w:rFonts w:ascii="Calibri" w:hAnsi="Calibri" w:eastAsia="Calibri" w:cs="Calibri"/>
          <w:spacing w:val="1"/>
          <w:position w:val="1"/>
          <w:sz w:val="20"/>
          <w:szCs w:val="20"/>
        </w:rPr>
        <w:t>.......</w:t>
      </w:r>
    </w:p>
    <w:p w14:paraId="08D42236">
      <w:pPr>
        <w:spacing w:line="76" w:lineRule="exact"/>
        <w:rPr>
          <w:rFonts w:ascii="Calibri" w:hAnsi="Calibri" w:eastAsia="Calibri" w:cs="Calibri"/>
          <w:sz w:val="20"/>
          <w:szCs w:val="20"/>
        </w:rPr>
        <w:sectPr>
          <w:footerReference r:id="rId27" w:type="default"/>
          <w:pgSz w:w="11907" w:h="16840"/>
          <w:pgMar w:top="1008" w:right="1020" w:bottom="1029" w:left="1027" w:header="0" w:footer="850" w:gutter="0"/>
          <w:pgNumType w:fmt="decimal"/>
          <w:cols w:space="720" w:num="1"/>
        </w:sectPr>
      </w:pPr>
    </w:p>
    <w:p w14:paraId="33DF20A0">
      <w:pPr>
        <w:pStyle w:val="2"/>
        <w:spacing w:before="0" w:after="0"/>
        <w:jc w:val="center"/>
        <w:rPr>
          <w:rFonts w:ascii="Times New Roman" w:hAnsi="Times New Roman"/>
          <w:b w:val="0"/>
          <w:color w:val="auto"/>
          <w:highlight w:val="none"/>
        </w:rPr>
      </w:pPr>
      <w:bookmarkStart w:id="183" w:name="bookmark126"/>
      <w:bookmarkEnd w:id="183"/>
      <w:bookmarkStart w:id="184" w:name="bookmark125"/>
      <w:bookmarkEnd w:id="184"/>
      <w:bookmarkStart w:id="185" w:name="_Toc18948"/>
      <w:bookmarkStart w:id="186" w:name="_Toc80006109"/>
      <w:bookmarkStart w:id="187" w:name="_Toc80006219"/>
      <w:r>
        <w:rPr>
          <w:rFonts w:ascii="Times New Roman" w:hAnsi="Times New Roman" w:eastAsia="黑体"/>
          <w:b w:val="0"/>
          <w:bCs w:val="0"/>
          <w:color w:val="auto"/>
          <w:highlight w:val="none"/>
        </w:rPr>
        <w:t>第四章  合同条款及格式</w:t>
      </w:r>
      <w:bookmarkEnd w:id="185"/>
      <w:bookmarkEnd w:id="186"/>
      <w:bookmarkEnd w:id="187"/>
      <w:bookmarkStart w:id="188" w:name="_Toc337558727"/>
      <w:r>
        <w:rPr>
          <w:rFonts w:ascii="Times New Roman" w:hAnsi="Times New Roman"/>
          <w:b w:val="0"/>
          <w:color w:val="auto"/>
          <w:highlight w:val="none"/>
        </w:rPr>
        <w:t xml:space="preserve"> </w:t>
      </w:r>
    </w:p>
    <w:p w14:paraId="5444009B">
      <w:pPr>
        <w:spacing w:line="480" w:lineRule="exact"/>
        <w:ind w:firstLine="420" w:firstLineChars="150"/>
        <w:rPr>
          <w:color w:val="auto"/>
          <w:sz w:val="28"/>
          <w:szCs w:val="28"/>
          <w:highlight w:val="none"/>
          <w:lang w:val="zh-CN"/>
        </w:rPr>
      </w:pPr>
    </w:p>
    <w:p w14:paraId="4FF982A1">
      <w:pPr>
        <w:spacing w:line="480" w:lineRule="exact"/>
        <w:ind w:firstLine="315" w:firstLineChars="150"/>
        <w:rPr>
          <w:color w:val="auto"/>
          <w:szCs w:val="21"/>
          <w:highlight w:val="none"/>
        </w:rPr>
      </w:pPr>
      <w:r>
        <w:rPr>
          <w:rFonts w:hint="eastAsia" w:asciiTheme="minorEastAsia" w:hAnsiTheme="minorEastAsia" w:eastAsiaTheme="minorEastAsia" w:cstheme="minorEastAsia"/>
          <w:color w:val="auto"/>
          <w:szCs w:val="21"/>
          <w:highlight w:val="none"/>
        </w:rPr>
        <w:t>说明：合同条款及格式应当作为招标文件的组成部分，合同条款及格式推荐采用《建设工程施工合同（示范文本）》（GF-2017-0201）。</w:t>
      </w:r>
    </w:p>
    <w:p w14:paraId="2046FA02">
      <w:pPr>
        <w:spacing w:line="480" w:lineRule="exact"/>
        <w:jc w:val="center"/>
        <w:rPr>
          <w:color w:val="auto"/>
          <w:sz w:val="24"/>
          <w:highlight w:val="none"/>
        </w:rPr>
      </w:pPr>
    </w:p>
    <w:bookmarkEnd w:id="188"/>
    <w:p w14:paraId="58B6B6A4">
      <w:pPr>
        <w:spacing w:line="480" w:lineRule="exact"/>
        <w:jc w:val="center"/>
        <w:rPr>
          <w:color w:val="auto"/>
          <w:sz w:val="32"/>
          <w:szCs w:val="32"/>
          <w:highlight w:val="none"/>
        </w:rPr>
      </w:pPr>
      <w:bookmarkStart w:id="189" w:name="_Toc351203632"/>
    </w:p>
    <w:p w14:paraId="75250CA2">
      <w:pPr>
        <w:spacing w:line="480" w:lineRule="exact"/>
        <w:jc w:val="center"/>
        <w:rPr>
          <w:color w:val="auto"/>
          <w:sz w:val="32"/>
          <w:szCs w:val="32"/>
          <w:highlight w:val="none"/>
        </w:rPr>
      </w:pPr>
    </w:p>
    <w:p w14:paraId="0558F8C4">
      <w:pPr>
        <w:pStyle w:val="3"/>
        <w:spacing w:line="360" w:lineRule="auto"/>
        <w:jc w:val="center"/>
        <w:rPr>
          <w:rFonts w:ascii="Times New Roman" w:hAnsi="Times New Roman" w:eastAsia="黑体"/>
          <w:b w:val="0"/>
          <w:bCs w:val="0"/>
          <w:color w:val="auto"/>
          <w:sz w:val="30"/>
          <w:highlight w:val="none"/>
        </w:rPr>
      </w:pPr>
      <w:bookmarkStart w:id="190" w:name="_Toc296890982"/>
      <w:bookmarkStart w:id="191" w:name="_Toc351203480"/>
      <w:bookmarkStart w:id="192" w:name="_Toc25299"/>
      <w:bookmarkStart w:id="193" w:name="_Toc80006220"/>
      <w:bookmarkStart w:id="194" w:name="_Toc80006110"/>
      <w:bookmarkStart w:id="195" w:name="_Toc296503025"/>
      <w:r>
        <w:rPr>
          <w:rFonts w:ascii="Times New Roman" w:hAnsi="Times New Roman" w:eastAsia="黑体"/>
          <w:b w:val="0"/>
          <w:bCs w:val="0"/>
          <w:color w:val="auto"/>
          <w:sz w:val="30"/>
          <w:highlight w:val="none"/>
        </w:rPr>
        <w:t>第一</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合同协议书</w:t>
      </w:r>
      <w:bookmarkEnd w:id="190"/>
      <w:bookmarkEnd w:id="191"/>
      <w:bookmarkEnd w:id="192"/>
      <w:bookmarkEnd w:id="193"/>
      <w:bookmarkEnd w:id="194"/>
      <w:bookmarkEnd w:id="195"/>
    </w:p>
    <w:p w14:paraId="55CDB3B9">
      <w:pPr>
        <w:spacing w:line="480" w:lineRule="exact"/>
        <w:rPr>
          <w:rFonts w:hint="eastAsia" w:ascii="宋体" w:hAnsi="宋体"/>
          <w:color w:val="auto"/>
          <w:sz w:val="24"/>
          <w:highlight w:val="none"/>
        </w:rPr>
      </w:pPr>
    </w:p>
    <w:p w14:paraId="27DEFFB5">
      <w:pPr>
        <w:spacing w:line="48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发包人（全称）：</w:t>
      </w:r>
      <w:r>
        <w:rPr>
          <w:rFonts w:hint="eastAsia" w:asciiTheme="minorEastAsia" w:hAnsiTheme="minorEastAsia" w:eastAsiaTheme="minorEastAsia" w:cstheme="minorEastAsia"/>
          <w:color w:val="auto"/>
          <w:szCs w:val="21"/>
          <w:highlight w:val="none"/>
          <w:u w:val="single"/>
        </w:rPr>
        <w:t>江华冯乘发展集团有限公司</w:t>
      </w:r>
    </w:p>
    <w:p w14:paraId="43CB61BD">
      <w:pPr>
        <w:spacing w:line="48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承包人（全称）：</w:t>
      </w:r>
      <w:r>
        <w:rPr>
          <w:rFonts w:hint="eastAsia" w:asciiTheme="minorEastAsia" w:hAnsiTheme="minorEastAsia" w:eastAsiaTheme="minorEastAsia" w:cstheme="minorEastAsia"/>
          <w:color w:val="auto"/>
          <w:szCs w:val="21"/>
          <w:highlight w:val="none"/>
          <w:u w:val="single"/>
        </w:rPr>
        <w:t>                      </w:t>
      </w:r>
    </w:p>
    <w:p w14:paraId="68EEFAC9">
      <w:pPr>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color w:val="auto"/>
          <w:szCs w:val="21"/>
          <w:highlight w:val="none"/>
          <w:u w:val="single"/>
        </w:rPr>
        <w:t>滨江大道出让82宗地块基础设施改造项目</w:t>
      </w:r>
      <w:r>
        <w:rPr>
          <w:rFonts w:hint="eastAsia" w:asciiTheme="minorEastAsia" w:hAnsiTheme="minorEastAsia" w:eastAsiaTheme="minorEastAsia" w:cstheme="minorEastAsia"/>
          <w:color w:val="auto"/>
          <w:szCs w:val="21"/>
          <w:highlight w:val="none"/>
        </w:rPr>
        <w:t>工程施工及有关事项协商一致，共同达成如下协议：</w:t>
      </w:r>
    </w:p>
    <w:p w14:paraId="6073066E">
      <w:pPr>
        <w:spacing w:line="480" w:lineRule="exact"/>
        <w:ind w:firstLine="420" w:firstLineChars="200"/>
        <w:outlineLvl w:val="2"/>
        <w:rPr>
          <w:rFonts w:hint="eastAsia" w:asciiTheme="minorEastAsia" w:hAnsiTheme="minorEastAsia" w:eastAsiaTheme="minorEastAsia" w:cstheme="minorEastAsia"/>
          <w:color w:val="auto"/>
          <w:szCs w:val="21"/>
          <w:highlight w:val="none"/>
        </w:rPr>
      </w:pPr>
      <w:bookmarkStart w:id="196" w:name="_Toc351203481"/>
      <w:bookmarkStart w:id="197" w:name="_Toc8511"/>
      <w:r>
        <w:rPr>
          <w:rFonts w:hint="eastAsia" w:asciiTheme="minorEastAsia" w:hAnsiTheme="minorEastAsia" w:eastAsiaTheme="minorEastAsia" w:cstheme="minorEastAsia"/>
          <w:color w:val="auto"/>
          <w:szCs w:val="21"/>
          <w:highlight w:val="none"/>
        </w:rPr>
        <w:t>一、工程概况</w:t>
      </w:r>
      <w:bookmarkEnd w:id="196"/>
      <w:bookmarkEnd w:id="197"/>
    </w:p>
    <w:p w14:paraId="786C79B0">
      <w:pPr>
        <w:spacing w:line="480" w:lineRule="exact"/>
        <w:ind w:firstLine="411" w:firstLineChars="196"/>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Cs/>
          <w:color w:val="auto"/>
          <w:szCs w:val="21"/>
          <w:highlight w:val="none"/>
        </w:rPr>
        <w:t>1.工程名称</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滨江大道出让82宗地块基础设施改造项目</w:t>
      </w:r>
      <w:r>
        <w:rPr>
          <w:rFonts w:hint="eastAsia" w:asciiTheme="minorEastAsia" w:hAnsiTheme="minorEastAsia" w:eastAsiaTheme="minorEastAsia" w:cstheme="minorEastAsia"/>
          <w:color w:val="auto"/>
          <w:szCs w:val="21"/>
          <w:highlight w:val="none"/>
        </w:rPr>
        <w:t>。</w:t>
      </w:r>
    </w:p>
    <w:p w14:paraId="30CE8A0C">
      <w:pPr>
        <w:spacing w:line="480" w:lineRule="exact"/>
        <w:ind w:firstLine="411" w:firstLineChars="196"/>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2.工程地点：</w:t>
      </w:r>
      <w:r>
        <w:rPr>
          <w:rFonts w:hint="eastAsia" w:asciiTheme="minorEastAsia" w:hAnsiTheme="minorEastAsia" w:eastAsiaTheme="minorEastAsia" w:cstheme="minorEastAsia"/>
          <w:color w:val="auto"/>
          <w:szCs w:val="21"/>
          <w:highlight w:val="none"/>
          <w:u w:val="single"/>
        </w:rPr>
        <w:t>江华瑶族自治县滨江大道旁</w:t>
      </w:r>
      <w:r>
        <w:rPr>
          <w:rFonts w:hint="eastAsia" w:asciiTheme="minorEastAsia" w:hAnsiTheme="minorEastAsia" w:eastAsiaTheme="minorEastAsia" w:cstheme="minorEastAsia"/>
          <w:color w:val="auto"/>
          <w:szCs w:val="21"/>
          <w:highlight w:val="none"/>
        </w:rPr>
        <w:t>。</w:t>
      </w:r>
    </w:p>
    <w:p w14:paraId="35AEE71C">
      <w:pPr>
        <w:spacing w:line="480" w:lineRule="exact"/>
        <w:ind w:firstLine="411" w:firstLineChars="196"/>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3.工程立项批准文号：</w:t>
      </w:r>
      <w:r>
        <w:rPr>
          <w:rFonts w:hint="eastAsia" w:asciiTheme="minorEastAsia" w:hAnsiTheme="minorEastAsia" w:eastAsiaTheme="minorEastAsia" w:cstheme="minorEastAsia"/>
          <w:color w:val="auto"/>
          <w:szCs w:val="21"/>
          <w:highlight w:val="none"/>
          <w:u w:val="single"/>
        </w:rPr>
        <w:t>江发改审〔2024〕124号</w:t>
      </w:r>
      <w:r>
        <w:rPr>
          <w:rFonts w:hint="eastAsia" w:asciiTheme="minorEastAsia" w:hAnsiTheme="minorEastAsia" w:eastAsiaTheme="minorEastAsia" w:cstheme="minorEastAsia"/>
          <w:bCs/>
          <w:color w:val="auto"/>
          <w:szCs w:val="21"/>
          <w:highlight w:val="none"/>
        </w:rPr>
        <w:t>。</w:t>
      </w:r>
    </w:p>
    <w:p w14:paraId="26AD5D25">
      <w:pPr>
        <w:spacing w:line="480" w:lineRule="exact"/>
        <w:ind w:firstLine="411" w:firstLineChars="196"/>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4.资金来源：</w:t>
      </w:r>
      <w:r>
        <w:rPr>
          <w:rFonts w:hint="eastAsia" w:asciiTheme="minorEastAsia" w:hAnsiTheme="minorEastAsia" w:eastAsiaTheme="minorEastAsia" w:cstheme="minorEastAsia"/>
          <w:color w:val="auto"/>
          <w:szCs w:val="21"/>
          <w:highlight w:val="none"/>
          <w:u w:val="single"/>
        </w:rPr>
        <w:t>县级一般公共预算资金，已落实</w:t>
      </w:r>
      <w:r>
        <w:rPr>
          <w:rFonts w:hint="eastAsia" w:asciiTheme="minorEastAsia" w:hAnsiTheme="minorEastAsia" w:eastAsiaTheme="minorEastAsia" w:cstheme="minorEastAsia"/>
          <w:bCs/>
          <w:color w:val="auto"/>
          <w:szCs w:val="21"/>
          <w:highlight w:val="none"/>
        </w:rPr>
        <w:t>。</w:t>
      </w:r>
    </w:p>
    <w:p w14:paraId="793E0FE8">
      <w:pPr>
        <w:spacing w:line="480" w:lineRule="exact"/>
        <w:ind w:firstLine="411" w:firstLineChars="196"/>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5.工程内容：</w:t>
      </w:r>
      <w:r>
        <w:rPr>
          <w:rFonts w:hint="eastAsia" w:asciiTheme="minorEastAsia" w:hAnsiTheme="minorEastAsia" w:eastAsiaTheme="minorEastAsia" w:cstheme="minorEastAsia"/>
          <w:color w:val="auto"/>
          <w:szCs w:val="21"/>
          <w:highlight w:val="none"/>
          <w:u w:val="single"/>
          <w:lang w:eastAsia="zh-CN"/>
        </w:rPr>
        <w:t>项目位于湖南省永州市江华县主城区南部，南邻城市主干道滨江大道，东接城市主干道萌渚路，南部为西河。该地块共分为地块一、地块二82宗小地，其中地块一为42宗，地块二为40宗。主要包括滨江地块市政道路管网与排洪泄水工程、园林绿化工程。</w:t>
      </w:r>
      <w:r>
        <w:rPr>
          <w:rFonts w:hint="eastAsia" w:asciiTheme="minorEastAsia" w:hAnsiTheme="minorEastAsia" w:eastAsiaTheme="minorEastAsia" w:cstheme="minorEastAsia"/>
          <w:color w:val="auto"/>
          <w:szCs w:val="21"/>
          <w:highlight w:val="none"/>
          <w:u w:val="single"/>
        </w:rPr>
        <w:t>（具体内容以招标人提供的施工图和工程量清单为准）</w:t>
      </w:r>
      <w:r>
        <w:rPr>
          <w:rFonts w:hint="eastAsia" w:asciiTheme="minorEastAsia" w:hAnsiTheme="minorEastAsia" w:eastAsiaTheme="minorEastAsia" w:cstheme="minorEastAsia"/>
          <w:bCs/>
          <w:color w:val="auto"/>
          <w:szCs w:val="21"/>
          <w:highlight w:val="none"/>
        </w:rPr>
        <w:t>。</w:t>
      </w:r>
    </w:p>
    <w:p w14:paraId="165FE668">
      <w:pPr>
        <w:spacing w:line="480" w:lineRule="exact"/>
        <w:ind w:firstLine="411" w:firstLineChars="196"/>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群体工程应附《承包人承揽工程项目一览表》（附件1）。</w:t>
      </w:r>
    </w:p>
    <w:p w14:paraId="555AB3E9">
      <w:pPr>
        <w:spacing w:line="480" w:lineRule="exact"/>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6.工程承包范围：</w:t>
      </w:r>
      <w:r>
        <w:rPr>
          <w:rFonts w:hint="eastAsia" w:asciiTheme="minorEastAsia" w:hAnsiTheme="minorEastAsia" w:eastAsiaTheme="minorEastAsia" w:cstheme="minorEastAsia"/>
          <w:color w:val="auto"/>
          <w:szCs w:val="21"/>
          <w:highlight w:val="none"/>
          <w:u w:val="single"/>
          <w:lang w:val="en-US" w:eastAsia="zh-CN"/>
        </w:rPr>
        <w:t xml:space="preserve"> 滨江大道出让82宗地块基础设施改造项目位于湖南省永州市江华县主城区南部，南邻城市主干道滨江大道，东接城市主干道萌渚路，南部为西河。该地块共分为地块一、地块二82宗小地，其中地块一为42宗，地块二为40宗。主要包括滨江地块市政道路管网与排洪泄水工程、园林绿化工程。</w:t>
      </w:r>
      <w:r>
        <w:rPr>
          <w:rFonts w:hint="eastAsia" w:asciiTheme="minorEastAsia" w:hAnsiTheme="minorEastAsia" w:eastAsiaTheme="minorEastAsia" w:cstheme="minorEastAsia"/>
          <w:color w:val="auto"/>
          <w:szCs w:val="21"/>
          <w:highlight w:val="none"/>
          <w:u w:val="single"/>
        </w:rPr>
        <w:t>（具体内容以招标人提供的施工图和工程量清单为准）</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4EB53C1F">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198" w:name="_Toc16483"/>
      <w:bookmarkStart w:id="199" w:name="_Toc351203482"/>
      <w:r>
        <w:rPr>
          <w:rFonts w:hint="eastAsia" w:asciiTheme="minorEastAsia" w:hAnsiTheme="minorEastAsia" w:eastAsiaTheme="minorEastAsia" w:cstheme="minorEastAsia"/>
          <w:color w:val="auto"/>
          <w:szCs w:val="21"/>
          <w:highlight w:val="none"/>
        </w:rPr>
        <w:t>二、合同工期</w:t>
      </w:r>
      <w:bookmarkEnd w:id="198"/>
      <w:bookmarkEnd w:id="199"/>
    </w:p>
    <w:p w14:paraId="2FEF8D12">
      <w:pPr>
        <w:spacing w:line="480" w:lineRule="exact"/>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计划开工日期：</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日。</w:t>
      </w:r>
    </w:p>
    <w:p w14:paraId="528389B9">
      <w:pPr>
        <w:spacing w:line="480" w:lineRule="exact"/>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计划竣工日期：</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日。</w:t>
      </w:r>
    </w:p>
    <w:p w14:paraId="51670293">
      <w:pPr>
        <w:spacing w:line="480" w:lineRule="exact"/>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工期总日历天数：</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天。工期总日历天数与根据前述计划开竣工日期计算的工期天数不一致的，以工期总日历天数为准。</w:t>
      </w:r>
    </w:p>
    <w:p w14:paraId="1D0A851D">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00" w:name="_Toc13555"/>
      <w:bookmarkStart w:id="201" w:name="_Toc351203483"/>
      <w:r>
        <w:rPr>
          <w:rFonts w:hint="eastAsia" w:asciiTheme="minorEastAsia" w:hAnsiTheme="minorEastAsia" w:eastAsiaTheme="minorEastAsia" w:cstheme="minorEastAsia"/>
          <w:color w:val="auto"/>
          <w:szCs w:val="21"/>
          <w:highlight w:val="none"/>
        </w:rPr>
        <w:t>三、质量标准</w:t>
      </w:r>
      <w:bookmarkEnd w:id="200"/>
      <w:bookmarkEnd w:id="201"/>
    </w:p>
    <w:p w14:paraId="6B970EF5">
      <w:pPr>
        <w:spacing w:line="480" w:lineRule="exact"/>
        <w:ind w:firstLine="45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工程质量符合</w:t>
      </w:r>
      <w:r>
        <w:rPr>
          <w:rFonts w:hint="eastAsia" w:asciiTheme="minorEastAsia" w:hAnsiTheme="minorEastAsia" w:eastAsiaTheme="minorEastAsia" w:cstheme="minorEastAsia"/>
          <w:color w:val="auto"/>
          <w:szCs w:val="21"/>
          <w:highlight w:val="none"/>
          <w:u w:val="single"/>
        </w:rPr>
        <w:t>按现行国家有关工程施工验收规范，达到合格工程验收</w:t>
      </w:r>
      <w:r>
        <w:rPr>
          <w:rFonts w:hint="eastAsia" w:asciiTheme="minorEastAsia" w:hAnsiTheme="minorEastAsia" w:eastAsiaTheme="minorEastAsia" w:cstheme="minorEastAsia"/>
          <w:color w:val="auto"/>
          <w:szCs w:val="21"/>
          <w:highlight w:val="none"/>
        </w:rPr>
        <w:t>标准。</w:t>
      </w:r>
    </w:p>
    <w:p w14:paraId="220CE60D">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02" w:name="_Toc351203484"/>
      <w:bookmarkStart w:id="203" w:name="_Toc32190"/>
      <w:r>
        <w:rPr>
          <w:rFonts w:hint="eastAsia" w:asciiTheme="minorEastAsia" w:hAnsiTheme="minorEastAsia" w:eastAsiaTheme="minorEastAsia" w:cstheme="minorEastAsia"/>
          <w:color w:val="auto"/>
          <w:szCs w:val="21"/>
          <w:highlight w:val="none"/>
        </w:rPr>
        <w:t>四、签约合同价与合同价格形式</w:t>
      </w:r>
      <w:bookmarkEnd w:id="202"/>
      <w:bookmarkEnd w:id="203"/>
      <w:r>
        <w:rPr>
          <w:rFonts w:hint="eastAsia" w:asciiTheme="minorEastAsia" w:hAnsiTheme="minorEastAsia" w:eastAsiaTheme="minorEastAsia" w:cstheme="minorEastAsia"/>
          <w:color w:val="auto"/>
          <w:szCs w:val="21"/>
          <w:highlight w:val="none"/>
        </w:rPr>
        <w:tab/>
      </w:r>
    </w:p>
    <w:p w14:paraId="1989A3D3">
      <w:pPr>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1.签约合同价为：</w:t>
      </w:r>
    </w:p>
    <w:p w14:paraId="714ADD1A">
      <w:pPr>
        <w:spacing w:line="480" w:lineRule="exact"/>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p>
    <w:p w14:paraId="5F67A7EB">
      <w:pPr>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p>
    <w:p w14:paraId="1F308A6E">
      <w:pPr>
        <w:spacing w:line="48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kern w:val="0"/>
          <w:highlight w:val="none"/>
        </w:rPr>
        <w:t>绿色施工安全防护措施项目费：人民币（大写）</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 xml:space="preserve">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元)；</w:t>
      </w:r>
    </w:p>
    <w:p w14:paraId="737D9723">
      <w:pPr>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（2）材料和工程设备暂估价金额：</w:t>
      </w:r>
    </w:p>
    <w:p w14:paraId="32E0BB11">
      <w:pPr>
        <w:spacing w:line="480" w:lineRule="exact"/>
        <w:ind w:firstLine="945" w:firstLineChars="4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p>
    <w:p w14:paraId="2BA0E41A">
      <w:pPr>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（3）专业工程暂估价金额：</w:t>
      </w:r>
    </w:p>
    <w:p w14:paraId="2706F16C">
      <w:pPr>
        <w:spacing w:line="480" w:lineRule="exact"/>
        <w:ind w:firstLine="945" w:firstLineChars="4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p>
    <w:p w14:paraId="1608DAA3">
      <w:pPr>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（4）暂列金额：</w:t>
      </w:r>
    </w:p>
    <w:p w14:paraId="04214EB3">
      <w:pPr>
        <w:spacing w:line="480" w:lineRule="exact"/>
        <w:ind w:firstLine="945" w:firstLineChars="4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p>
    <w:p w14:paraId="4D1A476F">
      <w:pPr>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2.合同价格形式：</w:t>
      </w:r>
      <w:r>
        <w:rPr>
          <w:rFonts w:hint="eastAsia" w:asciiTheme="minorEastAsia" w:hAnsiTheme="minorEastAsia" w:eastAsiaTheme="minorEastAsia" w:cstheme="minorEastAsia"/>
          <w:color w:val="auto"/>
          <w:szCs w:val="21"/>
          <w:highlight w:val="none"/>
          <w:u w:val="single"/>
        </w:rPr>
        <w:t>                      </w:t>
      </w:r>
      <w:r>
        <w:rPr>
          <w:rFonts w:hint="eastAsia" w:asciiTheme="minorEastAsia" w:hAnsiTheme="minorEastAsia" w:eastAsiaTheme="minorEastAsia" w:cstheme="minorEastAsia"/>
          <w:color w:val="auto"/>
          <w:szCs w:val="21"/>
          <w:highlight w:val="none"/>
        </w:rPr>
        <w:t>。</w:t>
      </w:r>
    </w:p>
    <w:p w14:paraId="3C6FF7C7">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04" w:name="_Toc351203485"/>
      <w:bookmarkStart w:id="205" w:name="_Toc6810"/>
      <w:r>
        <w:rPr>
          <w:rFonts w:hint="eastAsia" w:asciiTheme="minorEastAsia" w:hAnsiTheme="minorEastAsia" w:eastAsiaTheme="minorEastAsia" w:cstheme="minorEastAsia"/>
          <w:color w:val="auto"/>
          <w:szCs w:val="21"/>
          <w:highlight w:val="none"/>
        </w:rPr>
        <w:t>五、</w:t>
      </w:r>
      <w:bookmarkEnd w:id="204"/>
      <w:r>
        <w:rPr>
          <w:rFonts w:hint="eastAsia" w:asciiTheme="minorEastAsia" w:hAnsiTheme="minorEastAsia" w:eastAsiaTheme="minorEastAsia" w:cstheme="minorEastAsia"/>
          <w:color w:val="auto"/>
          <w:szCs w:val="21"/>
          <w:highlight w:val="none"/>
        </w:rPr>
        <w:t>项目经理</w:t>
      </w:r>
      <w:bookmarkEnd w:id="205"/>
    </w:p>
    <w:p w14:paraId="739CAD46">
      <w:pPr>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承包人项目经理：</w:t>
      </w:r>
      <w:r>
        <w:rPr>
          <w:rFonts w:hint="eastAsia" w:asciiTheme="minorEastAsia" w:hAnsiTheme="minorEastAsia" w:eastAsiaTheme="minorEastAsia" w:cstheme="minorEastAsia"/>
          <w:color w:val="auto"/>
          <w:szCs w:val="21"/>
          <w:highlight w:val="none"/>
          <w:u w:val="single"/>
        </w:rPr>
        <w:t>                     </w:t>
      </w:r>
      <w:r>
        <w:rPr>
          <w:rFonts w:hint="eastAsia" w:asciiTheme="minorEastAsia" w:hAnsiTheme="minorEastAsia" w:eastAsiaTheme="minorEastAsia" w:cstheme="minorEastAsia"/>
          <w:color w:val="auto"/>
          <w:szCs w:val="21"/>
          <w:highlight w:val="none"/>
        </w:rPr>
        <w:t>。</w:t>
      </w:r>
    </w:p>
    <w:p w14:paraId="6B1D2A60">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06" w:name="_Toc351203486"/>
      <w:bookmarkStart w:id="207" w:name="_Toc24122"/>
      <w:r>
        <w:rPr>
          <w:rFonts w:hint="eastAsia" w:asciiTheme="minorEastAsia" w:hAnsiTheme="minorEastAsia" w:eastAsiaTheme="minorEastAsia" w:cstheme="minorEastAsia"/>
          <w:color w:val="auto"/>
          <w:szCs w:val="21"/>
          <w:highlight w:val="none"/>
        </w:rPr>
        <w:t>六、合同文件构成</w:t>
      </w:r>
      <w:bookmarkEnd w:id="206"/>
      <w:bookmarkEnd w:id="207"/>
    </w:p>
    <w:p w14:paraId="0D37682E">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本协议书与下列文件一起构成合同文件：</w:t>
      </w:r>
    </w:p>
    <w:p w14:paraId="1B2D55C1">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（1）中标通知书（如果有）；</w:t>
      </w:r>
    </w:p>
    <w:p w14:paraId="39247DBC">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（2）投标函及其附录（如果有）； </w:t>
      </w:r>
    </w:p>
    <w:p w14:paraId="6DBE4048">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（3）专用合同条款及其附件；</w:t>
      </w:r>
    </w:p>
    <w:p w14:paraId="1E1A6B67">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（4）通用合同条款；</w:t>
      </w:r>
    </w:p>
    <w:p w14:paraId="604B640A">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（5）技术标准和要求；</w:t>
      </w:r>
    </w:p>
    <w:p w14:paraId="5D0FCFE9">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（6）图纸；</w:t>
      </w:r>
    </w:p>
    <w:p w14:paraId="3BF4E201">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（7）已标价工程量清单或预算书；</w:t>
      </w:r>
    </w:p>
    <w:p w14:paraId="5081CBE5">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（8）其他合同文件。</w:t>
      </w:r>
    </w:p>
    <w:p w14:paraId="4BD35B4F">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在合同订立及履行过程中形成的与合同有关的文件均构成合同文件组成部分。</w:t>
      </w:r>
    </w:p>
    <w:p w14:paraId="328D784D">
      <w:pPr>
        <w:autoSpaceDE w:val="0"/>
        <w:autoSpaceDN w:val="0"/>
        <w:adjustRightInd w:val="0"/>
        <w:spacing w:line="48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7300CF11">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08" w:name="_Toc351203487"/>
      <w:bookmarkStart w:id="209" w:name="_Toc1267"/>
      <w:r>
        <w:rPr>
          <w:rFonts w:hint="eastAsia" w:asciiTheme="minorEastAsia" w:hAnsiTheme="minorEastAsia" w:eastAsiaTheme="minorEastAsia" w:cstheme="minorEastAsia"/>
          <w:color w:val="auto"/>
          <w:szCs w:val="21"/>
          <w:highlight w:val="none"/>
        </w:rPr>
        <w:t>七、承诺</w:t>
      </w:r>
      <w:bookmarkEnd w:id="208"/>
      <w:bookmarkEnd w:id="209"/>
    </w:p>
    <w:p w14:paraId="289714EF">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1.发包人承诺按照法律规定履行项目审批手续、筹集工程建设资金并按照合同约定的期限和方式支付合同价款。</w:t>
      </w:r>
    </w:p>
    <w:p w14:paraId="005B2399">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4A55D2CD">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3.发包人和承包人通过招投标形式签订合同的，双方理解并承诺不再就同一工程另行签订与合同实质性内容相背离的协议。</w:t>
      </w:r>
    </w:p>
    <w:p w14:paraId="348E687D">
      <w:pPr>
        <w:spacing w:line="480" w:lineRule="exact"/>
        <w:outlineLvl w:val="2"/>
        <w:rPr>
          <w:rFonts w:hint="eastAsia" w:asciiTheme="minorEastAsia" w:hAnsiTheme="minorEastAsia" w:eastAsiaTheme="minorEastAsia" w:cstheme="minorEastAsia"/>
          <w:color w:val="auto"/>
          <w:szCs w:val="21"/>
          <w:highlight w:val="none"/>
        </w:rPr>
      </w:pPr>
      <w:bookmarkStart w:id="210" w:name="_Toc351203488"/>
      <w:r>
        <w:rPr>
          <w:rFonts w:hint="eastAsia" w:asciiTheme="minorEastAsia" w:hAnsiTheme="minorEastAsia" w:eastAsiaTheme="minorEastAsia" w:cstheme="minorEastAsia"/>
          <w:color w:val="auto"/>
          <w:szCs w:val="21"/>
          <w:highlight w:val="none"/>
        </w:rPr>
        <w:t xml:space="preserve">    </w:t>
      </w:r>
      <w:bookmarkStart w:id="211" w:name="_Toc15212"/>
      <w:r>
        <w:rPr>
          <w:rFonts w:hint="eastAsia" w:asciiTheme="minorEastAsia" w:hAnsiTheme="minorEastAsia" w:eastAsiaTheme="minorEastAsia" w:cstheme="minorEastAsia"/>
          <w:color w:val="auto"/>
          <w:szCs w:val="21"/>
          <w:highlight w:val="none"/>
        </w:rPr>
        <w:t>八、词语含义</w:t>
      </w:r>
      <w:bookmarkEnd w:id="210"/>
      <w:bookmarkEnd w:id="211"/>
    </w:p>
    <w:p w14:paraId="430A1E69">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本协议书中词语含义与第二部分通用合同条款中赋予的含义相同。</w:t>
      </w:r>
    </w:p>
    <w:p w14:paraId="7E26E479">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12" w:name="_Toc22979"/>
      <w:bookmarkStart w:id="213" w:name="_Toc351203489"/>
      <w:r>
        <w:rPr>
          <w:rFonts w:hint="eastAsia" w:asciiTheme="minorEastAsia" w:hAnsiTheme="minorEastAsia" w:eastAsiaTheme="minorEastAsia" w:cstheme="minorEastAsia"/>
          <w:color w:val="auto"/>
          <w:szCs w:val="21"/>
          <w:highlight w:val="none"/>
        </w:rPr>
        <w:t>九、签订时间</w:t>
      </w:r>
      <w:bookmarkEnd w:id="212"/>
      <w:bookmarkEnd w:id="213"/>
    </w:p>
    <w:p w14:paraId="6EEA1D5A">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本合同于</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日签订。</w:t>
      </w:r>
    </w:p>
    <w:p w14:paraId="3A92357E">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14" w:name="_Toc351203490"/>
      <w:bookmarkStart w:id="215" w:name="_Toc13417"/>
      <w:r>
        <w:rPr>
          <w:rFonts w:hint="eastAsia" w:asciiTheme="minorEastAsia" w:hAnsiTheme="minorEastAsia" w:eastAsiaTheme="minorEastAsia" w:cstheme="minorEastAsia"/>
          <w:color w:val="auto"/>
          <w:szCs w:val="21"/>
          <w:highlight w:val="none"/>
        </w:rPr>
        <w:t>十、签订地点</w:t>
      </w:r>
      <w:bookmarkEnd w:id="214"/>
      <w:bookmarkEnd w:id="215"/>
    </w:p>
    <w:p w14:paraId="42651710">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本合同在</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江华县</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签订。</w:t>
      </w:r>
    </w:p>
    <w:p w14:paraId="18AEEBC0">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16" w:name="_Toc351203491"/>
      <w:bookmarkStart w:id="217" w:name="_Toc21159"/>
      <w:r>
        <w:rPr>
          <w:rFonts w:hint="eastAsia" w:asciiTheme="minorEastAsia" w:hAnsiTheme="minorEastAsia" w:eastAsiaTheme="minorEastAsia" w:cstheme="minorEastAsia"/>
          <w:color w:val="auto"/>
          <w:szCs w:val="21"/>
          <w:highlight w:val="none"/>
        </w:rPr>
        <w:t>十一、补充协议</w:t>
      </w:r>
      <w:bookmarkEnd w:id="216"/>
      <w:bookmarkEnd w:id="217"/>
    </w:p>
    <w:p w14:paraId="78D33C05">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合同未尽事宜，合同当事人另行签订补充协议，补充协议是合同的组成部分。</w:t>
      </w:r>
    </w:p>
    <w:p w14:paraId="6D4B6FD9">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18" w:name="_Toc16329"/>
      <w:bookmarkStart w:id="219" w:name="_Toc351203492"/>
      <w:r>
        <w:rPr>
          <w:rFonts w:hint="eastAsia" w:asciiTheme="minorEastAsia" w:hAnsiTheme="minorEastAsia" w:eastAsiaTheme="minorEastAsia" w:cstheme="minorEastAsia"/>
          <w:color w:val="auto"/>
          <w:szCs w:val="21"/>
          <w:highlight w:val="none"/>
        </w:rPr>
        <w:t>十二、合同生效</w:t>
      </w:r>
      <w:bookmarkEnd w:id="218"/>
      <w:bookmarkEnd w:id="219"/>
    </w:p>
    <w:p w14:paraId="77656738">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本合同自</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双方盖章签字之日起</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生效。</w:t>
      </w:r>
    </w:p>
    <w:p w14:paraId="6B01D7C0">
      <w:pPr>
        <w:spacing w:line="480" w:lineRule="exact"/>
        <w:outlineLvl w:val="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bookmarkStart w:id="220" w:name="_Toc351203493"/>
      <w:bookmarkStart w:id="221" w:name="_Toc27012"/>
      <w:r>
        <w:rPr>
          <w:rFonts w:hint="eastAsia" w:asciiTheme="minorEastAsia" w:hAnsiTheme="minorEastAsia" w:eastAsiaTheme="minorEastAsia" w:cstheme="minorEastAsia"/>
          <w:color w:val="auto"/>
          <w:szCs w:val="21"/>
          <w:highlight w:val="none"/>
        </w:rPr>
        <w:t>十三、合同份数</w:t>
      </w:r>
      <w:bookmarkEnd w:id="220"/>
      <w:bookmarkEnd w:id="221"/>
    </w:p>
    <w:p w14:paraId="0B08F27B">
      <w:pPr>
        <w:spacing w:line="48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本合同一式</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陆</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份，均具有同等法律效力，发包人执</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叁</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份，承包人执</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叁</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份。</w:t>
      </w:r>
    </w:p>
    <w:p w14:paraId="0B3CBEE5">
      <w:pPr>
        <w:spacing w:line="480" w:lineRule="exact"/>
        <w:rPr>
          <w:rFonts w:hint="eastAsia" w:asciiTheme="minorEastAsia" w:hAnsiTheme="minorEastAsia" w:eastAsiaTheme="minorEastAsia" w:cstheme="minorEastAsia"/>
          <w:bCs/>
          <w:color w:val="auto"/>
          <w:szCs w:val="21"/>
          <w:highlight w:val="none"/>
        </w:rPr>
      </w:pPr>
    </w:p>
    <w:p w14:paraId="6448957D">
      <w:pPr>
        <w:spacing w:line="480" w:lineRule="exact"/>
        <w:rPr>
          <w:rFonts w:hint="eastAsia" w:asciiTheme="minorEastAsia" w:hAnsiTheme="minorEastAsia" w:eastAsiaTheme="minorEastAsia" w:cstheme="minorEastAsia"/>
          <w:color w:val="auto"/>
          <w:szCs w:val="21"/>
          <w:highlight w:val="none"/>
        </w:rPr>
      </w:pPr>
    </w:p>
    <w:p w14:paraId="769707ED">
      <w:pPr>
        <w:spacing w:line="48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发包人：  (公章)                        承包人：  (公章) </w:t>
      </w:r>
    </w:p>
    <w:p w14:paraId="0E9AAC9D">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              法定代表人或其委托代理人：</w:t>
      </w:r>
    </w:p>
    <w:p w14:paraId="2C62035A">
      <w:pPr>
        <w:spacing w:line="480" w:lineRule="exact"/>
        <w:ind w:firstLine="1890" w:firstLineChars="9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（签字）                                （签字）</w:t>
      </w:r>
    </w:p>
    <w:p w14:paraId="7120B9FD">
      <w:pPr>
        <w:tabs>
          <w:tab w:val="left" w:pos="4410"/>
        </w:tabs>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组织机构代码：</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 xml:space="preserve">             组织机构代码：</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 xml:space="preserve"> </w:t>
      </w:r>
    </w:p>
    <w:p w14:paraId="3A2DD7BF">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 xml:space="preserve">             地  址：</w:t>
      </w:r>
      <w:r>
        <w:rPr>
          <w:rFonts w:hint="eastAsia" w:asciiTheme="minorEastAsia" w:hAnsiTheme="minorEastAsia" w:eastAsiaTheme="minorEastAsia" w:cstheme="minorEastAsia"/>
          <w:color w:val="auto"/>
          <w:szCs w:val="21"/>
          <w:highlight w:val="none"/>
          <w:u w:val="single"/>
        </w:rPr>
        <w:t xml:space="preserve">          </w:t>
      </w:r>
    </w:p>
    <w:p w14:paraId="34A5F2A4">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     </w:t>
      </w:r>
      <w:r>
        <w:rPr>
          <w:rFonts w:hint="eastAsia" w:asciiTheme="minorEastAsia" w:hAnsiTheme="minorEastAsia" w:eastAsiaTheme="minorEastAsia" w:cstheme="minorEastAsia"/>
          <w:color w:val="auto"/>
          <w:szCs w:val="21"/>
          <w:highlight w:val="none"/>
        </w:rPr>
        <w:t xml:space="preserve">            邮政编码：</w:t>
      </w:r>
      <w:r>
        <w:rPr>
          <w:rFonts w:hint="eastAsia" w:asciiTheme="minorEastAsia" w:hAnsiTheme="minorEastAsia" w:eastAsiaTheme="minorEastAsia" w:cstheme="minorEastAsia"/>
          <w:color w:val="auto"/>
          <w:szCs w:val="21"/>
          <w:highlight w:val="none"/>
          <w:u w:val="single"/>
        </w:rPr>
        <w:t xml:space="preserve">   </w:t>
      </w:r>
    </w:p>
    <w:p w14:paraId="597C4CFF">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szCs w:val="21"/>
          <w:highlight w:val="none"/>
          <w:u w:val="single"/>
        </w:rPr>
        <w:t xml:space="preserve">                  </w:t>
      </w:r>
    </w:p>
    <w:p w14:paraId="0AA76B63">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委托代理人：</w:t>
      </w:r>
      <w:r>
        <w:rPr>
          <w:rFonts w:hint="eastAsia" w:asciiTheme="minorEastAsia" w:hAnsiTheme="minorEastAsia" w:eastAsiaTheme="minorEastAsia" w:cstheme="minorEastAsia"/>
          <w:color w:val="auto"/>
          <w:szCs w:val="21"/>
          <w:highlight w:val="none"/>
          <w:u w:val="single"/>
        </w:rPr>
        <w:t xml:space="preserve">               </w:t>
      </w:r>
    </w:p>
    <w:p w14:paraId="5B51AE98">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电  话：</w:t>
      </w:r>
      <w:r>
        <w:rPr>
          <w:rFonts w:hint="eastAsia" w:asciiTheme="minorEastAsia" w:hAnsiTheme="minorEastAsia" w:eastAsiaTheme="minorEastAsia" w:cstheme="minorEastAsia"/>
          <w:color w:val="auto"/>
          <w:szCs w:val="21"/>
          <w:highlight w:val="none"/>
          <w:u w:val="single"/>
        </w:rPr>
        <w:t xml:space="preserve">       </w:t>
      </w:r>
    </w:p>
    <w:p w14:paraId="498983A5">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传  真：</w:t>
      </w:r>
      <w:r>
        <w:rPr>
          <w:rFonts w:hint="eastAsia" w:asciiTheme="minorEastAsia" w:hAnsiTheme="minorEastAsia" w:eastAsiaTheme="minorEastAsia" w:cstheme="minorEastAsia"/>
          <w:color w:val="auto"/>
          <w:szCs w:val="21"/>
          <w:highlight w:val="none"/>
          <w:u w:val="single"/>
        </w:rPr>
        <w:t xml:space="preserve">     </w:t>
      </w:r>
    </w:p>
    <w:p w14:paraId="6B5D8231">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电子信箱：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电子信箱：</w:t>
      </w:r>
      <w:r>
        <w:rPr>
          <w:rFonts w:hint="eastAsia" w:asciiTheme="minorEastAsia" w:hAnsiTheme="minorEastAsia" w:eastAsiaTheme="minorEastAsia" w:cstheme="minorEastAsia"/>
          <w:color w:val="auto"/>
          <w:szCs w:val="21"/>
          <w:highlight w:val="none"/>
          <w:u w:val="single"/>
        </w:rPr>
        <w:t xml:space="preserve">   </w:t>
      </w:r>
    </w:p>
    <w:p w14:paraId="314CCDAF">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开户银行：</w:t>
      </w:r>
      <w:r>
        <w:rPr>
          <w:rFonts w:hint="eastAsia" w:asciiTheme="minorEastAsia" w:hAnsiTheme="minorEastAsia" w:eastAsiaTheme="minorEastAsia" w:cstheme="minorEastAsia"/>
          <w:color w:val="auto"/>
          <w:szCs w:val="21"/>
          <w:highlight w:val="none"/>
          <w:u w:val="single"/>
        </w:rPr>
        <w:t xml:space="preserve">   </w:t>
      </w:r>
    </w:p>
    <w:p w14:paraId="2174177C">
      <w:pPr>
        <w:spacing w:line="48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账  号：</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 xml:space="preserve">             账  号：</w:t>
      </w:r>
      <w:r>
        <w:rPr>
          <w:rFonts w:hint="eastAsia" w:asciiTheme="minorEastAsia" w:hAnsiTheme="minorEastAsia" w:eastAsiaTheme="minorEastAsia" w:cstheme="minorEastAsia"/>
          <w:color w:val="auto"/>
          <w:szCs w:val="21"/>
          <w:highlight w:val="none"/>
          <w:u w:val="single"/>
        </w:rPr>
        <w:t xml:space="preserve">        </w:t>
      </w:r>
    </w:p>
    <w:p w14:paraId="2A087617">
      <w:pPr>
        <w:pStyle w:val="3"/>
        <w:spacing w:line="360" w:lineRule="auto"/>
        <w:jc w:val="center"/>
        <w:rPr>
          <w:rFonts w:hint="eastAsia" w:ascii="宋体" w:hAnsi="宋体" w:eastAsia="宋体" w:cs="宋体"/>
          <w:color w:val="auto"/>
          <w:sz w:val="28"/>
          <w:szCs w:val="28"/>
          <w:highlight w:val="none"/>
        </w:rPr>
      </w:pPr>
      <w:r>
        <w:rPr>
          <w:rFonts w:ascii="宋体" w:hAnsi="宋体"/>
          <w:b w:val="0"/>
          <w:color w:val="auto"/>
          <w:sz w:val="21"/>
          <w:szCs w:val="21"/>
          <w:highlight w:val="none"/>
        </w:rPr>
        <w:br w:type="page"/>
      </w:r>
      <w:bookmarkStart w:id="222" w:name="_Toc19660"/>
      <w:bookmarkStart w:id="223" w:name="_Toc9355"/>
      <w:bookmarkStart w:id="224" w:name="_Toc80006111"/>
      <w:bookmarkStart w:id="225" w:name="_Toc351203494"/>
      <w:r>
        <w:rPr>
          <w:rFonts w:hint="eastAsia" w:ascii="宋体" w:hAnsi="宋体" w:eastAsia="宋体" w:cs="宋体"/>
          <w:b w:val="0"/>
          <w:bCs w:val="0"/>
          <w:color w:val="auto"/>
          <w:sz w:val="30"/>
          <w:highlight w:val="none"/>
        </w:rPr>
        <w:t>第二节 通用合同条款</w:t>
      </w:r>
      <w:bookmarkEnd w:id="222"/>
      <w:bookmarkEnd w:id="223"/>
      <w:bookmarkEnd w:id="224"/>
      <w:bookmarkEnd w:id="225"/>
    </w:p>
    <w:p w14:paraId="5089A268">
      <w:pPr>
        <w:spacing w:line="480" w:lineRule="exact"/>
        <w:ind w:firstLine="315" w:firstLineChars="150"/>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说明：“通用合同条款”采用《建设工程施工合同（示范文本）》（GF-2017-0201）的“通用合同条款”。</w:t>
      </w:r>
    </w:p>
    <w:p w14:paraId="42B60419">
      <w:pPr>
        <w:pStyle w:val="3"/>
        <w:spacing w:line="360" w:lineRule="auto"/>
        <w:jc w:val="center"/>
        <w:rPr>
          <w:rFonts w:hint="eastAsia" w:ascii="宋体" w:hAnsi="宋体" w:eastAsia="宋体" w:cs="宋体"/>
          <w:b w:val="0"/>
          <w:bCs w:val="0"/>
          <w:color w:val="auto"/>
          <w:sz w:val="30"/>
          <w:highlight w:val="none"/>
        </w:rPr>
      </w:pPr>
      <w:bookmarkStart w:id="226" w:name="_Toc80006112"/>
      <w:bookmarkStart w:id="227" w:name="_Toc12296"/>
      <w:bookmarkStart w:id="228" w:name="_Toc14859"/>
      <w:r>
        <w:rPr>
          <w:rFonts w:hint="eastAsia" w:ascii="宋体" w:hAnsi="宋体" w:eastAsia="宋体" w:cs="宋体"/>
          <w:b w:val="0"/>
          <w:bCs w:val="0"/>
          <w:color w:val="auto"/>
          <w:sz w:val="30"/>
          <w:highlight w:val="none"/>
        </w:rPr>
        <w:t>第三节 专用合同条款</w:t>
      </w:r>
      <w:bookmarkEnd w:id="226"/>
      <w:bookmarkEnd w:id="227"/>
      <w:bookmarkEnd w:id="228"/>
    </w:p>
    <w:p w14:paraId="60CA25BD">
      <w:pPr>
        <w:spacing w:line="480" w:lineRule="exact"/>
        <w:rPr>
          <w:rFonts w:hint="eastAsia" w:ascii="宋体" w:hAnsi="宋体" w:eastAsia="宋体" w:cs="宋体"/>
          <w:color w:val="auto"/>
          <w:szCs w:val="21"/>
          <w:highlight w:val="none"/>
        </w:rPr>
      </w:pPr>
      <w:bookmarkStart w:id="229" w:name="_Toc351203633"/>
      <w:r>
        <w:rPr>
          <w:rFonts w:hint="eastAsia" w:ascii="宋体" w:hAnsi="宋体" w:eastAsia="宋体" w:cs="宋体"/>
          <w:color w:val="auto"/>
          <w:szCs w:val="21"/>
          <w:highlight w:val="none"/>
        </w:rPr>
        <w:t>1</w:t>
      </w:r>
      <w:bookmarkStart w:id="230" w:name="_Toc296890984"/>
      <w:bookmarkStart w:id="231" w:name="_Toc292559866"/>
      <w:bookmarkStart w:id="232" w:name="_Toc292559361"/>
      <w:bookmarkStart w:id="233" w:name="_Toc296891196"/>
      <w:bookmarkStart w:id="234" w:name="_Toc296503156"/>
      <w:bookmarkStart w:id="235" w:name="_Toc297120456"/>
      <w:bookmarkStart w:id="236" w:name="_Toc296346657"/>
      <w:bookmarkStart w:id="237" w:name="_Toc296944495"/>
      <w:bookmarkStart w:id="238" w:name="_Toc297048342"/>
      <w:bookmarkStart w:id="239" w:name="_Toc296347155"/>
      <w:r>
        <w:rPr>
          <w:rFonts w:hint="eastAsia" w:ascii="宋体" w:hAnsi="宋体" w:eastAsia="宋体" w:cs="宋体"/>
          <w:color w:val="auto"/>
          <w:szCs w:val="21"/>
          <w:highlight w:val="none"/>
        </w:rPr>
        <w:t>. 一般约定</w:t>
      </w:r>
      <w:bookmarkEnd w:id="229"/>
    </w:p>
    <w:bookmarkEnd w:id="230"/>
    <w:bookmarkEnd w:id="231"/>
    <w:bookmarkEnd w:id="232"/>
    <w:bookmarkEnd w:id="233"/>
    <w:bookmarkEnd w:id="234"/>
    <w:bookmarkEnd w:id="235"/>
    <w:bookmarkEnd w:id="236"/>
    <w:bookmarkEnd w:id="237"/>
    <w:bookmarkEnd w:id="238"/>
    <w:bookmarkEnd w:id="239"/>
    <w:p w14:paraId="34B04F4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词语定义</w:t>
      </w:r>
    </w:p>
    <w:p w14:paraId="1C80186B">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32A6BD73">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eastAsia="宋体" w:cs="宋体"/>
          <w:color w:val="auto"/>
          <w:kern w:val="0"/>
          <w:szCs w:val="21"/>
          <w:highlight w:val="none"/>
          <w:u w:val="single"/>
          <w:lang w:val="en-US" w:eastAsia="zh-CN"/>
        </w:rPr>
        <w:t>履行合同过程中双方当事人书面确认的对合同内容有实质性影响的会议纪要、签证、设计变更等文件</w:t>
      </w:r>
      <w:r>
        <w:rPr>
          <w:rFonts w:hint="eastAsia" w:ascii="宋体" w:hAnsi="宋体" w:eastAsia="宋体" w:cs="宋体"/>
          <w:color w:val="auto"/>
          <w:szCs w:val="21"/>
          <w:highlight w:val="none"/>
        </w:rPr>
        <w:t>。</w:t>
      </w:r>
    </w:p>
    <w:p w14:paraId="0EE52ED1">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合同当事人及其他相关方</w:t>
      </w:r>
    </w:p>
    <w:p w14:paraId="7FE41AB9">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1.1.2.4监理人：</w:t>
      </w:r>
    </w:p>
    <w:p w14:paraId="37AD23CB">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C3CDB60">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59112BA2">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5A59D8A">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0ED08B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B3BB966">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1.1.2.5 设计人：</w:t>
      </w:r>
    </w:p>
    <w:p w14:paraId="2F5AD0DB">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65B5710">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01770B77">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27863A3D">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2E79A28C">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20F5A6CF">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工程和设备</w:t>
      </w:r>
    </w:p>
    <w:p w14:paraId="600A8BF1">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1.1.3.7 作为施工现场组成部分的其他场所包括：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1899D4A">
      <w:pPr>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w:t>
      </w:r>
    </w:p>
    <w:p w14:paraId="58C32E95">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kern w:val="0"/>
          <w:szCs w:val="21"/>
          <w:highlight w:val="none"/>
        </w:rPr>
        <w:t>。</w:t>
      </w:r>
    </w:p>
    <w:p w14:paraId="5BBEF9CE">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1.3法律 </w:t>
      </w:r>
    </w:p>
    <w:p w14:paraId="6F041FAA">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适用于合同的其他规范性文件：</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中华人民共和国的现行法律、法规以及工程所在地的地方性法规、规章制度　</w:t>
      </w:r>
      <w:r>
        <w:rPr>
          <w:rFonts w:hint="eastAsia" w:ascii="宋体" w:hAnsi="宋体" w:eastAsia="宋体" w:cs="宋体"/>
          <w:color w:val="auto"/>
          <w:szCs w:val="21"/>
          <w:highlight w:val="none"/>
        </w:rPr>
        <w:t>。</w:t>
      </w:r>
    </w:p>
    <w:p w14:paraId="337FB0D8">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标准和规范</w:t>
      </w:r>
      <w:bookmarkStart w:id="925" w:name="_GoBack"/>
      <w:bookmarkEnd w:id="925"/>
    </w:p>
    <w:p w14:paraId="6A1442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1.4.1适用于工程的标准规范包括：</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按国家、地方、行业现行标准、规范、规程及招标文件上要求的标准规范</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80F3B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5BBDC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FAC21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C831DE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1.4.3发包人对工程的技术标准和功能要求的特殊要求：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208B0B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合同文件的优先顺序</w:t>
      </w:r>
    </w:p>
    <w:p w14:paraId="2AABE435">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合同文件组成及优先顺序为：</w:t>
      </w:r>
    </w:p>
    <w:p w14:paraId="479D4103">
      <w:pPr>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⑴</w:t>
      </w:r>
      <w:r>
        <w:rPr>
          <w:rFonts w:hint="eastAsia" w:ascii="宋体" w:hAnsi="宋体" w:eastAsia="宋体" w:cs="宋体"/>
          <w:color w:val="auto"/>
          <w:szCs w:val="21"/>
          <w:highlight w:val="none"/>
          <w:lang w:val="en-US" w:eastAsia="zh-CN"/>
        </w:rPr>
        <w:t>本协议书与下列文件一起构成合同文件；</w:t>
      </w:r>
    </w:p>
    <w:p w14:paraId="262CED7F">
      <w:pPr>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⑵</w:t>
      </w:r>
      <w:r>
        <w:rPr>
          <w:rFonts w:hint="eastAsia" w:ascii="宋体" w:hAnsi="宋体" w:eastAsia="宋体" w:cs="宋体"/>
          <w:color w:val="auto"/>
          <w:szCs w:val="21"/>
          <w:highlight w:val="none"/>
          <w:lang w:val="en-US" w:eastAsia="zh-CN"/>
        </w:rPr>
        <w:t>中标通知书；</w:t>
      </w:r>
    </w:p>
    <w:p w14:paraId="12ED5F67">
      <w:pPr>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⑶</w:t>
      </w:r>
      <w:r>
        <w:rPr>
          <w:rFonts w:hint="eastAsia" w:ascii="宋体" w:hAnsi="宋体" w:eastAsia="宋体" w:cs="宋体"/>
          <w:color w:val="auto"/>
          <w:szCs w:val="21"/>
          <w:highlight w:val="none"/>
          <w:lang w:val="en-US" w:eastAsia="zh-CN"/>
        </w:rPr>
        <w:t>投标函及其附录；</w:t>
      </w:r>
    </w:p>
    <w:p w14:paraId="6C88D033">
      <w:pPr>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⑷</w:t>
      </w:r>
      <w:r>
        <w:rPr>
          <w:rFonts w:hint="eastAsia" w:ascii="宋体" w:hAnsi="宋体" w:eastAsia="宋体" w:cs="宋体"/>
          <w:color w:val="auto"/>
          <w:szCs w:val="21"/>
          <w:highlight w:val="none"/>
          <w:lang w:val="en-US" w:eastAsia="zh-CN"/>
        </w:rPr>
        <w:t>专用合同条款及其附件</w:t>
      </w:r>
    </w:p>
    <w:p w14:paraId="1531587B">
      <w:pPr>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⑸</w:t>
      </w:r>
      <w:r>
        <w:rPr>
          <w:rFonts w:hint="eastAsia" w:ascii="宋体" w:hAnsi="宋体" w:eastAsia="宋体" w:cs="宋体"/>
          <w:color w:val="auto"/>
          <w:szCs w:val="21"/>
          <w:highlight w:val="none"/>
          <w:lang w:val="en-US" w:eastAsia="zh-CN"/>
        </w:rPr>
        <w:t>通用合同条款；</w:t>
      </w:r>
    </w:p>
    <w:p w14:paraId="353E48E8">
      <w:pPr>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⑹</w:t>
      </w:r>
      <w:r>
        <w:rPr>
          <w:rFonts w:hint="eastAsia" w:ascii="宋体" w:hAnsi="宋体" w:eastAsia="宋体" w:cs="宋体"/>
          <w:color w:val="auto"/>
          <w:szCs w:val="21"/>
          <w:highlight w:val="none"/>
          <w:lang w:val="en-US" w:eastAsia="zh-CN"/>
        </w:rPr>
        <w:t>技术标准和要求；</w:t>
      </w:r>
    </w:p>
    <w:p w14:paraId="7CF3451C">
      <w:pPr>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⑺</w:t>
      </w:r>
      <w:r>
        <w:rPr>
          <w:rFonts w:hint="eastAsia" w:ascii="宋体" w:hAnsi="宋体" w:eastAsia="宋体" w:cs="宋体"/>
          <w:color w:val="auto"/>
          <w:szCs w:val="21"/>
          <w:highlight w:val="none"/>
          <w:lang w:val="en-US" w:eastAsia="zh-CN"/>
        </w:rPr>
        <w:t>图纸；</w:t>
      </w:r>
    </w:p>
    <w:p w14:paraId="4D02758A">
      <w:pPr>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⑻</w:t>
      </w:r>
      <w:r>
        <w:rPr>
          <w:rFonts w:hint="eastAsia" w:ascii="宋体" w:hAnsi="宋体" w:eastAsia="宋体" w:cs="宋体"/>
          <w:color w:val="auto"/>
          <w:szCs w:val="21"/>
          <w:highlight w:val="none"/>
          <w:lang w:val="en-US" w:eastAsia="zh-CN"/>
        </w:rPr>
        <w:t>已标价工程量清单或预算书；</w:t>
      </w:r>
    </w:p>
    <w:p w14:paraId="2619D578">
      <w:pPr>
        <w:spacing w:line="480" w:lineRule="exact"/>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⑼</w:t>
      </w:r>
      <w:r>
        <w:rPr>
          <w:rFonts w:hint="eastAsia" w:ascii="宋体" w:hAnsi="宋体" w:eastAsia="宋体" w:cs="宋体"/>
          <w:color w:val="auto"/>
          <w:szCs w:val="21"/>
          <w:highlight w:val="none"/>
          <w:lang w:val="en-US" w:eastAsia="zh-CN"/>
        </w:rPr>
        <w:t>其他合同文件。</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none"/>
          <w:lang w:eastAsia="zh-CN"/>
        </w:rPr>
        <w:t>。</w:t>
      </w:r>
    </w:p>
    <w:p w14:paraId="6A71847A">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图纸和承包人文件</w:t>
      </w:r>
    </w:p>
    <w:p w14:paraId="7B4FC978">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图纸的提供</w:t>
      </w:r>
    </w:p>
    <w:p w14:paraId="7F242CB8">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AAB02E1">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w:t>
      </w:r>
    </w:p>
    <w:p w14:paraId="70C7F667">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290CC48">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14D0B80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需要由承包人提供的文件，包括：</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施工组织设计、工程进度计划、质量保证质量、质量自检质量、专项安全施工方案、工程验收申请、工程款支付申请、进场材料检验合格证明、出厂合格证书、说明书、设备、材料、成品、半成品进场计划、测量资料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208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承包人提供的文件的期限为：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签订合同后以及事项发生前7日</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BC9F1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叁份</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5CA5C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lang w:val="en-US" w:eastAsia="zh-CN"/>
        </w:rPr>
        <w:t>　书面和电子文档</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21668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收到文件后7日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E5745DA">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现场图纸准备</w:t>
      </w:r>
    </w:p>
    <w:p w14:paraId="53C64DF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8A6C06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 联络</w:t>
      </w:r>
    </w:p>
    <w:p w14:paraId="6A1BFFB4">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24D8A829">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发包人接收文件的地点：</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243DBC3">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     </w:t>
      </w:r>
      <w:r>
        <w:rPr>
          <w:rFonts w:hint="eastAsia" w:ascii="宋体" w:hAnsi="宋体" w:eastAsia="宋体" w:cs="宋体"/>
          <w:color w:val="auto"/>
          <w:kern w:val="0"/>
          <w:szCs w:val="21"/>
          <w:highlight w:val="none"/>
        </w:rPr>
        <w:t>。</w:t>
      </w:r>
    </w:p>
    <w:p w14:paraId="6B81189D">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7B3CA78D">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0EF3C9B9">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rPr>
        <w:t>；</w:t>
      </w:r>
    </w:p>
    <w:p w14:paraId="5C091EDA">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rPr>
        <w:t>。</w:t>
      </w:r>
    </w:p>
    <w:p w14:paraId="21013DD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 交通运输</w:t>
      </w:r>
    </w:p>
    <w:p w14:paraId="796CD6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240" w:name="_Toc303539100"/>
      <w:bookmarkStart w:id="241" w:name="_Toc304295521"/>
      <w:bookmarkStart w:id="242" w:name="_Toc312677986"/>
      <w:bookmarkStart w:id="243" w:name="_Toc318581155"/>
      <w:bookmarkStart w:id="244" w:name="_Toc300934943"/>
      <w:r>
        <w:rPr>
          <w:rFonts w:hint="eastAsia" w:ascii="宋体" w:hAnsi="宋体" w:eastAsia="宋体" w:cs="宋体"/>
          <w:color w:val="auto"/>
          <w:szCs w:val="21"/>
          <w:highlight w:val="none"/>
        </w:rPr>
        <w:t>.10.1 出入现场的权利</w:t>
      </w:r>
    </w:p>
    <w:p w14:paraId="0B099BD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承包人修建的临时道路和交通设施应免费提供发包人和监理人使用。承包人车辆外出行驶所需的场外公共道路的各种税费均由承包人承担。承包人运输造成施工场地内外公共道路和桥梁等公共基础设施损坏的，由承包人承担修复损坏的全部费用和可能引起的赔偿</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bookmarkEnd w:id="240"/>
    <w:bookmarkEnd w:id="241"/>
    <w:bookmarkEnd w:id="242"/>
    <w:bookmarkEnd w:id="243"/>
    <w:bookmarkEnd w:id="244"/>
    <w:p w14:paraId="5CED28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245" w:name="_Toc304295522"/>
      <w:bookmarkStart w:id="246" w:name="_Toc312677987"/>
      <w:bookmarkStart w:id="247" w:name="_Toc303539101"/>
      <w:bookmarkStart w:id="248" w:name="_Toc318581156"/>
      <w:bookmarkStart w:id="249" w:name="_Toc300934944"/>
      <w:r>
        <w:rPr>
          <w:rFonts w:hint="eastAsia" w:ascii="宋体" w:hAnsi="宋体" w:eastAsia="宋体" w:cs="宋体"/>
          <w:color w:val="auto"/>
          <w:szCs w:val="21"/>
          <w:highlight w:val="none"/>
        </w:rPr>
        <w:t>.10.3 场内交通</w:t>
      </w:r>
    </w:p>
    <w:p w14:paraId="1E73C1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以项目建筑红线为界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79BE9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需要发包人协调时，发包人应协助承包人办理相关手续。承包人应负责修建、维修、养护和管理施工所需的临时道路和交通设施，包括维修、养护和管理发包人提供的道路和交通设施，并承担相应费用</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rPr>
        <w:t>。</w:t>
      </w:r>
      <w:bookmarkEnd w:id="245"/>
      <w:bookmarkEnd w:id="246"/>
      <w:bookmarkEnd w:id="247"/>
      <w:bookmarkEnd w:id="248"/>
      <w:bookmarkEnd w:id="249"/>
      <w:r>
        <w:rPr>
          <w:rFonts w:hint="eastAsia" w:ascii="宋体" w:hAnsi="宋体" w:eastAsia="宋体" w:cs="宋体"/>
          <w:color w:val="auto"/>
          <w:szCs w:val="21"/>
          <w:highlight w:val="none"/>
        </w:rPr>
        <w:t xml:space="preserve">  </w:t>
      </w:r>
      <w:bookmarkStart w:id="250" w:name="_Toc318581157"/>
    </w:p>
    <w:p w14:paraId="3FBD96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1.10.4超大件和超重件的运输</w:t>
      </w:r>
    </w:p>
    <w:p w14:paraId="6B6225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承担。</w:t>
      </w:r>
    </w:p>
    <w:bookmarkEnd w:id="250"/>
    <w:p w14:paraId="7985BEA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知识产权</w:t>
      </w:r>
    </w:p>
    <w:p w14:paraId="6E4C6AA2">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发包人所有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BA86C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lang w:val="en-US" w:eastAsia="zh-CN"/>
        </w:rPr>
        <w:t xml:space="preserve"> 承包人不得提供给第三方使用或用于非本工程的项</w:t>
      </w:r>
    </w:p>
    <w:p w14:paraId="7D2DE5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目 。</w:t>
      </w:r>
    </w:p>
    <w:p w14:paraId="09857E8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关于承包人为实施工程所编制文件的著作权的归属：</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承包人所有　</w:t>
      </w:r>
      <w:r>
        <w:rPr>
          <w:rFonts w:hint="eastAsia" w:ascii="宋体" w:hAnsi="宋体" w:eastAsia="宋体" w:cs="宋体"/>
          <w:color w:val="auto"/>
          <w:szCs w:val="21"/>
          <w:highlight w:val="none"/>
        </w:rPr>
        <w:t>。</w:t>
      </w:r>
    </w:p>
    <w:p w14:paraId="504B1F24">
      <w:pPr>
        <w:spacing w:line="480" w:lineRule="exact"/>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只限于用于本工程未经承包人允许不得用于其他或提</w:t>
      </w:r>
    </w:p>
    <w:p w14:paraId="71C4E58B">
      <w:pPr>
        <w:spacing w:line="48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single"/>
          <w:lang w:val="en-US" w:eastAsia="zh-CN"/>
        </w:rPr>
        <w:t>供给第三方　</w:t>
      </w:r>
      <w:r>
        <w:rPr>
          <w:rFonts w:hint="eastAsia" w:ascii="宋体" w:hAnsi="宋体" w:eastAsia="宋体" w:cs="宋体"/>
          <w:color w:val="auto"/>
          <w:szCs w:val="21"/>
          <w:highlight w:val="none"/>
          <w:u w:val="none"/>
          <w:lang w:val="en-US" w:eastAsia="zh-CN"/>
        </w:rPr>
        <w:t>。</w:t>
      </w:r>
    </w:p>
    <w:p w14:paraId="6CE47399">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085358C7">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1.13工程量清单错误的修正</w:t>
      </w:r>
    </w:p>
    <w:p w14:paraId="2E91D9B1">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是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19B44161">
      <w:pPr>
        <w:spacing w:line="48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允许调整合同价格的工程量偏差范围：</w:t>
      </w:r>
      <w:r>
        <w:rPr>
          <w:rFonts w:hint="eastAsia" w:ascii="宋体" w:hAnsi="宋体" w:eastAsia="宋体" w:cs="宋体"/>
          <w:color w:val="auto"/>
          <w:szCs w:val="21"/>
          <w:highlight w:val="none"/>
          <w:u w:val="single"/>
          <w:lang w:val="en-US" w:eastAsia="zh-CN"/>
        </w:rPr>
        <w:t xml:space="preserve">(1)设计变更；(2)现场签证(有建设单位指令) </w:t>
      </w:r>
      <w:r>
        <w:rPr>
          <w:rFonts w:hint="eastAsia" w:ascii="宋体" w:hAnsi="宋体" w:eastAsia="宋体" w:cs="宋体"/>
          <w:color w:val="auto"/>
          <w:szCs w:val="21"/>
          <w:highlight w:val="none"/>
          <w:u w:val="none"/>
          <w:lang w:val="en-US" w:eastAsia="zh-CN"/>
        </w:rPr>
        <w:t>。</w:t>
      </w:r>
    </w:p>
    <w:p w14:paraId="27B6464B">
      <w:pPr>
        <w:spacing w:line="480" w:lineRule="exact"/>
        <w:rPr>
          <w:rFonts w:hint="eastAsia" w:ascii="宋体" w:hAnsi="宋体" w:eastAsia="宋体" w:cs="宋体"/>
          <w:color w:val="auto"/>
          <w:szCs w:val="21"/>
          <w:highlight w:val="none"/>
        </w:rPr>
      </w:pPr>
      <w:bookmarkStart w:id="251" w:name="_Toc351203634"/>
      <w:r>
        <w:rPr>
          <w:rFonts w:hint="eastAsia" w:ascii="宋体" w:hAnsi="宋体" w:eastAsia="宋体" w:cs="宋体"/>
          <w:color w:val="auto"/>
          <w:szCs w:val="21"/>
          <w:highlight w:val="none"/>
        </w:rPr>
        <w:t>2</w:t>
      </w:r>
      <w:bookmarkStart w:id="252" w:name="_Toc296346658"/>
      <w:bookmarkStart w:id="253" w:name="_Toc297048343"/>
      <w:bookmarkStart w:id="254" w:name="_Toc296503157"/>
      <w:bookmarkStart w:id="255" w:name="_Toc292559867"/>
      <w:bookmarkStart w:id="256" w:name="_Toc292559362"/>
      <w:bookmarkStart w:id="257" w:name="_Toc296890985"/>
      <w:bookmarkStart w:id="258" w:name="_Toc296347156"/>
      <w:bookmarkStart w:id="259" w:name="_Toc296944496"/>
      <w:bookmarkStart w:id="260" w:name="_Toc297120457"/>
      <w:bookmarkStart w:id="261" w:name="_Toc296891197"/>
      <w:r>
        <w:rPr>
          <w:rFonts w:hint="eastAsia" w:ascii="宋体" w:hAnsi="宋体" w:eastAsia="宋体" w:cs="宋体"/>
          <w:color w:val="auto"/>
          <w:szCs w:val="21"/>
          <w:highlight w:val="none"/>
        </w:rPr>
        <w:t>. 发包人</w:t>
      </w:r>
      <w:bookmarkEnd w:id="251"/>
    </w:p>
    <w:bookmarkEnd w:id="252"/>
    <w:bookmarkEnd w:id="253"/>
    <w:bookmarkEnd w:id="254"/>
    <w:bookmarkEnd w:id="255"/>
    <w:bookmarkEnd w:id="256"/>
    <w:bookmarkEnd w:id="257"/>
    <w:bookmarkEnd w:id="258"/>
    <w:bookmarkEnd w:id="259"/>
    <w:bookmarkEnd w:id="260"/>
    <w:bookmarkEnd w:id="261"/>
    <w:p w14:paraId="57F76117">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发包人代表</w:t>
      </w:r>
    </w:p>
    <w:p w14:paraId="3B9B6B8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32DBFDE5">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588B4D4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5A87F3F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6EFF8A5B">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1E255AC">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05E70F95">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14A4422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390594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施工现场、施工条件和基础资料的提供</w:t>
      </w:r>
    </w:p>
    <w:p w14:paraId="53B33BD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14:paraId="208CC7F7">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开工前7天内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9AE3277">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14:paraId="0C302901">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70B8A3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资金来源证明及支付担保</w:t>
      </w:r>
    </w:p>
    <w:p w14:paraId="7069CC9D">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E6A2D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CBD4236">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发包人提供支付担保的形式：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657DF45">
      <w:pPr>
        <w:spacing w:line="480" w:lineRule="exact"/>
        <w:rPr>
          <w:rFonts w:hint="eastAsia" w:ascii="宋体" w:hAnsi="宋体" w:eastAsia="宋体" w:cs="宋体"/>
          <w:color w:val="auto"/>
          <w:szCs w:val="21"/>
          <w:highlight w:val="none"/>
        </w:rPr>
      </w:pPr>
      <w:bookmarkStart w:id="262" w:name="_Toc351203635"/>
      <w:r>
        <w:rPr>
          <w:rFonts w:hint="eastAsia" w:ascii="宋体" w:hAnsi="宋体" w:eastAsia="宋体" w:cs="宋体"/>
          <w:color w:val="auto"/>
          <w:szCs w:val="21"/>
          <w:highlight w:val="none"/>
        </w:rPr>
        <w:t>3</w:t>
      </w:r>
      <w:bookmarkStart w:id="263" w:name="_Toc292559363"/>
      <w:bookmarkStart w:id="264" w:name="_Toc296891198"/>
      <w:bookmarkStart w:id="265" w:name="_Toc296503158"/>
      <w:bookmarkStart w:id="266" w:name="_Toc296944497"/>
      <w:bookmarkStart w:id="267" w:name="_Toc292559868"/>
      <w:bookmarkStart w:id="268" w:name="_Toc296890986"/>
      <w:bookmarkStart w:id="269" w:name="_Toc297120458"/>
      <w:bookmarkStart w:id="270" w:name="_Toc297048344"/>
      <w:bookmarkStart w:id="271" w:name="_Toc296347157"/>
      <w:bookmarkStart w:id="272" w:name="_Toc296346659"/>
      <w:r>
        <w:rPr>
          <w:rFonts w:hint="eastAsia" w:ascii="宋体" w:hAnsi="宋体" w:eastAsia="宋体" w:cs="宋体"/>
          <w:color w:val="auto"/>
          <w:szCs w:val="21"/>
          <w:highlight w:val="none"/>
        </w:rPr>
        <w:t>. 承包人</w:t>
      </w:r>
      <w:bookmarkEnd w:id="262"/>
    </w:p>
    <w:bookmarkEnd w:id="263"/>
    <w:bookmarkEnd w:id="264"/>
    <w:bookmarkEnd w:id="265"/>
    <w:bookmarkEnd w:id="266"/>
    <w:bookmarkEnd w:id="267"/>
    <w:bookmarkEnd w:id="268"/>
    <w:bookmarkEnd w:id="269"/>
    <w:bookmarkEnd w:id="270"/>
    <w:bookmarkEnd w:id="271"/>
    <w:bookmarkEnd w:id="272"/>
    <w:p w14:paraId="42AD939D">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承包人的一般义务</w:t>
      </w:r>
    </w:p>
    <w:p w14:paraId="00241A8A">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szCs w:val="21"/>
          <w:highlight w:val="none"/>
        </w:rPr>
        <w:t>承包人提交的竣工资料的内容：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按相关规定执行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275083C">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肆套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9AF520">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由承包方承担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ABBC5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83B5A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书面和电子文档</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93EEA91">
      <w:pPr>
        <w:numPr>
          <w:ilvl w:val="0"/>
          <w:numId w:val="2"/>
        </w:num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承包人应履行的其他义务：</w:t>
      </w:r>
    </w:p>
    <w:p w14:paraId="0D9599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1、项目经理(承包人中标通知书所示建造师，下同)、主要工程技术管理人员，必须参加由负责工程</w:t>
      </w:r>
    </w:p>
    <w:p w14:paraId="0589B5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监理的监理人或发包人组织的工程例会 。</w:t>
      </w:r>
    </w:p>
    <w:p w14:paraId="061EAA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2、承包人必须做好与其它施工单位的配合工作，服从发包人的统一安排，并有责任对其他施工单位已完工程及产品进行保护，相关费用协商签证。  </w:t>
      </w:r>
    </w:p>
    <w:p w14:paraId="09BE83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3、施工过程中的用水用电，由承包人负责相关费用。  </w:t>
      </w:r>
    </w:p>
    <w:p w14:paraId="19984F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single"/>
        </w:rPr>
        <w:t>4、承包人应积极配合发包人办理后续报建手续，承包人应再合同签订后7日内提供相关资料并安排人员办理后续报建手续，否则，每延迟1天，发包人有权要求承包人支付1000元违约金</w:t>
      </w:r>
      <w:r>
        <w:rPr>
          <w:rFonts w:hint="eastAsia" w:ascii="宋体" w:hAnsi="宋体" w:eastAsia="宋体" w:cs="宋体"/>
          <w:color w:val="auto"/>
          <w:szCs w:val="21"/>
          <w:highlight w:val="none"/>
          <w:u w:val="none"/>
          <w:lang w:eastAsia="zh-CN"/>
        </w:rPr>
        <w:t>。</w:t>
      </w:r>
    </w:p>
    <w:p w14:paraId="3B6289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szCs w:val="21"/>
          <w:highlight w:val="none"/>
          <w:u w:val="single"/>
          <w:lang w:val="en-US" w:eastAsia="zh-CN"/>
        </w:rPr>
      </w:pP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000000"/>
          <w:szCs w:val="21"/>
          <w:highlight w:val="none"/>
          <w:u w:val="single"/>
          <w:lang w:val="en-US" w:eastAsia="zh-CN"/>
        </w:rPr>
        <w:t>承包方应按照工期保质保量完成，如因承包人原因造成工期延误的监理费一切费用由承包方承担。</w:t>
      </w:r>
    </w:p>
    <w:p w14:paraId="3FA786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14:paraId="6E116416">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2B6499CC">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4491245">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09DFC7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D690107">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58E1280">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C726DA8">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3BEEF6D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7EFE60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272F206">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按通用合同条款执行 </w:t>
      </w:r>
      <w:r>
        <w:rPr>
          <w:rFonts w:hint="eastAsia" w:ascii="宋体" w:hAnsi="宋体" w:eastAsia="宋体" w:cs="宋体"/>
          <w:color w:val="auto"/>
          <w:szCs w:val="21"/>
          <w:highlight w:val="none"/>
        </w:rPr>
        <w:t>。</w:t>
      </w:r>
    </w:p>
    <w:p w14:paraId="5606C884">
      <w:pPr>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每月不少于22天 </w:t>
      </w:r>
      <w:r>
        <w:rPr>
          <w:rFonts w:hint="eastAsia" w:ascii="宋体" w:hAnsi="宋体" w:eastAsia="宋体" w:cs="宋体"/>
          <w:color w:val="auto"/>
          <w:szCs w:val="21"/>
          <w:highlight w:val="none"/>
        </w:rPr>
        <w:t>。</w:t>
      </w:r>
    </w:p>
    <w:p w14:paraId="7DD5300E">
      <w:pPr>
        <w:spacing w:line="480" w:lineRule="exact"/>
        <w:ind w:firstLine="420" w:firstLineChars="200"/>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按湖南省住房和城乡建设厅关于印发《建筑工程施工项目部和现场监理部关键岗位人员配备管理办法》的通知(湘建建(2020)208号)规定执行。</w:t>
      </w:r>
    </w:p>
    <w:p w14:paraId="3B030ACA">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szCs w:val="21"/>
          <w:highlight w:val="none"/>
          <w:u w:val="single"/>
          <w:lang w:val="en-US" w:eastAsia="zh-CN"/>
        </w:rPr>
        <w:t xml:space="preserve"> 缺勤一天支付违约金2000元</w:t>
      </w:r>
      <w:r>
        <w:rPr>
          <w:rFonts w:hint="eastAsia" w:ascii="宋体" w:hAnsi="宋体" w:eastAsia="宋体" w:cs="宋体"/>
          <w:color w:val="auto"/>
          <w:szCs w:val="21"/>
          <w:highlight w:val="none"/>
        </w:rPr>
        <w:t>。</w:t>
      </w:r>
    </w:p>
    <w:p w14:paraId="2BF11B25">
      <w:pPr>
        <w:spacing w:line="480" w:lineRule="exact"/>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按湖南省住房和城乡建设厅关于印发《建筑工程施工项</w:t>
      </w:r>
    </w:p>
    <w:p w14:paraId="36BEB10D">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目部和现场监理部关键岗位人员配备管理办法》的通知(湘建建〔2020〕208号)规定执行 </w:t>
      </w:r>
      <w:r>
        <w:rPr>
          <w:rFonts w:hint="eastAsia" w:ascii="宋体" w:hAnsi="宋体" w:eastAsia="宋体" w:cs="宋体"/>
          <w:color w:val="auto"/>
          <w:szCs w:val="21"/>
          <w:highlight w:val="none"/>
        </w:rPr>
        <w:t>。</w:t>
      </w:r>
    </w:p>
    <w:p w14:paraId="1C8A735A">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按湖南省住房和城乡建设厅关于印发《建筑工程施工项目部和现场监理部关键岗位人员配备管理办法》的通知(湘建建〔2020〕208号)规定执行 </w:t>
      </w:r>
      <w:r>
        <w:rPr>
          <w:rFonts w:hint="eastAsia" w:ascii="宋体" w:hAnsi="宋体" w:eastAsia="宋体" w:cs="宋体"/>
          <w:color w:val="auto"/>
          <w:szCs w:val="21"/>
          <w:highlight w:val="none"/>
        </w:rPr>
        <w:t>。</w:t>
      </w:r>
    </w:p>
    <w:p w14:paraId="073819C8">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承包人人员</w:t>
      </w:r>
    </w:p>
    <w:p w14:paraId="2618781F">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承包人提交项目管理机构及施工现场管理人员安排报告的期限：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在合同签订7日内安排管理人员到位，并编写在施工场地的管理机构以及人员安排的报告，其内容应包括管理机构的设置、各主要岗位的技术和管理人员名单及其资格，以及各工种技术工人的安排状况，经监理人认可后及时报发包人备案。  承包人应向监理人提交施工场地人员变动情况的报告。承包人未在约定时间内到位的，应按项目经理、技术 负责人每天2000元、其他主要工程管理人员每人每天1000元标准支付给发包人违约金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F02127B">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承包人无正当理由拒绝撤换主要施工管理人员的违约责任：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发包人对不称职的主要施工管理人员和技术负责人有权要求承包人更换。承包人自接到更换通知之日起2天内另行委派具有法定资格、适合施工要求的技术负责人、施工员(专业工程师)、安全员到位，否则，每延迟一天，承包人按技术负责人2000 元/人/天，施工员(专业工程师)、安全员1000元/人/天向发包人支付违约金；延迟时间超过30日还未委派合格的技术负责人到位的，发包人有权解除本合同，并由承包人按工程合同价格的10%承担违约责任。承包人无正当理由停止施工或撤离现场的，承包人不得向发包人就尚未支付的工程款取得权利，且发包人有权向承包人索赔</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A07A670">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3.3.4 承包人主要施工管理人员离开施工现场的批准要求：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承包人必须按规定履行程序，主要施工管理人员、技术负责人不得兼职与外聘，不得离岗、脱岗，否则按技术负责人及其他主要工程管理人员每天1000 元标准支付给发包人违约金</w:t>
      </w:r>
      <w:r>
        <w:rPr>
          <w:rFonts w:hint="eastAsia" w:ascii="宋体" w:hAnsi="宋体" w:eastAsia="宋体" w:cs="宋体"/>
          <w:color w:val="auto"/>
          <w:szCs w:val="21"/>
          <w:highlight w:val="none"/>
        </w:rPr>
        <w:t>。</w:t>
      </w:r>
    </w:p>
    <w:p w14:paraId="38AF25CF">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承包人在投标书承诺的组织机构人员(包括主要施工管理人员、主要技术负责人)必须是本单位的人员，不得更换。在进场施工时，技术负责人与投标文件所报的主要技术负责人不一致时，发包人有权拒绝接受与投标文件所报的主要技术负责人不一致的人员履职，并书面通知承包人委派招标文件承诺的主要技术负责人到场履职，承包人仍然不按照投标承诺和合同约定委派技术负责人到场履职的，发包人有权解除合同，由承包人按工程总价款的10%承担违约责任。并以资质挂靠行为上报建设行政主管部门进行处罚。如确有特殊情况需更换的，需经发包人同意，并上报监管部门核备，擅自更换主要施工管理人员的，按湖南省住房和城乡建设厅关于印发《建筑工程施工项目部和现场监理部关键岗位人员配备管理办法》的通知(湘建建〔2020〕208号)规定执行 </w:t>
      </w:r>
      <w:r>
        <w:rPr>
          <w:rFonts w:hint="eastAsia" w:ascii="宋体" w:hAnsi="宋体" w:eastAsia="宋体" w:cs="宋体"/>
          <w:color w:val="auto"/>
          <w:szCs w:val="21"/>
          <w:highlight w:val="none"/>
        </w:rPr>
        <w:t>。</w:t>
      </w:r>
    </w:p>
    <w:p w14:paraId="078C45CD">
      <w:pPr>
        <w:spacing w:line="480" w:lineRule="exact"/>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缺勤一天支付违约金2000元 </w:t>
      </w:r>
      <w:r>
        <w:rPr>
          <w:rFonts w:hint="eastAsia" w:ascii="宋体" w:hAnsi="宋体" w:eastAsia="宋体" w:cs="宋体"/>
          <w:color w:val="auto"/>
          <w:szCs w:val="21"/>
          <w:highlight w:val="none"/>
          <w:u w:val="none"/>
          <w:lang w:val="en-US" w:eastAsia="zh-CN"/>
        </w:rPr>
        <w:t>。</w:t>
      </w:r>
    </w:p>
    <w:p w14:paraId="31409377">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273" w:name="_Toc296346660"/>
      <w:bookmarkStart w:id="274" w:name="_Toc297216151"/>
      <w:bookmarkStart w:id="275" w:name="_Toc296944498"/>
      <w:bookmarkStart w:id="276" w:name="_Toc304295523"/>
      <w:bookmarkStart w:id="277" w:name="_Toc297120459"/>
      <w:bookmarkStart w:id="278" w:name="_Toc292559869"/>
      <w:bookmarkStart w:id="279" w:name="_Toc296890987"/>
      <w:bookmarkStart w:id="280" w:name="_Toc312677988"/>
      <w:bookmarkStart w:id="281" w:name="_Toc296347158"/>
      <w:bookmarkStart w:id="282" w:name="_Toc300934945"/>
      <w:bookmarkStart w:id="283" w:name="_Toc297048345"/>
      <w:bookmarkStart w:id="284" w:name="_Toc303539102"/>
      <w:bookmarkStart w:id="285" w:name="_Toc296503159"/>
      <w:bookmarkStart w:id="286" w:name="_Toc296891199"/>
      <w:bookmarkStart w:id="287" w:name="_Toc297123492"/>
      <w:bookmarkStart w:id="288" w:name="_Toc292559364"/>
      <w:r>
        <w:rPr>
          <w:rFonts w:hint="eastAsia" w:ascii="宋体" w:hAnsi="宋体" w:eastAsia="宋体" w:cs="宋体"/>
          <w:color w:val="auto"/>
          <w:szCs w:val="21"/>
          <w:highlight w:val="none"/>
        </w:rPr>
        <w:t>.5 分包</w:t>
      </w:r>
    </w:p>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14:paraId="0259980E">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289" w:name="_Toc297123493"/>
      <w:bookmarkStart w:id="290" w:name="_Toc296346661"/>
      <w:bookmarkStart w:id="291" w:name="_Toc296347159"/>
      <w:bookmarkStart w:id="292" w:name="_Toc303539103"/>
      <w:bookmarkStart w:id="293" w:name="_Toc300934946"/>
      <w:bookmarkStart w:id="294" w:name="_Toc297216152"/>
      <w:bookmarkStart w:id="295" w:name="_Toc304295524"/>
      <w:bookmarkStart w:id="296" w:name="_Toc296890988"/>
      <w:bookmarkStart w:id="297" w:name="_Toc292559365"/>
      <w:bookmarkStart w:id="298" w:name="_Toc296503160"/>
      <w:bookmarkStart w:id="299" w:name="_Toc296944499"/>
      <w:bookmarkStart w:id="300" w:name="_Toc297048346"/>
      <w:bookmarkStart w:id="301" w:name="_Toc296891200"/>
      <w:bookmarkStart w:id="302" w:name="_Toc292559870"/>
      <w:bookmarkStart w:id="303" w:name="_Toc297120460"/>
      <w:bookmarkStart w:id="304" w:name="_Toc318581158"/>
      <w:bookmarkStart w:id="305" w:name="_Toc312677989"/>
      <w:r>
        <w:rPr>
          <w:rFonts w:hint="eastAsia" w:ascii="宋体" w:hAnsi="宋体" w:eastAsia="宋体" w:cs="宋体"/>
          <w:color w:val="auto"/>
          <w:szCs w:val="21"/>
          <w:highlight w:val="none"/>
        </w:rPr>
        <w:t>.5.1 分包的一般约定</w:t>
      </w:r>
    </w:p>
    <w:p w14:paraId="31D06D5E">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lang w:val="en-US" w:eastAsia="zh-CN"/>
        </w:rPr>
        <w:t xml:space="preserve"> 按通用合同条款执行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3011FF">
      <w:pPr>
        <w:spacing w:line="4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主体结构、关键性工作的范围：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Start w:id="306" w:name="_Toc296346662"/>
      <w:bookmarkStart w:id="307" w:name="_Toc303539104"/>
      <w:bookmarkStart w:id="308" w:name="_Toc296891201"/>
      <w:bookmarkStart w:id="309" w:name="_Toc297048347"/>
      <w:bookmarkStart w:id="310" w:name="_Toc297123494"/>
      <w:bookmarkStart w:id="311" w:name="_Toc300934947"/>
      <w:bookmarkStart w:id="312" w:name="_Toc296347160"/>
      <w:bookmarkStart w:id="313" w:name="_Toc296503161"/>
      <w:bookmarkStart w:id="314" w:name="_Toc297216153"/>
      <w:bookmarkStart w:id="315" w:name="_Toc304295525"/>
      <w:bookmarkStart w:id="316" w:name="_Toc296890989"/>
      <w:bookmarkStart w:id="317" w:name="_Toc297120461"/>
      <w:bookmarkStart w:id="318" w:name="_Toc296944500"/>
    </w:p>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6437F7D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bookmarkStart w:id="319" w:name="_Toc312677990"/>
      <w:bookmarkStart w:id="320" w:name="_Toc318581159"/>
      <w:r>
        <w:rPr>
          <w:rFonts w:hint="eastAsia" w:ascii="宋体" w:hAnsi="宋体" w:eastAsia="宋体" w:cs="宋体"/>
          <w:color w:val="auto"/>
          <w:szCs w:val="21"/>
          <w:highlight w:val="none"/>
        </w:rPr>
        <w:t>.5.2分包的确定</w:t>
      </w:r>
    </w:p>
    <w:p w14:paraId="5798FFE0">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lang w:val="en-US" w:eastAsia="zh-CN"/>
        </w:rPr>
        <w:t xml:space="preserve"> 不允许分包 </w:t>
      </w:r>
      <w:r>
        <w:rPr>
          <w:rFonts w:hint="eastAsia" w:ascii="宋体" w:hAnsi="宋体" w:eastAsia="宋体" w:cs="宋体"/>
          <w:color w:val="auto"/>
          <w:szCs w:val="21"/>
          <w:highlight w:val="none"/>
        </w:rPr>
        <w:t>。</w:t>
      </w:r>
    </w:p>
    <w:p w14:paraId="6E4DF38B">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其他关于分包的约定：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62099B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分包合同价款</w:t>
      </w:r>
    </w:p>
    <w:p w14:paraId="19E373B6">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319"/>
    <w:bookmarkEnd w:id="320"/>
    <w:p w14:paraId="5E1C091C">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工程照管与成品、半成品保护</w:t>
      </w:r>
    </w:p>
    <w:p w14:paraId="77348493">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按通用合同条款执行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7E7C370">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 履约担保</w:t>
      </w:r>
    </w:p>
    <w:p w14:paraId="25746D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承包人是否提供履约担保：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575464">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szCs w:val="21"/>
          <w:highlight w:val="none"/>
        </w:rPr>
        <w:t>承包人提供履约担保的形式、金额及期限的：</w:t>
      </w:r>
      <w:r>
        <w:rPr>
          <w:rFonts w:hint="eastAsia" w:ascii="宋体" w:hAnsi="宋体" w:eastAsia="宋体" w:cs="宋体"/>
          <w:color w:val="auto"/>
          <w:kern w:val="0"/>
          <w:szCs w:val="21"/>
          <w:highlight w:val="none"/>
          <w:u w:val="single"/>
          <w:lang w:val="en-US" w:eastAsia="zh-CN"/>
        </w:rPr>
        <w:t xml:space="preserve">  1、保函形式：包括银行业金融机构保函、担保公司担保(非融资性担保公司保函)、保险公司保证保险；2、担保金额：中标金额低于最高投标限价10%以内的，不超过中标合同金额的10%。中标金额低于最高投标限价10%以上的，为最高投标限价减去中标合同金额后的差额；3、中标人须在与招标人签订合同前提交给招标人 </w:t>
      </w:r>
      <w:r>
        <w:rPr>
          <w:rFonts w:hint="eastAsia" w:ascii="宋体" w:hAnsi="宋体" w:eastAsia="宋体" w:cs="宋体"/>
          <w:color w:val="auto"/>
          <w:kern w:val="0"/>
          <w:szCs w:val="21"/>
          <w:highlight w:val="none"/>
          <w:u w:val="none"/>
          <w:lang w:val="en-US" w:eastAsia="zh-CN"/>
        </w:rPr>
        <w:t>。</w:t>
      </w:r>
    </w:p>
    <w:p w14:paraId="7CA91D17">
      <w:pPr>
        <w:spacing w:line="480" w:lineRule="exact"/>
        <w:rPr>
          <w:rFonts w:hint="eastAsia" w:ascii="宋体" w:hAnsi="宋体" w:eastAsia="宋体" w:cs="宋体"/>
          <w:color w:val="auto"/>
          <w:szCs w:val="21"/>
          <w:highlight w:val="none"/>
        </w:rPr>
      </w:pPr>
      <w:bookmarkStart w:id="321" w:name="_Toc351203636"/>
      <w:r>
        <w:rPr>
          <w:rFonts w:hint="eastAsia" w:ascii="宋体" w:hAnsi="宋体" w:eastAsia="宋体" w:cs="宋体"/>
          <w:color w:val="auto"/>
          <w:szCs w:val="21"/>
          <w:highlight w:val="none"/>
        </w:rPr>
        <w:t>4</w:t>
      </w:r>
      <w:bookmarkStart w:id="322" w:name="_Toc296891202"/>
      <w:bookmarkStart w:id="323" w:name="_Toc296890990"/>
      <w:bookmarkStart w:id="324" w:name="_Toc292559871"/>
      <w:bookmarkStart w:id="325" w:name="_Toc296346663"/>
      <w:bookmarkStart w:id="326" w:name="_Toc292559366"/>
      <w:bookmarkStart w:id="327" w:name="_Toc296944501"/>
      <w:bookmarkStart w:id="328" w:name="_Toc296347161"/>
      <w:bookmarkStart w:id="329" w:name="_Toc297048348"/>
      <w:bookmarkStart w:id="330" w:name="_Toc297120462"/>
      <w:bookmarkStart w:id="331" w:name="_Toc267251413"/>
      <w:bookmarkStart w:id="332" w:name="_Toc296503162"/>
      <w:r>
        <w:rPr>
          <w:rFonts w:hint="eastAsia" w:ascii="宋体" w:hAnsi="宋体" w:eastAsia="宋体" w:cs="宋体"/>
          <w:color w:val="auto"/>
          <w:szCs w:val="21"/>
          <w:highlight w:val="none"/>
        </w:rPr>
        <w:t>. 监</w:t>
      </w:r>
      <w:bookmarkEnd w:id="322"/>
      <w:bookmarkEnd w:id="323"/>
      <w:bookmarkEnd w:id="324"/>
      <w:bookmarkEnd w:id="325"/>
      <w:bookmarkEnd w:id="326"/>
      <w:bookmarkEnd w:id="327"/>
      <w:bookmarkEnd w:id="328"/>
      <w:bookmarkEnd w:id="329"/>
      <w:bookmarkEnd w:id="330"/>
      <w:bookmarkEnd w:id="331"/>
      <w:bookmarkEnd w:id="332"/>
      <w:r>
        <w:rPr>
          <w:rFonts w:hint="eastAsia" w:ascii="宋体" w:hAnsi="宋体" w:eastAsia="宋体" w:cs="宋体"/>
          <w:color w:val="auto"/>
          <w:szCs w:val="21"/>
          <w:highlight w:val="none"/>
        </w:rPr>
        <w:t>理人</w:t>
      </w:r>
      <w:bookmarkEnd w:id="321"/>
    </w:p>
    <w:p w14:paraId="7963CAE2">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4.1监理人的一般规定</w:t>
      </w:r>
    </w:p>
    <w:p w14:paraId="3B7EDD79">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kern w:val="0"/>
          <w:szCs w:val="21"/>
          <w:highlight w:val="none"/>
          <w:u w:val="single"/>
          <w:lang w:val="en-US" w:eastAsia="zh-CN"/>
        </w:rPr>
        <w:t>监理人进行工程建设合同管理，按照合同控制工程的建设投资、质量、进度、安全、环保，并协调有关各方和工作关系 。</w:t>
      </w:r>
    </w:p>
    <w:p w14:paraId="590F9063">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en-US" w:eastAsia="zh-CN"/>
        </w:rPr>
        <w:t>(1)审批工程施工组织设计、进度计划和技术方案，向承包人提出建议，并向发包人提出书面报告；(2)主持工程建设中有关的参建各方的组织协调和会议；(3)对本工程的安全文明施工进行监督、管理；(4)征得发包人同意，监理人有权发布开工令、停工令、复工令。如在紧急情况下未能事先报告时，则应在24小时内向发包人作出书面报告；(5)工程施工进度的检查、监督权，以及工程实际竣工日期提前或超过工程施工合同规定的竣工期限的签认权；(6)在工程施工合同约定的工程价格范围内，工程款支付的审核和签认权，以及工程结算的确认复核权与否决权等</w:t>
      </w:r>
      <w:r>
        <w:rPr>
          <w:rFonts w:hint="eastAsia" w:ascii="宋体" w:hAnsi="宋体" w:eastAsia="宋体" w:cs="宋体"/>
          <w:color w:val="auto"/>
          <w:szCs w:val="21"/>
          <w:highlight w:val="none"/>
        </w:rPr>
        <w:t xml:space="preserve">。 </w:t>
      </w:r>
    </w:p>
    <w:p w14:paraId="51994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监理公司自行承担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2B10A6">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监理人员</w:t>
      </w:r>
    </w:p>
    <w:p w14:paraId="24ECAF1F">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5EEBC861">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4CA502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4861C58">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7E2741B">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253B52FA">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72C90FB0">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2C900BE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10342BD0">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商定或确定</w:t>
      </w:r>
    </w:p>
    <w:p w14:paraId="2AE477B5">
      <w:pPr>
        <w:spacing w:line="480" w:lineRule="exact"/>
        <w:ind w:firstLine="420" w:firstLineChars="200"/>
        <w:rPr>
          <w:rFonts w:hint="eastAsia" w:ascii="宋体" w:hAnsi="宋体" w:eastAsia="宋体" w:cs="宋体"/>
          <w:color w:val="auto"/>
          <w:szCs w:val="21"/>
          <w:highlight w:val="none"/>
        </w:rPr>
      </w:pPr>
      <w:bookmarkStart w:id="333" w:name="_Toc267251418"/>
      <w:r>
        <w:rPr>
          <w:rFonts w:hint="eastAsia" w:ascii="宋体" w:hAnsi="宋体" w:eastAsia="宋体" w:cs="宋体"/>
          <w:color w:val="auto"/>
          <w:szCs w:val="21"/>
          <w:highlight w:val="none"/>
        </w:rPr>
        <w:t>在发包人和承包人不能通过协商达成一致意见时，发包人授权监理人对以下事项进行确定：</w:t>
      </w:r>
    </w:p>
    <w:p w14:paraId="3689F380">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8483AF8">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C4FAEF2">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AA848D">
      <w:pPr>
        <w:spacing w:line="480" w:lineRule="exact"/>
        <w:rPr>
          <w:rFonts w:hint="eastAsia" w:ascii="宋体" w:hAnsi="宋体" w:eastAsia="宋体" w:cs="宋体"/>
          <w:color w:val="auto"/>
          <w:szCs w:val="21"/>
          <w:highlight w:val="none"/>
        </w:rPr>
      </w:pPr>
      <w:bookmarkStart w:id="334" w:name="_Toc351203637"/>
      <w:r>
        <w:rPr>
          <w:rFonts w:hint="eastAsia" w:ascii="宋体" w:hAnsi="宋体" w:eastAsia="宋体" w:cs="宋体"/>
          <w:color w:val="auto"/>
          <w:szCs w:val="21"/>
          <w:highlight w:val="none"/>
        </w:rPr>
        <w:t>5</w:t>
      </w:r>
      <w:bookmarkEnd w:id="333"/>
      <w:bookmarkStart w:id="335" w:name="_Toc292559367"/>
      <w:bookmarkStart w:id="336" w:name="_Toc296503163"/>
      <w:bookmarkStart w:id="337" w:name="_Toc297048349"/>
      <w:bookmarkStart w:id="338" w:name="_Toc297120463"/>
      <w:bookmarkStart w:id="339" w:name="_Toc296347162"/>
      <w:bookmarkStart w:id="340" w:name="_Toc296346664"/>
      <w:bookmarkStart w:id="341" w:name="_Toc292559872"/>
      <w:bookmarkStart w:id="342" w:name="_Toc296891203"/>
      <w:bookmarkStart w:id="343" w:name="_Toc296944502"/>
      <w:bookmarkStart w:id="344" w:name="_Toc296890991"/>
      <w:r>
        <w:rPr>
          <w:rFonts w:hint="eastAsia" w:ascii="宋体" w:hAnsi="宋体" w:eastAsia="宋体" w:cs="宋体"/>
          <w:color w:val="auto"/>
          <w:szCs w:val="21"/>
          <w:highlight w:val="none"/>
        </w:rPr>
        <w:t>. 工程质量</w:t>
      </w:r>
      <w:bookmarkEnd w:id="334"/>
    </w:p>
    <w:p w14:paraId="0679E55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质量要求</w:t>
      </w:r>
    </w:p>
    <w:p w14:paraId="2BCD69BB">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bookmarkStart w:id="345" w:name="_Toc318581164"/>
      <w:bookmarkStart w:id="346" w:name="_Toc297123496"/>
      <w:bookmarkStart w:id="347" w:name="_Toc297216155"/>
      <w:bookmarkStart w:id="348" w:name="_Toc304295527"/>
      <w:bookmarkStart w:id="349" w:name="_Toc303539106"/>
      <w:bookmarkStart w:id="350" w:name="_Toc300934949"/>
      <w:bookmarkStart w:id="351" w:name="_Toc312677997"/>
      <w:r>
        <w:rPr>
          <w:rFonts w:hint="eastAsia" w:ascii="宋体" w:hAnsi="宋体" w:eastAsia="宋体" w:cs="宋体"/>
          <w:color w:val="auto"/>
          <w:szCs w:val="21"/>
          <w:highlight w:val="none"/>
        </w:rPr>
        <w:t>.1.1 特殊质量标准和要求：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B0F14C0">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8D84C8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隐蔽工程检查</w:t>
      </w:r>
    </w:p>
    <w:p w14:paraId="71CF22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5.3.2承包人提前通知监理人隐蔽工程检查的期限的约定：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工程隐蔽部位经承包人自检确认具备覆盖条件的，承包人应在共同检查前48小时书面通知监理人检查，通知中应载明隐蔽检查的内容、时间和地点，并应附有自检记录和必要的检查资料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BD07D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24 </w:t>
      </w:r>
      <w:r>
        <w:rPr>
          <w:rFonts w:hint="eastAsia" w:ascii="宋体" w:hAnsi="宋体" w:eastAsia="宋体" w:cs="宋体"/>
          <w:color w:val="auto"/>
          <w:szCs w:val="21"/>
          <w:highlight w:val="none"/>
        </w:rPr>
        <w:t>小时提交书面延期要求。</w:t>
      </w:r>
    </w:p>
    <w:p w14:paraId="2F9BC9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48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w:t>
      </w:r>
    </w:p>
    <w:p w14:paraId="4DA722B9">
      <w:pPr>
        <w:spacing w:line="480" w:lineRule="exact"/>
        <w:rPr>
          <w:rFonts w:hint="eastAsia" w:ascii="宋体" w:hAnsi="宋体" w:eastAsia="宋体" w:cs="宋体"/>
          <w:color w:val="auto"/>
          <w:szCs w:val="21"/>
          <w:highlight w:val="none"/>
        </w:rPr>
      </w:pPr>
      <w:bookmarkStart w:id="352" w:name="_Toc351203638"/>
      <w:r>
        <w:rPr>
          <w:rFonts w:hint="eastAsia" w:ascii="宋体" w:hAnsi="宋体" w:eastAsia="宋体" w:cs="宋体"/>
          <w:color w:val="auto"/>
          <w:szCs w:val="21"/>
          <w:highlight w:val="none"/>
        </w:rPr>
        <w:t>6. 安全文明施工与环境保护</w:t>
      </w:r>
      <w:bookmarkEnd w:id="352"/>
    </w:p>
    <w:p w14:paraId="5CAD16B0">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6.1安全文明施工</w:t>
      </w:r>
    </w:p>
    <w:p w14:paraId="544329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须按相关部门及发包人安全文明管理办法的规定搭设安全标志及施工围挡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211CC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F879C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承包人应设置现场治安管理机构或组织维护施工场地的治安外，还应做好包括生活区在内的各自管辖区的治安保卫工作 </w:t>
      </w:r>
      <w:r>
        <w:rPr>
          <w:rFonts w:hint="eastAsia" w:ascii="宋体" w:hAnsi="宋体" w:eastAsia="宋体" w:cs="宋体"/>
          <w:color w:val="auto"/>
          <w:szCs w:val="21"/>
          <w:highlight w:val="none"/>
        </w:rPr>
        <w:t>。</w:t>
      </w:r>
    </w:p>
    <w:p w14:paraId="64B0E31D">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14:paraId="6A5BD1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须按发包人要求悬挂相关宣传标语，费用由承包人承担；加强环境保护，防止扬尘污染，有效控制施工噪音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BA85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 关于安全文明施工费支付比例和支付期限的约定：</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345"/>
    <w:bookmarkEnd w:id="346"/>
    <w:bookmarkEnd w:id="347"/>
    <w:bookmarkEnd w:id="348"/>
    <w:bookmarkEnd w:id="349"/>
    <w:bookmarkEnd w:id="350"/>
    <w:bookmarkEnd w:id="351"/>
    <w:p w14:paraId="0A7B1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bookmarkStart w:id="353" w:name="_Toc351203639"/>
      <w:r>
        <w:rPr>
          <w:rFonts w:hint="eastAsia" w:ascii="宋体" w:hAnsi="宋体" w:eastAsia="宋体" w:cs="宋体"/>
          <w:color w:val="auto"/>
          <w:szCs w:val="21"/>
          <w:highlight w:val="none"/>
        </w:rPr>
        <w:t>7. 工期和进度</w:t>
      </w:r>
      <w:bookmarkEnd w:id="353"/>
    </w:p>
    <w:p w14:paraId="3B0AC094">
      <w:pPr>
        <w:keepNext w:val="0"/>
        <w:keepLines w:val="0"/>
        <w:pageBreakBefore w:val="0"/>
        <w:widowControl w:val="0"/>
        <w:kinsoku/>
        <w:wordWrap/>
        <w:overflowPunct/>
        <w:topLinePunct w:val="0"/>
        <w:bidi w:val="0"/>
        <w:snapToGrid/>
        <w:spacing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施工组织设计</w:t>
      </w:r>
    </w:p>
    <w:p w14:paraId="33298F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7.1.1 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96857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14:paraId="60C5BF3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收到开工通知后计划开工日期前7日内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8151EC">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收到文件后7日 </w:t>
      </w:r>
      <w:r>
        <w:rPr>
          <w:rFonts w:hint="eastAsia" w:ascii="宋体" w:hAnsi="宋体" w:eastAsia="宋体" w:cs="宋体"/>
          <w:color w:val="auto"/>
          <w:szCs w:val="21"/>
          <w:highlight w:val="none"/>
        </w:rPr>
        <w:t>。</w:t>
      </w:r>
    </w:p>
    <w:p w14:paraId="1B38DF6A">
      <w:pPr>
        <w:keepNext w:val="0"/>
        <w:keepLines w:val="0"/>
        <w:pageBreakBefore w:val="0"/>
        <w:widowControl w:val="0"/>
        <w:kinsoku/>
        <w:wordWrap/>
        <w:overflowPunct/>
        <w:topLinePunct w:val="0"/>
        <w:bidi w:val="0"/>
        <w:snapToGrid/>
        <w:spacing w:after="12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354" w:name="_Toc303539123"/>
      <w:bookmarkStart w:id="355" w:name="_Toc312677479"/>
      <w:bookmarkStart w:id="356" w:name="_Toc300934966"/>
      <w:bookmarkStart w:id="357" w:name="_Toc297216173"/>
      <w:bookmarkStart w:id="358" w:name="_Toc312678005"/>
      <w:bookmarkStart w:id="359" w:name="_Toc304295541"/>
      <w:bookmarkStart w:id="360" w:name="_Toc297123514"/>
      <w:r>
        <w:rPr>
          <w:rFonts w:hint="eastAsia" w:ascii="宋体" w:hAnsi="宋体" w:eastAsia="宋体" w:cs="宋体"/>
          <w:color w:val="auto"/>
          <w:szCs w:val="21"/>
          <w:highlight w:val="none"/>
        </w:rPr>
        <w:t>.2 施工进度计划</w:t>
      </w:r>
    </w:p>
    <w:p w14:paraId="26E6C6F8">
      <w:pPr>
        <w:keepNext w:val="0"/>
        <w:keepLines w:val="0"/>
        <w:pageBreakBefore w:val="0"/>
        <w:widowControl w:val="0"/>
        <w:kinsoku/>
        <w:wordWrap/>
        <w:overflowPunct/>
        <w:topLinePunct w:val="0"/>
        <w:bidi w:val="0"/>
        <w:snapToGrid/>
        <w:spacing w:after="120"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u w:val="single"/>
          <w:lang w:val="en-US" w:eastAsia="zh-CN"/>
        </w:rPr>
        <w:t>承包人需在本合同签订7天内编制总体施工方案报监理人认可，并按照总体施工进度计划按期号施工分部分项方案经监理人认可后报送发包人。</w:t>
      </w:r>
    </w:p>
    <w:p w14:paraId="1D319533">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14:paraId="767A6B7C">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发包人和监理人在收到修订的施工进度计划后确认或提出修改意见的期限：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收到文件后7日内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66963F">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开工</w:t>
      </w:r>
    </w:p>
    <w:p w14:paraId="663535F3">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14:paraId="54E8FBDB">
      <w:pPr>
        <w:spacing w:line="480" w:lineRule="exact"/>
        <w:ind w:firstLine="6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收到开工通知后计划开工日期前7日内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237A4EC">
      <w:pPr>
        <w:spacing w:line="480" w:lineRule="exact"/>
        <w:ind w:firstLine="6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4E315B0">
      <w:pPr>
        <w:spacing w:after="120" w:line="480" w:lineRule="exact"/>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关于承包人应完成的其他开工准备工作及期限：</w:t>
      </w:r>
      <w:r>
        <w:rPr>
          <w:rFonts w:ascii="宋体" w:hAnsi="宋体" w:eastAsia="宋体" w:cs="宋体"/>
          <w:spacing w:val="6"/>
          <w:sz w:val="37"/>
          <w:szCs w:val="37"/>
          <w:u w:val="single" w:color="auto"/>
        </w:rPr>
        <w:t xml:space="preserve"> </w:t>
      </w:r>
      <w:r>
        <w:rPr>
          <w:rFonts w:hint="eastAsia" w:ascii="宋体" w:hAnsi="宋体" w:eastAsia="宋体" w:cs="宋体"/>
          <w:color w:val="auto"/>
          <w:szCs w:val="21"/>
          <w:highlight w:val="none"/>
          <w:u w:val="single"/>
          <w:lang w:val="en-US" w:eastAsia="zh-CN"/>
        </w:rPr>
        <w:t>其他开工准备包括但不限于驻地建设、人员到位、图纸和预算审查、现场复测等；收到开工通知后计划开工日期前7日内。</w:t>
      </w:r>
    </w:p>
    <w:p w14:paraId="0CA96A44">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7.3.2开工通知</w:t>
      </w:r>
    </w:p>
    <w:p w14:paraId="6DB67D8D">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因发包人原因造成监理人未能在计划开工日期之日起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天内发出开工通知的，承包人有权提出价格调整要求，或者解除合同。</w:t>
      </w:r>
    </w:p>
    <w:bookmarkEnd w:id="354"/>
    <w:bookmarkEnd w:id="355"/>
    <w:bookmarkEnd w:id="356"/>
    <w:bookmarkEnd w:id="357"/>
    <w:bookmarkEnd w:id="358"/>
    <w:bookmarkEnd w:id="359"/>
    <w:bookmarkEnd w:id="360"/>
    <w:p w14:paraId="3436FD64">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测量放线</w:t>
      </w:r>
    </w:p>
    <w:p w14:paraId="22872455">
      <w:pPr>
        <w:spacing w:line="4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开工前7日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ECE5F06">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361" w:name="_Toc300934968"/>
      <w:bookmarkStart w:id="362" w:name="_Toc297123516"/>
      <w:bookmarkStart w:id="363" w:name="_Toc312677484"/>
      <w:bookmarkStart w:id="364" w:name="_Toc303539125"/>
      <w:bookmarkStart w:id="365" w:name="_Toc304295546"/>
      <w:bookmarkStart w:id="366" w:name="_Toc297216175"/>
      <w:bookmarkStart w:id="367" w:name="_Toc312678010"/>
      <w:r>
        <w:rPr>
          <w:rFonts w:hint="eastAsia" w:ascii="宋体" w:hAnsi="宋体" w:eastAsia="宋体" w:cs="宋体"/>
          <w:color w:val="auto"/>
          <w:szCs w:val="21"/>
          <w:highlight w:val="none"/>
        </w:rPr>
        <w:t>.5 工期延误</w:t>
      </w:r>
    </w:p>
    <w:bookmarkEnd w:id="361"/>
    <w:bookmarkEnd w:id="362"/>
    <w:bookmarkEnd w:id="363"/>
    <w:bookmarkEnd w:id="364"/>
    <w:bookmarkEnd w:id="365"/>
    <w:bookmarkEnd w:id="366"/>
    <w:bookmarkEnd w:id="367"/>
    <w:p w14:paraId="751854A1">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 因发包人原因导致工期延误</w:t>
      </w:r>
    </w:p>
    <w:p w14:paraId="151F56E0">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（7）因发包人原因导致工期延误的其他情形：</w:t>
      </w:r>
      <w:r>
        <w:rPr>
          <w:rFonts w:hint="eastAsia" w:ascii="宋体" w:hAnsi="宋体" w:eastAsia="宋体" w:cs="宋体"/>
          <w:color w:val="auto"/>
          <w:szCs w:val="21"/>
          <w:highlight w:val="none"/>
          <w:u w:val="single"/>
          <w:lang w:val="en-US" w:eastAsia="zh-CN"/>
        </w:rPr>
        <w:t>政府及上级主管部门的批示文件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BF28B7">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368" w:name="_Toc312677486"/>
      <w:bookmarkStart w:id="369" w:name="_Toc318581169"/>
      <w:bookmarkStart w:id="370" w:name="_Toc312678012"/>
      <w:bookmarkStart w:id="371" w:name="_Toc297216177"/>
      <w:bookmarkStart w:id="372" w:name="_Toc304295548"/>
      <w:bookmarkStart w:id="373" w:name="_Toc303539127"/>
      <w:bookmarkStart w:id="374" w:name="_Toc300934970"/>
      <w:bookmarkStart w:id="375" w:name="_Toc297123518"/>
      <w:r>
        <w:rPr>
          <w:rFonts w:hint="eastAsia" w:ascii="宋体" w:hAnsi="宋体" w:eastAsia="宋体" w:cs="宋体"/>
          <w:color w:val="auto"/>
          <w:szCs w:val="21"/>
          <w:highlight w:val="none"/>
        </w:rPr>
        <w:t>.5.2 因承包人原因导致工期延误</w:t>
      </w:r>
    </w:p>
    <w:bookmarkEnd w:id="368"/>
    <w:bookmarkEnd w:id="369"/>
    <w:bookmarkEnd w:id="370"/>
    <w:p w14:paraId="573F4FE2">
      <w:pPr>
        <w:spacing w:line="480" w:lineRule="exact"/>
        <w:ind w:firstLine="420" w:firstLineChars="200"/>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因</w:t>
      </w:r>
      <w:bookmarkStart w:id="376" w:name="_Toc312677487"/>
      <w:bookmarkStart w:id="377" w:name="_Toc312678013"/>
      <w:bookmarkStart w:id="378" w:name="_Toc318581170"/>
      <w:r>
        <w:rPr>
          <w:rFonts w:hint="eastAsia" w:ascii="宋体" w:hAnsi="宋体" w:eastAsia="宋体" w:cs="宋体"/>
          <w:color w:val="auto"/>
          <w:szCs w:val="21"/>
          <w:highlight w:val="none"/>
        </w:rPr>
        <w:t>承包人原因造成工期延误，逾期竣工违约金的计算方法为：</w:t>
      </w:r>
      <w:r>
        <w:rPr>
          <w:rFonts w:hint="eastAsia" w:ascii="宋体" w:hAnsi="宋体" w:eastAsia="宋体" w:cs="宋体"/>
          <w:color w:val="auto"/>
          <w:szCs w:val="21"/>
          <w:highlight w:val="none"/>
          <w:u w:val="single"/>
          <w:lang w:val="en-US" w:eastAsia="zh-CN"/>
        </w:rPr>
        <w:t>经业主批准的施工组织计划承包人必须落实，如果承包人在计划工期前完不成约定的施工任务，每推迟一天承包人向发包人支付人民币2万元的违约金。如确因恶劣天气造成一些工序不能施工，经报发包人批准，可采取适当的特别措施确保正常施工，由此增加相关措施费予以计量 。</w:t>
      </w:r>
      <w:bookmarkEnd w:id="371"/>
      <w:bookmarkEnd w:id="372"/>
      <w:bookmarkEnd w:id="373"/>
      <w:bookmarkEnd w:id="374"/>
      <w:bookmarkEnd w:id="375"/>
      <w:bookmarkEnd w:id="376"/>
      <w:bookmarkEnd w:id="377"/>
    </w:p>
    <w:bookmarkEnd w:id="378"/>
    <w:p w14:paraId="43050729">
      <w:pPr>
        <w:spacing w:line="480" w:lineRule="exact"/>
        <w:ind w:firstLine="420" w:firstLineChars="200"/>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因承包人原因造成工期延误，逾</w:t>
      </w:r>
      <w:bookmarkStart w:id="379" w:name="_Toc312678014"/>
      <w:bookmarkStart w:id="380" w:name="_Toc318581171"/>
      <w:r>
        <w:rPr>
          <w:rFonts w:hint="eastAsia" w:ascii="宋体" w:hAnsi="宋体" w:eastAsia="宋体" w:cs="宋体"/>
          <w:color w:val="auto"/>
          <w:szCs w:val="21"/>
          <w:highlight w:val="none"/>
        </w:rPr>
        <w:t>期竣工违约金的上限：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合同签订施工总价款的2% 。</w:t>
      </w:r>
    </w:p>
    <w:bookmarkEnd w:id="379"/>
    <w:bookmarkEnd w:id="380"/>
    <w:p w14:paraId="6F975F03">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381" w:name="_Toc300934971"/>
      <w:bookmarkStart w:id="382" w:name="_Toc304295549"/>
      <w:bookmarkStart w:id="383" w:name="_Toc297216178"/>
      <w:bookmarkStart w:id="384" w:name="_Toc297123519"/>
      <w:bookmarkStart w:id="385" w:name="_Toc303539128"/>
      <w:bookmarkStart w:id="386" w:name="_Toc312678015"/>
      <w:r>
        <w:rPr>
          <w:rFonts w:hint="eastAsia" w:ascii="宋体" w:hAnsi="宋体" w:eastAsia="宋体" w:cs="宋体"/>
          <w:color w:val="auto"/>
          <w:szCs w:val="21"/>
          <w:highlight w:val="none"/>
        </w:rPr>
        <w:t>.6 不</w:t>
      </w:r>
      <w:bookmarkEnd w:id="381"/>
      <w:bookmarkEnd w:id="382"/>
      <w:bookmarkEnd w:id="383"/>
      <w:bookmarkEnd w:id="384"/>
      <w:bookmarkEnd w:id="385"/>
      <w:bookmarkEnd w:id="386"/>
      <w:r>
        <w:rPr>
          <w:rFonts w:hint="eastAsia" w:ascii="宋体" w:hAnsi="宋体" w:eastAsia="宋体" w:cs="宋体"/>
          <w:color w:val="auto"/>
          <w:szCs w:val="21"/>
          <w:highlight w:val="none"/>
        </w:rPr>
        <w:t>利物质条件</w:t>
      </w:r>
    </w:p>
    <w:p w14:paraId="32E78EDC">
      <w:pPr>
        <w:spacing w:line="480" w:lineRule="exact"/>
        <w:ind w:firstLine="420" w:firstLineChars="200"/>
        <w:jc w:val="left"/>
        <w:rPr>
          <w:rFonts w:hint="eastAsia" w:ascii="宋体" w:hAnsi="宋体" w:eastAsia="宋体" w:cs="宋体"/>
          <w:color w:val="auto"/>
          <w:szCs w:val="21"/>
          <w:highlight w:val="none"/>
        </w:rPr>
      </w:pPr>
      <w:bookmarkStart w:id="387" w:name="_Toc297216179"/>
      <w:bookmarkStart w:id="388" w:name="_Toc303539129"/>
      <w:bookmarkStart w:id="389" w:name="_Toc300934972"/>
      <w:bookmarkStart w:id="390" w:name="_Toc304295550"/>
      <w:bookmarkStart w:id="391" w:name="_Toc297123520"/>
      <w:bookmarkStart w:id="392" w:name="_Toc318581172"/>
      <w:bookmarkStart w:id="393" w:name="_Toc312678016"/>
      <w:r>
        <w:rPr>
          <w:rFonts w:hint="eastAsia" w:ascii="宋体" w:hAnsi="宋体" w:eastAsia="宋体" w:cs="宋体"/>
          <w:color w:val="auto"/>
          <w:szCs w:val="21"/>
          <w:highlight w:val="none"/>
        </w:rPr>
        <w:t>不利物质条件的其他情形和有关约定：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387"/>
    <w:bookmarkEnd w:id="388"/>
    <w:bookmarkEnd w:id="389"/>
    <w:bookmarkEnd w:id="390"/>
    <w:bookmarkEnd w:id="391"/>
    <w:bookmarkEnd w:id="392"/>
    <w:bookmarkEnd w:id="393"/>
    <w:p w14:paraId="7C0F3E5E">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394" w:name="_Toc297216180"/>
      <w:bookmarkStart w:id="395" w:name="_Toc312678017"/>
      <w:bookmarkStart w:id="396" w:name="_Toc304295551"/>
      <w:bookmarkStart w:id="397" w:name="_Toc297123521"/>
      <w:bookmarkStart w:id="398" w:name="_Toc300934973"/>
      <w:bookmarkStart w:id="399" w:name="_Toc303539130"/>
      <w:r>
        <w:rPr>
          <w:rFonts w:hint="eastAsia" w:ascii="宋体" w:hAnsi="宋体" w:eastAsia="宋体" w:cs="宋体"/>
          <w:color w:val="auto"/>
          <w:szCs w:val="21"/>
          <w:highlight w:val="none"/>
        </w:rPr>
        <w:t>.7异常恶劣的气候条件</w:t>
      </w:r>
    </w:p>
    <w:bookmarkEnd w:id="394"/>
    <w:bookmarkEnd w:id="395"/>
    <w:bookmarkEnd w:id="396"/>
    <w:bookmarkEnd w:id="397"/>
    <w:bookmarkEnd w:id="398"/>
    <w:bookmarkEnd w:id="399"/>
    <w:p w14:paraId="6EDFF0AB">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发包人和承包人同意以下情形视为异常恶劣的气候条件：</w:t>
      </w:r>
    </w:p>
    <w:p w14:paraId="3189952E">
      <w:pPr>
        <w:spacing w:line="480" w:lineRule="exact"/>
        <w:ind w:firstLine="420" w:firstLineChars="200"/>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lang w:val="en-US" w:eastAsia="zh-CN"/>
        </w:rPr>
        <w:t>异常气候条件是指项目所在地发生连续五天以上40℃以上高温或发生连续一周以上的冰冻天气；或五十年一遇及以上的强降雨； ；</w:t>
      </w:r>
    </w:p>
    <w:p w14:paraId="2026E330">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市级以上政府部门或建设行政主管部门发布或认可的雪、洪、震灾。 </w:t>
      </w:r>
    </w:p>
    <w:p w14:paraId="26B9CF1C">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 提前竣工的奖励</w:t>
      </w:r>
    </w:p>
    <w:p w14:paraId="3F28EEBE">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7.9.2提前竣工的奖励：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308E9C1">
      <w:pPr>
        <w:numPr>
          <w:ilvl w:val="0"/>
          <w:numId w:val="3"/>
        </w:numPr>
        <w:spacing w:line="480" w:lineRule="exact"/>
        <w:rPr>
          <w:rFonts w:hint="eastAsia" w:ascii="宋体" w:hAnsi="宋体" w:eastAsia="宋体" w:cs="宋体"/>
          <w:color w:val="auto"/>
          <w:szCs w:val="21"/>
          <w:highlight w:val="none"/>
        </w:rPr>
      </w:pPr>
      <w:bookmarkStart w:id="400" w:name="_Toc351203640"/>
      <w:r>
        <w:rPr>
          <w:rFonts w:hint="eastAsia" w:ascii="宋体" w:hAnsi="宋体" w:eastAsia="宋体" w:cs="宋体"/>
          <w:color w:val="auto"/>
          <w:szCs w:val="21"/>
          <w:highlight w:val="none"/>
        </w:rPr>
        <w:t>材料与设备</w:t>
      </w:r>
      <w:bookmarkEnd w:id="400"/>
    </w:p>
    <w:p w14:paraId="2A4E0CBF">
      <w:pPr>
        <w:numPr>
          <w:ilvl w:val="0"/>
          <w:numId w:val="0"/>
        </w:numPr>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8.1 本工程由承包人提供材料设备供应，承包人采购的材料设备应符合设计图纸的技术要求，符合国家有关材料设备标准及使用要求。</w:t>
      </w:r>
    </w:p>
    <w:p w14:paraId="51694ADA">
      <w:pPr>
        <w:numPr>
          <w:ilvl w:val="0"/>
          <w:numId w:val="0"/>
        </w:numPr>
        <w:spacing w:line="480" w:lineRule="exact"/>
        <w:ind w:firstLine="420" w:firstLineChars="200"/>
        <w:rPr>
          <w:rFonts w:hint="eastAsia"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u w:val="single"/>
          <w:lang w:val="en-US" w:eastAsia="zh-CN"/>
        </w:rPr>
        <w:t>8.1.1凡不合格材料、未按审批清单要求采购的材料不得进入现场，不得先使用后报验或进场后不报验，已施工材料必须无条件拆除返工，对未施工材料必须立即停止使用，并在24小时以内运出现场，重新按要求采购，造成的损失由承包人自行承担，工期不予顺延。</w:t>
      </w:r>
    </w:p>
    <w:p w14:paraId="41D5C4E6">
      <w:pPr>
        <w:numPr>
          <w:ilvl w:val="0"/>
          <w:numId w:val="0"/>
        </w:numPr>
        <w:spacing w:line="480" w:lineRule="exact"/>
        <w:ind w:firstLine="420" w:firstLineChars="200"/>
        <w:rPr>
          <w:rFonts w:hint="eastAsia"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u w:val="single"/>
          <w:lang w:val="en-US" w:eastAsia="zh-CN"/>
        </w:rPr>
        <w:t>8.1.2监理工程师发现承包人采购并使用不符合设计标准或发包人对产品质量要求的材料、设备时，应要求承包人负责拆除或重新采购，并清除不合格的工程材料、设备，并承担发生的费用，由此延误的工期不予顺延。</w:t>
      </w:r>
    </w:p>
    <w:p w14:paraId="04F599E9">
      <w:pPr>
        <w:numPr>
          <w:ilvl w:val="0"/>
          <w:numId w:val="0"/>
        </w:numPr>
        <w:spacing w:line="480" w:lineRule="exact"/>
        <w:ind w:firstLine="420" w:firstLineChars="200"/>
        <w:rPr>
          <w:rFonts w:hint="eastAsia"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u w:val="none"/>
          <w:lang w:val="en-US" w:eastAsia="zh-CN"/>
        </w:rPr>
        <w:t xml:space="preserve">8.2 </w:t>
      </w:r>
      <w:r>
        <w:rPr>
          <w:rFonts w:hint="eastAsia" w:ascii="宋体" w:hAnsi="宋体" w:eastAsia="宋体" w:cs="宋体"/>
          <w:color w:val="000000"/>
          <w:szCs w:val="21"/>
          <w:highlight w:val="none"/>
          <w:u w:val="single"/>
          <w:lang w:val="en-US" w:eastAsia="zh-CN"/>
        </w:rPr>
        <w:t>拆除或重新采购并清除不合格的工程材料、设备时，监理工程师有权随时发出下述指示：</w:t>
      </w:r>
    </w:p>
    <w:p w14:paraId="31F32DB1">
      <w:pPr>
        <w:numPr>
          <w:ilvl w:val="0"/>
          <w:numId w:val="0"/>
        </w:numPr>
        <w:spacing w:line="480" w:lineRule="exact"/>
        <w:ind w:firstLine="420" w:firstLineChars="200"/>
        <w:rPr>
          <w:rFonts w:hint="eastAsia"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u w:val="single"/>
          <w:lang w:val="en-US" w:eastAsia="zh-CN"/>
        </w:rPr>
        <w:t>(1)在规定的时间，将不符合合同规定的材料设备从现场搬走。</w:t>
      </w:r>
    </w:p>
    <w:p w14:paraId="34DFE7BF">
      <w:pPr>
        <w:numPr>
          <w:ilvl w:val="0"/>
          <w:numId w:val="0"/>
        </w:numPr>
        <w:spacing w:line="480" w:lineRule="exact"/>
        <w:ind w:firstLine="420" w:firstLineChars="200"/>
        <w:rPr>
          <w:rFonts w:hint="eastAsia"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u w:val="single"/>
          <w:lang w:val="en-US" w:eastAsia="zh-CN"/>
        </w:rPr>
        <w:t>(2)采购合格适用的材料、设备。</w:t>
      </w:r>
    </w:p>
    <w:p w14:paraId="26031870">
      <w:pPr>
        <w:numPr>
          <w:ilvl w:val="0"/>
          <w:numId w:val="0"/>
        </w:numPr>
        <w:spacing w:line="480" w:lineRule="exact"/>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u w:val="none"/>
          <w:lang w:val="en-US" w:eastAsia="zh-CN"/>
        </w:rPr>
        <w:t xml:space="preserve">8.3 </w:t>
      </w:r>
      <w:r>
        <w:rPr>
          <w:rFonts w:hint="eastAsia" w:ascii="宋体" w:hAnsi="宋体" w:eastAsia="宋体" w:cs="宋体"/>
          <w:color w:val="000000"/>
          <w:szCs w:val="21"/>
          <w:highlight w:val="none"/>
          <w:u w:val="single"/>
          <w:lang w:val="en-US" w:eastAsia="zh-CN"/>
        </w:rPr>
        <w:t>承包人需要使用代用的材料时，应经发包人和监理工程师审批后才能使用，由此增减的合同价款双方以书面形式议定。</w:t>
      </w:r>
    </w:p>
    <w:bookmarkEnd w:id="335"/>
    <w:bookmarkEnd w:id="336"/>
    <w:bookmarkEnd w:id="337"/>
    <w:bookmarkEnd w:id="338"/>
    <w:bookmarkEnd w:id="339"/>
    <w:bookmarkEnd w:id="340"/>
    <w:bookmarkEnd w:id="341"/>
    <w:bookmarkEnd w:id="342"/>
    <w:bookmarkEnd w:id="343"/>
    <w:bookmarkEnd w:id="344"/>
    <w:p w14:paraId="280267F0">
      <w:pPr>
        <w:spacing w:after="120"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401" w:name="_Toc297120467"/>
      <w:bookmarkStart w:id="402" w:name="_Toc296503167"/>
      <w:bookmarkStart w:id="403" w:name="_Toc297216186"/>
      <w:bookmarkStart w:id="404" w:name="_Toc304295556"/>
      <w:bookmarkStart w:id="405" w:name="_Toc296347166"/>
      <w:bookmarkStart w:id="406" w:name="_Toc303539136"/>
      <w:bookmarkStart w:id="407" w:name="_Toc280868654"/>
      <w:bookmarkStart w:id="408" w:name="_Toc300934979"/>
      <w:bookmarkStart w:id="409" w:name="_Toc296346668"/>
      <w:bookmarkStart w:id="410" w:name="_Toc296890995"/>
      <w:bookmarkStart w:id="411" w:name="_Toc312677493"/>
      <w:bookmarkStart w:id="412" w:name="_Toc296944506"/>
      <w:bookmarkStart w:id="413" w:name="_Toc296891207"/>
      <w:bookmarkStart w:id="414" w:name="_Toc312678019"/>
      <w:bookmarkStart w:id="415" w:name="_Toc292559877"/>
      <w:bookmarkStart w:id="416" w:name="_Toc292559372"/>
      <w:bookmarkStart w:id="417" w:name="_Toc297123527"/>
      <w:bookmarkStart w:id="418" w:name="_Toc297048353"/>
      <w:bookmarkStart w:id="419" w:name="_Toc267251424"/>
      <w:bookmarkStart w:id="420" w:name="_Toc280868655"/>
      <w:bookmarkStart w:id="421" w:name="_Toc280868656"/>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材料与工程设备的保管与使用</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6C572009">
      <w:pPr>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422" w:name="_Toc292559878"/>
      <w:bookmarkStart w:id="423" w:name="_Toc292559373"/>
      <w:bookmarkStart w:id="424" w:name="_Toc296891208"/>
      <w:bookmarkStart w:id="425" w:name="_Toc296347167"/>
      <w:bookmarkStart w:id="426" w:name="_Toc296890996"/>
      <w:bookmarkStart w:id="427" w:name="_Toc297216187"/>
      <w:bookmarkStart w:id="428" w:name="_Toc297123528"/>
      <w:bookmarkStart w:id="429" w:name="_Toc296346669"/>
      <w:bookmarkStart w:id="430" w:name="_Toc318581173"/>
      <w:bookmarkStart w:id="431" w:name="_Toc297048354"/>
      <w:bookmarkStart w:id="432" w:name="_Toc312677494"/>
      <w:bookmarkStart w:id="433" w:name="_Toc303539137"/>
      <w:bookmarkStart w:id="434" w:name="_Toc300934980"/>
      <w:bookmarkStart w:id="435" w:name="_Toc304295557"/>
      <w:bookmarkStart w:id="436" w:name="_Toc296944507"/>
      <w:bookmarkStart w:id="437" w:name="_Toc312678020"/>
      <w:bookmarkStart w:id="438" w:name="_Toc297120468"/>
      <w:bookmarkStart w:id="439" w:name="_Toc296503168"/>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.1发包人供应的材料设备的保管费用的承担：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422"/>
      <w:bookmarkEnd w:id="423"/>
    </w:p>
    <w:p w14:paraId="35E3D6BC">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样品</w:t>
      </w:r>
    </w:p>
    <w:p w14:paraId="76B40F7D">
      <w:pPr>
        <w:autoSpaceDE w:val="0"/>
        <w:autoSpaceDN w:val="0"/>
        <w:adjustRightInd w:val="0"/>
        <w:spacing w:line="4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样品的报送与封存</w:t>
      </w:r>
    </w:p>
    <w:p w14:paraId="23A77938">
      <w:pPr>
        <w:autoSpaceDE w:val="0"/>
        <w:autoSpaceDN w:val="0"/>
        <w:adjustRightInd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1408D9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施工设备和临时设施</w:t>
      </w:r>
    </w:p>
    <w:p w14:paraId="34F1E72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承包人提供的施工设备和临时设施</w:t>
      </w:r>
    </w:p>
    <w:p w14:paraId="0D8D2A1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关于修建临时设施费用承担的约定：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14:paraId="0C4CA1F7">
      <w:pPr>
        <w:spacing w:line="480" w:lineRule="exact"/>
        <w:rPr>
          <w:rFonts w:hint="eastAsia" w:ascii="宋体" w:hAnsi="宋体" w:eastAsia="宋体" w:cs="宋体"/>
          <w:color w:val="auto"/>
          <w:szCs w:val="21"/>
          <w:highlight w:val="none"/>
        </w:rPr>
      </w:pPr>
      <w:bookmarkStart w:id="440" w:name="_Toc351203641"/>
      <w:r>
        <w:rPr>
          <w:rFonts w:hint="eastAsia" w:ascii="宋体" w:hAnsi="宋体" w:eastAsia="宋体" w:cs="宋体"/>
          <w:color w:val="auto"/>
          <w:szCs w:val="21"/>
          <w:highlight w:val="none"/>
        </w:rPr>
        <w:t>9</w:t>
      </w:r>
      <w:bookmarkEnd w:id="419"/>
      <w:bookmarkEnd w:id="420"/>
      <w:bookmarkEnd w:id="421"/>
      <w:bookmarkStart w:id="441" w:name="_Toc312677495"/>
      <w:bookmarkStart w:id="442" w:name="_Toc303539139"/>
      <w:bookmarkStart w:id="443" w:name="_Toc297123533"/>
      <w:bookmarkStart w:id="444" w:name="_Toc304295559"/>
      <w:bookmarkStart w:id="445" w:name="_Toc312678021"/>
      <w:bookmarkStart w:id="446" w:name="_Toc300934982"/>
      <w:bookmarkStart w:id="447" w:name="_Toc297216192"/>
      <w:bookmarkStart w:id="448" w:name="_Toc296891001"/>
      <w:bookmarkStart w:id="449" w:name="_Toc297048359"/>
      <w:bookmarkStart w:id="450" w:name="_Toc297120473"/>
      <w:bookmarkStart w:id="451" w:name="_Toc267251427"/>
      <w:bookmarkStart w:id="452" w:name="_Toc267251428"/>
      <w:bookmarkStart w:id="453" w:name="_Toc296503173"/>
      <w:bookmarkStart w:id="454" w:name="_Toc296891213"/>
      <w:bookmarkStart w:id="455" w:name="_Toc292559378"/>
      <w:bookmarkStart w:id="456" w:name="_Toc296944512"/>
      <w:bookmarkStart w:id="457" w:name="_Toc292559883"/>
      <w:bookmarkStart w:id="458" w:name="_Toc296346674"/>
      <w:bookmarkStart w:id="459" w:name="_Toc296347172"/>
      <w:r>
        <w:rPr>
          <w:rFonts w:hint="eastAsia" w:ascii="宋体" w:hAnsi="宋体" w:eastAsia="宋体" w:cs="宋体"/>
          <w:color w:val="auto"/>
          <w:szCs w:val="21"/>
          <w:highlight w:val="none"/>
        </w:rPr>
        <w:t>. 试验与检验</w:t>
      </w:r>
      <w:bookmarkEnd w:id="440"/>
    </w:p>
    <w:bookmarkEnd w:id="441"/>
    <w:bookmarkEnd w:id="442"/>
    <w:bookmarkEnd w:id="443"/>
    <w:bookmarkEnd w:id="444"/>
    <w:bookmarkEnd w:id="445"/>
    <w:bookmarkEnd w:id="446"/>
    <w:bookmarkEnd w:id="447"/>
    <w:p w14:paraId="591D731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460" w:name="_Toc303539140"/>
      <w:bookmarkStart w:id="461" w:name="_Toc297216193"/>
      <w:bookmarkStart w:id="462" w:name="_Toc297123534"/>
      <w:bookmarkStart w:id="463" w:name="_Toc300934983"/>
      <w:bookmarkStart w:id="464" w:name="_Toc312678022"/>
      <w:bookmarkStart w:id="465" w:name="_Toc312677496"/>
      <w:bookmarkStart w:id="466" w:name="_Toc304295560"/>
      <w:r>
        <w:rPr>
          <w:rFonts w:hint="eastAsia" w:ascii="宋体" w:hAnsi="宋体" w:eastAsia="宋体" w:cs="宋体"/>
          <w:color w:val="auto"/>
          <w:szCs w:val="21"/>
          <w:highlight w:val="none"/>
        </w:rPr>
        <w:t>.1试验设备与试验人员</w:t>
      </w:r>
    </w:p>
    <w:bookmarkEnd w:id="460"/>
    <w:bookmarkEnd w:id="461"/>
    <w:bookmarkEnd w:id="462"/>
    <w:bookmarkEnd w:id="463"/>
    <w:bookmarkEnd w:id="464"/>
    <w:bookmarkEnd w:id="465"/>
    <w:bookmarkEnd w:id="466"/>
    <w:p w14:paraId="1EF2BB8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467" w:name="_Toc300934984"/>
      <w:bookmarkStart w:id="468" w:name="_Toc297216194"/>
      <w:bookmarkStart w:id="469" w:name="_Toc297123535"/>
      <w:bookmarkStart w:id="470" w:name="_Toc312677497"/>
      <w:bookmarkStart w:id="471" w:name="_Toc312678023"/>
      <w:bookmarkStart w:id="472" w:name="_Toc304295561"/>
      <w:bookmarkStart w:id="473" w:name="_Toc303539141"/>
      <w:bookmarkStart w:id="474" w:name="_Toc318581174"/>
      <w:r>
        <w:rPr>
          <w:rFonts w:hint="eastAsia" w:ascii="宋体" w:hAnsi="宋体" w:eastAsia="宋体" w:cs="宋体"/>
          <w:color w:val="auto"/>
          <w:szCs w:val="21"/>
          <w:highlight w:val="none"/>
        </w:rPr>
        <w:t>.1.2 试验设备</w:t>
      </w:r>
    </w:p>
    <w:p w14:paraId="09C1426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施工现场需要配置的试验场所：</w:t>
      </w:r>
      <w:bookmarkEnd w:id="467"/>
      <w:bookmarkEnd w:id="468"/>
      <w:bookmarkEnd w:id="469"/>
      <w:bookmarkEnd w:id="470"/>
      <w:bookmarkEnd w:id="471"/>
      <w:bookmarkEnd w:id="472"/>
      <w:bookmarkEnd w:id="473"/>
      <w:bookmarkStart w:id="475" w:name="_Toc304295562"/>
      <w:bookmarkStart w:id="476" w:name="_Toc303539142"/>
      <w:bookmarkStart w:id="477" w:name="_Toc312678024"/>
      <w:bookmarkStart w:id="478" w:name="_Toc297123536"/>
      <w:bookmarkStart w:id="479" w:name="_Toc312677498"/>
      <w:bookmarkStart w:id="480" w:name="_Toc300934985"/>
      <w:bookmarkStart w:id="481" w:name="_Toc297216195"/>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07B9A21">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A2337C">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36F65AA">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9.4 现场工艺试验 </w:t>
      </w:r>
    </w:p>
    <w:p w14:paraId="4B71BA0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474"/>
    <w:bookmarkEnd w:id="475"/>
    <w:bookmarkEnd w:id="476"/>
    <w:bookmarkEnd w:id="477"/>
    <w:bookmarkEnd w:id="478"/>
    <w:bookmarkEnd w:id="479"/>
    <w:bookmarkEnd w:id="480"/>
    <w:bookmarkEnd w:id="481"/>
    <w:p w14:paraId="48D9D504">
      <w:pPr>
        <w:spacing w:line="480" w:lineRule="exact"/>
        <w:rPr>
          <w:rFonts w:hint="eastAsia" w:ascii="宋体" w:hAnsi="宋体" w:eastAsia="宋体" w:cs="宋体"/>
          <w:color w:val="auto"/>
          <w:szCs w:val="21"/>
          <w:highlight w:val="none"/>
        </w:rPr>
      </w:pPr>
      <w:bookmarkStart w:id="482" w:name="_Toc351203642"/>
      <w:r>
        <w:rPr>
          <w:rFonts w:hint="eastAsia" w:ascii="宋体" w:hAnsi="宋体" w:eastAsia="宋体" w:cs="宋体"/>
          <w:color w:val="auto"/>
          <w:szCs w:val="21"/>
          <w:highlight w:val="none"/>
        </w:rPr>
        <w:t>1</w:t>
      </w:r>
      <w:bookmarkEnd w:id="448"/>
      <w:bookmarkEnd w:id="449"/>
      <w:bookmarkEnd w:id="450"/>
      <w:bookmarkEnd w:id="451"/>
      <w:bookmarkEnd w:id="452"/>
      <w:bookmarkEnd w:id="453"/>
      <w:bookmarkEnd w:id="454"/>
      <w:bookmarkEnd w:id="455"/>
      <w:bookmarkEnd w:id="456"/>
      <w:bookmarkEnd w:id="457"/>
      <w:bookmarkEnd w:id="458"/>
      <w:bookmarkEnd w:id="459"/>
      <w:bookmarkStart w:id="483" w:name="_Toc296944532"/>
      <w:bookmarkStart w:id="484" w:name="_Toc297120493"/>
      <w:bookmarkStart w:id="485" w:name="_Toc297216199"/>
      <w:bookmarkStart w:id="486" w:name="_Toc296891233"/>
      <w:bookmarkStart w:id="487" w:name="_Toc296346694"/>
      <w:bookmarkStart w:id="488" w:name="_Toc297048379"/>
      <w:bookmarkStart w:id="489" w:name="_Toc292559903"/>
      <w:bookmarkStart w:id="490" w:name="_Toc296891021"/>
      <w:bookmarkStart w:id="491" w:name="_Toc297123540"/>
      <w:bookmarkStart w:id="492" w:name="_Toc292559398"/>
      <w:bookmarkStart w:id="493" w:name="_Toc304295566"/>
      <w:bookmarkStart w:id="494" w:name="_Toc296347192"/>
      <w:bookmarkStart w:id="495" w:name="_Toc300934989"/>
      <w:bookmarkStart w:id="496" w:name="_Toc303539146"/>
      <w:bookmarkStart w:id="497" w:name="_Toc296503193"/>
      <w:bookmarkStart w:id="498" w:name="_Toc312678025"/>
      <w:bookmarkStart w:id="499" w:name="_Toc312677499"/>
      <w:bookmarkStart w:id="500" w:name="_Toc267251433"/>
      <w:bookmarkStart w:id="501" w:name="_Toc267251439"/>
      <w:bookmarkStart w:id="502" w:name="_Toc267251437"/>
      <w:bookmarkStart w:id="503" w:name="_Toc267251441"/>
      <w:bookmarkStart w:id="504" w:name="_Toc267251435"/>
      <w:bookmarkStart w:id="505" w:name="_Toc267251440"/>
      <w:bookmarkStart w:id="506" w:name="_Toc267251442"/>
      <w:r>
        <w:rPr>
          <w:rFonts w:hint="eastAsia" w:ascii="宋体" w:hAnsi="宋体" w:eastAsia="宋体" w:cs="宋体"/>
          <w:color w:val="auto"/>
          <w:szCs w:val="21"/>
          <w:highlight w:val="none"/>
        </w:rPr>
        <w:t>0. 变更</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bookmarkEnd w:id="498"/>
    <w:bookmarkEnd w:id="499"/>
    <w:p w14:paraId="1FB8A05C">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507" w:name="_Toc296346695"/>
      <w:bookmarkStart w:id="508" w:name="_Toc300934990"/>
      <w:bookmarkStart w:id="509" w:name="_Toc297216200"/>
      <w:bookmarkStart w:id="510" w:name="_Toc297120494"/>
      <w:bookmarkStart w:id="511" w:name="_Toc312678026"/>
      <w:bookmarkStart w:id="512" w:name="_Toc304295567"/>
      <w:bookmarkStart w:id="513" w:name="_Toc296891234"/>
      <w:bookmarkStart w:id="514" w:name="_Toc297123541"/>
      <w:bookmarkStart w:id="515" w:name="_Toc292559399"/>
      <w:bookmarkStart w:id="516" w:name="_Toc292559904"/>
      <w:bookmarkStart w:id="517" w:name="_Toc297048380"/>
      <w:bookmarkStart w:id="518" w:name="_Toc296347193"/>
      <w:bookmarkStart w:id="519" w:name="_Toc296944533"/>
      <w:bookmarkStart w:id="520" w:name="_Toc312677500"/>
      <w:bookmarkStart w:id="521" w:name="_Toc296891022"/>
      <w:bookmarkStart w:id="522" w:name="_Toc296503194"/>
      <w:bookmarkStart w:id="523" w:name="_Toc303539147"/>
      <w:r>
        <w:rPr>
          <w:rFonts w:hint="eastAsia" w:ascii="宋体" w:hAnsi="宋体" w:eastAsia="宋体" w:cs="宋体"/>
          <w:color w:val="auto"/>
          <w:szCs w:val="21"/>
          <w:highlight w:val="none"/>
        </w:rPr>
        <w:t>0.1变更的范围</w:t>
      </w:r>
    </w:p>
    <w:p w14:paraId="0E63EDC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EAB6695">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变更估价</w:t>
      </w:r>
    </w:p>
    <w:p w14:paraId="523C462D">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 变更估价原则</w:t>
      </w:r>
    </w:p>
    <w:p w14:paraId="3A5D98C9">
      <w:pPr>
        <w:spacing w:line="480" w:lineRule="exact"/>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关于变更估价的约定: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因分部分项工程量清单漏项或招标文件所提供清单工程量的偏差以及非承包人原因的工程变更引起原有清单项且的工程量增减或造成增加新的工程量清单项且正负偏差在10%以内的不做调整，其工程量偏差在约定10%以外的，其相应的综合单价按下列方法确定：原投标报价有项目单价按原投标报价；原投标报价没有但有类似单价参照类似单价执行；投标报价没有类似单价，新工程量清单价格由乙方按照施工期内永州市定额管理站发布价格及湘建价〔2020〕56号文中相配套的建设工程消耗量标准，结合项目实际情况，组合出新的综合单价。最终结算以江华县财政投资评审中心评审审定的金额为准。</w:t>
      </w:r>
    </w:p>
    <w:p w14:paraId="057D36E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Start w:id="524" w:name="_Toc296891237"/>
      <w:bookmarkStart w:id="525" w:name="_Toc296944536"/>
      <w:bookmarkStart w:id="526" w:name="_Toc296346698"/>
      <w:bookmarkStart w:id="527" w:name="_Toc292559402"/>
      <w:bookmarkStart w:id="528" w:name="_Toc292559907"/>
      <w:bookmarkStart w:id="529" w:name="_Toc297123544"/>
      <w:bookmarkStart w:id="530" w:name="_Toc296891025"/>
      <w:bookmarkStart w:id="531" w:name="_Toc300934993"/>
      <w:bookmarkStart w:id="532" w:name="_Toc297216203"/>
      <w:bookmarkStart w:id="533" w:name="_Toc297120497"/>
      <w:bookmarkStart w:id="534" w:name="_Toc296503197"/>
      <w:bookmarkStart w:id="535" w:name="_Toc303539150"/>
      <w:bookmarkStart w:id="536" w:name="_Toc296347196"/>
      <w:bookmarkStart w:id="537" w:name="_Toc297048383"/>
      <w:bookmarkStart w:id="538" w:name="_Toc304295570"/>
      <w:bookmarkStart w:id="539" w:name="_Toc312678029"/>
      <w:bookmarkStart w:id="540" w:name="_Toc312677503"/>
      <w:r>
        <w:rPr>
          <w:rFonts w:hint="eastAsia" w:ascii="宋体" w:hAnsi="宋体" w:eastAsia="宋体" w:cs="宋体"/>
          <w:color w:val="auto"/>
          <w:szCs w:val="21"/>
          <w:highlight w:val="none"/>
        </w:rPr>
        <w:t>0.5承</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Start w:id="541" w:name="_Toc300934994"/>
      <w:bookmarkStart w:id="542" w:name="_Toc297216204"/>
      <w:bookmarkStart w:id="543" w:name="_Toc297048389"/>
      <w:bookmarkStart w:id="544" w:name="_Toc297123545"/>
      <w:bookmarkStart w:id="545" w:name="_Toc297120503"/>
      <w:bookmarkStart w:id="546" w:name="_Toc296891243"/>
      <w:bookmarkStart w:id="547" w:name="_Toc303539151"/>
      <w:bookmarkStart w:id="548" w:name="_Toc296944542"/>
      <w:bookmarkStart w:id="549" w:name="_Toc292559408"/>
      <w:bookmarkStart w:id="550" w:name="_Toc296346704"/>
      <w:bookmarkStart w:id="551" w:name="_Toc296891031"/>
      <w:bookmarkStart w:id="552" w:name="_Toc292559913"/>
      <w:bookmarkStart w:id="553" w:name="_Toc296347202"/>
      <w:bookmarkStart w:id="554" w:name="_Toc296503203"/>
      <w:r>
        <w:rPr>
          <w:rFonts w:hint="eastAsia" w:ascii="宋体" w:hAnsi="宋体" w:eastAsia="宋体" w:cs="宋体"/>
          <w:color w:val="auto"/>
          <w:szCs w:val="21"/>
          <w:highlight w:val="none"/>
        </w:rPr>
        <w:t>包人的合理化建议</w:t>
      </w:r>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73947E9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1E5DAB">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0AA0576">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w:t>
      </w:r>
      <w:bookmarkStart w:id="555" w:name="_Toc296503204"/>
      <w:bookmarkStart w:id="556" w:name="_Toc296347203"/>
      <w:bookmarkStart w:id="557" w:name="_Toc296346705"/>
      <w:bookmarkStart w:id="558" w:name="_Toc292559409"/>
      <w:bookmarkStart w:id="559" w:name="_Toc318581175"/>
      <w:bookmarkStart w:id="560" w:name="_Toc300934995"/>
      <w:bookmarkStart w:id="561" w:name="_Toc297048390"/>
      <w:bookmarkStart w:id="562" w:name="_Toc296944543"/>
      <w:bookmarkStart w:id="563" w:name="_Toc303539152"/>
      <w:bookmarkStart w:id="564" w:name="_Toc312677504"/>
      <w:bookmarkStart w:id="565" w:name="_Toc304295571"/>
      <w:bookmarkStart w:id="566" w:name="_Toc296891244"/>
      <w:bookmarkStart w:id="567" w:name="_Toc297120504"/>
      <w:bookmarkStart w:id="568" w:name="_Toc312678030"/>
      <w:bookmarkStart w:id="569" w:name="_Toc297216205"/>
      <w:bookmarkStart w:id="570" w:name="_Toc296891032"/>
      <w:bookmarkStart w:id="571" w:name="_Toc297123546"/>
      <w:bookmarkStart w:id="572" w:name="_Toc292559914"/>
      <w:r>
        <w:rPr>
          <w:rFonts w:hint="eastAsia" w:ascii="宋体" w:hAnsi="宋体" w:eastAsia="宋体" w:cs="宋体"/>
          <w:color w:val="auto"/>
          <w:szCs w:val="21"/>
          <w:highlight w:val="none"/>
        </w:rPr>
        <w:t>包人提出的合理化建议降低了合同价格或者提高了工程经济效益的奖励的方法和金额为：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14:paraId="10C090C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573" w:name="_Toc292559909"/>
      <w:bookmarkStart w:id="574" w:name="_Toc296503199"/>
      <w:bookmarkStart w:id="575" w:name="_Toc304295574"/>
      <w:bookmarkStart w:id="576" w:name="_Toc296346700"/>
      <w:bookmarkStart w:id="577" w:name="_Toc297123548"/>
      <w:bookmarkStart w:id="578" w:name="_Toc296944538"/>
      <w:bookmarkStart w:id="579" w:name="_Toc297048385"/>
      <w:bookmarkStart w:id="580" w:name="_Toc312677507"/>
      <w:bookmarkStart w:id="581" w:name="_Toc292559404"/>
      <w:bookmarkStart w:id="582" w:name="_Toc296347198"/>
      <w:bookmarkStart w:id="583" w:name="_Toc297216207"/>
      <w:bookmarkStart w:id="584" w:name="_Toc296891239"/>
      <w:bookmarkStart w:id="585" w:name="_Toc312678033"/>
      <w:bookmarkStart w:id="586" w:name="_Toc300934997"/>
      <w:bookmarkStart w:id="587" w:name="_Toc296891027"/>
      <w:bookmarkStart w:id="588" w:name="_Toc297120499"/>
      <w:bookmarkStart w:id="589" w:name="_Toc303539154"/>
      <w:r>
        <w:rPr>
          <w:rFonts w:hint="eastAsia" w:ascii="宋体" w:hAnsi="宋体" w:eastAsia="宋体" w:cs="宋体"/>
          <w:color w:val="auto"/>
          <w:szCs w:val="21"/>
          <w:highlight w:val="none"/>
        </w:rPr>
        <w:t>0.7 暂估价</w:t>
      </w:r>
    </w:p>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14:paraId="112B53C7">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暂</w:t>
      </w:r>
      <w:bookmarkStart w:id="590" w:name="_Toc312678034"/>
      <w:bookmarkStart w:id="591" w:name="_Toc318581176"/>
      <w:bookmarkStart w:id="592" w:name="_Toc312677508"/>
      <w:r>
        <w:rPr>
          <w:rFonts w:hint="eastAsia" w:ascii="宋体" w:hAnsi="宋体" w:eastAsia="宋体" w:cs="宋体"/>
          <w:color w:val="auto"/>
          <w:kern w:val="0"/>
          <w:szCs w:val="21"/>
          <w:highlight w:val="none"/>
        </w:rPr>
        <w:t>估价材料和工程设备的明细详见附件11：《</w:t>
      </w:r>
      <w:r>
        <w:rPr>
          <w:rFonts w:hint="eastAsia" w:ascii="宋体" w:hAnsi="宋体" w:eastAsia="宋体" w:cs="宋体"/>
          <w:color w:val="auto"/>
          <w:szCs w:val="21"/>
          <w:highlight w:val="none"/>
        </w:rPr>
        <w:t>暂估价一览表》</w:t>
      </w:r>
      <w:r>
        <w:rPr>
          <w:rFonts w:hint="eastAsia" w:ascii="宋体" w:hAnsi="宋体" w:eastAsia="宋体" w:cs="宋体"/>
          <w:color w:val="auto"/>
          <w:kern w:val="0"/>
          <w:szCs w:val="21"/>
          <w:highlight w:val="none"/>
        </w:rPr>
        <w:t>。</w:t>
      </w:r>
    </w:p>
    <w:bookmarkEnd w:id="590"/>
    <w:bookmarkEnd w:id="591"/>
    <w:bookmarkEnd w:id="592"/>
    <w:p w14:paraId="74D3CED5">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593" w:name="_Toc312678035"/>
      <w:bookmarkStart w:id="594" w:name="_Toc312677509"/>
      <w:bookmarkStart w:id="595" w:name="_Toc318581177"/>
      <w:r>
        <w:rPr>
          <w:rFonts w:hint="eastAsia" w:ascii="宋体" w:hAnsi="宋体" w:eastAsia="宋体" w:cs="宋体"/>
          <w:color w:val="auto"/>
          <w:szCs w:val="21"/>
          <w:highlight w:val="none"/>
        </w:rPr>
        <w:t>0.7.1 依法必须招标的暂估价项目</w:t>
      </w:r>
    </w:p>
    <w:bookmarkEnd w:id="593"/>
    <w:bookmarkEnd w:id="594"/>
    <w:bookmarkEnd w:id="595"/>
    <w:p w14:paraId="5846E837">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对于依法必须招标的暂估价项目的确认和批准采取第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种方式确定。</w:t>
      </w:r>
    </w:p>
    <w:p w14:paraId="35F6824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 不属于依法必须招标的暂估价项目</w:t>
      </w:r>
    </w:p>
    <w:p w14:paraId="0CB6A7D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对于不属于依法必须招标的暂估价项目的确认和批准采取第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种方式确定。</w:t>
      </w:r>
    </w:p>
    <w:p w14:paraId="3C247968">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14:paraId="4F0E8E31">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5F5652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10.8 暂列金额</w:t>
      </w:r>
    </w:p>
    <w:p w14:paraId="7C5A52C2">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合同当事人关于暂列金额使用的约定：</w:t>
      </w:r>
      <w:r>
        <w:rPr>
          <w:rFonts w:hint="eastAsia" w:ascii="宋体" w:hAnsi="宋体" w:eastAsia="宋体" w:cs="宋体"/>
          <w:color w:val="auto"/>
          <w:szCs w:val="21"/>
          <w:highlight w:val="none"/>
          <w:u w:val="single"/>
        </w:rPr>
        <w:t>按照发包人要求使用，未发生时不予支付。其中暂列金额及暂估价，发包人有权根据实际需要进行直接发包，中标单位对临时工程部分不得收取其它费用 。</w:t>
      </w:r>
    </w:p>
    <w:p w14:paraId="07FE5736">
      <w:pPr>
        <w:spacing w:line="480" w:lineRule="exact"/>
        <w:rPr>
          <w:rFonts w:hint="eastAsia" w:ascii="宋体" w:hAnsi="宋体" w:eastAsia="宋体" w:cs="宋体"/>
          <w:color w:val="auto"/>
          <w:szCs w:val="21"/>
          <w:highlight w:val="none"/>
        </w:rPr>
      </w:pPr>
      <w:bookmarkStart w:id="596" w:name="_Toc351203643"/>
      <w:r>
        <w:rPr>
          <w:rFonts w:hint="eastAsia" w:ascii="宋体" w:hAnsi="宋体" w:eastAsia="宋体" w:cs="宋体"/>
          <w:color w:val="auto"/>
          <w:szCs w:val="21"/>
          <w:highlight w:val="none"/>
        </w:rPr>
        <w:t>11. 价格调整</w:t>
      </w:r>
      <w:bookmarkEnd w:id="596"/>
    </w:p>
    <w:p w14:paraId="00BC0CBE">
      <w:pPr>
        <w:spacing w:line="480" w:lineRule="exact"/>
        <w:ind w:firstLine="420" w:firstLineChars="200"/>
        <w:rPr>
          <w:rFonts w:hint="eastAsia" w:ascii="宋体" w:hAnsi="宋体" w:eastAsia="宋体" w:cs="宋体"/>
          <w:color w:val="auto"/>
          <w:szCs w:val="21"/>
          <w:highlight w:val="none"/>
        </w:rPr>
      </w:pPr>
      <w:bookmarkStart w:id="597" w:name="_Toc292559406"/>
      <w:bookmarkStart w:id="598" w:name="_Toc304295577"/>
      <w:bookmarkStart w:id="599" w:name="_Toc296346702"/>
      <w:bookmarkStart w:id="600" w:name="_Toc297048387"/>
      <w:bookmarkStart w:id="601" w:name="_Toc297123550"/>
      <w:bookmarkStart w:id="602" w:name="_Toc296891029"/>
      <w:bookmarkStart w:id="603" w:name="_Toc296347200"/>
      <w:bookmarkStart w:id="604" w:name="_Toc296944540"/>
      <w:bookmarkStart w:id="605" w:name="_Toc296891241"/>
      <w:bookmarkStart w:id="606" w:name="_Toc297216209"/>
      <w:bookmarkStart w:id="607" w:name="_Toc292559911"/>
      <w:bookmarkStart w:id="608" w:name="_Toc300935000"/>
      <w:bookmarkStart w:id="609" w:name="_Toc312678039"/>
      <w:bookmarkStart w:id="610" w:name="_Toc297120501"/>
      <w:bookmarkStart w:id="611" w:name="_Toc296503201"/>
      <w:bookmarkStart w:id="612" w:name="_Toc303539157"/>
      <w:r>
        <w:rPr>
          <w:rFonts w:hint="eastAsia" w:ascii="宋体" w:hAnsi="宋体" w:eastAsia="宋体" w:cs="宋体"/>
          <w:color w:val="auto"/>
          <w:szCs w:val="21"/>
          <w:highlight w:val="none"/>
        </w:rPr>
        <w:t>11.1 市场价格波动引起的调整</w:t>
      </w:r>
    </w:p>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52261C08">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不予调整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7B96DBD">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因市场价格波动调整合同价格，采用以下第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种方式对合同价格进行调整：</w:t>
      </w:r>
    </w:p>
    <w:p w14:paraId="3C0A9135">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第1种方式：采用价格指数进行价格调整。</w:t>
      </w:r>
    </w:p>
    <w:p w14:paraId="3CDA3F8A">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关于各可调因子、定值和变值权重，以及基本价格指数及其来源的约定：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14F143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第2种方式：采用造价信息进行价格调整。</w:t>
      </w:r>
    </w:p>
    <w:p w14:paraId="0F378F91">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（2）关于基准价格的约定：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D86605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%时，或材料单价跌幅以已标价工程量清单或预算书中载明材料单价为基础超过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%时，其超过部分据实调整。</w:t>
      </w:r>
    </w:p>
    <w:p w14:paraId="4FA575A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%时，材料单价涨幅以已标价工程量清单或预算书中载明材料单价为基础超过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%时，其超过部分据实调整。</w:t>
      </w:r>
    </w:p>
    <w:p w14:paraId="5CDF5D92">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%时，其超过部分据实调整。</w:t>
      </w:r>
    </w:p>
    <w:p w14:paraId="6389CA5B">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第3种方式：其他价格调整方式：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500"/>
    <w:bookmarkEnd w:id="501"/>
    <w:bookmarkEnd w:id="502"/>
    <w:bookmarkEnd w:id="503"/>
    <w:bookmarkEnd w:id="504"/>
    <w:bookmarkEnd w:id="505"/>
    <w:p w14:paraId="5FE2E5DB">
      <w:pPr>
        <w:spacing w:line="480" w:lineRule="exact"/>
        <w:rPr>
          <w:rFonts w:hint="eastAsia" w:ascii="宋体" w:hAnsi="宋体" w:eastAsia="宋体" w:cs="宋体"/>
          <w:color w:val="auto"/>
          <w:szCs w:val="21"/>
          <w:highlight w:val="none"/>
        </w:rPr>
      </w:pPr>
      <w:bookmarkStart w:id="613" w:name="_Toc297120505"/>
      <w:bookmarkStart w:id="614" w:name="_Toc296347204"/>
      <w:bookmarkStart w:id="615" w:name="_Toc292559410"/>
      <w:bookmarkStart w:id="616" w:name="_Toc296944544"/>
      <w:bookmarkStart w:id="617" w:name="_Toc296346706"/>
      <w:bookmarkStart w:id="618" w:name="_Toc296503205"/>
      <w:bookmarkStart w:id="619" w:name="_Toc296891033"/>
      <w:bookmarkStart w:id="620" w:name="_Toc297048391"/>
      <w:bookmarkStart w:id="621" w:name="_Toc292559915"/>
      <w:bookmarkStart w:id="622" w:name="_Toc296891245"/>
      <w:bookmarkStart w:id="623" w:name="_Toc351203644"/>
      <w:bookmarkStart w:id="624" w:name="_Toc304295579"/>
      <w:bookmarkStart w:id="625" w:name="_Toc312678040"/>
      <w:bookmarkStart w:id="626" w:name="_Toc300935002"/>
      <w:bookmarkStart w:id="627" w:name="_Toc297123552"/>
      <w:bookmarkStart w:id="628" w:name="_Toc297216211"/>
      <w:bookmarkStart w:id="629" w:name="_Toc303539159"/>
      <w:r>
        <w:rPr>
          <w:rFonts w:hint="eastAsia" w:ascii="宋体" w:hAnsi="宋体" w:eastAsia="宋体" w:cs="宋体"/>
          <w:color w:val="auto"/>
          <w:szCs w:val="21"/>
          <w:highlight w:val="none"/>
        </w:rPr>
        <w:t xml:space="preserve">12. </w:t>
      </w:r>
      <w:bookmarkEnd w:id="613"/>
      <w:bookmarkEnd w:id="614"/>
      <w:bookmarkEnd w:id="615"/>
      <w:bookmarkEnd w:id="616"/>
      <w:bookmarkEnd w:id="617"/>
      <w:bookmarkEnd w:id="618"/>
      <w:bookmarkEnd w:id="619"/>
      <w:bookmarkEnd w:id="620"/>
      <w:bookmarkEnd w:id="621"/>
      <w:bookmarkEnd w:id="622"/>
      <w:r>
        <w:rPr>
          <w:rFonts w:hint="eastAsia" w:ascii="宋体" w:hAnsi="宋体" w:eastAsia="宋体" w:cs="宋体"/>
          <w:color w:val="auto"/>
          <w:szCs w:val="21"/>
          <w:highlight w:val="none"/>
        </w:rPr>
        <w:t>合同价格、计量与支付</w:t>
      </w:r>
      <w:bookmarkEnd w:id="623"/>
    </w:p>
    <w:bookmarkEnd w:id="624"/>
    <w:bookmarkEnd w:id="625"/>
    <w:bookmarkEnd w:id="626"/>
    <w:bookmarkEnd w:id="627"/>
    <w:bookmarkEnd w:id="628"/>
    <w:bookmarkEnd w:id="629"/>
    <w:p w14:paraId="17E0B88F">
      <w:pPr>
        <w:spacing w:line="480" w:lineRule="exact"/>
        <w:rPr>
          <w:rFonts w:hint="eastAsia" w:ascii="宋体" w:hAnsi="宋体" w:eastAsia="宋体" w:cs="宋体"/>
          <w:color w:val="auto"/>
          <w:szCs w:val="21"/>
          <w:highlight w:val="none"/>
        </w:rPr>
      </w:pPr>
      <w:bookmarkStart w:id="630" w:name="_Toc292559916"/>
      <w:bookmarkStart w:id="631" w:name="_Toc292559411"/>
      <w:bookmarkStart w:id="632" w:name="_Toc267251461"/>
      <w:bookmarkStart w:id="633" w:name="_Toc297120506"/>
      <w:bookmarkStart w:id="634" w:name="_Toc297048392"/>
      <w:bookmarkStart w:id="635" w:name="_Toc296503206"/>
      <w:bookmarkStart w:id="636" w:name="_Toc296347205"/>
      <w:bookmarkStart w:id="637" w:name="_Toc296891246"/>
      <w:bookmarkStart w:id="638" w:name="_Toc296891034"/>
      <w:bookmarkStart w:id="639" w:name="_Toc296346707"/>
      <w:bookmarkStart w:id="640" w:name="_Toc296944545"/>
      <w:bookmarkStart w:id="641" w:name="_Toc303539160"/>
      <w:bookmarkStart w:id="642" w:name="_Toc297123553"/>
      <w:bookmarkStart w:id="643" w:name="_Toc300935003"/>
      <w:bookmarkStart w:id="644" w:name="_Toc304295580"/>
      <w:bookmarkStart w:id="645" w:name="_Toc297216212"/>
      <w:bookmarkStart w:id="646" w:name="_Toc312678041"/>
      <w:r>
        <w:rPr>
          <w:rFonts w:hint="eastAsia" w:ascii="宋体" w:hAnsi="宋体" w:eastAsia="宋体" w:cs="宋体"/>
          <w:color w:val="auto"/>
          <w:szCs w:val="21"/>
          <w:highlight w:val="none"/>
        </w:rPr>
        <w:t>12.1 合</w:t>
      </w:r>
      <w:bookmarkEnd w:id="630"/>
      <w:bookmarkEnd w:id="631"/>
      <w:bookmarkEnd w:id="632"/>
      <w:r>
        <w:rPr>
          <w:rFonts w:hint="eastAsia" w:ascii="宋体" w:hAnsi="宋体" w:eastAsia="宋体" w:cs="宋体"/>
          <w:color w:val="auto"/>
          <w:szCs w:val="21"/>
          <w:highlight w:val="none"/>
        </w:rPr>
        <w:t>同价</w:t>
      </w:r>
      <w:bookmarkEnd w:id="633"/>
      <w:bookmarkEnd w:id="634"/>
      <w:bookmarkEnd w:id="635"/>
      <w:bookmarkEnd w:id="636"/>
      <w:bookmarkEnd w:id="637"/>
      <w:bookmarkEnd w:id="638"/>
      <w:bookmarkEnd w:id="639"/>
      <w:bookmarkEnd w:id="640"/>
      <w:r>
        <w:rPr>
          <w:rFonts w:hint="eastAsia" w:ascii="宋体" w:hAnsi="宋体" w:eastAsia="宋体" w:cs="宋体"/>
          <w:color w:val="auto"/>
          <w:szCs w:val="21"/>
          <w:highlight w:val="none"/>
        </w:rPr>
        <w:t>格形式</w:t>
      </w:r>
    </w:p>
    <w:bookmarkEnd w:id="641"/>
    <w:bookmarkEnd w:id="642"/>
    <w:bookmarkEnd w:id="643"/>
    <w:bookmarkEnd w:id="644"/>
    <w:bookmarkEnd w:id="645"/>
    <w:bookmarkEnd w:id="646"/>
    <w:p w14:paraId="6049783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w:t>
      </w:r>
    </w:p>
    <w:p w14:paraId="439D48C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综合单价包含的风险范围：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F50683D">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655BFC">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9B27D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w:t>
      </w:r>
    </w:p>
    <w:p w14:paraId="5C28709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总价包含的风险范围：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F964BF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6B314A">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F54B4A">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3、其他价格方式：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A4D61F7">
      <w:pPr>
        <w:spacing w:line="480" w:lineRule="exact"/>
        <w:rPr>
          <w:rFonts w:hint="eastAsia" w:ascii="宋体" w:hAnsi="宋体" w:eastAsia="宋体" w:cs="宋体"/>
          <w:color w:val="auto"/>
          <w:szCs w:val="21"/>
          <w:highlight w:val="none"/>
        </w:rPr>
      </w:pPr>
      <w:bookmarkStart w:id="647" w:name="_Toc312678042"/>
      <w:bookmarkStart w:id="648" w:name="_Toc297123554"/>
      <w:bookmarkStart w:id="649" w:name="_Toc303539161"/>
      <w:bookmarkStart w:id="650" w:name="_Toc297216213"/>
      <w:bookmarkStart w:id="651" w:name="_Toc304295581"/>
      <w:bookmarkStart w:id="652" w:name="_Toc300935004"/>
      <w:bookmarkStart w:id="653" w:name="_Toc296347206"/>
      <w:bookmarkStart w:id="654" w:name="_Toc296503207"/>
      <w:bookmarkStart w:id="655" w:name="_Toc292559917"/>
      <w:bookmarkStart w:id="656" w:name="_Toc296944546"/>
      <w:bookmarkStart w:id="657" w:name="_Toc296891035"/>
      <w:bookmarkStart w:id="658" w:name="_Toc296891247"/>
      <w:bookmarkStart w:id="659" w:name="_Toc297048393"/>
      <w:bookmarkStart w:id="660" w:name="_Toc297120507"/>
      <w:bookmarkStart w:id="661" w:name="_Toc292559412"/>
      <w:bookmarkStart w:id="662" w:name="_Toc296346708"/>
      <w:r>
        <w:rPr>
          <w:rFonts w:hint="eastAsia" w:ascii="宋体" w:hAnsi="宋体" w:eastAsia="宋体" w:cs="宋体"/>
          <w:color w:val="auto"/>
          <w:szCs w:val="21"/>
          <w:highlight w:val="none"/>
        </w:rPr>
        <w:t>12.2 预付款</w:t>
      </w:r>
    </w:p>
    <w:bookmarkEnd w:id="647"/>
    <w:bookmarkEnd w:id="648"/>
    <w:bookmarkEnd w:id="649"/>
    <w:bookmarkEnd w:id="650"/>
    <w:bookmarkEnd w:id="651"/>
    <w:bookmarkEnd w:id="652"/>
    <w:p w14:paraId="3FCA14C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14:paraId="77E39A55">
      <w:pPr>
        <w:spacing w:line="480" w:lineRule="exact"/>
        <w:rPr>
          <w:rFonts w:hint="eastAsia" w:ascii="宋体" w:hAnsi="宋体" w:eastAsia="宋体" w:cs="宋体"/>
          <w:color w:val="000000"/>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合同总价的10％</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7A02C945">
      <w:pPr>
        <w:spacing w:line="4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预付款支付期限：</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办理施工许可证后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6D84348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预付款扣回的方式：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第一次拨付项目进度款时扣回预付款的50％，第二次拨付项目进度款时扣回剩余预付款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6382A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14:paraId="29C2BFD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D0A7BB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653"/>
    <w:bookmarkEnd w:id="654"/>
    <w:bookmarkEnd w:id="655"/>
    <w:bookmarkEnd w:id="656"/>
    <w:bookmarkEnd w:id="657"/>
    <w:bookmarkEnd w:id="658"/>
    <w:bookmarkEnd w:id="659"/>
    <w:bookmarkEnd w:id="660"/>
    <w:bookmarkEnd w:id="661"/>
    <w:bookmarkEnd w:id="662"/>
    <w:p w14:paraId="76A1067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计量</w:t>
      </w:r>
    </w:p>
    <w:p w14:paraId="5A6EE16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 计量原则</w:t>
      </w:r>
    </w:p>
    <w:p w14:paraId="4FA25BB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按有关国家标准、行业标准的规定执行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1EDE9C5">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14:paraId="47334481">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BCC44C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 单价合同的计量</w:t>
      </w:r>
    </w:p>
    <w:p w14:paraId="4B9801C7">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以通过验收的实际完成工程量为准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0DED2A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14:paraId="229E9357">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 (1)总价子目的计量和支付应以总价为基础，不因物价波动引起的价格调整款中的因素而进行调整。承包人实际完成的工程量，是进行工程目标管理和控制进度支付的依据。</w:t>
      </w:r>
    </w:p>
    <w:p w14:paraId="362EBAE3">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(2)承包人在合同约定的每个计量周期内，对已完成的工程进行计量，并向监理人提交进度付款申请单、 专用合同条款约定的合同总价支付分解表所表示的阶段性或分项计量的支持性资料，以及所达到工程形象目</w:t>
      </w:r>
    </w:p>
    <w:p w14:paraId="723D119D">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标或分阶段需完成的工程量和有关计量资料。</w:t>
      </w:r>
    </w:p>
    <w:p w14:paraId="13501C47">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(3)监理人对承包人提交的上述资料进行复核，以确定分阶段实际完成的工程量和工程形象目标。对其有 异议的，监理人可以指示承包人进行抽样复测，当复测中发现错误或出现超过合同约定的误差时，承包人应按监理人指示进行修正或补测，并承担相应的复测费用。</w:t>
      </w:r>
    </w:p>
    <w:p w14:paraId="701CCF9F">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(4)除按照变更条款约定的变更外，总价子目的工程量是承包人用于结算的最终工程量。</w:t>
      </w:r>
    </w:p>
    <w:p w14:paraId="4F974275">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12.3.5总价合同采用支付分解表计量支付的，是否适用第</w:t>
      </w:r>
      <w:r>
        <w:rPr>
          <w:rFonts w:hint="eastAsia" w:ascii="宋体" w:hAnsi="宋体" w:eastAsia="宋体" w:cs="宋体"/>
          <w:color w:val="auto"/>
          <w:kern w:val="0"/>
          <w:szCs w:val="21"/>
          <w:highlight w:val="none"/>
        </w:rPr>
        <w:t xml:space="preserve">12.3.4 </w:t>
      </w:r>
      <w:r>
        <w:rPr>
          <w:rFonts w:hint="eastAsia" w:ascii="宋体" w:hAnsi="宋体" w:eastAsia="宋体" w:cs="宋体"/>
          <w:color w:val="auto"/>
          <w:szCs w:val="21"/>
          <w:highlight w:val="none"/>
        </w:rPr>
        <w:t>项</w:t>
      </w:r>
      <w:r>
        <w:rPr>
          <w:rFonts w:hint="eastAsia" w:ascii="宋体" w:hAnsi="宋体" w:eastAsia="宋体" w:cs="宋体"/>
          <w:color w:val="auto"/>
          <w:kern w:val="0"/>
          <w:szCs w:val="21"/>
          <w:highlight w:val="none"/>
        </w:rPr>
        <w:t>〔总价合同的计量〕</w:t>
      </w:r>
      <w:r>
        <w:rPr>
          <w:rFonts w:hint="eastAsia" w:ascii="宋体" w:hAnsi="宋体" w:eastAsia="宋体" w:cs="宋体"/>
          <w:color w:val="auto"/>
          <w:szCs w:val="21"/>
          <w:highlight w:val="none"/>
        </w:rPr>
        <w:t>约定进行计量：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适用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EA18CA7">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14:paraId="026076F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EDF2CB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 工程进度款支付</w:t>
      </w:r>
    </w:p>
    <w:p w14:paraId="5008C31D">
      <w:pPr>
        <w:spacing w:line="480" w:lineRule="exact"/>
        <w:rPr>
          <w:rFonts w:hint="eastAsia" w:ascii="宋体" w:hAnsi="宋体" w:eastAsia="宋体" w:cs="宋体"/>
          <w:color w:val="auto"/>
          <w:szCs w:val="21"/>
          <w:highlight w:val="none"/>
        </w:rPr>
      </w:pPr>
      <w:bookmarkStart w:id="663" w:name="_Toc297048397"/>
      <w:bookmarkStart w:id="664" w:name="_Toc292559416"/>
      <w:bookmarkStart w:id="665" w:name="_Toc292559921"/>
      <w:bookmarkStart w:id="666" w:name="_Toc303539163"/>
      <w:bookmarkStart w:id="667" w:name="_Toc296347210"/>
      <w:bookmarkStart w:id="668" w:name="_Toc296891039"/>
      <w:bookmarkStart w:id="669" w:name="_Toc296346712"/>
      <w:bookmarkStart w:id="670" w:name="_Toc296944550"/>
      <w:bookmarkStart w:id="671" w:name="_Toc297123556"/>
      <w:bookmarkStart w:id="672" w:name="_Toc297120511"/>
      <w:bookmarkStart w:id="673" w:name="_Toc296891251"/>
      <w:bookmarkStart w:id="674" w:name="_Toc300935006"/>
      <w:bookmarkStart w:id="675" w:name="_Toc297216215"/>
      <w:bookmarkStart w:id="676" w:name="_Toc296503211"/>
      <w:r>
        <w:rPr>
          <w:rFonts w:hint="eastAsia" w:ascii="宋体" w:hAnsi="宋体" w:eastAsia="宋体" w:cs="宋体"/>
          <w:color w:val="auto"/>
          <w:szCs w:val="21"/>
          <w:highlight w:val="none"/>
        </w:rPr>
        <w:t>12.4.1 付款周期</w:t>
      </w:r>
    </w:p>
    <w:p w14:paraId="6E4CA89D">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关于付款周期的约定：</w:t>
      </w:r>
      <w:r>
        <w:rPr>
          <w:rFonts w:hint="eastAsia" w:ascii="宋体" w:hAnsi="宋体" w:eastAsia="宋体" w:cs="宋体"/>
          <w:color w:val="auto"/>
          <w:szCs w:val="21"/>
          <w:highlight w:val="none"/>
          <w:u w:val="single"/>
        </w:rPr>
        <w:t>付款方式：承包人进场后支付工程预付款为签约合同价的 10%，在开工后拨付进度款时按比例抵扣。根据施工进度按月拨付，按已完成工程合同价款的 80％支付进度款。工程全部竣工并验收合格后付至工程签约合同价款的 90 %（含原拨付款）；经财政部门结算审核完成后付至工程结算审核款的 97%（含原拨付款），余款 3%留作工程质量保证金待工程验收合格一年后付清，逾期不能付清的按银行同期贷款利率计息付给乙方。甲方通过云信保理（半年期）的方式支付本项目工程款（农民工工资除外，需要以现金或银行资金转账方式支付）</w:t>
      </w:r>
      <w:r>
        <w:rPr>
          <w:rFonts w:hint="eastAsia" w:ascii="宋体" w:hAnsi="宋体" w:eastAsia="宋体" w:cs="宋体"/>
          <w:color w:val="auto"/>
          <w:szCs w:val="21"/>
          <w:highlight w:val="none"/>
          <w:u w:val="single"/>
          <w:lang w:val="en-US" w:eastAsia="zh-CN"/>
        </w:rPr>
        <w:t>。</w:t>
      </w:r>
    </w:p>
    <w:p w14:paraId="23ECBE7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18785A41">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92AA07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hint="eastAsia" w:ascii="宋体" w:hAnsi="宋体" w:eastAsia="宋体" w:cs="宋体"/>
          <w:color w:val="auto"/>
          <w:szCs w:val="21"/>
          <w:highlight w:val="none"/>
        </w:rPr>
        <w:t>2.4.3 进度付款申请单的提交</w:t>
      </w:r>
    </w:p>
    <w:p w14:paraId="7955381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6A19E2A">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B61833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A7AEF7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7F6E3FE2">
      <w:pPr>
        <w:spacing w:line="48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（1）监理人审查并报送发包人的期限：</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7日</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3DF258BD">
      <w:pPr>
        <w:spacing w:line="4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发包人完成审批并签发进度款支付证书的期限：</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7日</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7507048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发包人完成审批并签发进度款支付证书后10日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7583DF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B6519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14:paraId="54B26D3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2、总价合同支付分解表的编制与审批：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76973D">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3、单价合同的总价项目支付分解表的编制与审批：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506"/>
    <w:p w14:paraId="439791BF">
      <w:pPr>
        <w:spacing w:line="480" w:lineRule="exact"/>
        <w:rPr>
          <w:rFonts w:hint="eastAsia" w:ascii="宋体" w:hAnsi="宋体" w:eastAsia="宋体" w:cs="宋体"/>
          <w:color w:val="auto"/>
          <w:szCs w:val="21"/>
          <w:highlight w:val="none"/>
        </w:rPr>
      </w:pPr>
      <w:bookmarkStart w:id="677" w:name="_Toc351203645"/>
      <w:bookmarkStart w:id="678" w:name="_Toc297216223"/>
      <w:bookmarkStart w:id="679" w:name="_Toc296503219"/>
      <w:bookmarkStart w:id="680" w:name="_Toc297048405"/>
      <w:bookmarkStart w:id="681" w:name="_Toc297123564"/>
      <w:bookmarkStart w:id="682" w:name="_Toc304295593"/>
      <w:bookmarkStart w:id="683" w:name="_Toc296347218"/>
      <w:bookmarkStart w:id="684" w:name="_Toc300935015"/>
      <w:bookmarkStart w:id="685" w:name="_Toc303539172"/>
      <w:bookmarkStart w:id="686" w:name="_Toc292559929"/>
      <w:bookmarkStart w:id="687" w:name="_Toc297120519"/>
      <w:bookmarkStart w:id="688" w:name="_Toc312678053"/>
      <w:bookmarkStart w:id="689" w:name="_Toc292559424"/>
      <w:bookmarkStart w:id="690" w:name="_Toc296944558"/>
      <w:bookmarkStart w:id="691" w:name="_Toc296891259"/>
      <w:bookmarkStart w:id="692" w:name="_Toc296346720"/>
      <w:bookmarkStart w:id="693" w:name="_Toc296891047"/>
      <w:r>
        <w:rPr>
          <w:rFonts w:hint="eastAsia" w:ascii="宋体" w:hAnsi="宋体" w:eastAsia="宋体" w:cs="宋体"/>
          <w:color w:val="auto"/>
          <w:szCs w:val="21"/>
          <w:highlight w:val="none"/>
        </w:rPr>
        <w:t>13. 验收和工程试车</w:t>
      </w:r>
      <w:bookmarkEnd w:id="677"/>
    </w:p>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299FCA1B">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分部分项工程验收</w:t>
      </w:r>
    </w:p>
    <w:p w14:paraId="15CEF47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13.1.2监理人不能按时进行验收时，应提前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小时提交书面延期要求。</w:t>
      </w:r>
    </w:p>
    <w:p w14:paraId="790FDC1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48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w:t>
      </w:r>
    </w:p>
    <w:p w14:paraId="6DAB21D2">
      <w:pPr>
        <w:spacing w:line="480" w:lineRule="exact"/>
        <w:rPr>
          <w:rFonts w:hint="eastAsia" w:ascii="宋体" w:hAnsi="宋体" w:eastAsia="宋体" w:cs="宋体"/>
          <w:color w:val="auto"/>
          <w:szCs w:val="21"/>
          <w:highlight w:val="none"/>
        </w:rPr>
      </w:pPr>
      <w:bookmarkStart w:id="694" w:name="_Toc297120523"/>
      <w:bookmarkStart w:id="695" w:name="_Toc292559933"/>
      <w:bookmarkStart w:id="696" w:name="_Toc296891263"/>
      <w:bookmarkStart w:id="697" w:name="_Toc300935016"/>
      <w:bookmarkStart w:id="698" w:name="_Toc297216224"/>
      <w:bookmarkStart w:id="699" w:name="_Toc296346724"/>
      <w:bookmarkStart w:id="700" w:name="_Toc297123565"/>
      <w:bookmarkStart w:id="701" w:name="_Toc296347222"/>
      <w:bookmarkStart w:id="702" w:name="_Toc296891051"/>
      <w:bookmarkStart w:id="703" w:name="_Toc304295596"/>
      <w:bookmarkStart w:id="704" w:name="_Toc312678056"/>
      <w:bookmarkStart w:id="705" w:name="_Toc297048409"/>
      <w:bookmarkStart w:id="706" w:name="_Toc296503223"/>
      <w:bookmarkStart w:id="707" w:name="_Toc292559428"/>
      <w:bookmarkStart w:id="708" w:name="_Toc296944562"/>
      <w:bookmarkStart w:id="709" w:name="_Toc303539173"/>
      <w:bookmarkStart w:id="710" w:name="_Toc267251471"/>
      <w:bookmarkStart w:id="711" w:name="_Toc267251472"/>
      <w:bookmarkStart w:id="712" w:name="_Toc267251476"/>
      <w:bookmarkStart w:id="713" w:name="_Toc267251475"/>
      <w:bookmarkStart w:id="714" w:name="_Toc267251473"/>
      <w:bookmarkStart w:id="715" w:name="_Toc267251474"/>
      <w:bookmarkStart w:id="716" w:name="_Toc267251470"/>
      <w:r>
        <w:rPr>
          <w:rFonts w:hint="eastAsia" w:ascii="宋体" w:hAnsi="宋体" w:eastAsia="宋体" w:cs="宋体"/>
          <w:color w:val="auto"/>
          <w:szCs w:val="21"/>
          <w:highlight w:val="none"/>
        </w:rPr>
        <w:t>13.2 竣工验收</w:t>
      </w:r>
    </w:p>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14:paraId="19ECC62E">
      <w:pPr>
        <w:spacing w:line="480" w:lineRule="exact"/>
        <w:rPr>
          <w:rFonts w:hint="eastAsia" w:ascii="宋体" w:hAnsi="宋体" w:eastAsia="宋体" w:cs="宋体"/>
          <w:color w:val="auto"/>
          <w:szCs w:val="21"/>
          <w:highlight w:val="none"/>
        </w:rPr>
      </w:pPr>
      <w:bookmarkStart w:id="717" w:name="_Toc280868704"/>
      <w:bookmarkStart w:id="718" w:name="_Toc280868705"/>
      <w:bookmarkStart w:id="719" w:name="_Toc280868706"/>
      <w:bookmarkStart w:id="720" w:name="_Toc280868707"/>
      <w:bookmarkStart w:id="721" w:name="_Toc280868708"/>
      <w:bookmarkStart w:id="722" w:name="_Toc280868709"/>
      <w:r>
        <w:rPr>
          <w:rFonts w:hint="eastAsia" w:ascii="宋体" w:hAnsi="宋体" w:eastAsia="宋体" w:cs="宋体"/>
          <w:color w:val="auto"/>
          <w:szCs w:val="21"/>
          <w:highlight w:val="none"/>
        </w:rPr>
        <w:t>13.2.2竣工验收程序</w:t>
      </w:r>
    </w:p>
    <w:bookmarkEnd w:id="717"/>
    <w:p w14:paraId="54BB83E4">
      <w:pPr>
        <w:spacing w:line="48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由承包人申请，由发包人组织，监理、勘察、设计单位参加 </w:t>
      </w:r>
      <w:r>
        <w:rPr>
          <w:rFonts w:hint="eastAsia" w:ascii="宋体" w:hAnsi="宋体" w:eastAsia="宋体" w:cs="宋体"/>
          <w:color w:val="auto"/>
          <w:szCs w:val="21"/>
          <w:highlight w:val="none"/>
        </w:rPr>
        <w:t>。</w:t>
      </w:r>
    </w:p>
    <w:p w14:paraId="0852E6C8">
      <w:pPr>
        <w:spacing w:line="48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718"/>
    <w:p w14:paraId="3FD3E90D">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bookmarkEnd w:id="719"/>
    <w:p w14:paraId="31188237">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20AA74C">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720"/>
    <w:p w14:paraId="4EA5CC84">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每推迟一天处承包人人民币2万元的违约金，该项违约金上限为签约合同价的2％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3B1747">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工程试车</w:t>
      </w:r>
    </w:p>
    <w:bookmarkEnd w:id="721"/>
    <w:p w14:paraId="450D1A05">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 试车程序</w:t>
      </w:r>
    </w:p>
    <w:p w14:paraId="2978DC51">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工程试车内容：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电路、管线等系统的试运行，看是否运转正常，是否满足设计及规范要求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93D8B9E">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（1）单机无负荷试车费用由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承担；</w:t>
      </w:r>
    </w:p>
    <w:p w14:paraId="35121426">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（2）无负荷联动试车费用由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承担。</w:t>
      </w:r>
    </w:p>
    <w:p w14:paraId="61CCC993">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 投料试车</w:t>
      </w:r>
    </w:p>
    <w:p w14:paraId="61068F74">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关于投料试车相关事项的约定：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340E1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 竣工退场</w:t>
      </w:r>
    </w:p>
    <w:p w14:paraId="5F9F6D96">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13.6.1 竣工退场</w:t>
      </w:r>
    </w:p>
    <w:p w14:paraId="3344B9D2">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竣工验收合格后10日内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6C318FC1">
      <w:pPr>
        <w:spacing w:line="480" w:lineRule="exact"/>
        <w:rPr>
          <w:rFonts w:hint="eastAsia" w:ascii="宋体" w:hAnsi="宋体" w:eastAsia="宋体" w:cs="宋体"/>
          <w:color w:val="auto"/>
          <w:szCs w:val="21"/>
          <w:highlight w:val="none"/>
        </w:rPr>
      </w:pPr>
      <w:bookmarkStart w:id="723" w:name="_Toc351203646"/>
      <w:r>
        <w:rPr>
          <w:rFonts w:hint="eastAsia" w:ascii="宋体" w:hAnsi="宋体" w:eastAsia="宋体" w:cs="宋体"/>
          <w:color w:val="auto"/>
          <w:szCs w:val="21"/>
          <w:highlight w:val="none"/>
        </w:rPr>
        <w:t>14. 竣工结算</w:t>
      </w:r>
      <w:bookmarkEnd w:id="723"/>
    </w:p>
    <w:p w14:paraId="44EECF1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竣工结算申请</w:t>
      </w:r>
    </w:p>
    <w:p w14:paraId="033A394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承包人提交竣工结算申请单的期限：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F340C8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竣工结算申请单应包括的内容：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E91790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竣工结算审核</w:t>
      </w:r>
    </w:p>
    <w:p w14:paraId="108E372A">
      <w:pPr>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发包人审批竣工付款申请单的期限：</w:t>
      </w:r>
      <w:r>
        <w:rPr>
          <w:rFonts w:hint="eastAsia" w:ascii="宋体" w:hAnsi="宋体" w:eastAsia="宋体" w:cs="宋体"/>
          <w:color w:val="auto"/>
          <w:szCs w:val="21"/>
          <w:highlight w:val="none"/>
          <w:u w:val="single"/>
        </w:rPr>
        <w:t xml:space="preserve"> 发包人在收到承包人工程结算书(按发包人要求编制并经发包人签收后3个月内审核完毕并将审核意见反馈给承包人，如承包人对结算审核报告无异议的，双方进行书面确认；  </w:t>
      </w:r>
    </w:p>
    <w:p w14:paraId="228A65D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工程计量以设计图和工程量清单为依据，决算以双方核实认可并报监管部门批准的竣工结算为依据</w:t>
      </w:r>
      <w:r>
        <w:rPr>
          <w:rFonts w:hint="eastAsia" w:ascii="宋体" w:hAnsi="宋体" w:eastAsia="宋体" w:cs="宋体"/>
          <w:color w:val="auto"/>
          <w:szCs w:val="21"/>
          <w:highlight w:val="none"/>
        </w:rPr>
        <w:t>。</w:t>
      </w:r>
    </w:p>
    <w:p w14:paraId="7B6A656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42F235">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 xml:space="preserve"> 发包人在收到承包人工程结算书(按发包要求编制并经发包人签收)后3个月内审核完毕并将审核意见反馈给承包人，如承包人对结算审核报告无异议的，双方进行书面确认；如有异议的，双方协商解决，仍不能达成一致的，按争议解决方式处理。</w:t>
      </w:r>
    </w:p>
    <w:p w14:paraId="5E116CA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最终结清</w:t>
      </w:r>
    </w:p>
    <w:p w14:paraId="42EC862F">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0B62F185">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一式肆份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01CBF75">
      <w:pPr>
        <w:spacing w:line="48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B7ADB9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p w14:paraId="7F01CC05">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CBD68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710"/>
    <w:bookmarkEnd w:id="711"/>
    <w:bookmarkEnd w:id="712"/>
    <w:bookmarkEnd w:id="713"/>
    <w:bookmarkEnd w:id="714"/>
    <w:bookmarkEnd w:id="715"/>
    <w:bookmarkEnd w:id="716"/>
    <w:bookmarkEnd w:id="722"/>
    <w:p w14:paraId="60118F51">
      <w:pPr>
        <w:spacing w:line="480" w:lineRule="exact"/>
        <w:rPr>
          <w:rFonts w:hint="eastAsia" w:ascii="宋体" w:hAnsi="宋体" w:eastAsia="宋体" w:cs="宋体"/>
          <w:color w:val="auto"/>
          <w:szCs w:val="21"/>
          <w:highlight w:val="none"/>
        </w:rPr>
      </w:pPr>
      <w:bookmarkStart w:id="724" w:name="_Toc351203647"/>
      <w:bookmarkStart w:id="725" w:name="_Toc267251483"/>
      <w:bookmarkStart w:id="726" w:name="_Toc267251482"/>
      <w:bookmarkStart w:id="727" w:name="_Toc267251484"/>
      <w:bookmarkStart w:id="728" w:name="_Toc267251485"/>
      <w:bookmarkStart w:id="729" w:name="_Toc267251488"/>
      <w:bookmarkStart w:id="730" w:name="_Toc267251489"/>
      <w:bookmarkStart w:id="731" w:name="_Toc267251490"/>
      <w:bookmarkStart w:id="732" w:name="_Toc267251486"/>
      <w:bookmarkStart w:id="733" w:name="_Toc267251494"/>
      <w:bookmarkStart w:id="734" w:name="_Toc267251502"/>
      <w:bookmarkStart w:id="735" w:name="_Toc267251495"/>
      <w:bookmarkStart w:id="736" w:name="_Toc267251497"/>
      <w:bookmarkStart w:id="737" w:name="_Toc267251498"/>
      <w:bookmarkStart w:id="738" w:name="_Toc267251503"/>
      <w:bookmarkStart w:id="739" w:name="_Toc267251496"/>
      <w:bookmarkStart w:id="740" w:name="_Toc267251499"/>
      <w:bookmarkStart w:id="741" w:name="_Toc267251491"/>
      <w:bookmarkStart w:id="742" w:name="_Toc267251501"/>
      <w:bookmarkStart w:id="743" w:name="_Toc267251493"/>
      <w:bookmarkStart w:id="744" w:name="_Toc267251492"/>
      <w:bookmarkStart w:id="745" w:name="_Toc267251506"/>
      <w:bookmarkStart w:id="746" w:name="_Toc267251504"/>
      <w:bookmarkStart w:id="747" w:name="_Toc267251507"/>
      <w:bookmarkStart w:id="748" w:name="_Toc267251508"/>
      <w:bookmarkStart w:id="749" w:name="_Toc267251514"/>
      <w:bookmarkStart w:id="750" w:name="_Toc267251510"/>
      <w:bookmarkStart w:id="751" w:name="_Toc267251511"/>
      <w:bookmarkStart w:id="752" w:name="_Toc267251513"/>
      <w:bookmarkStart w:id="753" w:name="_Toc267251515"/>
      <w:bookmarkStart w:id="754" w:name="_Toc267251509"/>
      <w:r>
        <w:rPr>
          <w:rFonts w:hint="eastAsia" w:ascii="宋体" w:hAnsi="宋体" w:eastAsia="宋体" w:cs="宋体"/>
          <w:color w:val="auto"/>
          <w:szCs w:val="21"/>
          <w:highlight w:val="none"/>
        </w:rPr>
        <w:t>15. 缺陷责任期与保修</w:t>
      </w:r>
      <w:bookmarkEnd w:id="724"/>
    </w:p>
    <w:p w14:paraId="085521A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15.2缺陷责任期</w:t>
      </w:r>
      <w:bookmarkEnd w:id="725"/>
    </w:p>
    <w:p w14:paraId="6C90C5DD">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9BB09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质量保证金</w:t>
      </w:r>
    </w:p>
    <w:p w14:paraId="712A08AA">
      <w:pPr>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关于是否扣留质量保证金的约定：</w:t>
      </w:r>
      <w:r>
        <w:rPr>
          <w:rFonts w:hint="eastAsia" w:ascii="宋体" w:hAnsi="宋体" w:eastAsia="宋体" w:cs="宋体"/>
          <w:color w:val="auto"/>
          <w:szCs w:val="21"/>
          <w:highlight w:val="none"/>
          <w:u w:val="single"/>
          <w:lang w:val="en-US" w:eastAsia="zh-CN"/>
        </w:rPr>
        <w:t>工程竣工结算时一次性扣留质量保证金</w:t>
      </w:r>
      <w:r>
        <w:rPr>
          <w:rFonts w:hint="eastAsia" w:ascii="宋体" w:hAnsi="宋体" w:eastAsia="宋体" w:cs="宋体"/>
          <w:color w:val="auto"/>
          <w:szCs w:val="21"/>
          <w:highlight w:val="none"/>
        </w:rPr>
        <w:t>。在工程项目竣工前，承包人按专用合同条款第3.7条提供履约担保的，发包人不得同时预留工程质量保证金。</w:t>
      </w:r>
    </w:p>
    <w:p w14:paraId="6E1D5E5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承包人提供质量保证金的方式</w:t>
      </w:r>
    </w:p>
    <w:p w14:paraId="21E4007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52DF1567">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（1）质量保证金保函，保证金额为：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3BB1D221">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%的工程款；</w:t>
      </w:r>
    </w:p>
    <w:p w14:paraId="1DB2581A">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858E30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15.3.2 质量保证金的扣留 </w:t>
      </w:r>
    </w:p>
    <w:p w14:paraId="4DC3EEE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459344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14:paraId="6C7CCA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（2）工程竣工结算时一次性扣留质量保证金；</w:t>
      </w:r>
    </w:p>
    <w:p w14:paraId="610EC6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（3）其他扣留方式: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8B294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szCs w:val="21"/>
          <w:highlight w:val="none"/>
        </w:rPr>
        <w:t>关于质量保证金的补充约定：</w:t>
      </w:r>
      <w:r>
        <w:rPr>
          <w:rFonts w:hint="eastAsia" w:ascii="宋体" w:hAnsi="宋体" w:eastAsia="宋体" w:cs="宋体"/>
          <w:color w:val="auto"/>
          <w:kern w:val="0"/>
          <w:szCs w:val="21"/>
          <w:highlight w:val="none"/>
          <w:u w:val="single"/>
          <w:lang w:eastAsia="zh-CN"/>
        </w:rPr>
        <w:t xml:space="preserve"> 缺陷责任期满后一次性(不计利息)支付质量保证金 。</w:t>
      </w:r>
    </w:p>
    <w:bookmarkEnd w:id="726"/>
    <w:bookmarkEnd w:id="727"/>
    <w:p w14:paraId="0BC5463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15.4保修</w:t>
      </w:r>
    </w:p>
    <w:bookmarkEnd w:id="728"/>
    <w:p w14:paraId="69291AA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14:paraId="299294CC">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24个月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30F4EAF">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14:paraId="7C4473A3">
      <w:pPr>
        <w:spacing w:line="480" w:lineRule="exact"/>
        <w:ind w:firstLine="420" w:firstLineChars="200"/>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承包人收到保修通知并到达工程现场的合理时间：</w:t>
      </w:r>
      <w:r>
        <w:rPr>
          <w:rFonts w:ascii="宋体" w:hAnsi="宋体" w:eastAsia="宋体" w:cs="宋体"/>
          <w:spacing w:val="-161"/>
          <w:sz w:val="37"/>
          <w:szCs w:val="37"/>
          <w:u w:val="single" w:color="auto"/>
        </w:rPr>
        <w:t xml:space="preserve"> </w:t>
      </w:r>
      <w:r>
        <w:rPr>
          <w:rFonts w:hint="eastAsia" w:ascii="宋体" w:hAnsi="宋体" w:eastAsia="宋体" w:cs="宋体"/>
          <w:color w:val="auto"/>
          <w:kern w:val="0"/>
          <w:szCs w:val="21"/>
          <w:highlight w:val="none"/>
          <w:u w:val="single"/>
          <w:lang w:eastAsia="zh-CN"/>
        </w:rPr>
        <w:t>72小时内，如限定时间不到，由发包方请有资质的施工队伍进行维修，其维修费从承包方质量保证金中抵扣。</w:t>
      </w:r>
    </w:p>
    <w:bookmarkEnd w:id="729"/>
    <w:bookmarkEnd w:id="730"/>
    <w:bookmarkEnd w:id="731"/>
    <w:bookmarkEnd w:id="732"/>
    <w:p w14:paraId="1C351E82">
      <w:pPr>
        <w:spacing w:line="480" w:lineRule="exact"/>
        <w:rPr>
          <w:rFonts w:hint="eastAsia" w:ascii="宋体" w:hAnsi="宋体" w:eastAsia="宋体" w:cs="宋体"/>
          <w:color w:val="auto"/>
          <w:szCs w:val="21"/>
          <w:highlight w:val="none"/>
        </w:rPr>
      </w:pPr>
      <w:bookmarkStart w:id="755" w:name="_Toc351203648"/>
      <w:bookmarkStart w:id="756" w:name="_Toc280868717"/>
      <w:bookmarkStart w:id="757" w:name="_Toc280868718"/>
      <w:r>
        <w:rPr>
          <w:rFonts w:hint="eastAsia" w:ascii="宋体" w:hAnsi="宋体" w:eastAsia="宋体" w:cs="宋体"/>
          <w:color w:val="auto"/>
          <w:szCs w:val="21"/>
          <w:highlight w:val="none"/>
        </w:rPr>
        <w:t>16. 违约</w:t>
      </w:r>
      <w:bookmarkEnd w:id="755"/>
    </w:p>
    <w:p w14:paraId="435E694A">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发包人违约</w:t>
      </w:r>
    </w:p>
    <w:p w14:paraId="4F97499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14:paraId="4BF1B65D">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A971002">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16.1.2 发包人违约的责任</w:t>
      </w:r>
    </w:p>
    <w:p w14:paraId="33459A9A">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14:paraId="4E9A72CC">
      <w:pPr>
        <w:spacing w:line="48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（1）因发包人原因未能在计划开工日期前7天内下达开工通知的违约责任：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25546023">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31D86C29">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（3）发包人违反第10.1款〔变更的范围〕第（2）项约定，自行实施被取消的工作或转由他人实施的违约责任：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1290566E">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26EC3751">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（5）因发包人违反合同约定造成暂停施工的违约责任：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461876B8">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1681FC8">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74AD8B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14:paraId="330BF38A">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承包人按16.1.1项〔发包人违约的情形〕约定暂停施工满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天后发包人仍不纠正其违约行为并致使合同目的不能实现的，承包人有权解除合同。</w:t>
      </w:r>
    </w:p>
    <w:p w14:paraId="09E724B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承包人违约</w:t>
      </w:r>
    </w:p>
    <w:p w14:paraId="14CADB82">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 承包人违约的情形</w:t>
      </w:r>
    </w:p>
    <w:p w14:paraId="29350CB7">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承包人违约的其他情形：</w:t>
      </w:r>
      <w:r>
        <w:rPr>
          <w:rFonts w:hint="eastAsia" w:ascii="宋体" w:hAnsi="宋体" w:eastAsia="宋体" w:cs="宋体"/>
          <w:color w:val="auto"/>
          <w:kern w:val="0"/>
          <w:szCs w:val="21"/>
          <w:highlight w:val="none"/>
          <w:u w:val="single"/>
          <w:lang w:val="en-US" w:eastAsia="zh-CN"/>
        </w:rPr>
        <w:t>承包人将工程转包、变相转包或非法分包的；承包人与实际施工人存在挂靠关系的；承包人采购不符合规范和设计要求的材料；承包人不服从发包人的管理及安排，不与其它专业承包单位密切配合且互相推诿的</w:t>
      </w:r>
      <w:r>
        <w:rPr>
          <w:rFonts w:hint="eastAsia" w:ascii="宋体" w:hAnsi="宋体" w:eastAsia="宋体" w:cs="宋体"/>
          <w:color w:val="auto"/>
          <w:kern w:val="0"/>
          <w:szCs w:val="21"/>
          <w:highlight w:val="none"/>
        </w:rPr>
        <w:t>。</w:t>
      </w:r>
    </w:p>
    <w:p w14:paraId="7292F68D">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16.2.2承包人违约的责任</w:t>
      </w:r>
    </w:p>
    <w:p w14:paraId="485C56E1">
      <w:pPr>
        <w:spacing w:line="480" w:lineRule="exact"/>
        <w:ind w:firstLine="420" w:firstLineChars="200"/>
        <w:rPr>
          <w:rFonts w:hint="eastAsia" w:ascii="宋体" w:hAnsi="宋体" w:eastAsia="宋体" w:cs="宋体"/>
          <w:color w:val="000000"/>
          <w:kern w:val="0"/>
          <w:szCs w:val="21"/>
          <w:highlight w:val="none"/>
          <w:u w:val="single"/>
          <w:lang w:val="en-US" w:eastAsia="zh-CN"/>
        </w:rPr>
      </w:pPr>
      <w:r>
        <w:rPr>
          <w:rFonts w:hint="eastAsia" w:ascii="宋体" w:hAnsi="宋体" w:eastAsia="宋体" w:cs="宋体"/>
          <w:color w:val="auto"/>
          <w:kern w:val="0"/>
          <w:szCs w:val="21"/>
          <w:highlight w:val="none"/>
        </w:rPr>
        <w:t>承包人违约责任的承担方式和计算方法：</w:t>
      </w:r>
      <w:r>
        <w:rPr>
          <w:rFonts w:hint="eastAsia" w:ascii="宋体" w:hAnsi="宋体" w:eastAsia="宋体" w:cs="宋体"/>
          <w:color w:val="auto"/>
          <w:kern w:val="0"/>
          <w:szCs w:val="21"/>
          <w:highlight w:val="none"/>
          <w:u w:val="single"/>
          <w:lang w:val="en-US" w:eastAsia="zh-CN"/>
        </w:rPr>
        <w:t>承包人将工程转包或非法分包的，发包人有权解除合同，承包人按本合同签约价的30%向发包人承担违约责任；承包人采购不符合规范和设计要求的材料，须按通用合同条款第8.3款规定将该项材料运出施工现场，并重新采购符合要求的材料，同时，按该项材料签约合同价的20%向发包人承担违约责任。如违约金不足赔偿给发包人造成的损失，发包人有权就不足部分向承包人索赔；  承包人必须服从发包人的管理及安排，并与其它专业承包单位密切配合，不得互相推诿；造成严重管理后果的，发包人有权解除合同，一切损失由承包人负责</w:t>
      </w:r>
      <w:r>
        <w:rPr>
          <w:rFonts w:hint="eastAsia" w:ascii="宋体" w:hAnsi="宋体" w:eastAsia="宋体" w:cs="宋体"/>
          <w:color w:val="000000"/>
          <w:kern w:val="0"/>
          <w:szCs w:val="21"/>
          <w:highlight w:val="none"/>
          <w:u w:val="single"/>
          <w:lang w:val="en-US" w:eastAsia="zh-CN"/>
        </w:rPr>
        <w:t>。如因工程项目中出现问题（包括安全问题、人员问题等），导致发包 人必须要通过约谈承包人解决的，约谈中标方（含联合体）片区负责人处罚 5-10 万/次，约谈中标方（含联合体）法人代表处罚 10-20 万/次。</w:t>
      </w:r>
    </w:p>
    <w:p w14:paraId="69859344">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14:paraId="605E04F5">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按通用合同条款执行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90BF2B7">
      <w:pPr>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发包人承担</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63ADCFA">
      <w:pPr>
        <w:spacing w:line="480" w:lineRule="exact"/>
        <w:rPr>
          <w:rFonts w:hint="eastAsia" w:ascii="宋体" w:hAnsi="宋体" w:eastAsia="宋体" w:cs="宋体"/>
          <w:color w:val="auto"/>
          <w:szCs w:val="21"/>
          <w:highlight w:val="none"/>
        </w:rPr>
      </w:pPr>
      <w:bookmarkStart w:id="758" w:name="_Toc351203649"/>
      <w:r>
        <w:rPr>
          <w:rFonts w:hint="eastAsia" w:ascii="宋体" w:hAnsi="宋体" w:eastAsia="宋体" w:cs="宋体"/>
          <w:color w:val="auto"/>
          <w:szCs w:val="21"/>
          <w:highlight w:val="none"/>
        </w:rPr>
        <w:t>17. 不可抗力</w:t>
      </w:r>
      <w:bookmarkEnd w:id="758"/>
      <w:r>
        <w:rPr>
          <w:rFonts w:hint="eastAsia" w:ascii="宋体" w:hAnsi="宋体" w:eastAsia="宋体" w:cs="宋体"/>
          <w:color w:val="auto"/>
          <w:szCs w:val="21"/>
          <w:highlight w:val="none"/>
        </w:rPr>
        <w:t xml:space="preserve"> </w:t>
      </w:r>
      <w:bookmarkEnd w:id="756"/>
    </w:p>
    <w:p w14:paraId="71B2746B">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不可抗力的确认</w:t>
      </w:r>
    </w:p>
    <w:p w14:paraId="3E0E428A">
      <w:pPr>
        <w:spacing w:line="48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lang w:val="en-US" w:eastAsia="zh-CN"/>
        </w:rPr>
        <w:t>包括6级及6级以上地震；10级以上的风；一天200mm以上的暴雨；一次积雪深达450mm以上等自然灾害；外敌入侵、战争。地震资料以湖南省地震局提供的资料为准，暴风、雨雪资料以当地气象部门提供的资料为准</w:t>
      </w:r>
      <w:r>
        <w:rPr>
          <w:rFonts w:hint="eastAsia" w:ascii="宋体" w:hAnsi="宋体" w:eastAsia="宋体" w:cs="宋体"/>
          <w:color w:val="auto"/>
          <w:kern w:val="0"/>
          <w:szCs w:val="21"/>
          <w:highlight w:val="none"/>
        </w:rPr>
        <w:t>。</w:t>
      </w:r>
    </w:p>
    <w:p w14:paraId="53E0D7C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 因不可抗力解除合同</w:t>
      </w:r>
    </w:p>
    <w:p w14:paraId="66A2654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天内完成款项的支付。</w:t>
      </w:r>
    </w:p>
    <w:p w14:paraId="43B288BB">
      <w:pPr>
        <w:spacing w:line="480" w:lineRule="exact"/>
        <w:rPr>
          <w:rFonts w:hint="eastAsia" w:ascii="宋体" w:hAnsi="宋体" w:eastAsia="宋体" w:cs="宋体"/>
          <w:color w:val="auto"/>
          <w:szCs w:val="21"/>
          <w:highlight w:val="none"/>
        </w:rPr>
      </w:pPr>
      <w:bookmarkStart w:id="759" w:name="_Toc351203650"/>
      <w:r>
        <w:rPr>
          <w:rFonts w:hint="eastAsia" w:ascii="宋体" w:hAnsi="宋体" w:eastAsia="宋体" w:cs="宋体"/>
          <w:color w:val="auto"/>
          <w:szCs w:val="21"/>
          <w:highlight w:val="none"/>
        </w:rPr>
        <w:t>18. 保险</w:t>
      </w:r>
      <w:bookmarkEnd w:id="759"/>
    </w:p>
    <w:bookmarkEnd w:id="757"/>
    <w:p w14:paraId="58BFD80C">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工程保险</w:t>
      </w:r>
    </w:p>
    <w:p w14:paraId="7A63143F">
      <w:pPr>
        <w:spacing w:line="480" w:lineRule="exact"/>
        <w:ind w:firstLine="420" w:firstLineChars="20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rPr>
        <w:t>关于工程保险的特别约定：</w:t>
      </w:r>
      <w:r>
        <w:rPr>
          <w:rFonts w:hint="eastAsia" w:ascii="宋体" w:hAnsi="宋体" w:eastAsia="宋体" w:cs="宋体"/>
          <w:color w:val="auto"/>
          <w:kern w:val="0"/>
          <w:szCs w:val="21"/>
          <w:highlight w:val="none"/>
          <w:u w:val="single"/>
          <w:lang w:val="en-US" w:eastAsia="zh-CN"/>
        </w:rPr>
        <w:t>(1)由承包人以发包人和承包人名义投保的建筑安装工程一切险、第三者责任险，由承包人购买并承担相关费用。承包人购买的保险合同关于投保赔偿不得有赔偿限额限制或单次事故赔偿限额限制，承包人未按合同约定办理保险导致未能得到足额赔偿的，由承包人自行承担责任。(2)承包人自有的施工设备和施工场内自有人员的生命财产保险，由承包人购买并承担相关费用 。</w:t>
      </w:r>
    </w:p>
    <w:p w14:paraId="50DC3AA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其他保险</w:t>
      </w:r>
    </w:p>
    <w:p w14:paraId="70C02788">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1443CB3">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672D8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18.7 通知义务</w:t>
      </w:r>
    </w:p>
    <w:p w14:paraId="555262FC">
      <w:pPr>
        <w:spacing w:line="48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rPr>
        <w:t xml:space="preserve"> </w:t>
      </w:r>
      <w:r>
        <w:rPr>
          <w:rFonts w:ascii="宋体" w:hAnsi="宋体" w:eastAsia="宋体" w:cs="宋体"/>
          <w:spacing w:val="-171"/>
          <w:sz w:val="37"/>
          <w:szCs w:val="37"/>
          <w:u w:val="single" w:color="auto"/>
        </w:rPr>
        <w:t xml:space="preserve"> </w:t>
      </w:r>
      <w:r>
        <w:rPr>
          <w:rFonts w:hint="eastAsia" w:ascii="宋体" w:hAnsi="宋体" w:eastAsia="宋体" w:cs="宋体"/>
          <w:color w:val="auto"/>
          <w:szCs w:val="21"/>
          <w:highlight w:val="none"/>
          <w:u w:val="single"/>
          <w:lang w:val="en-US" w:eastAsia="zh-CN"/>
        </w:rPr>
        <w:t xml:space="preserve">承包人向发包人提交各项保险生效的证据和保险单副本的时间约定：变更后5个工作日内 </w:t>
      </w:r>
      <w:r>
        <w:rPr>
          <w:rFonts w:hint="eastAsia" w:ascii="宋体" w:hAnsi="宋体" w:eastAsia="宋体" w:cs="宋体"/>
          <w:color w:val="auto"/>
          <w:szCs w:val="21"/>
          <w:highlight w:val="none"/>
        </w:rPr>
        <w:t>。</w:t>
      </w:r>
    </w:p>
    <w:bookmarkEnd w:id="733"/>
    <w:bookmarkEnd w:id="734"/>
    <w:bookmarkEnd w:id="735"/>
    <w:bookmarkEnd w:id="736"/>
    <w:bookmarkEnd w:id="737"/>
    <w:bookmarkEnd w:id="738"/>
    <w:bookmarkEnd w:id="739"/>
    <w:bookmarkEnd w:id="740"/>
    <w:bookmarkEnd w:id="741"/>
    <w:bookmarkEnd w:id="742"/>
    <w:bookmarkEnd w:id="743"/>
    <w:bookmarkEnd w:id="744"/>
    <w:p w14:paraId="5A9CD045">
      <w:pPr>
        <w:spacing w:line="480" w:lineRule="exact"/>
        <w:rPr>
          <w:rFonts w:hint="eastAsia" w:ascii="宋体" w:hAnsi="宋体" w:eastAsia="宋体" w:cs="宋体"/>
          <w:color w:val="auto"/>
          <w:szCs w:val="21"/>
          <w:highlight w:val="none"/>
        </w:rPr>
      </w:pPr>
      <w:bookmarkStart w:id="760" w:name="_Toc351203651"/>
      <w:r>
        <w:rPr>
          <w:rFonts w:hint="eastAsia" w:ascii="宋体" w:hAnsi="宋体" w:eastAsia="宋体" w:cs="宋体"/>
          <w:color w:val="auto"/>
          <w:szCs w:val="21"/>
          <w:highlight w:val="none"/>
        </w:rPr>
        <w:t>20. 争议解决</w:t>
      </w:r>
      <w:bookmarkEnd w:id="760"/>
    </w:p>
    <w:bookmarkEnd w:id="745"/>
    <w:bookmarkEnd w:id="746"/>
    <w:p w14:paraId="343529F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争</w:t>
      </w:r>
      <w:bookmarkEnd w:id="747"/>
      <w:r>
        <w:rPr>
          <w:rFonts w:hint="eastAsia" w:ascii="宋体" w:hAnsi="宋体" w:eastAsia="宋体" w:cs="宋体"/>
          <w:color w:val="auto"/>
          <w:szCs w:val="21"/>
          <w:highlight w:val="none"/>
        </w:rPr>
        <w:t>议评审</w:t>
      </w:r>
    </w:p>
    <w:p w14:paraId="2AA6A093">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否</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EB870C1">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 争议评审小组的确定</w:t>
      </w:r>
    </w:p>
    <w:p w14:paraId="055A9A79">
      <w:pPr>
        <w:spacing w:line="4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65C52DB">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935B05D">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C10876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30D77D0">
      <w:pPr>
        <w:spacing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14:paraId="7527ACD8">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68BE82">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20.4仲裁或诉讼</w:t>
      </w:r>
      <w:bookmarkEnd w:id="748"/>
    </w:p>
    <w:p w14:paraId="35F98CAD">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05FC984E">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18027465">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江华县</w:t>
      </w:r>
      <w:r>
        <w:rPr>
          <w:rFonts w:hint="eastAsia" w:ascii="宋体" w:hAnsi="宋体" w:eastAsia="宋体" w:cs="宋体"/>
          <w:color w:val="00000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bookmarkEnd w:id="749"/>
      <w:bookmarkEnd w:id="750"/>
      <w:bookmarkEnd w:id="751"/>
      <w:bookmarkEnd w:id="752"/>
      <w:bookmarkEnd w:id="753"/>
      <w:bookmarkEnd w:id="754"/>
    </w:p>
    <w:p w14:paraId="3BC1F113">
      <w:pPr>
        <w:spacing w:line="480" w:lineRule="exact"/>
        <w:rPr>
          <w:rFonts w:hint="eastAsia" w:asciiTheme="minorEastAsia" w:hAnsiTheme="minorEastAsia" w:eastAsiaTheme="minorEastAsia" w:cstheme="minorEastAsia"/>
          <w:color w:val="auto"/>
          <w:szCs w:val="21"/>
          <w:highlight w:val="none"/>
        </w:rPr>
      </w:pPr>
    </w:p>
    <w:p w14:paraId="58E2BCCA">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bookmarkStart w:id="761" w:name="_Toc351203652"/>
      <w:r>
        <w:rPr>
          <w:rFonts w:hint="eastAsia" w:asciiTheme="minorEastAsia" w:hAnsiTheme="minorEastAsia" w:eastAsiaTheme="minorEastAsia" w:cstheme="minorEastAsia"/>
          <w:color w:val="auto"/>
          <w:szCs w:val="21"/>
          <w:highlight w:val="none"/>
        </w:rPr>
        <w:t>附件</w:t>
      </w:r>
      <w:bookmarkEnd w:id="761"/>
    </w:p>
    <w:p w14:paraId="68129056">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协议书附件：</w:t>
      </w:r>
    </w:p>
    <w:p w14:paraId="6180F0D9">
      <w:pPr>
        <w:spacing w:line="480" w:lineRule="exact"/>
        <w:outlineLvl w:val="2"/>
        <w:rPr>
          <w:rFonts w:hint="eastAsia" w:asciiTheme="minorEastAsia" w:hAnsiTheme="minorEastAsia" w:eastAsiaTheme="minorEastAsia" w:cstheme="minorEastAsia"/>
          <w:color w:val="auto"/>
          <w:szCs w:val="21"/>
          <w:highlight w:val="none"/>
        </w:rPr>
      </w:pPr>
      <w:bookmarkStart w:id="762" w:name="_Toc10331"/>
      <w:r>
        <w:rPr>
          <w:rFonts w:hint="eastAsia" w:asciiTheme="minorEastAsia" w:hAnsiTheme="minorEastAsia" w:eastAsiaTheme="minorEastAsia" w:cstheme="minorEastAsia"/>
          <w:color w:val="auto"/>
          <w:szCs w:val="21"/>
          <w:highlight w:val="none"/>
        </w:rPr>
        <w:t>附件1：承包人承揽工程项目一览表</w:t>
      </w:r>
      <w:bookmarkEnd w:id="762"/>
    </w:p>
    <w:p w14:paraId="37E1FB1A">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专用合同条款附件：</w:t>
      </w:r>
    </w:p>
    <w:p w14:paraId="23BEA231">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附件2：发包人供应材料设备一览表</w:t>
      </w:r>
    </w:p>
    <w:p w14:paraId="4F2C07C8">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附件3：工程质量保修书</w:t>
      </w:r>
    </w:p>
    <w:p w14:paraId="7735F4CF">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附件4：主要建设工程文件目录</w:t>
      </w:r>
    </w:p>
    <w:p w14:paraId="085E655A">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附件5：承包人用于本工程施工的机械设备表</w:t>
      </w:r>
    </w:p>
    <w:p w14:paraId="2F22718B">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附件6：承包人主要施工管理人员表</w:t>
      </w:r>
    </w:p>
    <w:p w14:paraId="35A8CC89">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附件7：分包人主要施工管理人员表</w:t>
      </w:r>
    </w:p>
    <w:p w14:paraId="1C2C398A">
      <w:pPr>
        <w:spacing w:line="48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附件8：履约担保格式</w:t>
      </w:r>
      <w:r>
        <w:rPr>
          <w:rFonts w:hint="eastAsia" w:asciiTheme="minorEastAsia" w:hAnsiTheme="minorEastAsia" w:eastAsiaTheme="minorEastAsia" w:cstheme="minorEastAsia"/>
          <w:bCs/>
          <w:color w:val="auto"/>
          <w:szCs w:val="21"/>
          <w:highlight w:val="none"/>
        </w:rPr>
        <w:t>（经评审最低投标价法中标履约担保格式见本章附件4-1）</w:t>
      </w:r>
    </w:p>
    <w:p w14:paraId="7F16F81F">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附件9：预付款担保格式</w:t>
      </w:r>
    </w:p>
    <w:p w14:paraId="3EE41076">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附件10：支付担保格式</w:t>
      </w:r>
    </w:p>
    <w:p w14:paraId="71645F56">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附件11：暂估价一览表</w:t>
      </w:r>
    </w:p>
    <w:p w14:paraId="31F26585">
      <w:pPr>
        <w:spacing w:line="480" w:lineRule="exact"/>
        <w:rPr>
          <w:rFonts w:hint="eastAsia" w:asciiTheme="minorEastAsia" w:hAnsiTheme="minorEastAsia" w:eastAsiaTheme="minorEastAsia" w:cstheme="minorEastAsia"/>
          <w:color w:val="auto"/>
          <w:szCs w:val="21"/>
          <w:highlight w:val="none"/>
        </w:rPr>
      </w:pPr>
    </w:p>
    <w:p w14:paraId="499622B8">
      <w:pPr>
        <w:spacing w:line="480" w:lineRule="exact"/>
        <w:rPr>
          <w:rFonts w:hint="eastAsia" w:asciiTheme="minorEastAsia" w:hAnsiTheme="minorEastAsia" w:eastAsiaTheme="minorEastAsia" w:cstheme="minorEastAsia"/>
          <w:bCs/>
          <w:color w:val="auto"/>
          <w:szCs w:val="21"/>
          <w:highlight w:val="none"/>
          <w:u w:val="single"/>
        </w:rPr>
      </w:pPr>
    </w:p>
    <w:p w14:paraId="38C75635">
      <w:pPr>
        <w:spacing w:line="480" w:lineRule="exact"/>
        <w:rPr>
          <w:rFonts w:hint="eastAsia" w:asciiTheme="minorEastAsia" w:hAnsiTheme="minorEastAsia" w:eastAsiaTheme="minorEastAsia" w:cstheme="minorEastAsia"/>
          <w:bCs/>
          <w:color w:val="auto"/>
          <w:szCs w:val="21"/>
          <w:highlight w:val="none"/>
          <w:u w:val="single"/>
        </w:rPr>
      </w:pPr>
    </w:p>
    <w:p w14:paraId="369CD808">
      <w:pPr>
        <w:spacing w:line="480" w:lineRule="exact"/>
        <w:rPr>
          <w:rFonts w:hint="eastAsia" w:asciiTheme="minorEastAsia" w:hAnsiTheme="minorEastAsia" w:eastAsiaTheme="minorEastAsia" w:cstheme="minorEastAsia"/>
          <w:bCs/>
          <w:color w:val="auto"/>
          <w:szCs w:val="21"/>
          <w:highlight w:val="none"/>
          <w:u w:val="single"/>
        </w:rPr>
      </w:pPr>
    </w:p>
    <w:p w14:paraId="6B0DFD00">
      <w:pPr>
        <w:spacing w:line="480" w:lineRule="exact"/>
        <w:rPr>
          <w:rFonts w:hint="eastAsia" w:asciiTheme="minorEastAsia" w:hAnsiTheme="minorEastAsia" w:eastAsiaTheme="minorEastAsia" w:cstheme="minorEastAsia"/>
          <w:bCs/>
          <w:color w:val="auto"/>
          <w:szCs w:val="21"/>
          <w:highlight w:val="none"/>
          <w:u w:val="single"/>
        </w:rPr>
      </w:pPr>
    </w:p>
    <w:p w14:paraId="603DDCA9">
      <w:pPr>
        <w:spacing w:line="480" w:lineRule="exact"/>
        <w:rPr>
          <w:rFonts w:hint="eastAsia" w:asciiTheme="minorEastAsia" w:hAnsiTheme="minorEastAsia" w:eastAsiaTheme="minorEastAsia" w:cstheme="minorEastAsia"/>
          <w:bCs/>
          <w:color w:val="auto"/>
          <w:szCs w:val="21"/>
          <w:highlight w:val="none"/>
          <w:u w:val="single"/>
        </w:rPr>
      </w:pPr>
    </w:p>
    <w:p w14:paraId="6A72A1D7">
      <w:pPr>
        <w:spacing w:line="480" w:lineRule="exact"/>
        <w:rPr>
          <w:rFonts w:hint="eastAsia" w:asciiTheme="minorEastAsia" w:hAnsiTheme="minorEastAsia" w:eastAsiaTheme="minorEastAsia" w:cstheme="minorEastAsia"/>
          <w:bCs/>
          <w:color w:val="auto"/>
          <w:szCs w:val="21"/>
          <w:highlight w:val="none"/>
          <w:u w:val="single"/>
        </w:rPr>
      </w:pPr>
    </w:p>
    <w:p w14:paraId="23DFD681">
      <w:pPr>
        <w:spacing w:line="480" w:lineRule="exact"/>
        <w:rPr>
          <w:rFonts w:hint="eastAsia" w:asciiTheme="minorEastAsia" w:hAnsiTheme="minorEastAsia" w:eastAsiaTheme="minorEastAsia" w:cstheme="minorEastAsia"/>
          <w:bCs/>
          <w:color w:val="auto"/>
          <w:szCs w:val="21"/>
          <w:highlight w:val="none"/>
          <w:u w:val="single"/>
        </w:rPr>
      </w:pPr>
    </w:p>
    <w:p w14:paraId="6C9EE802">
      <w:pPr>
        <w:spacing w:line="480" w:lineRule="exact"/>
        <w:rPr>
          <w:rFonts w:hint="eastAsia" w:asciiTheme="minorEastAsia" w:hAnsiTheme="minorEastAsia" w:eastAsiaTheme="minorEastAsia" w:cstheme="minorEastAsia"/>
          <w:bCs/>
          <w:color w:val="auto"/>
          <w:szCs w:val="21"/>
          <w:highlight w:val="none"/>
          <w:u w:val="single"/>
        </w:rPr>
      </w:pPr>
    </w:p>
    <w:p w14:paraId="3DA761E7">
      <w:pPr>
        <w:spacing w:line="480" w:lineRule="exact"/>
        <w:rPr>
          <w:rFonts w:hint="eastAsia" w:asciiTheme="minorEastAsia" w:hAnsiTheme="minorEastAsia" w:eastAsiaTheme="minorEastAsia" w:cstheme="minorEastAsia"/>
          <w:bCs/>
          <w:color w:val="auto"/>
          <w:szCs w:val="21"/>
          <w:highlight w:val="none"/>
          <w:u w:val="single"/>
        </w:rPr>
      </w:pPr>
    </w:p>
    <w:p w14:paraId="4908941F">
      <w:pPr>
        <w:spacing w:line="48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说明：请招标人根据《建设工程施工合同（示范文本）》（GF-2017-0201）的“附件”格式填写相关内容</w:t>
      </w:r>
    </w:p>
    <w:p w14:paraId="7CE42444">
      <w:pPr>
        <w:spacing w:line="480" w:lineRule="exact"/>
        <w:rPr>
          <w:rFonts w:hint="eastAsia" w:asciiTheme="minorEastAsia" w:hAnsiTheme="minorEastAsia" w:eastAsiaTheme="minorEastAsia" w:cstheme="minorEastAsia"/>
          <w:color w:val="auto"/>
          <w:szCs w:val="21"/>
          <w:highlight w:val="none"/>
        </w:rPr>
        <w:sectPr>
          <w:footerReference r:id="rId29" w:type="first"/>
          <w:footerReference r:id="rId28" w:type="default"/>
          <w:pgSz w:w="11906" w:h="16838"/>
          <w:pgMar w:top="1417" w:right="1440" w:bottom="1417" w:left="1440" w:header="850" w:footer="850" w:gutter="0"/>
          <w:pgNumType w:fmt="decimal"/>
          <w:cols w:space="720" w:num="1"/>
          <w:titlePg/>
          <w:docGrid w:type="lines" w:linePitch="315" w:charSpace="0"/>
        </w:sectPr>
      </w:pPr>
    </w:p>
    <w:bookmarkEnd w:id="189"/>
    <w:p w14:paraId="02BAA46F">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附件4-1-1：经评审最低投标价法中标履约担保格式</w:t>
      </w:r>
    </w:p>
    <w:p w14:paraId="35AE5B03">
      <w:pPr>
        <w:jc w:val="center"/>
        <w:rPr>
          <w:rFonts w:eastAsia="黑体"/>
          <w:color w:val="auto"/>
          <w:sz w:val="30"/>
          <w:szCs w:val="30"/>
          <w:highlight w:val="none"/>
        </w:rPr>
      </w:pPr>
    </w:p>
    <w:p w14:paraId="440D9AAD">
      <w:pPr>
        <w:jc w:val="center"/>
        <w:rPr>
          <w:rFonts w:eastAsia="黑体"/>
          <w:color w:val="auto"/>
          <w:sz w:val="30"/>
          <w:szCs w:val="30"/>
          <w:highlight w:val="none"/>
        </w:rPr>
      </w:pPr>
      <w:r>
        <w:rPr>
          <w:rFonts w:eastAsia="黑体"/>
          <w:color w:val="auto"/>
          <w:sz w:val="30"/>
          <w:szCs w:val="30"/>
          <w:highlight w:val="none"/>
        </w:rPr>
        <w:t>履约保函（格式）</w:t>
      </w:r>
    </w:p>
    <w:p w14:paraId="72D070A1">
      <w:pPr>
        <w:spacing w:line="360" w:lineRule="auto"/>
        <w:rPr>
          <w:color w:val="auto"/>
          <w:szCs w:val="32"/>
          <w:highlight w:val="none"/>
        </w:rPr>
      </w:pPr>
      <w:r>
        <w:rPr>
          <w:color w:val="auto"/>
          <w:szCs w:val="32"/>
          <w:highlight w:val="none"/>
          <w:u w:val="single"/>
        </w:rPr>
        <w:t xml:space="preserve">              </w:t>
      </w:r>
      <w:r>
        <w:rPr>
          <w:color w:val="auto"/>
          <w:szCs w:val="32"/>
          <w:highlight w:val="none"/>
        </w:rPr>
        <w:t>（受益人名称）：</w:t>
      </w:r>
    </w:p>
    <w:p w14:paraId="234D0A42">
      <w:pPr>
        <w:spacing w:line="360" w:lineRule="auto"/>
        <w:ind w:firstLine="420" w:firstLineChars="200"/>
        <w:rPr>
          <w:color w:val="auto"/>
          <w:szCs w:val="32"/>
          <w:highlight w:val="none"/>
        </w:rPr>
      </w:pPr>
      <w:r>
        <w:rPr>
          <w:color w:val="auto"/>
          <w:szCs w:val="32"/>
          <w:highlight w:val="none"/>
        </w:rPr>
        <w:t>鉴于你方作为招标人已经于</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日向</w:t>
      </w:r>
      <w:r>
        <w:rPr>
          <w:color w:val="auto"/>
          <w:szCs w:val="32"/>
          <w:highlight w:val="none"/>
          <w:u w:val="single"/>
        </w:rPr>
        <w:t xml:space="preserve">                              </w:t>
      </w:r>
      <w:r>
        <w:rPr>
          <w:color w:val="auto"/>
          <w:szCs w:val="32"/>
          <w:highlight w:val="none"/>
        </w:rPr>
        <w:t>公司（以下称“中标人”）发出</w:t>
      </w:r>
      <w:r>
        <w:rPr>
          <w:color w:val="auto"/>
          <w:szCs w:val="32"/>
          <w:highlight w:val="none"/>
          <w:u w:val="single"/>
        </w:rPr>
        <w:t xml:space="preserve">  （</w:t>
      </w:r>
      <w:r>
        <w:rPr>
          <w:rFonts w:hint="eastAsia"/>
          <w:color w:val="auto"/>
          <w:szCs w:val="32"/>
          <w:highlight w:val="none"/>
          <w:u w:val="single"/>
        </w:rPr>
        <w:t>招标项目及标段</w:t>
      </w:r>
      <w:r>
        <w:rPr>
          <w:color w:val="auto"/>
          <w:szCs w:val="32"/>
          <w:highlight w:val="none"/>
          <w:u w:val="single"/>
        </w:rPr>
        <w:t>）</w:t>
      </w:r>
      <w:r>
        <w:rPr>
          <w:rFonts w:hint="eastAsia"/>
          <w:color w:val="auto"/>
          <w:szCs w:val="32"/>
          <w:highlight w:val="none"/>
          <w:u w:val="single"/>
        </w:rPr>
        <w:t xml:space="preserve">  </w:t>
      </w:r>
      <w:r>
        <w:rPr>
          <w:color w:val="auto"/>
          <w:szCs w:val="32"/>
          <w:highlight w:val="none"/>
        </w:rPr>
        <w:t>发出中标通知书，我方愿意无条件、不可撤销地就中标人履行与你方签订的工程建设合同义务，向你方出具见索即付保函：</w:t>
      </w:r>
    </w:p>
    <w:p w14:paraId="13338034">
      <w:pPr>
        <w:spacing w:line="360" w:lineRule="auto"/>
        <w:ind w:firstLine="420"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 xml:space="preserve"> 元（¥</w:t>
      </w:r>
      <w:r>
        <w:rPr>
          <w:color w:val="auto"/>
          <w:szCs w:val="32"/>
          <w:highlight w:val="none"/>
          <w:u w:val="single"/>
        </w:rPr>
        <w:t xml:space="preserve">             </w:t>
      </w:r>
      <w:r>
        <w:rPr>
          <w:color w:val="auto"/>
          <w:szCs w:val="32"/>
          <w:highlight w:val="none"/>
        </w:rPr>
        <w:t>）。</w:t>
      </w:r>
    </w:p>
    <w:p w14:paraId="29F1FB57">
      <w:pPr>
        <w:spacing w:line="360" w:lineRule="auto"/>
        <w:ind w:firstLine="420" w:firstLineChars="200"/>
        <w:rPr>
          <w:color w:val="auto"/>
          <w:szCs w:val="32"/>
          <w:highlight w:val="none"/>
        </w:rPr>
      </w:pPr>
      <w:r>
        <w:rPr>
          <w:color w:val="auto"/>
          <w:szCs w:val="32"/>
          <w:highlight w:val="none"/>
        </w:rPr>
        <w:t>2．本保函有效期自保函签发之日起至合同约定的主要义务履行完毕止，或者至我方收到你方与中标人共同签署的解除工程建设合同的书面通知书，或者建设工程中止施工超过3个月的书面通知书止。但本保函有效期最迟不超过</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14:paraId="7E62CF45">
      <w:pPr>
        <w:spacing w:line="360" w:lineRule="auto"/>
        <w:ind w:firstLine="420" w:firstLineChars="200"/>
        <w:rPr>
          <w:color w:val="auto"/>
          <w:szCs w:val="32"/>
          <w:highlight w:val="none"/>
        </w:rPr>
      </w:pPr>
      <w:r>
        <w:rPr>
          <w:color w:val="auto"/>
          <w:szCs w:val="32"/>
          <w:highlight w:val="none"/>
        </w:rPr>
        <w:t>3．在本保函有效期内，因中标人未能按照合同约定履行义务时，我方在收到你方提出的书面索赔通知以及本保函原件后，在10个工作日内无条件地向你方支付累计总额不超过本保函第1款约定的经济赔偿金。</w:t>
      </w:r>
    </w:p>
    <w:p w14:paraId="220E4B88">
      <w:pPr>
        <w:spacing w:line="360" w:lineRule="auto"/>
        <w:ind w:firstLine="420" w:firstLineChars="200"/>
        <w:outlineLvl w:val="2"/>
        <w:rPr>
          <w:color w:val="auto"/>
          <w:szCs w:val="32"/>
          <w:highlight w:val="none"/>
        </w:rPr>
      </w:pPr>
      <w:bookmarkStart w:id="763" w:name="_Toc23458"/>
      <w:r>
        <w:rPr>
          <w:color w:val="auto"/>
          <w:szCs w:val="32"/>
          <w:highlight w:val="none"/>
        </w:rPr>
        <w:t>4．你方的索赔通知应当符合下列要求：</w:t>
      </w:r>
      <w:bookmarkEnd w:id="763"/>
    </w:p>
    <w:p w14:paraId="6068EFC9">
      <w:pPr>
        <w:spacing w:line="360" w:lineRule="auto"/>
        <w:ind w:firstLine="420" w:firstLineChars="200"/>
        <w:rPr>
          <w:color w:val="auto"/>
          <w:szCs w:val="32"/>
          <w:highlight w:val="none"/>
        </w:rPr>
      </w:pPr>
      <w:r>
        <w:rPr>
          <w:color w:val="auto"/>
          <w:szCs w:val="32"/>
          <w:highlight w:val="none"/>
        </w:rPr>
        <w:t>（1）索赔通知应当列明索赔金额，由你方加盖单位公章和法定代表人印章；</w:t>
      </w:r>
    </w:p>
    <w:p w14:paraId="70670CFA">
      <w:pPr>
        <w:spacing w:line="360" w:lineRule="auto"/>
        <w:ind w:firstLine="420"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14:paraId="0E9BA0E5">
      <w:pPr>
        <w:spacing w:line="360" w:lineRule="auto"/>
        <w:rPr>
          <w:color w:val="auto"/>
          <w:szCs w:val="32"/>
          <w:highlight w:val="none"/>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14:paraId="07B0424F">
      <w:pPr>
        <w:spacing w:line="360" w:lineRule="auto"/>
        <w:ind w:firstLine="420" w:firstLineChars="200"/>
        <w:rPr>
          <w:color w:val="auto"/>
          <w:szCs w:val="32"/>
          <w:highlight w:val="none"/>
        </w:rPr>
      </w:pPr>
      <w:r>
        <w:rPr>
          <w:color w:val="auto"/>
          <w:szCs w:val="32"/>
          <w:highlight w:val="none"/>
        </w:rPr>
        <w:t>5．你方和中标人变更合同时，我方承担本保函规定的义务不变。</w:t>
      </w:r>
    </w:p>
    <w:p w14:paraId="6E1DFC15">
      <w:pPr>
        <w:spacing w:line="360" w:lineRule="auto"/>
        <w:ind w:firstLine="420" w:firstLineChars="200"/>
        <w:rPr>
          <w:color w:val="auto"/>
          <w:szCs w:val="32"/>
          <w:highlight w:val="none"/>
        </w:rPr>
      </w:pPr>
      <w:r>
        <w:rPr>
          <w:color w:val="auto"/>
          <w:szCs w:val="32"/>
          <w:highlight w:val="none"/>
        </w:rPr>
        <w:t>6．本保函项下的权利不得转让或设定担保。</w:t>
      </w:r>
    </w:p>
    <w:p w14:paraId="20E034D2">
      <w:pPr>
        <w:spacing w:line="360" w:lineRule="auto"/>
        <w:ind w:firstLine="420" w:firstLineChars="200"/>
        <w:rPr>
          <w:color w:val="auto"/>
          <w:szCs w:val="32"/>
          <w:highlight w:val="none"/>
        </w:rPr>
      </w:pPr>
      <w:r>
        <w:rPr>
          <w:color w:val="auto"/>
          <w:szCs w:val="32"/>
          <w:highlight w:val="none"/>
        </w:rPr>
        <w:t>7．本保函有效期届满，或者我方收到你方与中标人共同签署的解除工程建设合同的书面通知书，或者建设工程项目中止施工超过3个月的书面通知书后，无论是否将保函原件退回我方，本保函自行失效。我方在本保函项下的保证责任解除，此后提出的要求我方履行担保责任的主张无效。</w:t>
      </w:r>
    </w:p>
    <w:p w14:paraId="55773822">
      <w:pPr>
        <w:spacing w:line="360" w:lineRule="auto"/>
        <w:ind w:firstLine="420" w:firstLineChars="200"/>
        <w:rPr>
          <w:color w:val="auto"/>
          <w:szCs w:val="32"/>
          <w:highlight w:val="none"/>
        </w:rPr>
      </w:pPr>
      <w:r>
        <w:rPr>
          <w:color w:val="auto"/>
          <w:szCs w:val="32"/>
          <w:highlight w:val="none"/>
        </w:rPr>
        <w:t>8．本保函项下所有权利和义务均受中华人民共和国法律管辖和制约。</w:t>
      </w:r>
    </w:p>
    <w:p w14:paraId="0CAD982D">
      <w:pPr>
        <w:spacing w:line="360" w:lineRule="auto"/>
        <w:ind w:firstLine="420" w:firstLineChars="200"/>
        <w:rPr>
          <w:color w:val="auto"/>
          <w:szCs w:val="32"/>
          <w:highlight w:val="none"/>
        </w:rPr>
      </w:pPr>
    </w:p>
    <w:p w14:paraId="057AED64">
      <w:pPr>
        <w:spacing w:line="360" w:lineRule="auto"/>
        <w:ind w:firstLine="420" w:firstLineChars="200"/>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（盖章）</w:t>
      </w:r>
    </w:p>
    <w:p w14:paraId="2B9CA83D">
      <w:pPr>
        <w:spacing w:line="360" w:lineRule="auto"/>
        <w:ind w:firstLine="420" w:firstLineChars="200"/>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14:paraId="4F29C78D">
      <w:pPr>
        <w:spacing w:line="360" w:lineRule="auto"/>
        <w:ind w:firstLine="420" w:firstLineChars="200"/>
        <w:rPr>
          <w:color w:val="auto"/>
          <w:szCs w:val="32"/>
          <w:highlight w:val="none"/>
        </w:rPr>
      </w:pPr>
      <w:r>
        <w:rPr>
          <w:color w:val="auto"/>
          <w:szCs w:val="32"/>
          <w:highlight w:val="none"/>
        </w:rPr>
        <w:t>地址：</w:t>
      </w:r>
      <w:r>
        <w:rPr>
          <w:color w:val="auto"/>
          <w:szCs w:val="32"/>
          <w:highlight w:val="none"/>
          <w:u w:val="single"/>
        </w:rPr>
        <w:t xml:space="preserve">                                           </w:t>
      </w:r>
    </w:p>
    <w:p w14:paraId="0CDB299C">
      <w:pPr>
        <w:spacing w:line="360" w:lineRule="auto"/>
        <w:ind w:firstLine="420" w:firstLineChars="200"/>
        <w:rPr>
          <w:color w:val="auto"/>
          <w:szCs w:val="32"/>
          <w:highlight w:val="none"/>
          <w:u w:val="single"/>
        </w:rPr>
      </w:pPr>
      <w:r>
        <w:rPr>
          <w:color w:val="auto"/>
          <w:szCs w:val="32"/>
          <w:highlight w:val="none"/>
        </w:rPr>
        <w:t>邮政编码：</w:t>
      </w:r>
      <w:r>
        <w:rPr>
          <w:color w:val="auto"/>
          <w:szCs w:val="32"/>
          <w:highlight w:val="none"/>
          <w:u w:val="single"/>
        </w:rPr>
        <w:t xml:space="preserve">                                       </w:t>
      </w:r>
    </w:p>
    <w:p w14:paraId="29099918">
      <w:pPr>
        <w:spacing w:line="360" w:lineRule="auto"/>
        <w:ind w:firstLine="420" w:firstLineChars="200"/>
        <w:rPr>
          <w:color w:val="auto"/>
          <w:szCs w:val="32"/>
          <w:highlight w:val="none"/>
        </w:rPr>
      </w:pPr>
      <w:r>
        <w:rPr>
          <w:color w:val="auto"/>
          <w:szCs w:val="32"/>
          <w:highlight w:val="none"/>
        </w:rPr>
        <w:t>电话：</w:t>
      </w:r>
      <w:r>
        <w:rPr>
          <w:color w:val="auto"/>
          <w:szCs w:val="32"/>
          <w:highlight w:val="none"/>
          <w:u w:val="single"/>
        </w:rPr>
        <w:t xml:space="preserve">                                           </w:t>
      </w:r>
    </w:p>
    <w:p w14:paraId="508953B2">
      <w:pPr>
        <w:spacing w:line="360" w:lineRule="auto"/>
        <w:ind w:firstLine="420" w:firstLineChars="200"/>
        <w:rPr>
          <w:color w:val="auto"/>
          <w:szCs w:val="32"/>
          <w:highlight w:val="none"/>
          <w:u w:val="single"/>
        </w:rPr>
      </w:pPr>
      <w:r>
        <w:rPr>
          <w:color w:val="auto"/>
          <w:szCs w:val="32"/>
          <w:highlight w:val="none"/>
        </w:rPr>
        <w:t>传真：</w:t>
      </w:r>
      <w:r>
        <w:rPr>
          <w:color w:val="auto"/>
          <w:szCs w:val="32"/>
          <w:highlight w:val="none"/>
          <w:u w:val="single"/>
        </w:rPr>
        <w:t xml:space="preserve">                                           </w:t>
      </w:r>
    </w:p>
    <w:p w14:paraId="52B1EDE6">
      <w:pPr>
        <w:spacing w:line="360" w:lineRule="auto"/>
        <w:ind w:firstLine="420" w:firstLineChars="200"/>
        <w:rPr>
          <w:color w:val="auto"/>
          <w:szCs w:val="32"/>
          <w:highlight w:val="none"/>
        </w:rPr>
      </w:pPr>
    </w:p>
    <w:p w14:paraId="77DA2C00">
      <w:pPr>
        <w:spacing w:line="360" w:lineRule="auto"/>
        <w:ind w:firstLine="420" w:firstLineChars="2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14:paraId="5D187BD0">
      <w:pPr>
        <w:rPr>
          <w:color w:val="auto"/>
          <w:szCs w:val="32"/>
          <w:highlight w:val="none"/>
        </w:rPr>
      </w:pPr>
      <w:r>
        <w:rPr>
          <w:rFonts w:hint="eastAsia"/>
          <w:color w:val="auto"/>
          <w:szCs w:val="21"/>
          <w:highlight w:val="none"/>
        </w:rPr>
        <w:t>附件4-1-2：</w:t>
      </w:r>
      <w:r>
        <w:rPr>
          <w:color w:val="auto"/>
          <w:szCs w:val="21"/>
          <w:highlight w:val="none"/>
        </w:rPr>
        <w:t>经评审最低投标价法中标履约担保格式</w:t>
      </w:r>
    </w:p>
    <w:p w14:paraId="49D016CC">
      <w:pPr>
        <w:jc w:val="center"/>
        <w:rPr>
          <w:rFonts w:eastAsia="黑体"/>
          <w:color w:val="auto"/>
          <w:sz w:val="30"/>
          <w:szCs w:val="30"/>
          <w:highlight w:val="none"/>
        </w:rPr>
      </w:pPr>
    </w:p>
    <w:p w14:paraId="573B8C31">
      <w:pPr>
        <w:jc w:val="center"/>
        <w:rPr>
          <w:rFonts w:eastAsia="黑体"/>
          <w:color w:val="auto"/>
          <w:sz w:val="30"/>
          <w:szCs w:val="30"/>
          <w:highlight w:val="none"/>
        </w:rPr>
      </w:pPr>
      <w:r>
        <w:rPr>
          <w:rFonts w:hint="eastAsia" w:eastAsia="黑体"/>
          <w:color w:val="auto"/>
          <w:sz w:val="30"/>
          <w:szCs w:val="30"/>
          <w:highlight w:val="none"/>
        </w:rPr>
        <w:t>建设工程施工履约保证保险</w:t>
      </w:r>
    </w:p>
    <w:p w14:paraId="58306890">
      <w:pPr>
        <w:jc w:val="center"/>
        <w:rPr>
          <w:rFonts w:eastAsia="黑体"/>
          <w:color w:val="auto"/>
          <w:sz w:val="30"/>
          <w:szCs w:val="30"/>
          <w:highlight w:val="none"/>
        </w:rPr>
      </w:pPr>
    </w:p>
    <w:p w14:paraId="6F5E2B69">
      <w:pPr>
        <w:pStyle w:val="16"/>
        <w:snapToGrid w:val="0"/>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（招标人名称）</w:t>
      </w:r>
      <w:r>
        <w:rPr>
          <w:rFonts w:hint="eastAsia" w:hAnsi="宋体" w:cs="宋体"/>
          <w:color w:val="auto"/>
          <w:sz w:val="21"/>
          <w:szCs w:val="21"/>
          <w:highlight w:val="none"/>
        </w:rPr>
        <w:t xml:space="preserve">： </w:t>
      </w:r>
    </w:p>
    <w:p w14:paraId="24418B75">
      <w:pPr>
        <w:pStyle w:val="16"/>
        <w:snapToGrid w:val="0"/>
        <w:spacing w:after="0" w:line="38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w:t>
      </w:r>
      <w:r>
        <w:rPr>
          <w:rFonts w:hint="eastAsia" w:hAnsi="宋体" w:cs="宋体"/>
          <w:color w:val="auto"/>
          <w:sz w:val="21"/>
          <w:szCs w:val="21"/>
          <w:highlight w:val="none"/>
        </w:rPr>
        <w:t>（以下简称“中标人”）于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w:t>
      </w:r>
      <w:r>
        <w:rPr>
          <w:rFonts w:hint="eastAsia" w:hAnsi="宋体" w:cs="宋体"/>
          <w:bCs/>
          <w:color w:val="auto"/>
          <w:sz w:val="21"/>
          <w:szCs w:val="21"/>
          <w:highlight w:val="none"/>
          <w:u w:val="single"/>
        </w:rPr>
        <w:t>（招标项目及标段）</w:t>
      </w:r>
      <w:r>
        <w:rPr>
          <w:rFonts w:hint="eastAsia" w:hAnsi="宋体" w:cs="宋体"/>
          <w:color w:val="auto"/>
          <w:sz w:val="21"/>
          <w:szCs w:val="21"/>
          <w:highlight w:val="none"/>
        </w:rPr>
        <w:t>施工的招标投标，并收到你方发出的中标通知书。现中标人向我方投保建设工程施工合同履约保证保险（保险单号：              ）。我方愿就中标人履行《建设工程施工合同》约定的义务向贵方提供如下保证保险：</w:t>
      </w:r>
    </w:p>
    <w:p w14:paraId="56C32D1F">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14:paraId="21E2E455">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我方承担的履约保证保险的保险金额（最高限额）为人民币</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color w:val="auto"/>
          <w:szCs w:val="32"/>
          <w:highlight w:val="none"/>
        </w:rPr>
        <w:t>（¥</w:t>
      </w:r>
      <w:r>
        <w:rPr>
          <w:color w:val="auto"/>
          <w:szCs w:val="32"/>
          <w:highlight w:val="none"/>
          <w:u w:val="single"/>
        </w:rPr>
        <w:t xml:space="preserve">             </w:t>
      </w:r>
      <w:r>
        <w:rPr>
          <w:color w:val="auto"/>
          <w:szCs w:val="32"/>
          <w:highlight w:val="none"/>
        </w:rPr>
        <w:t xml:space="preserve"> ）</w:t>
      </w:r>
      <w:r>
        <w:rPr>
          <w:rFonts w:hint="eastAsia" w:ascii="宋体" w:hAnsi="宋体" w:cs="宋体"/>
          <w:color w:val="auto"/>
          <w:szCs w:val="21"/>
          <w:highlight w:val="none"/>
        </w:rPr>
        <w:t>。</w:t>
      </w:r>
    </w:p>
    <w:p w14:paraId="0EBA2EDE">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14:paraId="6B84FBB1">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在保险期间内，中标人（投保人）因自身原因未按照与招标人（被保险人）签订的《建设工程施工合同》（合同编号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）履行相关义务，导致工程竣工延误或工程质量不符合建设工程施工合同要求，给被保险人造成直接经济损失的，被保险人可向保险人提出索赔，保险人按照保险合同的约定承担损失赔偿责任。</w:t>
      </w:r>
    </w:p>
    <w:p w14:paraId="0AFF6DAF">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14:paraId="09E7FF83">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贵方要求我方承担保证保险责任的，应向我方发出书面索赔通知。索赔通知应写明要求索赔的金额，支付款项应到达的帐号，并附有说明中标人违约造成贵方损失情况的证明材料。</w:t>
      </w:r>
    </w:p>
    <w:p w14:paraId="47E500BE">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个工作日内进行核定后，按照保险合同的约定承诺承担保证保险责任。</w:t>
      </w:r>
    </w:p>
    <w:p w14:paraId="47631643">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四、保单凭证有效期</w:t>
      </w:r>
    </w:p>
    <w:p w14:paraId="2C504672">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本保单凭证的有效期自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日零时起至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日二十四时止。</w:t>
      </w:r>
    </w:p>
    <w:p w14:paraId="7DD3B70C">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（即：保险合同签发之日起至合同到期之日止，具体以保险合同载明为准。）</w:t>
      </w:r>
    </w:p>
    <w:p w14:paraId="0B377936">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五、争议解决方式</w:t>
      </w:r>
    </w:p>
    <w:p w14:paraId="0B11F8CF">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本保单凭证（函）发生争议协商解决不成，按以下方式解决：提交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诉讼</w:t>
      </w:r>
    </w:p>
    <w:p w14:paraId="33C4D21B">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九、本保险保单凭证/保函未载明事宜以保险合同约定为准。</w:t>
      </w:r>
    </w:p>
    <w:p w14:paraId="09311F2F">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十、本保险保单凭证/保函自保险人或授权代理人签字并加盖公章之日起生效。</w:t>
      </w:r>
    </w:p>
    <w:p w14:paraId="2CEB1680">
      <w:pPr>
        <w:snapToGrid w:val="0"/>
        <w:spacing w:line="380" w:lineRule="exact"/>
        <w:ind w:firstLine="420" w:firstLineChars="200"/>
        <w:jc w:val="left"/>
        <w:rPr>
          <w:rFonts w:hint="eastAsia" w:ascii="宋体" w:hAnsi="宋体" w:cs="宋体"/>
          <w:color w:val="auto"/>
          <w:szCs w:val="21"/>
          <w:highlight w:val="none"/>
        </w:rPr>
      </w:pPr>
    </w:p>
    <w:p w14:paraId="29AB760C">
      <w:pPr>
        <w:snapToGrid w:val="0"/>
        <w:spacing w:line="380" w:lineRule="exact"/>
        <w:ind w:firstLine="420" w:firstLineChars="200"/>
        <w:jc w:val="left"/>
        <w:rPr>
          <w:rFonts w:hint="eastAsia" w:ascii="宋体" w:hAnsi="宋体" w:cs="宋体"/>
          <w:color w:val="auto"/>
          <w:szCs w:val="21"/>
          <w:highlight w:val="none"/>
        </w:rPr>
      </w:pPr>
    </w:p>
    <w:p w14:paraId="7635FEF6">
      <w:pPr>
        <w:pStyle w:val="17"/>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14:paraId="5EF5D293">
      <w:pPr>
        <w:pStyle w:val="17"/>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14:paraId="0F79BE78">
      <w:pPr>
        <w:pStyle w:val="17"/>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14:paraId="67ECC8AB">
      <w:pPr>
        <w:rPr>
          <w:rFonts w:eastAsia="黑体"/>
          <w:bCs/>
          <w:color w:val="auto"/>
          <w:highlight w:val="none"/>
        </w:rPr>
      </w:pPr>
    </w:p>
    <w:p w14:paraId="2FA82197">
      <w:pPr>
        <w:rPr>
          <w:rFonts w:eastAsia="黑体"/>
          <w:bCs/>
          <w:color w:val="auto"/>
          <w:highlight w:val="none"/>
        </w:rPr>
      </w:pPr>
    </w:p>
    <w:p w14:paraId="20F6A288">
      <w:pPr>
        <w:rPr>
          <w:rFonts w:eastAsia="黑体"/>
          <w:bCs/>
          <w:color w:val="auto"/>
          <w:highlight w:val="none"/>
        </w:rPr>
      </w:pPr>
    </w:p>
    <w:p w14:paraId="6BF3D802">
      <w:pPr>
        <w:rPr>
          <w:color w:val="auto"/>
          <w:highlight w:val="none"/>
        </w:rPr>
        <w:sectPr>
          <w:headerReference r:id="rId30" w:type="default"/>
          <w:footerReference r:id="rId31" w:type="default"/>
          <w:pgSz w:w="11907" w:h="16840"/>
          <w:pgMar w:top="1440" w:right="1440" w:bottom="1440" w:left="1440" w:header="851" w:footer="850" w:gutter="0"/>
          <w:pgNumType w:fmt="decimal"/>
          <w:cols w:space="720" w:num="1"/>
          <w:docGrid w:linePitch="326" w:charSpace="0"/>
        </w:sectPr>
      </w:pPr>
    </w:p>
    <w:p w14:paraId="40F4CB6D">
      <w:pPr>
        <w:spacing w:before="63" w:line="224" w:lineRule="auto"/>
        <w:ind w:left="3493"/>
        <w:outlineLvl w:val="0"/>
        <w:rPr>
          <w:rFonts w:ascii="宋体" w:hAnsi="宋体" w:eastAsia="宋体" w:cs="宋体"/>
          <w:sz w:val="31"/>
          <w:szCs w:val="31"/>
        </w:rPr>
      </w:pPr>
      <w:bookmarkStart w:id="764" w:name="bookmark133"/>
      <w:bookmarkEnd w:id="764"/>
      <w:bookmarkStart w:id="765" w:name="bookmark136"/>
      <w:bookmarkEnd w:id="765"/>
      <w:bookmarkStart w:id="766" w:name="bookmark134"/>
      <w:bookmarkEnd w:id="766"/>
      <w:bookmarkStart w:id="767" w:name="_Toc25274"/>
      <w:r>
        <w:rPr>
          <w:rFonts w:ascii="宋体" w:hAnsi="宋体" w:eastAsia="宋体" w:cs="宋体"/>
          <w:b/>
          <w:bCs/>
          <w:spacing w:val="5"/>
          <w:sz w:val="31"/>
          <w:szCs w:val="31"/>
        </w:rPr>
        <w:t>第五章</w:t>
      </w:r>
      <w:r>
        <w:rPr>
          <w:rFonts w:ascii="宋体" w:hAnsi="宋体" w:eastAsia="宋体" w:cs="宋体"/>
          <w:spacing w:val="5"/>
          <w:sz w:val="31"/>
          <w:szCs w:val="31"/>
        </w:rPr>
        <w:t xml:space="preserve">  </w:t>
      </w:r>
      <w:r>
        <w:rPr>
          <w:rFonts w:ascii="宋体" w:hAnsi="宋体" w:eastAsia="宋体" w:cs="宋体"/>
          <w:b/>
          <w:bCs/>
          <w:spacing w:val="5"/>
          <w:sz w:val="31"/>
          <w:szCs w:val="31"/>
        </w:rPr>
        <w:t>工程量清单</w:t>
      </w:r>
      <w:bookmarkEnd w:id="767"/>
    </w:p>
    <w:p w14:paraId="6A85377E">
      <w:pPr>
        <w:spacing w:before="51" w:line="222" w:lineRule="auto"/>
        <w:ind w:left="9"/>
        <w:outlineLvl w:val="1"/>
        <w:rPr>
          <w:rFonts w:ascii="黑体" w:hAnsi="黑体" w:eastAsia="黑体" w:cs="黑体"/>
          <w:sz w:val="30"/>
          <w:szCs w:val="30"/>
        </w:rPr>
      </w:pPr>
      <w:bookmarkStart w:id="768" w:name="bookmark135"/>
      <w:bookmarkEnd w:id="768"/>
      <w:bookmarkStart w:id="769" w:name="_Toc16918"/>
      <w:r>
        <w:rPr>
          <w:rFonts w:ascii="黑体" w:hAnsi="黑体" w:eastAsia="黑体" w:cs="黑体"/>
          <w:spacing w:val="-2"/>
          <w:sz w:val="30"/>
          <w:szCs w:val="30"/>
        </w:rPr>
        <w:t>工程量清单（另册）</w:t>
      </w:r>
      <w:bookmarkEnd w:id="769"/>
    </w:p>
    <w:p w14:paraId="5B445853">
      <w:pPr>
        <w:spacing w:before="210" w:line="228" w:lineRule="auto"/>
        <w:ind w:left="481"/>
        <w:rPr>
          <w:rFonts w:ascii="宋体" w:hAnsi="宋体" w:eastAsia="宋体" w:cs="宋体"/>
          <w:sz w:val="20"/>
          <w:szCs w:val="20"/>
        </w:rPr>
      </w:pPr>
      <w:r>
        <w:rPr>
          <w:rFonts w:ascii="宋体" w:hAnsi="宋体" w:eastAsia="宋体" w:cs="宋体"/>
          <w:spacing w:val="8"/>
          <w:sz w:val="20"/>
          <w:szCs w:val="20"/>
        </w:rPr>
        <w:t>请在</w:t>
      </w:r>
      <w:r>
        <w:rPr>
          <w:rFonts w:hint="eastAsia" w:ascii="宋体" w:hAnsi="宋体" w:eastAsia="宋体" w:cs="宋体"/>
          <w:color w:val="0000FF"/>
          <w:spacing w:val="8"/>
          <w:sz w:val="20"/>
          <w:szCs w:val="20"/>
        </w:rPr>
        <w:t>江华瑶族自治县人民政府网</w:t>
      </w:r>
      <w:r>
        <w:rPr>
          <w:rFonts w:ascii="宋体" w:hAnsi="宋体" w:eastAsia="宋体" w:cs="宋体"/>
          <w:spacing w:val="8"/>
          <w:sz w:val="20"/>
          <w:szCs w:val="20"/>
        </w:rPr>
        <w:t>下载。</w:t>
      </w:r>
    </w:p>
    <w:p w14:paraId="51F46AF8">
      <w:pPr>
        <w:spacing w:line="228" w:lineRule="auto"/>
        <w:rPr>
          <w:rFonts w:ascii="宋体" w:hAnsi="宋体" w:eastAsia="宋体" w:cs="宋体"/>
          <w:sz w:val="20"/>
          <w:szCs w:val="20"/>
        </w:rPr>
        <w:sectPr>
          <w:footerReference r:id="rId32" w:type="default"/>
          <w:pgSz w:w="11907" w:h="16840"/>
          <w:pgMar w:top="1008" w:right="1020" w:bottom="1029" w:left="1024" w:header="0" w:footer="850" w:gutter="0"/>
          <w:pgNumType w:fmt="decimal"/>
          <w:cols w:space="720" w:num="1"/>
        </w:sectPr>
      </w:pPr>
    </w:p>
    <w:p w14:paraId="622E351F">
      <w:pPr>
        <w:spacing w:before="63" w:line="225" w:lineRule="auto"/>
        <w:ind w:left="3376"/>
        <w:outlineLvl w:val="0"/>
        <w:rPr>
          <w:rFonts w:ascii="宋体" w:hAnsi="宋体" w:eastAsia="宋体" w:cs="宋体"/>
          <w:sz w:val="31"/>
          <w:szCs w:val="31"/>
        </w:rPr>
      </w:pPr>
      <w:bookmarkStart w:id="770" w:name="bookmark146"/>
      <w:bookmarkEnd w:id="770"/>
      <w:bookmarkStart w:id="771" w:name="bookmark145"/>
      <w:bookmarkEnd w:id="771"/>
      <w:bookmarkStart w:id="772" w:name="_Toc32714"/>
      <w:r>
        <w:rPr>
          <w:rFonts w:ascii="宋体" w:hAnsi="宋体" w:eastAsia="宋体" w:cs="宋体"/>
          <w:b/>
          <w:bCs/>
          <w:spacing w:val="-8"/>
          <w:sz w:val="31"/>
          <w:szCs w:val="31"/>
        </w:rPr>
        <w:t>第</w:t>
      </w:r>
      <w:r>
        <w:rPr>
          <w:rFonts w:ascii="宋体" w:hAnsi="宋体" w:eastAsia="宋体" w:cs="宋体"/>
          <w:spacing w:val="15"/>
          <w:sz w:val="31"/>
          <w:szCs w:val="31"/>
        </w:rPr>
        <w:t xml:space="preserve">  </w:t>
      </w:r>
      <w:r>
        <w:rPr>
          <w:rFonts w:ascii="宋体" w:hAnsi="宋体" w:eastAsia="宋体" w:cs="宋体"/>
          <w:b/>
          <w:bCs/>
          <w:spacing w:val="-8"/>
          <w:sz w:val="31"/>
          <w:szCs w:val="31"/>
        </w:rPr>
        <w:t>二</w:t>
      </w:r>
      <w:r>
        <w:rPr>
          <w:rFonts w:ascii="宋体" w:hAnsi="宋体" w:eastAsia="宋体" w:cs="宋体"/>
          <w:spacing w:val="13"/>
          <w:sz w:val="31"/>
          <w:szCs w:val="31"/>
        </w:rPr>
        <w:t xml:space="preserve">  </w:t>
      </w:r>
      <w:r>
        <w:rPr>
          <w:rFonts w:ascii="宋体" w:hAnsi="宋体" w:eastAsia="宋体" w:cs="宋体"/>
          <w:b/>
          <w:bCs/>
          <w:spacing w:val="-8"/>
          <w:sz w:val="31"/>
          <w:szCs w:val="31"/>
        </w:rPr>
        <w:t>卷</w:t>
      </w:r>
      <w:bookmarkEnd w:id="772"/>
    </w:p>
    <w:p w14:paraId="4A05627A">
      <w:pPr>
        <w:spacing w:line="225" w:lineRule="auto"/>
        <w:rPr>
          <w:rFonts w:ascii="宋体" w:hAnsi="宋体" w:eastAsia="宋体" w:cs="宋体"/>
          <w:sz w:val="31"/>
          <w:szCs w:val="31"/>
        </w:rPr>
        <w:sectPr>
          <w:footerReference r:id="rId33" w:type="default"/>
          <w:pgSz w:w="11907" w:h="16840"/>
          <w:pgMar w:top="1004" w:right="1786" w:bottom="1029" w:left="1786" w:header="0" w:footer="850" w:gutter="0"/>
          <w:pgNumType w:fmt="decimal"/>
          <w:cols w:space="720" w:num="1"/>
        </w:sectPr>
      </w:pPr>
    </w:p>
    <w:p w14:paraId="33FC7E77">
      <w:pPr>
        <w:spacing w:before="63" w:line="224" w:lineRule="auto"/>
        <w:ind w:left="3293"/>
        <w:outlineLvl w:val="0"/>
        <w:rPr>
          <w:rFonts w:ascii="宋体" w:hAnsi="宋体" w:eastAsia="宋体" w:cs="宋体"/>
          <w:sz w:val="31"/>
          <w:szCs w:val="31"/>
        </w:rPr>
      </w:pPr>
      <w:bookmarkStart w:id="773" w:name="bookmark148"/>
      <w:bookmarkEnd w:id="773"/>
      <w:bookmarkStart w:id="774" w:name="bookmark150"/>
      <w:bookmarkEnd w:id="774"/>
      <w:bookmarkStart w:id="775" w:name="bookmark147"/>
      <w:bookmarkEnd w:id="775"/>
      <w:bookmarkStart w:id="776" w:name="_Toc17990"/>
      <w:r>
        <w:rPr>
          <w:rFonts w:ascii="宋体" w:hAnsi="宋体" w:eastAsia="宋体" w:cs="宋体"/>
          <w:b/>
          <w:bCs/>
          <w:spacing w:val="1"/>
          <w:sz w:val="31"/>
          <w:szCs w:val="31"/>
        </w:rPr>
        <w:t>第六章</w:t>
      </w:r>
      <w:r>
        <w:rPr>
          <w:rFonts w:ascii="宋体" w:hAnsi="宋体" w:eastAsia="宋体" w:cs="宋体"/>
          <w:spacing w:val="27"/>
          <w:sz w:val="31"/>
          <w:szCs w:val="31"/>
        </w:rPr>
        <w:t xml:space="preserve">  </w:t>
      </w:r>
      <w:r>
        <w:rPr>
          <w:rFonts w:ascii="宋体" w:hAnsi="宋体" w:eastAsia="宋体" w:cs="宋体"/>
          <w:b/>
          <w:bCs/>
          <w:spacing w:val="1"/>
          <w:sz w:val="31"/>
          <w:szCs w:val="31"/>
        </w:rPr>
        <w:t>图</w:t>
      </w:r>
      <w:r>
        <w:rPr>
          <w:rFonts w:ascii="宋体" w:hAnsi="宋体" w:eastAsia="宋体" w:cs="宋体"/>
          <w:spacing w:val="1"/>
          <w:sz w:val="31"/>
          <w:szCs w:val="31"/>
        </w:rPr>
        <w:t xml:space="preserve">  </w:t>
      </w:r>
      <w:r>
        <w:rPr>
          <w:rFonts w:ascii="宋体" w:hAnsi="宋体" w:eastAsia="宋体" w:cs="宋体"/>
          <w:b/>
          <w:bCs/>
          <w:spacing w:val="1"/>
          <w:sz w:val="31"/>
          <w:szCs w:val="31"/>
        </w:rPr>
        <w:t>纸（另册）</w:t>
      </w:r>
      <w:bookmarkEnd w:id="776"/>
    </w:p>
    <w:p w14:paraId="301E2679">
      <w:pPr>
        <w:spacing w:before="145" w:line="228" w:lineRule="auto"/>
        <w:ind w:left="3320"/>
        <w:rPr>
          <w:rFonts w:ascii="宋体" w:hAnsi="宋体" w:eastAsia="宋体" w:cs="宋体"/>
          <w:sz w:val="20"/>
          <w:szCs w:val="20"/>
        </w:rPr>
      </w:pPr>
      <w:r>
        <w:rPr>
          <w:rFonts w:ascii="宋体" w:hAnsi="宋体" w:eastAsia="宋体" w:cs="宋体"/>
          <w:spacing w:val="7"/>
          <w:sz w:val="20"/>
          <w:szCs w:val="20"/>
        </w:rPr>
        <w:t>请在</w:t>
      </w:r>
      <w:r>
        <w:rPr>
          <w:rFonts w:ascii="宋体" w:hAnsi="宋体" w:eastAsia="宋体" w:cs="宋体"/>
          <w:spacing w:val="7"/>
          <w:sz w:val="20"/>
          <w:szCs w:val="20"/>
          <w:u w:val="single" w:color="auto"/>
        </w:rPr>
        <w:t xml:space="preserve">   </w:t>
      </w:r>
      <w:r>
        <w:rPr>
          <w:rFonts w:hint="eastAsia" w:ascii="宋体" w:hAnsi="宋体" w:eastAsia="宋体" w:cs="宋体"/>
          <w:spacing w:val="7"/>
          <w:sz w:val="20"/>
          <w:szCs w:val="20"/>
          <w:u w:val="single" w:color="auto"/>
        </w:rPr>
        <w:t>江华瑶族自治县人民政府网</w:t>
      </w:r>
      <w:r>
        <w:rPr>
          <w:rFonts w:ascii="宋体" w:hAnsi="宋体" w:eastAsia="宋体" w:cs="宋体"/>
          <w:spacing w:val="7"/>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7"/>
          <w:sz w:val="20"/>
          <w:szCs w:val="20"/>
        </w:rPr>
        <w:t>下载</w:t>
      </w:r>
    </w:p>
    <w:p w14:paraId="11F17AB1">
      <w:pPr>
        <w:spacing w:before="197" w:line="222" w:lineRule="auto"/>
        <w:ind w:left="145"/>
        <w:outlineLvl w:val="1"/>
        <w:rPr>
          <w:rFonts w:ascii="黑体" w:hAnsi="黑体" w:eastAsia="黑体" w:cs="黑体"/>
          <w:sz w:val="28"/>
          <w:szCs w:val="28"/>
        </w:rPr>
      </w:pPr>
      <w:bookmarkStart w:id="777" w:name="bookmark149"/>
      <w:bookmarkEnd w:id="777"/>
      <w:bookmarkStart w:id="778" w:name="_Toc31546"/>
      <w:r>
        <w:rPr>
          <w:rFonts w:ascii="Times New Roman" w:hAnsi="Times New Roman" w:eastAsia="Times New Roman" w:cs="Times New Roman"/>
          <w:spacing w:val="-10"/>
          <w:sz w:val="28"/>
          <w:szCs w:val="28"/>
        </w:rPr>
        <w:t>1.</w:t>
      </w:r>
      <w:r>
        <w:rPr>
          <w:rFonts w:ascii="Times New Roman" w:hAnsi="Times New Roman" w:eastAsia="Times New Roman" w:cs="Times New Roman"/>
          <w:spacing w:val="13"/>
          <w:sz w:val="28"/>
          <w:szCs w:val="28"/>
        </w:rPr>
        <w:t xml:space="preserve">  </w:t>
      </w:r>
      <w:r>
        <w:rPr>
          <w:rFonts w:ascii="黑体" w:hAnsi="黑体" w:eastAsia="黑体" w:cs="黑体"/>
          <w:spacing w:val="-10"/>
          <w:sz w:val="28"/>
          <w:szCs w:val="28"/>
        </w:rPr>
        <w:t>图纸目录</w:t>
      </w:r>
      <w:bookmarkEnd w:id="778"/>
    </w:p>
    <w:p w14:paraId="46CCE577">
      <w:pPr>
        <w:spacing w:before="141"/>
      </w:pPr>
    </w:p>
    <w:tbl>
      <w:tblPr>
        <w:tblStyle w:val="14"/>
        <w:tblW w:w="10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1569"/>
        <w:gridCol w:w="1569"/>
        <w:gridCol w:w="1569"/>
        <w:gridCol w:w="1569"/>
        <w:gridCol w:w="2253"/>
      </w:tblGrid>
      <w:tr w14:paraId="7F88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574" w:type="dxa"/>
            <w:vAlign w:val="top"/>
          </w:tcPr>
          <w:p w14:paraId="41FA52E5">
            <w:pPr>
              <w:pStyle w:val="15"/>
              <w:spacing w:before="145" w:line="229" w:lineRule="auto"/>
              <w:ind w:left="583"/>
            </w:pPr>
            <w:r>
              <w:rPr>
                <w:spacing w:val="5"/>
              </w:rPr>
              <w:t>序号</w:t>
            </w:r>
          </w:p>
        </w:tc>
        <w:tc>
          <w:tcPr>
            <w:tcW w:w="1569" w:type="dxa"/>
            <w:vAlign w:val="top"/>
          </w:tcPr>
          <w:p w14:paraId="22CFCA0A">
            <w:pPr>
              <w:pStyle w:val="15"/>
              <w:spacing w:before="145" w:line="229" w:lineRule="auto"/>
              <w:ind w:left="600"/>
            </w:pPr>
            <w:r>
              <w:rPr>
                <w:spacing w:val="-6"/>
              </w:rPr>
              <w:t>图名</w:t>
            </w:r>
          </w:p>
        </w:tc>
        <w:tc>
          <w:tcPr>
            <w:tcW w:w="1569" w:type="dxa"/>
            <w:vAlign w:val="top"/>
          </w:tcPr>
          <w:p w14:paraId="52ACAAEF">
            <w:pPr>
              <w:pStyle w:val="15"/>
              <w:spacing w:before="145" w:line="229" w:lineRule="auto"/>
              <w:ind w:left="600"/>
            </w:pPr>
            <w:r>
              <w:rPr>
                <w:spacing w:val="-6"/>
              </w:rPr>
              <w:t>图号</w:t>
            </w:r>
          </w:p>
        </w:tc>
        <w:tc>
          <w:tcPr>
            <w:tcW w:w="1569" w:type="dxa"/>
            <w:vAlign w:val="top"/>
          </w:tcPr>
          <w:p w14:paraId="4E4D65AF">
            <w:pPr>
              <w:pStyle w:val="15"/>
              <w:spacing w:before="145" w:line="227" w:lineRule="auto"/>
              <w:ind w:left="581"/>
            </w:pPr>
            <w:r>
              <w:rPr>
                <w:spacing w:val="4"/>
              </w:rPr>
              <w:t>版本</w:t>
            </w:r>
          </w:p>
        </w:tc>
        <w:tc>
          <w:tcPr>
            <w:tcW w:w="1569" w:type="dxa"/>
            <w:vAlign w:val="top"/>
          </w:tcPr>
          <w:p w14:paraId="13FABFD6">
            <w:pPr>
              <w:pStyle w:val="15"/>
              <w:spacing w:before="145" w:line="228" w:lineRule="auto"/>
              <w:ind w:left="390"/>
            </w:pPr>
            <w:r>
              <w:rPr>
                <w:spacing w:val="2"/>
              </w:rPr>
              <w:t>出图日期</w:t>
            </w:r>
          </w:p>
        </w:tc>
        <w:tc>
          <w:tcPr>
            <w:tcW w:w="2253" w:type="dxa"/>
            <w:vAlign w:val="top"/>
          </w:tcPr>
          <w:p w14:paraId="7F7D179D">
            <w:pPr>
              <w:pStyle w:val="15"/>
              <w:spacing w:before="145" w:line="229" w:lineRule="auto"/>
              <w:ind w:left="925"/>
            </w:pPr>
            <w:r>
              <w:rPr>
                <w:spacing w:val="3"/>
              </w:rPr>
              <w:t>备注</w:t>
            </w:r>
          </w:p>
        </w:tc>
      </w:tr>
      <w:tr w14:paraId="5C0F4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282DDF5D">
            <w:pPr>
              <w:rPr>
                <w:rFonts w:ascii="Arial"/>
                <w:sz w:val="21"/>
              </w:rPr>
            </w:pPr>
          </w:p>
        </w:tc>
        <w:tc>
          <w:tcPr>
            <w:tcW w:w="1569" w:type="dxa"/>
            <w:vAlign w:val="top"/>
          </w:tcPr>
          <w:p w14:paraId="4B3BA3FC">
            <w:pPr>
              <w:rPr>
                <w:rFonts w:ascii="Arial"/>
                <w:sz w:val="21"/>
              </w:rPr>
            </w:pPr>
          </w:p>
        </w:tc>
        <w:tc>
          <w:tcPr>
            <w:tcW w:w="1569" w:type="dxa"/>
            <w:vAlign w:val="top"/>
          </w:tcPr>
          <w:p w14:paraId="44862118">
            <w:pPr>
              <w:rPr>
                <w:rFonts w:ascii="Arial"/>
                <w:sz w:val="21"/>
              </w:rPr>
            </w:pPr>
          </w:p>
        </w:tc>
        <w:tc>
          <w:tcPr>
            <w:tcW w:w="1569" w:type="dxa"/>
            <w:vAlign w:val="top"/>
          </w:tcPr>
          <w:p w14:paraId="7CC05130">
            <w:pPr>
              <w:rPr>
                <w:rFonts w:ascii="Arial"/>
                <w:sz w:val="21"/>
              </w:rPr>
            </w:pPr>
          </w:p>
        </w:tc>
        <w:tc>
          <w:tcPr>
            <w:tcW w:w="1569" w:type="dxa"/>
            <w:vAlign w:val="top"/>
          </w:tcPr>
          <w:p w14:paraId="68473672">
            <w:pPr>
              <w:rPr>
                <w:rFonts w:ascii="Arial"/>
                <w:sz w:val="21"/>
              </w:rPr>
            </w:pPr>
          </w:p>
        </w:tc>
        <w:tc>
          <w:tcPr>
            <w:tcW w:w="2253" w:type="dxa"/>
            <w:vAlign w:val="top"/>
          </w:tcPr>
          <w:p w14:paraId="051E5A38">
            <w:pPr>
              <w:rPr>
                <w:rFonts w:ascii="Arial"/>
                <w:sz w:val="21"/>
              </w:rPr>
            </w:pPr>
          </w:p>
        </w:tc>
      </w:tr>
      <w:tr w14:paraId="1E4AF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240D0976">
            <w:pPr>
              <w:rPr>
                <w:rFonts w:ascii="Arial"/>
                <w:sz w:val="21"/>
              </w:rPr>
            </w:pPr>
          </w:p>
        </w:tc>
        <w:tc>
          <w:tcPr>
            <w:tcW w:w="1569" w:type="dxa"/>
            <w:vAlign w:val="top"/>
          </w:tcPr>
          <w:p w14:paraId="0F6C7573">
            <w:pPr>
              <w:rPr>
                <w:rFonts w:ascii="Arial"/>
                <w:sz w:val="21"/>
              </w:rPr>
            </w:pPr>
          </w:p>
        </w:tc>
        <w:tc>
          <w:tcPr>
            <w:tcW w:w="1569" w:type="dxa"/>
            <w:vAlign w:val="top"/>
          </w:tcPr>
          <w:p w14:paraId="09ADC196">
            <w:pPr>
              <w:rPr>
                <w:rFonts w:ascii="Arial"/>
                <w:sz w:val="21"/>
              </w:rPr>
            </w:pPr>
          </w:p>
        </w:tc>
        <w:tc>
          <w:tcPr>
            <w:tcW w:w="1569" w:type="dxa"/>
            <w:vAlign w:val="top"/>
          </w:tcPr>
          <w:p w14:paraId="1ACE7E2F">
            <w:pPr>
              <w:rPr>
                <w:rFonts w:ascii="Arial"/>
                <w:sz w:val="21"/>
              </w:rPr>
            </w:pPr>
          </w:p>
        </w:tc>
        <w:tc>
          <w:tcPr>
            <w:tcW w:w="1569" w:type="dxa"/>
            <w:vAlign w:val="top"/>
          </w:tcPr>
          <w:p w14:paraId="78872906">
            <w:pPr>
              <w:rPr>
                <w:rFonts w:ascii="Arial"/>
                <w:sz w:val="21"/>
              </w:rPr>
            </w:pPr>
          </w:p>
        </w:tc>
        <w:tc>
          <w:tcPr>
            <w:tcW w:w="2253" w:type="dxa"/>
            <w:vAlign w:val="top"/>
          </w:tcPr>
          <w:p w14:paraId="59AD8A18">
            <w:pPr>
              <w:rPr>
                <w:rFonts w:ascii="Arial"/>
                <w:sz w:val="21"/>
              </w:rPr>
            </w:pPr>
          </w:p>
        </w:tc>
      </w:tr>
      <w:tr w14:paraId="26ED9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574" w:type="dxa"/>
            <w:vAlign w:val="top"/>
          </w:tcPr>
          <w:p w14:paraId="1F95110B">
            <w:pPr>
              <w:rPr>
                <w:rFonts w:ascii="Arial"/>
                <w:sz w:val="21"/>
              </w:rPr>
            </w:pPr>
          </w:p>
        </w:tc>
        <w:tc>
          <w:tcPr>
            <w:tcW w:w="1569" w:type="dxa"/>
            <w:vAlign w:val="top"/>
          </w:tcPr>
          <w:p w14:paraId="42B6BF55">
            <w:pPr>
              <w:rPr>
                <w:rFonts w:ascii="Arial"/>
                <w:sz w:val="21"/>
              </w:rPr>
            </w:pPr>
          </w:p>
        </w:tc>
        <w:tc>
          <w:tcPr>
            <w:tcW w:w="1569" w:type="dxa"/>
            <w:vAlign w:val="top"/>
          </w:tcPr>
          <w:p w14:paraId="580DF31A">
            <w:pPr>
              <w:rPr>
                <w:rFonts w:ascii="Arial"/>
                <w:sz w:val="21"/>
              </w:rPr>
            </w:pPr>
          </w:p>
        </w:tc>
        <w:tc>
          <w:tcPr>
            <w:tcW w:w="1569" w:type="dxa"/>
            <w:vAlign w:val="top"/>
          </w:tcPr>
          <w:p w14:paraId="742DAAD2">
            <w:pPr>
              <w:rPr>
                <w:rFonts w:ascii="Arial"/>
                <w:sz w:val="21"/>
              </w:rPr>
            </w:pPr>
          </w:p>
        </w:tc>
        <w:tc>
          <w:tcPr>
            <w:tcW w:w="1569" w:type="dxa"/>
            <w:vAlign w:val="top"/>
          </w:tcPr>
          <w:p w14:paraId="057B3E1C">
            <w:pPr>
              <w:rPr>
                <w:rFonts w:ascii="Arial"/>
                <w:sz w:val="21"/>
              </w:rPr>
            </w:pPr>
          </w:p>
        </w:tc>
        <w:tc>
          <w:tcPr>
            <w:tcW w:w="2253" w:type="dxa"/>
            <w:vAlign w:val="top"/>
          </w:tcPr>
          <w:p w14:paraId="558ADF31">
            <w:pPr>
              <w:rPr>
                <w:rFonts w:ascii="Arial"/>
                <w:sz w:val="21"/>
              </w:rPr>
            </w:pPr>
          </w:p>
        </w:tc>
      </w:tr>
      <w:tr w14:paraId="0D43D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574" w:type="dxa"/>
            <w:vAlign w:val="top"/>
          </w:tcPr>
          <w:p w14:paraId="0795AEE5">
            <w:pPr>
              <w:rPr>
                <w:rFonts w:ascii="Arial"/>
                <w:sz w:val="21"/>
              </w:rPr>
            </w:pPr>
          </w:p>
        </w:tc>
        <w:tc>
          <w:tcPr>
            <w:tcW w:w="1569" w:type="dxa"/>
            <w:vAlign w:val="top"/>
          </w:tcPr>
          <w:p w14:paraId="1EC74002">
            <w:pPr>
              <w:rPr>
                <w:rFonts w:ascii="Arial"/>
                <w:sz w:val="21"/>
              </w:rPr>
            </w:pPr>
          </w:p>
        </w:tc>
        <w:tc>
          <w:tcPr>
            <w:tcW w:w="1569" w:type="dxa"/>
            <w:vAlign w:val="top"/>
          </w:tcPr>
          <w:p w14:paraId="6D8429A2">
            <w:pPr>
              <w:rPr>
                <w:rFonts w:ascii="Arial"/>
                <w:sz w:val="21"/>
              </w:rPr>
            </w:pPr>
          </w:p>
        </w:tc>
        <w:tc>
          <w:tcPr>
            <w:tcW w:w="1569" w:type="dxa"/>
            <w:vAlign w:val="top"/>
          </w:tcPr>
          <w:p w14:paraId="21B8E87D">
            <w:pPr>
              <w:rPr>
                <w:rFonts w:ascii="Arial"/>
                <w:sz w:val="21"/>
              </w:rPr>
            </w:pPr>
          </w:p>
        </w:tc>
        <w:tc>
          <w:tcPr>
            <w:tcW w:w="1569" w:type="dxa"/>
            <w:vAlign w:val="top"/>
          </w:tcPr>
          <w:p w14:paraId="0BDB428A">
            <w:pPr>
              <w:rPr>
                <w:rFonts w:ascii="Arial"/>
                <w:sz w:val="21"/>
              </w:rPr>
            </w:pPr>
          </w:p>
        </w:tc>
        <w:tc>
          <w:tcPr>
            <w:tcW w:w="2253" w:type="dxa"/>
            <w:vAlign w:val="top"/>
          </w:tcPr>
          <w:p w14:paraId="47CF1B85">
            <w:pPr>
              <w:rPr>
                <w:rFonts w:ascii="Arial"/>
                <w:sz w:val="21"/>
              </w:rPr>
            </w:pPr>
          </w:p>
        </w:tc>
      </w:tr>
      <w:tr w14:paraId="1F542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574" w:type="dxa"/>
            <w:vAlign w:val="top"/>
          </w:tcPr>
          <w:p w14:paraId="01572970">
            <w:pPr>
              <w:rPr>
                <w:rFonts w:ascii="Arial"/>
                <w:sz w:val="21"/>
              </w:rPr>
            </w:pPr>
          </w:p>
        </w:tc>
        <w:tc>
          <w:tcPr>
            <w:tcW w:w="1569" w:type="dxa"/>
            <w:vAlign w:val="top"/>
          </w:tcPr>
          <w:p w14:paraId="30455FB6">
            <w:pPr>
              <w:rPr>
                <w:rFonts w:ascii="Arial"/>
                <w:sz w:val="21"/>
              </w:rPr>
            </w:pPr>
          </w:p>
        </w:tc>
        <w:tc>
          <w:tcPr>
            <w:tcW w:w="1569" w:type="dxa"/>
            <w:vAlign w:val="top"/>
          </w:tcPr>
          <w:p w14:paraId="0E56494C">
            <w:pPr>
              <w:rPr>
                <w:rFonts w:ascii="Arial"/>
                <w:sz w:val="21"/>
              </w:rPr>
            </w:pPr>
          </w:p>
        </w:tc>
        <w:tc>
          <w:tcPr>
            <w:tcW w:w="1569" w:type="dxa"/>
            <w:vAlign w:val="top"/>
          </w:tcPr>
          <w:p w14:paraId="46695185">
            <w:pPr>
              <w:rPr>
                <w:rFonts w:ascii="Arial"/>
                <w:sz w:val="21"/>
              </w:rPr>
            </w:pPr>
          </w:p>
        </w:tc>
        <w:tc>
          <w:tcPr>
            <w:tcW w:w="1569" w:type="dxa"/>
            <w:vAlign w:val="top"/>
          </w:tcPr>
          <w:p w14:paraId="127593AC">
            <w:pPr>
              <w:rPr>
                <w:rFonts w:ascii="Arial"/>
                <w:sz w:val="21"/>
              </w:rPr>
            </w:pPr>
          </w:p>
        </w:tc>
        <w:tc>
          <w:tcPr>
            <w:tcW w:w="2253" w:type="dxa"/>
            <w:vAlign w:val="top"/>
          </w:tcPr>
          <w:p w14:paraId="6A548023">
            <w:pPr>
              <w:rPr>
                <w:rFonts w:ascii="Arial"/>
                <w:sz w:val="21"/>
              </w:rPr>
            </w:pPr>
          </w:p>
        </w:tc>
      </w:tr>
      <w:tr w14:paraId="6908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13DA41D5">
            <w:pPr>
              <w:rPr>
                <w:rFonts w:ascii="Arial"/>
                <w:sz w:val="21"/>
              </w:rPr>
            </w:pPr>
          </w:p>
        </w:tc>
        <w:tc>
          <w:tcPr>
            <w:tcW w:w="1569" w:type="dxa"/>
            <w:vAlign w:val="top"/>
          </w:tcPr>
          <w:p w14:paraId="4B3F8DCD">
            <w:pPr>
              <w:rPr>
                <w:rFonts w:ascii="Arial"/>
                <w:sz w:val="21"/>
              </w:rPr>
            </w:pPr>
          </w:p>
        </w:tc>
        <w:tc>
          <w:tcPr>
            <w:tcW w:w="1569" w:type="dxa"/>
            <w:vAlign w:val="top"/>
          </w:tcPr>
          <w:p w14:paraId="6A64FC1C">
            <w:pPr>
              <w:rPr>
                <w:rFonts w:ascii="Arial"/>
                <w:sz w:val="21"/>
              </w:rPr>
            </w:pPr>
          </w:p>
        </w:tc>
        <w:tc>
          <w:tcPr>
            <w:tcW w:w="1569" w:type="dxa"/>
            <w:vAlign w:val="top"/>
          </w:tcPr>
          <w:p w14:paraId="053A4C66">
            <w:pPr>
              <w:rPr>
                <w:rFonts w:ascii="Arial"/>
                <w:sz w:val="21"/>
              </w:rPr>
            </w:pPr>
          </w:p>
        </w:tc>
        <w:tc>
          <w:tcPr>
            <w:tcW w:w="1569" w:type="dxa"/>
            <w:vAlign w:val="top"/>
          </w:tcPr>
          <w:p w14:paraId="0F67C2BD">
            <w:pPr>
              <w:rPr>
                <w:rFonts w:ascii="Arial"/>
                <w:sz w:val="21"/>
              </w:rPr>
            </w:pPr>
          </w:p>
        </w:tc>
        <w:tc>
          <w:tcPr>
            <w:tcW w:w="2253" w:type="dxa"/>
            <w:vAlign w:val="top"/>
          </w:tcPr>
          <w:p w14:paraId="3441A084">
            <w:pPr>
              <w:rPr>
                <w:rFonts w:ascii="Arial"/>
                <w:sz w:val="21"/>
              </w:rPr>
            </w:pPr>
          </w:p>
        </w:tc>
      </w:tr>
      <w:tr w14:paraId="603FB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09443EFF">
            <w:pPr>
              <w:rPr>
                <w:rFonts w:ascii="Arial"/>
                <w:sz w:val="21"/>
              </w:rPr>
            </w:pPr>
          </w:p>
        </w:tc>
        <w:tc>
          <w:tcPr>
            <w:tcW w:w="1569" w:type="dxa"/>
            <w:vAlign w:val="top"/>
          </w:tcPr>
          <w:p w14:paraId="209632CF">
            <w:pPr>
              <w:rPr>
                <w:rFonts w:ascii="Arial"/>
                <w:sz w:val="21"/>
              </w:rPr>
            </w:pPr>
          </w:p>
        </w:tc>
        <w:tc>
          <w:tcPr>
            <w:tcW w:w="1569" w:type="dxa"/>
            <w:vAlign w:val="top"/>
          </w:tcPr>
          <w:p w14:paraId="2237FC22">
            <w:pPr>
              <w:rPr>
                <w:rFonts w:ascii="Arial"/>
                <w:sz w:val="21"/>
              </w:rPr>
            </w:pPr>
          </w:p>
        </w:tc>
        <w:tc>
          <w:tcPr>
            <w:tcW w:w="1569" w:type="dxa"/>
            <w:vAlign w:val="top"/>
          </w:tcPr>
          <w:p w14:paraId="7C85239F">
            <w:pPr>
              <w:rPr>
                <w:rFonts w:ascii="Arial"/>
                <w:sz w:val="21"/>
              </w:rPr>
            </w:pPr>
          </w:p>
        </w:tc>
        <w:tc>
          <w:tcPr>
            <w:tcW w:w="1569" w:type="dxa"/>
            <w:vAlign w:val="top"/>
          </w:tcPr>
          <w:p w14:paraId="0A73D882">
            <w:pPr>
              <w:rPr>
                <w:rFonts w:ascii="Arial"/>
                <w:sz w:val="21"/>
              </w:rPr>
            </w:pPr>
          </w:p>
        </w:tc>
        <w:tc>
          <w:tcPr>
            <w:tcW w:w="2253" w:type="dxa"/>
            <w:vAlign w:val="top"/>
          </w:tcPr>
          <w:p w14:paraId="421A3067">
            <w:pPr>
              <w:rPr>
                <w:rFonts w:ascii="Arial"/>
                <w:sz w:val="21"/>
              </w:rPr>
            </w:pPr>
          </w:p>
        </w:tc>
      </w:tr>
      <w:tr w14:paraId="437D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574" w:type="dxa"/>
            <w:vAlign w:val="top"/>
          </w:tcPr>
          <w:p w14:paraId="7B58FCB6">
            <w:pPr>
              <w:rPr>
                <w:rFonts w:ascii="Arial"/>
                <w:sz w:val="21"/>
              </w:rPr>
            </w:pPr>
          </w:p>
        </w:tc>
        <w:tc>
          <w:tcPr>
            <w:tcW w:w="1569" w:type="dxa"/>
            <w:vAlign w:val="top"/>
          </w:tcPr>
          <w:p w14:paraId="5BC4DA59">
            <w:pPr>
              <w:rPr>
                <w:rFonts w:ascii="Arial"/>
                <w:sz w:val="21"/>
              </w:rPr>
            </w:pPr>
          </w:p>
        </w:tc>
        <w:tc>
          <w:tcPr>
            <w:tcW w:w="1569" w:type="dxa"/>
            <w:vAlign w:val="top"/>
          </w:tcPr>
          <w:p w14:paraId="207A6D34">
            <w:pPr>
              <w:rPr>
                <w:rFonts w:ascii="Arial"/>
                <w:sz w:val="21"/>
              </w:rPr>
            </w:pPr>
          </w:p>
        </w:tc>
        <w:tc>
          <w:tcPr>
            <w:tcW w:w="1569" w:type="dxa"/>
            <w:vAlign w:val="top"/>
          </w:tcPr>
          <w:p w14:paraId="51A9B172">
            <w:pPr>
              <w:rPr>
                <w:rFonts w:ascii="Arial"/>
                <w:sz w:val="21"/>
              </w:rPr>
            </w:pPr>
          </w:p>
        </w:tc>
        <w:tc>
          <w:tcPr>
            <w:tcW w:w="1569" w:type="dxa"/>
            <w:vAlign w:val="top"/>
          </w:tcPr>
          <w:p w14:paraId="1B3D27C8">
            <w:pPr>
              <w:rPr>
                <w:rFonts w:ascii="Arial"/>
                <w:sz w:val="21"/>
              </w:rPr>
            </w:pPr>
          </w:p>
        </w:tc>
        <w:tc>
          <w:tcPr>
            <w:tcW w:w="2253" w:type="dxa"/>
            <w:vAlign w:val="top"/>
          </w:tcPr>
          <w:p w14:paraId="2F7BEEF4">
            <w:pPr>
              <w:rPr>
                <w:rFonts w:ascii="Arial"/>
                <w:sz w:val="21"/>
              </w:rPr>
            </w:pPr>
          </w:p>
        </w:tc>
      </w:tr>
      <w:tr w14:paraId="5762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09A87BE7">
            <w:pPr>
              <w:rPr>
                <w:rFonts w:ascii="Arial"/>
                <w:sz w:val="21"/>
              </w:rPr>
            </w:pPr>
          </w:p>
        </w:tc>
        <w:tc>
          <w:tcPr>
            <w:tcW w:w="1569" w:type="dxa"/>
            <w:vAlign w:val="top"/>
          </w:tcPr>
          <w:p w14:paraId="238994C3">
            <w:pPr>
              <w:rPr>
                <w:rFonts w:ascii="Arial"/>
                <w:sz w:val="21"/>
              </w:rPr>
            </w:pPr>
          </w:p>
        </w:tc>
        <w:tc>
          <w:tcPr>
            <w:tcW w:w="1569" w:type="dxa"/>
            <w:vAlign w:val="top"/>
          </w:tcPr>
          <w:p w14:paraId="4D81505A">
            <w:pPr>
              <w:rPr>
                <w:rFonts w:ascii="Arial"/>
                <w:sz w:val="21"/>
              </w:rPr>
            </w:pPr>
          </w:p>
        </w:tc>
        <w:tc>
          <w:tcPr>
            <w:tcW w:w="1569" w:type="dxa"/>
            <w:vAlign w:val="top"/>
          </w:tcPr>
          <w:p w14:paraId="51C7A77A">
            <w:pPr>
              <w:rPr>
                <w:rFonts w:ascii="Arial"/>
                <w:sz w:val="21"/>
              </w:rPr>
            </w:pPr>
          </w:p>
        </w:tc>
        <w:tc>
          <w:tcPr>
            <w:tcW w:w="1569" w:type="dxa"/>
            <w:vAlign w:val="top"/>
          </w:tcPr>
          <w:p w14:paraId="6D94AEF7">
            <w:pPr>
              <w:rPr>
                <w:rFonts w:ascii="Arial"/>
                <w:sz w:val="21"/>
              </w:rPr>
            </w:pPr>
          </w:p>
        </w:tc>
        <w:tc>
          <w:tcPr>
            <w:tcW w:w="2253" w:type="dxa"/>
            <w:vAlign w:val="top"/>
          </w:tcPr>
          <w:p w14:paraId="2F6CD135">
            <w:pPr>
              <w:rPr>
                <w:rFonts w:ascii="Arial"/>
                <w:sz w:val="21"/>
              </w:rPr>
            </w:pPr>
          </w:p>
        </w:tc>
      </w:tr>
      <w:tr w14:paraId="62961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6D81C905">
            <w:pPr>
              <w:rPr>
                <w:rFonts w:ascii="Arial"/>
                <w:sz w:val="21"/>
              </w:rPr>
            </w:pPr>
          </w:p>
        </w:tc>
        <w:tc>
          <w:tcPr>
            <w:tcW w:w="1569" w:type="dxa"/>
            <w:vAlign w:val="top"/>
          </w:tcPr>
          <w:p w14:paraId="157358B9">
            <w:pPr>
              <w:rPr>
                <w:rFonts w:ascii="Arial"/>
                <w:sz w:val="21"/>
              </w:rPr>
            </w:pPr>
          </w:p>
        </w:tc>
        <w:tc>
          <w:tcPr>
            <w:tcW w:w="1569" w:type="dxa"/>
            <w:vAlign w:val="top"/>
          </w:tcPr>
          <w:p w14:paraId="44A500D9">
            <w:pPr>
              <w:rPr>
                <w:rFonts w:ascii="Arial"/>
                <w:sz w:val="21"/>
              </w:rPr>
            </w:pPr>
          </w:p>
        </w:tc>
        <w:tc>
          <w:tcPr>
            <w:tcW w:w="1569" w:type="dxa"/>
            <w:vAlign w:val="top"/>
          </w:tcPr>
          <w:p w14:paraId="370BA9B4">
            <w:pPr>
              <w:rPr>
                <w:rFonts w:ascii="Arial"/>
                <w:sz w:val="21"/>
              </w:rPr>
            </w:pPr>
          </w:p>
        </w:tc>
        <w:tc>
          <w:tcPr>
            <w:tcW w:w="1569" w:type="dxa"/>
            <w:vAlign w:val="top"/>
          </w:tcPr>
          <w:p w14:paraId="10F39D42">
            <w:pPr>
              <w:rPr>
                <w:rFonts w:ascii="Arial"/>
                <w:sz w:val="21"/>
              </w:rPr>
            </w:pPr>
          </w:p>
        </w:tc>
        <w:tc>
          <w:tcPr>
            <w:tcW w:w="2253" w:type="dxa"/>
            <w:vAlign w:val="top"/>
          </w:tcPr>
          <w:p w14:paraId="6F558294">
            <w:pPr>
              <w:rPr>
                <w:rFonts w:ascii="Arial"/>
                <w:sz w:val="21"/>
              </w:rPr>
            </w:pPr>
          </w:p>
        </w:tc>
      </w:tr>
      <w:tr w14:paraId="69C9F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30BA4921">
            <w:pPr>
              <w:rPr>
                <w:rFonts w:ascii="Arial"/>
                <w:sz w:val="21"/>
              </w:rPr>
            </w:pPr>
          </w:p>
        </w:tc>
        <w:tc>
          <w:tcPr>
            <w:tcW w:w="1569" w:type="dxa"/>
            <w:vAlign w:val="top"/>
          </w:tcPr>
          <w:p w14:paraId="3FD64AED">
            <w:pPr>
              <w:rPr>
                <w:rFonts w:ascii="Arial"/>
                <w:sz w:val="21"/>
              </w:rPr>
            </w:pPr>
          </w:p>
        </w:tc>
        <w:tc>
          <w:tcPr>
            <w:tcW w:w="1569" w:type="dxa"/>
            <w:vAlign w:val="top"/>
          </w:tcPr>
          <w:p w14:paraId="2FBFC9B7">
            <w:pPr>
              <w:rPr>
                <w:rFonts w:ascii="Arial"/>
                <w:sz w:val="21"/>
              </w:rPr>
            </w:pPr>
          </w:p>
        </w:tc>
        <w:tc>
          <w:tcPr>
            <w:tcW w:w="1569" w:type="dxa"/>
            <w:vAlign w:val="top"/>
          </w:tcPr>
          <w:p w14:paraId="28D38422">
            <w:pPr>
              <w:rPr>
                <w:rFonts w:ascii="Arial"/>
                <w:sz w:val="21"/>
              </w:rPr>
            </w:pPr>
          </w:p>
        </w:tc>
        <w:tc>
          <w:tcPr>
            <w:tcW w:w="1569" w:type="dxa"/>
            <w:vAlign w:val="top"/>
          </w:tcPr>
          <w:p w14:paraId="5707C9F7">
            <w:pPr>
              <w:rPr>
                <w:rFonts w:ascii="Arial"/>
                <w:sz w:val="21"/>
              </w:rPr>
            </w:pPr>
          </w:p>
        </w:tc>
        <w:tc>
          <w:tcPr>
            <w:tcW w:w="2253" w:type="dxa"/>
            <w:vAlign w:val="top"/>
          </w:tcPr>
          <w:p w14:paraId="5CEB7192">
            <w:pPr>
              <w:rPr>
                <w:rFonts w:ascii="Arial"/>
                <w:sz w:val="21"/>
              </w:rPr>
            </w:pPr>
          </w:p>
        </w:tc>
      </w:tr>
      <w:tr w14:paraId="66F9C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40BA0FAC">
            <w:pPr>
              <w:rPr>
                <w:rFonts w:ascii="Arial"/>
                <w:sz w:val="21"/>
              </w:rPr>
            </w:pPr>
          </w:p>
        </w:tc>
        <w:tc>
          <w:tcPr>
            <w:tcW w:w="1569" w:type="dxa"/>
            <w:vAlign w:val="top"/>
          </w:tcPr>
          <w:p w14:paraId="0896C09A">
            <w:pPr>
              <w:rPr>
                <w:rFonts w:ascii="Arial"/>
                <w:sz w:val="21"/>
              </w:rPr>
            </w:pPr>
          </w:p>
        </w:tc>
        <w:tc>
          <w:tcPr>
            <w:tcW w:w="1569" w:type="dxa"/>
            <w:vAlign w:val="top"/>
          </w:tcPr>
          <w:p w14:paraId="302783C0">
            <w:pPr>
              <w:rPr>
                <w:rFonts w:ascii="Arial"/>
                <w:sz w:val="21"/>
              </w:rPr>
            </w:pPr>
          </w:p>
        </w:tc>
        <w:tc>
          <w:tcPr>
            <w:tcW w:w="1569" w:type="dxa"/>
            <w:vAlign w:val="top"/>
          </w:tcPr>
          <w:p w14:paraId="17016D45">
            <w:pPr>
              <w:rPr>
                <w:rFonts w:ascii="Arial"/>
                <w:sz w:val="21"/>
              </w:rPr>
            </w:pPr>
          </w:p>
        </w:tc>
        <w:tc>
          <w:tcPr>
            <w:tcW w:w="1569" w:type="dxa"/>
            <w:vAlign w:val="top"/>
          </w:tcPr>
          <w:p w14:paraId="041AC735">
            <w:pPr>
              <w:rPr>
                <w:rFonts w:ascii="Arial"/>
                <w:sz w:val="21"/>
              </w:rPr>
            </w:pPr>
          </w:p>
        </w:tc>
        <w:tc>
          <w:tcPr>
            <w:tcW w:w="2253" w:type="dxa"/>
            <w:vAlign w:val="top"/>
          </w:tcPr>
          <w:p w14:paraId="3B9F5BBA">
            <w:pPr>
              <w:rPr>
                <w:rFonts w:ascii="Arial"/>
                <w:sz w:val="21"/>
              </w:rPr>
            </w:pPr>
          </w:p>
        </w:tc>
      </w:tr>
      <w:tr w14:paraId="4B093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09BEBEE8">
            <w:pPr>
              <w:rPr>
                <w:rFonts w:ascii="Arial"/>
                <w:sz w:val="21"/>
              </w:rPr>
            </w:pPr>
          </w:p>
        </w:tc>
        <w:tc>
          <w:tcPr>
            <w:tcW w:w="1569" w:type="dxa"/>
            <w:vAlign w:val="top"/>
          </w:tcPr>
          <w:p w14:paraId="4FA0DC51">
            <w:pPr>
              <w:rPr>
                <w:rFonts w:ascii="Arial"/>
                <w:sz w:val="21"/>
              </w:rPr>
            </w:pPr>
          </w:p>
        </w:tc>
        <w:tc>
          <w:tcPr>
            <w:tcW w:w="1569" w:type="dxa"/>
            <w:vAlign w:val="top"/>
          </w:tcPr>
          <w:p w14:paraId="1A738827">
            <w:pPr>
              <w:rPr>
                <w:rFonts w:ascii="Arial"/>
                <w:sz w:val="21"/>
              </w:rPr>
            </w:pPr>
          </w:p>
        </w:tc>
        <w:tc>
          <w:tcPr>
            <w:tcW w:w="1569" w:type="dxa"/>
            <w:vAlign w:val="top"/>
          </w:tcPr>
          <w:p w14:paraId="641B1597">
            <w:pPr>
              <w:rPr>
                <w:rFonts w:ascii="Arial"/>
                <w:sz w:val="21"/>
              </w:rPr>
            </w:pPr>
          </w:p>
        </w:tc>
        <w:tc>
          <w:tcPr>
            <w:tcW w:w="1569" w:type="dxa"/>
            <w:vAlign w:val="top"/>
          </w:tcPr>
          <w:p w14:paraId="1E3BF45F">
            <w:pPr>
              <w:rPr>
                <w:rFonts w:ascii="Arial"/>
                <w:sz w:val="21"/>
              </w:rPr>
            </w:pPr>
          </w:p>
        </w:tc>
        <w:tc>
          <w:tcPr>
            <w:tcW w:w="2253" w:type="dxa"/>
            <w:vAlign w:val="top"/>
          </w:tcPr>
          <w:p w14:paraId="2DED3BC5">
            <w:pPr>
              <w:rPr>
                <w:rFonts w:ascii="Arial"/>
                <w:sz w:val="21"/>
              </w:rPr>
            </w:pPr>
          </w:p>
        </w:tc>
      </w:tr>
      <w:tr w14:paraId="1D20B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450D047D">
            <w:pPr>
              <w:rPr>
                <w:rFonts w:ascii="Arial"/>
                <w:sz w:val="21"/>
              </w:rPr>
            </w:pPr>
          </w:p>
        </w:tc>
        <w:tc>
          <w:tcPr>
            <w:tcW w:w="1569" w:type="dxa"/>
            <w:vAlign w:val="top"/>
          </w:tcPr>
          <w:p w14:paraId="4D115BEC">
            <w:pPr>
              <w:rPr>
                <w:rFonts w:ascii="Arial"/>
                <w:sz w:val="21"/>
              </w:rPr>
            </w:pPr>
          </w:p>
        </w:tc>
        <w:tc>
          <w:tcPr>
            <w:tcW w:w="1569" w:type="dxa"/>
            <w:vAlign w:val="top"/>
          </w:tcPr>
          <w:p w14:paraId="41399882">
            <w:pPr>
              <w:rPr>
                <w:rFonts w:ascii="Arial"/>
                <w:sz w:val="21"/>
              </w:rPr>
            </w:pPr>
          </w:p>
        </w:tc>
        <w:tc>
          <w:tcPr>
            <w:tcW w:w="1569" w:type="dxa"/>
            <w:vAlign w:val="top"/>
          </w:tcPr>
          <w:p w14:paraId="2A9412C2">
            <w:pPr>
              <w:rPr>
                <w:rFonts w:ascii="Arial"/>
                <w:sz w:val="21"/>
              </w:rPr>
            </w:pPr>
          </w:p>
        </w:tc>
        <w:tc>
          <w:tcPr>
            <w:tcW w:w="1569" w:type="dxa"/>
            <w:vAlign w:val="top"/>
          </w:tcPr>
          <w:p w14:paraId="5452DA12">
            <w:pPr>
              <w:rPr>
                <w:rFonts w:ascii="Arial"/>
                <w:sz w:val="21"/>
              </w:rPr>
            </w:pPr>
          </w:p>
        </w:tc>
        <w:tc>
          <w:tcPr>
            <w:tcW w:w="2253" w:type="dxa"/>
            <w:vAlign w:val="top"/>
          </w:tcPr>
          <w:p w14:paraId="6E195F93">
            <w:pPr>
              <w:rPr>
                <w:rFonts w:ascii="Arial"/>
                <w:sz w:val="21"/>
              </w:rPr>
            </w:pPr>
          </w:p>
        </w:tc>
      </w:tr>
      <w:tr w14:paraId="6F77B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56F92BE8">
            <w:pPr>
              <w:rPr>
                <w:rFonts w:ascii="Arial"/>
                <w:sz w:val="21"/>
              </w:rPr>
            </w:pPr>
          </w:p>
        </w:tc>
        <w:tc>
          <w:tcPr>
            <w:tcW w:w="1569" w:type="dxa"/>
            <w:vAlign w:val="top"/>
          </w:tcPr>
          <w:p w14:paraId="4734854D">
            <w:pPr>
              <w:rPr>
                <w:rFonts w:ascii="Arial"/>
                <w:sz w:val="21"/>
              </w:rPr>
            </w:pPr>
          </w:p>
        </w:tc>
        <w:tc>
          <w:tcPr>
            <w:tcW w:w="1569" w:type="dxa"/>
            <w:vAlign w:val="top"/>
          </w:tcPr>
          <w:p w14:paraId="2E1E6864">
            <w:pPr>
              <w:rPr>
                <w:rFonts w:ascii="Arial"/>
                <w:sz w:val="21"/>
              </w:rPr>
            </w:pPr>
          </w:p>
        </w:tc>
        <w:tc>
          <w:tcPr>
            <w:tcW w:w="1569" w:type="dxa"/>
            <w:vAlign w:val="top"/>
          </w:tcPr>
          <w:p w14:paraId="2F1535A0">
            <w:pPr>
              <w:rPr>
                <w:rFonts w:ascii="Arial"/>
                <w:sz w:val="21"/>
              </w:rPr>
            </w:pPr>
          </w:p>
        </w:tc>
        <w:tc>
          <w:tcPr>
            <w:tcW w:w="1569" w:type="dxa"/>
            <w:vAlign w:val="top"/>
          </w:tcPr>
          <w:p w14:paraId="3A60C031">
            <w:pPr>
              <w:rPr>
                <w:rFonts w:ascii="Arial"/>
                <w:sz w:val="21"/>
              </w:rPr>
            </w:pPr>
          </w:p>
        </w:tc>
        <w:tc>
          <w:tcPr>
            <w:tcW w:w="2253" w:type="dxa"/>
            <w:vAlign w:val="top"/>
          </w:tcPr>
          <w:p w14:paraId="001A98F4">
            <w:pPr>
              <w:rPr>
                <w:rFonts w:ascii="Arial"/>
                <w:sz w:val="21"/>
              </w:rPr>
            </w:pPr>
          </w:p>
        </w:tc>
      </w:tr>
      <w:tr w14:paraId="07D66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119D337B">
            <w:pPr>
              <w:rPr>
                <w:rFonts w:ascii="Arial"/>
                <w:sz w:val="21"/>
              </w:rPr>
            </w:pPr>
          </w:p>
        </w:tc>
        <w:tc>
          <w:tcPr>
            <w:tcW w:w="1569" w:type="dxa"/>
            <w:vAlign w:val="top"/>
          </w:tcPr>
          <w:p w14:paraId="5A0A5AD1">
            <w:pPr>
              <w:rPr>
                <w:rFonts w:ascii="Arial"/>
                <w:sz w:val="21"/>
              </w:rPr>
            </w:pPr>
          </w:p>
        </w:tc>
        <w:tc>
          <w:tcPr>
            <w:tcW w:w="1569" w:type="dxa"/>
            <w:vAlign w:val="top"/>
          </w:tcPr>
          <w:p w14:paraId="1DDBC688">
            <w:pPr>
              <w:rPr>
                <w:rFonts w:ascii="Arial"/>
                <w:sz w:val="21"/>
              </w:rPr>
            </w:pPr>
          </w:p>
        </w:tc>
        <w:tc>
          <w:tcPr>
            <w:tcW w:w="1569" w:type="dxa"/>
            <w:vAlign w:val="top"/>
          </w:tcPr>
          <w:p w14:paraId="679FEDAF">
            <w:pPr>
              <w:rPr>
                <w:rFonts w:ascii="Arial"/>
                <w:sz w:val="21"/>
              </w:rPr>
            </w:pPr>
          </w:p>
        </w:tc>
        <w:tc>
          <w:tcPr>
            <w:tcW w:w="1569" w:type="dxa"/>
            <w:vAlign w:val="top"/>
          </w:tcPr>
          <w:p w14:paraId="54B62956">
            <w:pPr>
              <w:rPr>
                <w:rFonts w:ascii="Arial"/>
                <w:sz w:val="21"/>
              </w:rPr>
            </w:pPr>
          </w:p>
        </w:tc>
        <w:tc>
          <w:tcPr>
            <w:tcW w:w="2253" w:type="dxa"/>
            <w:vAlign w:val="top"/>
          </w:tcPr>
          <w:p w14:paraId="45575C90">
            <w:pPr>
              <w:rPr>
                <w:rFonts w:ascii="Arial"/>
                <w:sz w:val="21"/>
              </w:rPr>
            </w:pPr>
          </w:p>
        </w:tc>
      </w:tr>
      <w:tr w14:paraId="714A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1CD5BD7E">
            <w:pPr>
              <w:rPr>
                <w:rFonts w:ascii="Arial"/>
                <w:sz w:val="21"/>
              </w:rPr>
            </w:pPr>
          </w:p>
        </w:tc>
        <w:tc>
          <w:tcPr>
            <w:tcW w:w="1569" w:type="dxa"/>
            <w:vAlign w:val="top"/>
          </w:tcPr>
          <w:p w14:paraId="5AEE2D71">
            <w:pPr>
              <w:rPr>
                <w:rFonts w:ascii="Arial"/>
                <w:sz w:val="21"/>
              </w:rPr>
            </w:pPr>
          </w:p>
        </w:tc>
        <w:tc>
          <w:tcPr>
            <w:tcW w:w="1569" w:type="dxa"/>
            <w:vAlign w:val="top"/>
          </w:tcPr>
          <w:p w14:paraId="0B80AD0C">
            <w:pPr>
              <w:rPr>
                <w:rFonts w:ascii="Arial"/>
                <w:sz w:val="21"/>
              </w:rPr>
            </w:pPr>
          </w:p>
        </w:tc>
        <w:tc>
          <w:tcPr>
            <w:tcW w:w="1569" w:type="dxa"/>
            <w:vAlign w:val="top"/>
          </w:tcPr>
          <w:p w14:paraId="759047D1">
            <w:pPr>
              <w:rPr>
                <w:rFonts w:ascii="Arial"/>
                <w:sz w:val="21"/>
              </w:rPr>
            </w:pPr>
          </w:p>
        </w:tc>
        <w:tc>
          <w:tcPr>
            <w:tcW w:w="1569" w:type="dxa"/>
            <w:vAlign w:val="top"/>
          </w:tcPr>
          <w:p w14:paraId="25FE76E4">
            <w:pPr>
              <w:rPr>
                <w:rFonts w:ascii="Arial"/>
                <w:sz w:val="21"/>
              </w:rPr>
            </w:pPr>
          </w:p>
        </w:tc>
        <w:tc>
          <w:tcPr>
            <w:tcW w:w="2253" w:type="dxa"/>
            <w:vAlign w:val="top"/>
          </w:tcPr>
          <w:p w14:paraId="0BDE2B03">
            <w:pPr>
              <w:rPr>
                <w:rFonts w:ascii="Arial"/>
                <w:sz w:val="21"/>
              </w:rPr>
            </w:pPr>
          </w:p>
        </w:tc>
      </w:tr>
      <w:tr w14:paraId="1B03C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7E6237C6">
            <w:pPr>
              <w:rPr>
                <w:rFonts w:ascii="Arial"/>
                <w:sz w:val="21"/>
              </w:rPr>
            </w:pPr>
          </w:p>
        </w:tc>
        <w:tc>
          <w:tcPr>
            <w:tcW w:w="1569" w:type="dxa"/>
            <w:vAlign w:val="top"/>
          </w:tcPr>
          <w:p w14:paraId="0AA94BB1">
            <w:pPr>
              <w:rPr>
                <w:rFonts w:ascii="Arial"/>
                <w:sz w:val="21"/>
              </w:rPr>
            </w:pPr>
          </w:p>
        </w:tc>
        <w:tc>
          <w:tcPr>
            <w:tcW w:w="1569" w:type="dxa"/>
            <w:vAlign w:val="top"/>
          </w:tcPr>
          <w:p w14:paraId="10BE9887">
            <w:pPr>
              <w:rPr>
                <w:rFonts w:ascii="Arial"/>
                <w:sz w:val="21"/>
              </w:rPr>
            </w:pPr>
          </w:p>
        </w:tc>
        <w:tc>
          <w:tcPr>
            <w:tcW w:w="1569" w:type="dxa"/>
            <w:vAlign w:val="top"/>
          </w:tcPr>
          <w:p w14:paraId="1776AA0C">
            <w:pPr>
              <w:rPr>
                <w:rFonts w:ascii="Arial"/>
                <w:sz w:val="21"/>
              </w:rPr>
            </w:pPr>
          </w:p>
        </w:tc>
        <w:tc>
          <w:tcPr>
            <w:tcW w:w="1569" w:type="dxa"/>
            <w:vAlign w:val="top"/>
          </w:tcPr>
          <w:p w14:paraId="6B25CF3C">
            <w:pPr>
              <w:rPr>
                <w:rFonts w:ascii="Arial"/>
                <w:sz w:val="21"/>
              </w:rPr>
            </w:pPr>
          </w:p>
        </w:tc>
        <w:tc>
          <w:tcPr>
            <w:tcW w:w="2253" w:type="dxa"/>
            <w:vAlign w:val="top"/>
          </w:tcPr>
          <w:p w14:paraId="24669FD8">
            <w:pPr>
              <w:rPr>
                <w:rFonts w:ascii="Arial"/>
                <w:sz w:val="21"/>
              </w:rPr>
            </w:pPr>
          </w:p>
        </w:tc>
      </w:tr>
      <w:tr w14:paraId="6879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574" w:type="dxa"/>
            <w:vAlign w:val="top"/>
          </w:tcPr>
          <w:p w14:paraId="2DA7B55B">
            <w:pPr>
              <w:rPr>
                <w:rFonts w:ascii="Arial"/>
                <w:sz w:val="21"/>
              </w:rPr>
            </w:pPr>
          </w:p>
        </w:tc>
        <w:tc>
          <w:tcPr>
            <w:tcW w:w="1569" w:type="dxa"/>
            <w:vAlign w:val="top"/>
          </w:tcPr>
          <w:p w14:paraId="419AA89F">
            <w:pPr>
              <w:rPr>
                <w:rFonts w:ascii="Arial"/>
                <w:sz w:val="21"/>
              </w:rPr>
            </w:pPr>
          </w:p>
        </w:tc>
        <w:tc>
          <w:tcPr>
            <w:tcW w:w="1569" w:type="dxa"/>
            <w:vAlign w:val="top"/>
          </w:tcPr>
          <w:p w14:paraId="56D54C96">
            <w:pPr>
              <w:rPr>
                <w:rFonts w:ascii="Arial"/>
                <w:sz w:val="21"/>
              </w:rPr>
            </w:pPr>
          </w:p>
        </w:tc>
        <w:tc>
          <w:tcPr>
            <w:tcW w:w="1569" w:type="dxa"/>
            <w:vAlign w:val="top"/>
          </w:tcPr>
          <w:p w14:paraId="7FD559A3">
            <w:pPr>
              <w:rPr>
                <w:rFonts w:ascii="Arial"/>
                <w:sz w:val="21"/>
              </w:rPr>
            </w:pPr>
          </w:p>
        </w:tc>
        <w:tc>
          <w:tcPr>
            <w:tcW w:w="1569" w:type="dxa"/>
            <w:vAlign w:val="top"/>
          </w:tcPr>
          <w:p w14:paraId="6AC82C9E">
            <w:pPr>
              <w:rPr>
                <w:rFonts w:ascii="Arial"/>
                <w:sz w:val="21"/>
              </w:rPr>
            </w:pPr>
          </w:p>
        </w:tc>
        <w:tc>
          <w:tcPr>
            <w:tcW w:w="2253" w:type="dxa"/>
            <w:vAlign w:val="top"/>
          </w:tcPr>
          <w:p w14:paraId="74F5A87E">
            <w:pPr>
              <w:rPr>
                <w:rFonts w:ascii="Arial"/>
                <w:sz w:val="21"/>
              </w:rPr>
            </w:pPr>
          </w:p>
        </w:tc>
      </w:tr>
      <w:tr w14:paraId="62F3D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574" w:type="dxa"/>
            <w:vAlign w:val="top"/>
          </w:tcPr>
          <w:p w14:paraId="60D62186">
            <w:pPr>
              <w:rPr>
                <w:rFonts w:ascii="Arial"/>
                <w:sz w:val="21"/>
              </w:rPr>
            </w:pPr>
          </w:p>
        </w:tc>
        <w:tc>
          <w:tcPr>
            <w:tcW w:w="1569" w:type="dxa"/>
            <w:vAlign w:val="top"/>
          </w:tcPr>
          <w:p w14:paraId="1D02FF20">
            <w:pPr>
              <w:rPr>
                <w:rFonts w:ascii="Arial"/>
                <w:sz w:val="21"/>
              </w:rPr>
            </w:pPr>
          </w:p>
        </w:tc>
        <w:tc>
          <w:tcPr>
            <w:tcW w:w="1569" w:type="dxa"/>
            <w:vAlign w:val="top"/>
          </w:tcPr>
          <w:p w14:paraId="7D80B263">
            <w:pPr>
              <w:rPr>
                <w:rFonts w:ascii="Arial"/>
                <w:sz w:val="21"/>
              </w:rPr>
            </w:pPr>
          </w:p>
        </w:tc>
        <w:tc>
          <w:tcPr>
            <w:tcW w:w="1569" w:type="dxa"/>
            <w:vAlign w:val="top"/>
          </w:tcPr>
          <w:p w14:paraId="4FC9AFD0">
            <w:pPr>
              <w:rPr>
                <w:rFonts w:ascii="Arial"/>
                <w:sz w:val="21"/>
              </w:rPr>
            </w:pPr>
          </w:p>
        </w:tc>
        <w:tc>
          <w:tcPr>
            <w:tcW w:w="1569" w:type="dxa"/>
            <w:vAlign w:val="top"/>
          </w:tcPr>
          <w:p w14:paraId="14CF1FC9">
            <w:pPr>
              <w:rPr>
                <w:rFonts w:ascii="Arial"/>
                <w:sz w:val="21"/>
              </w:rPr>
            </w:pPr>
          </w:p>
        </w:tc>
        <w:tc>
          <w:tcPr>
            <w:tcW w:w="2253" w:type="dxa"/>
            <w:vAlign w:val="top"/>
          </w:tcPr>
          <w:p w14:paraId="53B1A098">
            <w:pPr>
              <w:rPr>
                <w:rFonts w:ascii="Arial"/>
                <w:sz w:val="21"/>
              </w:rPr>
            </w:pPr>
          </w:p>
        </w:tc>
      </w:tr>
    </w:tbl>
    <w:p w14:paraId="6833C26D">
      <w:pPr>
        <w:pStyle w:val="6"/>
        <w:spacing w:line="342" w:lineRule="auto"/>
      </w:pPr>
    </w:p>
    <w:p w14:paraId="0B0EFE0C">
      <w:pPr>
        <w:spacing w:before="92" w:line="223" w:lineRule="auto"/>
        <w:ind w:left="118"/>
        <w:outlineLvl w:val="1"/>
        <w:rPr>
          <w:rFonts w:ascii="黑体" w:hAnsi="黑体" w:eastAsia="黑体" w:cs="黑体"/>
          <w:sz w:val="28"/>
          <w:szCs w:val="28"/>
        </w:rPr>
      </w:pPr>
      <w:bookmarkStart w:id="779" w:name="bookmark151"/>
      <w:bookmarkEnd w:id="779"/>
      <w:bookmarkStart w:id="780" w:name="bookmark152"/>
      <w:bookmarkEnd w:id="780"/>
      <w:bookmarkStart w:id="781" w:name="_Toc28054"/>
      <w:r>
        <w:rPr>
          <w:rFonts w:ascii="Times New Roman" w:hAnsi="Times New Roman" w:eastAsia="Times New Roman" w:cs="Times New Roman"/>
          <w:spacing w:val="-8"/>
          <w:sz w:val="28"/>
          <w:szCs w:val="28"/>
        </w:rPr>
        <w:t>2.</w:t>
      </w:r>
      <w:r>
        <w:rPr>
          <w:rFonts w:ascii="Times New Roman" w:hAnsi="Times New Roman" w:eastAsia="Times New Roman" w:cs="Times New Roman"/>
          <w:spacing w:val="13"/>
          <w:sz w:val="28"/>
          <w:szCs w:val="28"/>
        </w:rPr>
        <w:t xml:space="preserve">  </w:t>
      </w:r>
      <w:r>
        <w:rPr>
          <w:rFonts w:ascii="黑体" w:hAnsi="黑体" w:eastAsia="黑体" w:cs="黑体"/>
          <w:spacing w:val="-8"/>
          <w:sz w:val="28"/>
          <w:szCs w:val="28"/>
        </w:rPr>
        <w:t>图纸</w:t>
      </w:r>
      <w:bookmarkEnd w:id="781"/>
    </w:p>
    <w:p w14:paraId="2C0D7D08">
      <w:pPr>
        <w:spacing w:line="223" w:lineRule="auto"/>
        <w:rPr>
          <w:rFonts w:ascii="黑体" w:hAnsi="黑体" w:eastAsia="黑体" w:cs="黑体"/>
          <w:sz w:val="28"/>
          <w:szCs w:val="28"/>
        </w:rPr>
        <w:sectPr>
          <w:footerReference r:id="rId34" w:type="default"/>
          <w:pgSz w:w="11907" w:h="16840"/>
          <w:pgMar w:top="1004" w:right="891" w:bottom="1029" w:left="907" w:header="0" w:footer="850" w:gutter="0"/>
          <w:pgNumType w:fmt="decimal"/>
          <w:cols w:space="720" w:num="1"/>
        </w:sectPr>
      </w:pPr>
    </w:p>
    <w:p w14:paraId="4EC7A3C1">
      <w:pPr>
        <w:spacing w:before="63" w:line="225" w:lineRule="auto"/>
        <w:ind w:left="3376"/>
        <w:outlineLvl w:val="0"/>
        <w:rPr>
          <w:rFonts w:ascii="宋体" w:hAnsi="宋体" w:eastAsia="宋体" w:cs="宋体"/>
          <w:sz w:val="32"/>
          <w:szCs w:val="32"/>
        </w:rPr>
      </w:pPr>
      <w:bookmarkStart w:id="782" w:name="bookmark153"/>
      <w:bookmarkEnd w:id="782"/>
      <w:bookmarkStart w:id="783" w:name="bookmark154"/>
      <w:bookmarkEnd w:id="783"/>
      <w:bookmarkStart w:id="784" w:name="_Toc9097"/>
      <w:r>
        <w:rPr>
          <w:rFonts w:ascii="宋体" w:hAnsi="宋体" w:eastAsia="宋体" w:cs="宋体"/>
          <w:b/>
          <w:bCs/>
          <w:spacing w:val="-6"/>
          <w:sz w:val="32"/>
          <w:szCs w:val="32"/>
        </w:rPr>
        <w:t>第</w:t>
      </w:r>
      <w:r>
        <w:rPr>
          <w:rFonts w:ascii="宋体" w:hAnsi="宋体" w:eastAsia="宋体" w:cs="宋体"/>
          <w:spacing w:val="12"/>
          <w:sz w:val="32"/>
          <w:szCs w:val="32"/>
        </w:rPr>
        <w:t xml:space="preserve">  </w:t>
      </w:r>
      <w:r>
        <w:rPr>
          <w:rFonts w:ascii="宋体" w:hAnsi="宋体" w:eastAsia="宋体" w:cs="宋体"/>
          <w:b/>
          <w:bCs/>
          <w:spacing w:val="-6"/>
          <w:sz w:val="32"/>
          <w:szCs w:val="32"/>
        </w:rPr>
        <w:t>三</w:t>
      </w:r>
      <w:r>
        <w:rPr>
          <w:rFonts w:ascii="宋体" w:hAnsi="宋体" w:eastAsia="宋体" w:cs="宋体"/>
          <w:spacing w:val="13"/>
          <w:sz w:val="32"/>
          <w:szCs w:val="32"/>
        </w:rPr>
        <w:t xml:space="preserve">  </w:t>
      </w:r>
      <w:r>
        <w:rPr>
          <w:rFonts w:ascii="宋体" w:hAnsi="宋体" w:eastAsia="宋体" w:cs="宋体"/>
          <w:b/>
          <w:bCs/>
          <w:spacing w:val="-6"/>
          <w:sz w:val="32"/>
          <w:szCs w:val="32"/>
        </w:rPr>
        <w:t>卷</w:t>
      </w:r>
      <w:bookmarkEnd w:id="784"/>
    </w:p>
    <w:p w14:paraId="2D7FC9B3">
      <w:pPr>
        <w:pStyle w:val="2"/>
        <w:spacing w:before="0" w:after="0" w:line="360" w:lineRule="auto"/>
        <w:jc w:val="center"/>
        <w:outlineLvl w:val="9"/>
        <w:rPr>
          <w:rFonts w:hint="eastAsia" w:ascii="宋体" w:hAnsi="宋体" w:eastAsia="宋体" w:cs="宋体"/>
          <w:b/>
          <w:bCs/>
          <w:color w:val="auto"/>
          <w:highlight w:val="none"/>
        </w:rPr>
      </w:pPr>
      <w:bookmarkStart w:id="785" w:name="_Toc80006123"/>
      <w:bookmarkStart w:id="786" w:name="_Toc25189"/>
      <w:bookmarkStart w:id="787" w:name="_Toc300678506"/>
      <w:bookmarkStart w:id="788" w:name="_Toc20062"/>
    </w:p>
    <w:p w14:paraId="260733E7">
      <w:pPr>
        <w:pStyle w:val="2"/>
        <w:spacing w:before="0" w:after="0" w:line="360" w:lineRule="auto"/>
        <w:jc w:val="center"/>
        <w:outlineLvl w:val="9"/>
        <w:rPr>
          <w:rFonts w:hint="eastAsia" w:ascii="宋体" w:hAnsi="宋体" w:eastAsia="宋体" w:cs="宋体"/>
          <w:b/>
          <w:bCs/>
          <w:color w:val="auto"/>
          <w:highlight w:val="none"/>
        </w:rPr>
      </w:pPr>
    </w:p>
    <w:p w14:paraId="3A7A5799">
      <w:pPr>
        <w:pStyle w:val="2"/>
        <w:spacing w:before="0" w:after="0" w:line="360" w:lineRule="auto"/>
        <w:jc w:val="center"/>
        <w:rPr>
          <w:rFonts w:hint="eastAsia" w:ascii="宋体" w:hAnsi="宋体" w:eastAsia="宋体" w:cs="宋体"/>
          <w:b/>
          <w:bCs/>
          <w:color w:val="auto"/>
          <w:highlight w:val="none"/>
        </w:rPr>
      </w:pPr>
      <w:bookmarkStart w:id="789" w:name="_Toc22667"/>
      <w:r>
        <w:rPr>
          <w:rFonts w:hint="eastAsia" w:ascii="宋体" w:hAnsi="宋体" w:eastAsia="宋体" w:cs="宋体"/>
          <w:b/>
          <w:bCs/>
          <w:color w:val="auto"/>
          <w:highlight w:val="none"/>
        </w:rPr>
        <w:t>第七章  技术标准和要求</w:t>
      </w:r>
      <w:bookmarkEnd w:id="785"/>
      <w:bookmarkEnd w:id="786"/>
      <w:bookmarkEnd w:id="787"/>
      <w:bookmarkEnd w:id="788"/>
      <w:bookmarkEnd w:id="789"/>
    </w:p>
    <w:p w14:paraId="0CB7E88A">
      <w:pPr>
        <w:pStyle w:val="3"/>
        <w:spacing w:line="360" w:lineRule="auto"/>
        <w:jc w:val="center"/>
        <w:rPr>
          <w:rFonts w:ascii="Times New Roman" w:hAnsi="Times New Roman" w:eastAsia="黑体"/>
          <w:b w:val="0"/>
          <w:bCs w:val="0"/>
          <w:color w:val="000000"/>
          <w:sz w:val="30"/>
        </w:rPr>
      </w:pPr>
      <w:bookmarkStart w:id="790" w:name="_Toc13009"/>
      <w:bookmarkStart w:id="791" w:name="_Toc19233"/>
      <w:bookmarkStart w:id="792" w:name="_Toc31524"/>
      <w:bookmarkStart w:id="793" w:name="_Toc9792"/>
      <w:bookmarkStart w:id="794" w:name="_Toc23287"/>
      <w:bookmarkStart w:id="795" w:name="_Toc300678507"/>
      <w:bookmarkStart w:id="796" w:name="_Toc21505429"/>
      <w:bookmarkStart w:id="797" w:name="_Toc300678562"/>
      <w:r>
        <w:rPr>
          <w:rFonts w:ascii="Times New Roman" w:hAnsi="Times New Roman" w:eastAsia="黑体"/>
          <w:b w:val="0"/>
          <w:bCs w:val="0"/>
          <w:color w:val="000000"/>
          <w:sz w:val="30"/>
        </w:rPr>
        <w:t>第一节 一般要求</w:t>
      </w:r>
      <w:bookmarkEnd w:id="790"/>
      <w:bookmarkEnd w:id="791"/>
      <w:bookmarkEnd w:id="792"/>
    </w:p>
    <w:p w14:paraId="2CD5DC0E">
      <w:pPr>
        <w:jc w:val="center"/>
        <w:rPr>
          <w:rFonts w:hint="eastAsia" w:eastAsia="黑体"/>
          <w:lang w:eastAsia="zh-CN"/>
        </w:rPr>
      </w:pPr>
      <w:r>
        <w:rPr>
          <w:rFonts w:hint="eastAsia" w:ascii="Times New Roman" w:hAnsi="Times New Roman" w:eastAsia="黑体"/>
          <w:b/>
          <w:bCs/>
          <w:color w:val="000000"/>
          <w:sz w:val="30"/>
          <w:lang w:eastAsia="zh-CN"/>
        </w:rPr>
        <w:t>（</w:t>
      </w:r>
      <w:r>
        <w:rPr>
          <w:rFonts w:hint="eastAsia" w:ascii="Times New Roman" w:hAnsi="Times New Roman" w:eastAsia="黑体"/>
          <w:b/>
          <w:bCs/>
          <w:color w:val="000000"/>
          <w:sz w:val="30"/>
          <w:lang w:val="en-US" w:eastAsia="zh-CN"/>
        </w:rPr>
        <w:t>略</w:t>
      </w:r>
      <w:r>
        <w:rPr>
          <w:rFonts w:hint="eastAsia" w:ascii="Times New Roman" w:hAnsi="Times New Roman" w:eastAsia="黑体"/>
          <w:b/>
          <w:bCs/>
          <w:color w:val="000000"/>
          <w:sz w:val="30"/>
          <w:lang w:eastAsia="zh-CN"/>
        </w:rPr>
        <w:t>）</w:t>
      </w:r>
    </w:p>
    <w:bookmarkEnd w:id="793"/>
    <w:bookmarkEnd w:id="794"/>
    <w:bookmarkEnd w:id="795"/>
    <w:bookmarkEnd w:id="796"/>
    <w:p w14:paraId="7C86DF73">
      <w:pPr>
        <w:spacing w:line="360" w:lineRule="auto"/>
        <w:ind w:firstLine="420" w:firstLineChars="200"/>
        <w:jc w:val="left"/>
        <w:rPr>
          <w:color w:val="auto"/>
          <w:szCs w:val="21"/>
          <w:highlight w:val="none"/>
        </w:rPr>
      </w:pPr>
      <w:bookmarkStart w:id="798" w:name="_Toc300678556"/>
    </w:p>
    <w:p w14:paraId="40E51CFF">
      <w:pPr>
        <w:spacing w:line="360" w:lineRule="auto"/>
        <w:jc w:val="left"/>
        <w:rPr>
          <w:rFonts w:hint="eastAsia"/>
          <w:color w:val="auto"/>
          <w:szCs w:val="21"/>
          <w:highlight w:val="none"/>
        </w:rPr>
      </w:pPr>
    </w:p>
    <w:p w14:paraId="3540550A">
      <w:pPr>
        <w:spacing w:line="360" w:lineRule="auto"/>
        <w:ind w:firstLine="420" w:firstLineChars="200"/>
        <w:jc w:val="left"/>
        <w:rPr>
          <w:color w:val="auto"/>
          <w:szCs w:val="21"/>
          <w:highlight w:val="none"/>
        </w:rPr>
      </w:pPr>
    </w:p>
    <w:p w14:paraId="35C9C426">
      <w:pPr>
        <w:spacing w:line="360" w:lineRule="auto"/>
        <w:jc w:val="left"/>
        <w:rPr>
          <w:color w:val="auto"/>
          <w:szCs w:val="21"/>
          <w:highlight w:val="none"/>
        </w:rPr>
      </w:pPr>
    </w:p>
    <w:p w14:paraId="0504FDD9">
      <w:pPr>
        <w:spacing w:line="360" w:lineRule="auto"/>
        <w:ind w:firstLine="420" w:firstLineChars="200"/>
        <w:jc w:val="left"/>
        <w:rPr>
          <w:color w:val="auto"/>
          <w:szCs w:val="21"/>
          <w:highlight w:val="none"/>
        </w:rPr>
      </w:pPr>
    </w:p>
    <w:p w14:paraId="5908FEAF">
      <w:pPr>
        <w:pStyle w:val="3"/>
        <w:spacing w:before="0" w:after="0" w:line="360" w:lineRule="auto"/>
        <w:jc w:val="center"/>
        <w:rPr>
          <w:rFonts w:ascii="Times New Roman" w:hAnsi="Times New Roman" w:eastAsia="黑体"/>
          <w:b w:val="0"/>
          <w:bCs w:val="0"/>
          <w:color w:val="auto"/>
          <w:sz w:val="30"/>
          <w:highlight w:val="none"/>
        </w:rPr>
      </w:pPr>
      <w:bookmarkStart w:id="799" w:name="_Toc32316"/>
      <w:bookmarkStart w:id="800" w:name="_Toc21505446"/>
      <w:bookmarkStart w:id="801" w:name="_Toc15346"/>
      <w:bookmarkStart w:id="802" w:name="_Toc18943"/>
      <w:r>
        <w:rPr>
          <w:rFonts w:ascii="Times New Roman" w:hAnsi="Times New Roman" w:eastAsia="黑体"/>
          <w:b w:val="0"/>
          <w:bCs w:val="0"/>
          <w:color w:val="auto"/>
          <w:sz w:val="30"/>
          <w:highlight w:val="none"/>
        </w:rPr>
        <w:t>第二节  特殊技术标准和要求</w:t>
      </w:r>
      <w:bookmarkEnd w:id="798"/>
      <w:bookmarkEnd w:id="799"/>
      <w:bookmarkEnd w:id="800"/>
      <w:bookmarkEnd w:id="801"/>
      <w:bookmarkEnd w:id="802"/>
    </w:p>
    <w:p w14:paraId="0147110E">
      <w:pPr>
        <w:pStyle w:val="3"/>
        <w:jc w:val="center"/>
        <w:outlineLvl w:val="2"/>
        <w:rPr>
          <w:rFonts w:ascii="Times New Roman" w:hAnsi="Times New Roman" w:eastAsia="黑体"/>
          <w:b w:val="0"/>
          <w:bCs w:val="0"/>
          <w:color w:val="auto"/>
          <w:sz w:val="30"/>
          <w:highlight w:val="none"/>
        </w:rPr>
      </w:pPr>
      <w:bookmarkStart w:id="803" w:name="_Toc3277"/>
      <w:bookmarkStart w:id="804" w:name="_Toc30568"/>
      <w:bookmarkStart w:id="805" w:name="_Toc12380"/>
      <w:bookmarkStart w:id="806" w:name="_Toc300678561"/>
      <w:r>
        <w:rPr>
          <w:rFonts w:hint="eastAsia" w:ascii="Times New Roman" w:hAnsi="Times New Roman" w:eastAsia="黑体"/>
          <w:b/>
          <w:bCs/>
          <w:color w:val="auto"/>
          <w:sz w:val="30"/>
          <w:highlight w:val="none"/>
          <w:lang w:eastAsia="zh-CN"/>
        </w:rPr>
        <w:t>（</w:t>
      </w:r>
      <w:r>
        <w:rPr>
          <w:rFonts w:hint="eastAsia" w:ascii="Times New Roman" w:hAnsi="Times New Roman" w:eastAsia="黑体"/>
          <w:b/>
          <w:bCs/>
          <w:color w:val="auto"/>
          <w:sz w:val="30"/>
          <w:highlight w:val="none"/>
          <w:lang w:val="en-US" w:eastAsia="zh-CN"/>
        </w:rPr>
        <w:t>略</w:t>
      </w:r>
      <w:r>
        <w:rPr>
          <w:rFonts w:hint="eastAsia" w:ascii="Times New Roman" w:hAnsi="Times New Roman" w:eastAsia="黑体"/>
          <w:b/>
          <w:bCs/>
          <w:color w:val="auto"/>
          <w:sz w:val="30"/>
          <w:highlight w:val="none"/>
          <w:lang w:eastAsia="zh-CN"/>
        </w:rPr>
        <w:t>）</w:t>
      </w:r>
      <w:bookmarkEnd w:id="803"/>
      <w:bookmarkEnd w:id="804"/>
      <w:bookmarkEnd w:id="805"/>
    </w:p>
    <w:p w14:paraId="7E00AA8C">
      <w:pPr>
        <w:pStyle w:val="3"/>
        <w:jc w:val="center"/>
        <w:rPr>
          <w:rFonts w:ascii="Times New Roman" w:hAnsi="Times New Roman" w:eastAsia="黑体"/>
          <w:b w:val="0"/>
          <w:bCs w:val="0"/>
          <w:color w:val="auto"/>
          <w:sz w:val="30"/>
          <w:highlight w:val="none"/>
        </w:rPr>
      </w:pPr>
      <w:bookmarkStart w:id="807" w:name="_Toc19734"/>
      <w:bookmarkStart w:id="808" w:name="_Toc23037"/>
      <w:bookmarkStart w:id="809" w:name="_Toc21505452"/>
      <w:bookmarkStart w:id="810" w:name="_Toc9299"/>
      <w:r>
        <w:rPr>
          <w:rFonts w:ascii="Times New Roman" w:hAnsi="Times New Roman" w:eastAsia="黑体"/>
          <w:b w:val="0"/>
          <w:bCs w:val="0"/>
          <w:color w:val="auto"/>
          <w:sz w:val="30"/>
          <w:highlight w:val="none"/>
        </w:rPr>
        <w:t>第三节  适用的国家、行业以及地方规范、标准和规程</w:t>
      </w:r>
      <w:bookmarkEnd w:id="806"/>
      <w:bookmarkEnd w:id="807"/>
      <w:bookmarkEnd w:id="808"/>
      <w:bookmarkEnd w:id="809"/>
      <w:bookmarkEnd w:id="810"/>
    </w:p>
    <w:p w14:paraId="13183776">
      <w:pPr>
        <w:spacing w:before="0" w:line="225" w:lineRule="auto"/>
        <w:ind w:left="0"/>
        <w:rPr>
          <w:rFonts w:ascii="宋体" w:hAnsi="宋体" w:eastAsia="宋体" w:cs="宋体"/>
          <w:b/>
          <w:bCs/>
          <w:spacing w:val="5"/>
          <w:sz w:val="20"/>
          <w:szCs w:val="20"/>
        </w:rPr>
      </w:pPr>
      <w:r>
        <w:rPr>
          <w:color w:val="auto"/>
          <w:sz w:val="18"/>
          <w:szCs w:val="18"/>
          <w:highlight w:val="none"/>
        </w:rPr>
        <w:t xml:space="preserve"> 说明：本节内容只需列出规范、标准、规程等的名称、编号等内容。由招标人根据国家、行业和地方现行标准、规范和规程等，以及项目具体情况摘录。</w:t>
      </w:r>
      <w:bookmarkEnd w:id="797"/>
    </w:p>
    <w:p w14:paraId="21197523">
      <w:pPr>
        <w:spacing w:before="0" w:line="225" w:lineRule="auto"/>
        <w:ind w:left="0"/>
        <w:rPr>
          <w:rFonts w:ascii="宋体" w:hAnsi="宋体" w:eastAsia="宋体" w:cs="宋体"/>
          <w:b/>
          <w:bCs/>
          <w:spacing w:val="5"/>
          <w:sz w:val="20"/>
          <w:szCs w:val="20"/>
        </w:rPr>
      </w:pPr>
    </w:p>
    <w:p w14:paraId="0F614CDB">
      <w:pPr>
        <w:spacing w:before="0" w:line="225" w:lineRule="auto"/>
        <w:ind w:left="0"/>
        <w:rPr>
          <w:rFonts w:ascii="宋体" w:hAnsi="宋体" w:eastAsia="宋体" w:cs="宋体"/>
          <w:b/>
          <w:bCs/>
          <w:spacing w:val="5"/>
          <w:sz w:val="20"/>
          <w:szCs w:val="20"/>
        </w:rPr>
      </w:pPr>
    </w:p>
    <w:p w14:paraId="789EB964">
      <w:pPr>
        <w:spacing w:before="0" w:line="225" w:lineRule="auto"/>
        <w:ind w:left="0"/>
        <w:rPr>
          <w:rFonts w:ascii="宋体" w:hAnsi="宋体" w:eastAsia="宋体" w:cs="宋体"/>
          <w:b/>
          <w:bCs/>
          <w:spacing w:val="5"/>
          <w:sz w:val="20"/>
          <w:szCs w:val="20"/>
        </w:rPr>
      </w:pPr>
    </w:p>
    <w:p w14:paraId="7CF13CE9">
      <w:pPr>
        <w:spacing w:before="0" w:line="225" w:lineRule="auto"/>
        <w:ind w:left="0"/>
        <w:rPr>
          <w:rFonts w:ascii="宋体" w:hAnsi="宋体" w:eastAsia="宋体" w:cs="宋体"/>
          <w:b/>
          <w:bCs/>
          <w:spacing w:val="5"/>
          <w:sz w:val="20"/>
          <w:szCs w:val="20"/>
        </w:rPr>
      </w:pPr>
    </w:p>
    <w:p w14:paraId="796662A2">
      <w:pPr>
        <w:spacing w:before="0" w:line="225" w:lineRule="auto"/>
        <w:ind w:left="0"/>
        <w:rPr>
          <w:rFonts w:ascii="宋体" w:hAnsi="宋体" w:eastAsia="宋体" w:cs="宋体"/>
          <w:b/>
          <w:bCs/>
          <w:spacing w:val="5"/>
          <w:sz w:val="20"/>
          <w:szCs w:val="20"/>
        </w:rPr>
      </w:pPr>
    </w:p>
    <w:p w14:paraId="066AA768">
      <w:pPr>
        <w:spacing w:before="0" w:line="225" w:lineRule="auto"/>
        <w:ind w:left="0"/>
        <w:rPr>
          <w:rFonts w:ascii="宋体" w:hAnsi="宋体" w:eastAsia="宋体" w:cs="宋体"/>
          <w:b/>
          <w:bCs/>
          <w:spacing w:val="5"/>
          <w:sz w:val="20"/>
          <w:szCs w:val="20"/>
        </w:rPr>
      </w:pPr>
    </w:p>
    <w:p w14:paraId="5EEC641E">
      <w:pPr>
        <w:spacing w:before="0" w:line="225" w:lineRule="auto"/>
        <w:ind w:left="0"/>
        <w:rPr>
          <w:rFonts w:ascii="宋体" w:hAnsi="宋体" w:eastAsia="宋体" w:cs="宋体"/>
          <w:b/>
          <w:bCs/>
          <w:spacing w:val="5"/>
          <w:sz w:val="20"/>
          <w:szCs w:val="20"/>
        </w:rPr>
      </w:pPr>
    </w:p>
    <w:p w14:paraId="7AE23980">
      <w:pPr>
        <w:spacing w:before="0" w:line="225" w:lineRule="auto"/>
        <w:ind w:left="0"/>
        <w:rPr>
          <w:rFonts w:ascii="宋体" w:hAnsi="宋体" w:eastAsia="宋体" w:cs="宋体"/>
          <w:b/>
          <w:bCs/>
          <w:spacing w:val="5"/>
          <w:sz w:val="20"/>
          <w:szCs w:val="20"/>
        </w:rPr>
      </w:pPr>
    </w:p>
    <w:p w14:paraId="5541FF06">
      <w:pPr>
        <w:spacing w:before="0" w:line="225" w:lineRule="auto"/>
        <w:ind w:left="0"/>
        <w:rPr>
          <w:rFonts w:ascii="宋体" w:hAnsi="宋体" w:eastAsia="宋体" w:cs="宋体"/>
          <w:b/>
          <w:bCs/>
          <w:spacing w:val="5"/>
          <w:sz w:val="20"/>
          <w:szCs w:val="20"/>
        </w:rPr>
      </w:pPr>
    </w:p>
    <w:p w14:paraId="4C233EE2">
      <w:pPr>
        <w:spacing w:before="0" w:line="225" w:lineRule="auto"/>
        <w:ind w:left="0"/>
        <w:rPr>
          <w:rFonts w:ascii="宋体" w:hAnsi="宋体" w:eastAsia="宋体" w:cs="宋体"/>
          <w:b/>
          <w:bCs/>
          <w:spacing w:val="5"/>
          <w:sz w:val="20"/>
          <w:szCs w:val="20"/>
        </w:rPr>
      </w:pPr>
    </w:p>
    <w:p w14:paraId="13C0873A">
      <w:pPr>
        <w:spacing w:before="0" w:line="225" w:lineRule="auto"/>
        <w:ind w:left="0"/>
        <w:rPr>
          <w:rFonts w:ascii="宋体" w:hAnsi="宋体" w:eastAsia="宋体" w:cs="宋体"/>
          <w:b/>
          <w:bCs/>
          <w:spacing w:val="5"/>
          <w:sz w:val="20"/>
          <w:szCs w:val="20"/>
        </w:rPr>
      </w:pPr>
    </w:p>
    <w:p w14:paraId="7F70306B">
      <w:pPr>
        <w:spacing w:before="0" w:line="225" w:lineRule="auto"/>
        <w:ind w:left="0"/>
        <w:rPr>
          <w:rFonts w:ascii="宋体" w:hAnsi="宋体" w:eastAsia="宋体" w:cs="宋体"/>
          <w:b/>
          <w:bCs/>
          <w:spacing w:val="5"/>
          <w:sz w:val="20"/>
          <w:szCs w:val="20"/>
        </w:rPr>
      </w:pPr>
    </w:p>
    <w:p w14:paraId="021D1F2C">
      <w:pPr>
        <w:spacing w:before="0" w:line="225" w:lineRule="auto"/>
        <w:ind w:left="0"/>
        <w:rPr>
          <w:rFonts w:ascii="宋体" w:hAnsi="宋体" w:eastAsia="宋体" w:cs="宋体"/>
          <w:b/>
          <w:bCs/>
          <w:spacing w:val="5"/>
          <w:sz w:val="20"/>
          <w:szCs w:val="20"/>
        </w:rPr>
      </w:pPr>
    </w:p>
    <w:p w14:paraId="38C6605B">
      <w:pPr>
        <w:spacing w:before="0" w:line="225" w:lineRule="auto"/>
        <w:ind w:left="0"/>
        <w:rPr>
          <w:rFonts w:ascii="宋体" w:hAnsi="宋体" w:eastAsia="宋体" w:cs="宋体"/>
          <w:b/>
          <w:bCs/>
          <w:spacing w:val="5"/>
          <w:sz w:val="20"/>
          <w:szCs w:val="20"/>
        </w:rPr>
      </w:pPr>
    </w:p>
    <w:p w14:paraId="2246BAB5">
      <w:pPr>
        <w:spacing w:before="0" w:line="225" w:lineRule="auto"/>
        <w:ind w:left="0"/>
        <w:rPr>
          <w:rFonts w:ascii="宋体" w:hAnsi="宋体" w:eastAsia="宋体" w:cs="宋体"/>
          <w:b/>
          <w:bCs/>
          <w:spacing w:val="5"/>
          <w:sz w:val="20"/>
          <w:szCs w:val="20"/>
        </w:rPr>
      </w:pPr>
    </w:p>
    <w:p w14:paraId="7AABC3AD">
      <w:pPr>
        <w:spacing w:before="0" w:line="225" w:lineRule="auto"/>
        <w:ind w:left="0"/>
        <w:rPr>
          <w:rFonts w:ascii="宋体" w:hAnsi="宋体" w:eastAsia="宋体" w:cs="宋体"/>
          <w:b/>
          <w:bCs/>
          <w:spacing w:val="5"/>
          <w:sz w:val="20"/>
          <w:szCs w:val="20"/>
        </w:rPr>
      </w:pPr>
    </w:p>
    <w:p w14:paraId="42CE454D">
      <w:pPr>
        <w:spacing w:before="0" w:line="225" w:lineRule="auto"/>
        <w:ind w:left="0"/>
        <w:rPr>
          <w:rFonts w:ascii="宋体" w:hAnsi="宋体" w:eastAsia="宋体" w:cs="宋体"/>
          <w:b/>
          <w:bCs/>
          <w:spacing w:val="5"/>
          <w:sz w:val="20"/>
          <w:szCs w:val="20"/>
        </w:rPr>
      </w:pPr>
    </w:p>
    <w:p w14:paraId="6871C3BB">
      <w:pPr>
        <w:spacing w:before="0" w:line="225" w:lineRule="auto"/>
        <w:ind w:left="0"/>
        <w:rPr>
          <w:rFonts w:ascii="宋体" w:hAnsi="宋体" w:eastAsia="宋体" w:cs="宋体"/>
          <w:b/>
          <w:bCs/>
          <w:spacing w:val="5"/>
          <w:sz w:val="20"/>
          <w:szCs w:val="20"/>
        </w:rPr>
      </w:pPr>
    </w:p>
    <w:p w14:paraId="4C5EFD43">
      <w:pPr>
        <w:spacing w:before="0" w:line="225" w:lineRule="auto"/>
        <w:ind w:left="0"/>
        <w:rPr>
          <w:rFonts w:ascii="宋体" w:hAnsi="宋体" w:eastAsia="宋体" w:cs="宋体"/>
          <w:b/>
          <w:bCs/>
          <w:spacing w:val="5"/>
          <w:sz w:val="20"/>
          <w:szCs w:val="20"/>
        </w:rPr>
      </w:pPr>
    </w:p>
    <w:p w14:paraId="34C30226">
      <w:pPr>
        <w:spacing w:before="0" w:line="225" w:lineRule="auto"/>
        <w:ind w:left="0"/>
        <w:rPr>
          <w:rFonts w:ascii="宋体" w:hAnsi="宋体" w:eastAsia="宋体" w:cs="宋体"/>
          <w:b/>
          <w:bCs/>
          <w:spacing w:val="5"/>
          <w:sz w:val="20"/>
          <w:szCs w:val="20"/>
        </w:rPr>
      </w:pPr>
    </w:p>
    <w:p w14:paraId="192B126A">
      <w:pPr>
        <w:spacing w:before="0" w:line="225" w:lineRule="auto"/>
        <w:ind w:left="0"/>
        <w:rPr>
          <w:rFonts w:ascii="宋体" w:hAnsi="宋体" w:eastAsia="宋体" w:cs="宋体"/>
          <w:b/>
          <w:bCs/>
          <w:spacing w:val="5"/>
          <w:sz w:val="20"/>
          <w:szCs w:val="20"/>
        </w:rPr>
      </w:pPr>
    </w:p>
    <w:p w14:paraId="0DDBDE45">
      <w:pPr>
        <w:spacing w:before="0" w:line="225" w:lineRule="auto"/>
        <w:ind w:left="0"/>
        <w:rPr>
          <w:rFonts w:ascii="宋体" w:hAnsi="宋体" w:eastAsia="宋体" w:cs="宋体"/>
          <w:b/>
          <w:bCs/>
          <w:spacing w:val="5"/>
          <w:sz w:val="20"/>
          <w:szCs w:val="20"/>
        </w:rPr>
      </w:pPr>
    </w:p>
    <w:p w14:paraId="1759CC82">
      <w:pPr>
        <w:spacing w:before="0" w:line="225" w:lineRule="auto"/>
        <w:ind w:left="0"/>
        <w:rPr>
          <w:rFonts w:ascii="宋体" w:hAnsi="宋体" w:eastAsia="宋体" w:cs="宋体"/>
          <w:b/>
          <w:bCs/>
          <w:spacing w:val="5"/>
          <w:sz w:val="20"/>
          <w:szCs w:val="20"/>
        </w:rPr>
      </w:pPr>
    </w:p>
    <w:p w14:paraId="4EAD3FA7">
      <w:pPr>
        <w:spacing w:before="0" w:line="225" w:lineRule="auto"/>
        <w:ind w:left="0"/>
        <w:outlineLvl w:val="0"/>
        <w:rPr>
          <w:rFonts w:ascii="宋体" w:hAnsi="宋体" w:eastAsia="宋体" w:cs="宋体"/>
          <w:sz w:val="20"/>
          <w:szCs w:val="20"/>
        </w:rPr>
      </w:pPr>
      <w:bookmarkStart w:id="811" w:name="_Toc13534"/>
      <w:r>
        <w:rPr>
          <w:rFonts w:ascii="宋体" w:hAnsi="宋体" w:eastAsia="宋体" w:cs="宋体"/>
          <w:b/>
          <w:bCs/>
          <w:spacing w:val="5"/>
          <w:sz w:val="20"/>
          <w:szCs w:val="20"/>
        </w:rPr>
        <w:t>附件</w:t>
      </w:r>
      <w:r>
        <w:rPr>
          <w:rFonts w:ascii="宋体" w:hAnsi="宋体" w:eastAsia="宋体" w:cs="宋体"/>
          <w:spacing w:val="-32"/>
          <w:sz w:val="20"/>
          <w:szCs w:val="20"/>
        </w:rPr>
        <w:t xml:space="preserve"> </w:t>
      </w:r>
      <w:r>
        <w:rPr>
          <w:rFonts w:ascii="Calibri" w:hAnsi="Calibri" w:eastAsia="Calibri" w:cs="Calibri"/>
          <w:b/>
          <w:bCs/>
          <w:spacing w:val="5"/>
          <w:sz w:val="20"/>
          <w:szCs w:val="20"/>
        </w:rPr>
        <w:t>7-1</w:t>
      </w:r>
      <w:r>
        <w:rPr>
          <w:rFonts w:ascii="宋体" w:hAnsi="宋体" w:eastAsia="宋体" w:cs="宋体"/>
          <w:b/>
          <w:bCs/>
          <w:spacing w:val="5"/>
          <w:sz w:val="20"/>
          <w:szCs w:val="20"/>
        </w:rPr>
        <w:t>：施工现场现状平面图</w:t>
      </w:r>
      <w:bookmarkEnd w:id="811"/>
    </w:p>
    <w:p w14:paraId="15F61BAE">
      <w:pPr>
        <w:spacing w:before="24" w:line="346" w:lineRule="auto"/>
        <w:ind w:left="2" w:hanging="2"/>
        <w:rPr>
          <w:rFonts w:ascii="宋体" w:hAnsi="宋体" w:eastAsia="宋体" w:cs="宋体"/>
          <w:sz w:val="18"/>
          <w:szCs w:val="18"/>
        </w:rPr>
      </w:pPr>
      <w:r>
        <w:rPr>
          <w:rFonts w:ascii="宋体" w:hAnsi="宋体" w:eastAsia="宋体" w:cs="宋体"/>
          <w:spacing w:val="-1"/>
          <w:sz w:val="18"/>
          <w:szCs w:val="18"/>
        </w:rPr>
        <w:t>说明：该图由招标人准备，并作为招标文件本章的组成内容提供给投标人。</w:t>
      </w:r>
      <w:r>
        <w:rPr>
          <w:rFonts w:ascii="宋体" w:hAnsi="宋体" w:eastAsia="宋体" w:cs="宋体"/>
          <w:spacing w:val="-2"/>
          <w:sz w:val="18"/>
          <w:szCs w:val="18"/>
        </w:rPr>
        <w:t>图中应当标示本章第一节第</w:t>
      </w:r>
      <w:r>
        <w:rPr>
          <w:rFonts w:ascii="宋体" w:hAnsi="宋体" w:eastAsia="宋体" w:cs="宋体"/>
          <w:spacing w:val="-29"/>
          <w:sz w:val="18"/>
          <w:szCs w:val="18"/>
        </w:rPr>
        <w:t xml:space="preserve"> </w:t>
      </w:r>
      <w:r>
        <w:rPr>
          <w:rFonts w:ascii="Calibri" w:hAnsi="Calibri" w:eastAsia="Calibri" w:cs="Calibri"/>
          <w:spacing w:val="-2"/>
          <w:sz w:val="18"/>
          <w:szCs w:val="18"/>
        </w:rPr>
        <w:t>1.2.1</w:t>
      </w:r>
      <w:r>
        <w:rPr>
          <w:rFonts w:ascii="Calibri" w:hAnsi="Calibri" w:eastAsia="Calibri" w:cs="Calibri"/>
          <w:spacing w:val="13"/>
          <w:sz w:val="18"/>
          <w:szCs w:val="18"/>
        </w:rPr>
        <w:t xml:space="preserve"> </w:t>
      </w:r>
      <w:r>
        <w:rPr>
          <w:rFonts w:ascii="宋体" w:hAnsi="宋体" w:eastAsia="宋体" w:cs="宋体"/>
          <w:spacing w:val="-2"/>
          <w:sz w:val="18"/>
          <w:szCs w:val="18"/>
        </w:rPr>
        <w:t>项规定的内容，</w:t>
      </w:r>
      <w:r>
        <w:rPr>
          <w:rFonts w:ascii="宋体" w:hAnsi="宋体" w:eastAsia="宋体" w:cs="宋体"/>
          <w:sz w:val="18"/>
          <w:szCs w:val="18"/>
        </w:rPr>
        <w:t xml:space="preserve"> </w:t>
      </w:r>
      <w:r>
        <w:rPr>
          <w:rFonts w:ascii="宋体" w:hAnsi="宋体" w:eastAsia="宋体" w:cs="宋体"/>
          <w:spacing w:val="-2"/>
          <w:sz w:val="18"/>
          <w:szCs w:val="18"/>
        </w:rPr>
        <w:t>并做必要的文字说明。</w:t>
      </w:r>
    </w:p>
    <w:p w14:paraId="4489E0BD">
      <w:pPr>
        <w:spacing w:line="346" w:lineRule="auto"/>
        <w:rPr>
          <w:rFonts w:ascii="宋体" w:hAnsi="宋体" w:eastAsia="宋体" w:cs="宋体"/>
          <w:sz w:val="18"/>
          <w:szCs w:val="18"/>
        </w:rPr>
        <w:sectPr>
          <w:footerReference r:id="rId35" w:type="default"/>
          <w:pgSz w:w="11907" w:h="16840"/>
          <w:pgMar w:top="1008" w:right="1118" w:bottom="1029" w:left="1029" w:header="0" w:footer="850" w:gutter="0"/>
          <w:pgNumType w:fmt="decimal"/>
          <w:cols w:space="720" w:num="1"/>
        </w:sectPr>
      </w:pPr>
    </w:p>
    <w:p w14:paraId="286D6088">
      <w:pPr>
        <w:spacing w:before="63" w:line="225" w:lineRule="auto"/>
        <w:ind w:left="3376"/>
        <w:outlineLvl w:val="0"/>
        <w:rPr>
          <w:rFonts w:ascii="宋体" w:hAnsi="宋体" w:eastAsia="宋体" w:cs="宋体"/>
          <w:sz w:val="31"/>
          <w:szCs w:val="31"/>
        </w:rPr>
      </w:pPr>
      <w:bookmarkStart w:id="812" w:name="bookmark204"/>
      <w:bookmarkEnd w:id="812"/>
      <w:bookmarkStart w:id="813" w:name="bookmark203"/>
      <w:bookmarkEnd w:id="813"/>
      <w:bookmarkStart w:id="814" w:name="_Toc24004"/>
      <w:r>
        <w:rPr>
          <w:rFonts w:ascii="宋体" w:hAnsi="宋体" w:eastAsia="宋体" w:cs="宋体"/>
          <w:b/>
          <w:bCs/>
          <w:spacing w:val="-16"/>
          <w:sz w:val="31"/>
          <w:szCs w:val="31"/>
        </w:rPr>
        <w:t>第</w:t>
      </w:r>
      <w:r>
        <w:rPr>
          <w:rFonts w:ascii="宋体" w:hAnsi="宋体" w:eastAsia="宋体" w:cs="宋体"/>
          <w:spacing w:val="27"/>
          <w:sz w:val="31"/>
          <w:szCs w:val="31"/>
        </w:rPr>
        <w:t xml:space="preserve">  </w:t>
      </w:r>
      <w:r>
        <w:rPr>
          <w:rFonts w:ascii="宋体" w:hAnsi="宋体" w:eastAsia="宋体" w:cs="宋体"/>
          <w:b/>
          <w:bCs/>
          <w:spacing w:val="-16"/>
          <w:sz w:val="31"/>
          <w:szCs w:val="31"/>
        </w:rPr>
        <w:t>四</w:t>
      </w:r>
      <w:r>
        <w:rPr>
          <w:rFonts w:ascii="宋体" w:hAnsi="宋体" w:eastAsia="宋体" w:cs="宋体"/>
          <w:spacing w:val="13"/>
          <w:sz w:val="31"/>
          <w:szCs w:val="31"/>
        </w:rPr>
        <w:t xml:space="preserve">  </w:t>
      </w:r>
      <w:r>
        <w:rPr>
          <w:rFonts w:ascii="宋体" w:hAnsi="宋体" w:eastAsia="宋体" w:cs="宋体"/>
          <w:b/>
          <w:bCs/>
          <w:spacing w:val="-16"/>
          <w:sz w:val="31"/>
          <w:szCs w:val="31"/>
        </w:rPr>
        <w:t>卷</w:t>
      </w:r>
      <w:bookmarkEnd w:id="814"/>
    </w:p>
    <w:p w14:paraId="2E19D992">
      <w:pPr>
        <w:spacing w:line="225" w:lineRule="auto"/>
        <w:rPr>
          <w:rFonts w:ascii="宋体" w:hAnsi="宋体" w:eastAsia="宋体" w:cs="宋体"/>
          <w:sz w:val="31"/>
          <w:szCs w:val="31"/>
        </w:rPr>
        <w:sectPr>
          <w:footerReference r:id="rId36" w:type="default"/>
          <w:pgSz w:w="11907" w:h="16840"/>
          <w:pgMar w:top="1004" w:right="1786" w:bottom="1029" w:left="1786" w:header="0" w:footer="850" w:gutter="0"/>
          <w:pgNumType w:fmt="decimal"/>
          <w:cols w:space="720" w:num="1"/>
        </w:sectPr>
      </w:pPr>
    </w:p>
    <w:p w14:paraId="103EF95D">
      <w:pPr>
        <w:spacing w:before="63" w:line="224" w:lineRule="auto"/>
        <w:ind w:left="2575"/>
        <w:outlineLvl w:val="0"/>
        <w:rPr>
          <w:rFonts w:ascii="宋体" w:hAnsi="宋体" w:eastAsia="宋体" w:cs="宋体"/>
          <w:sz w:val="31"/>
          <w:szCs w:val="31"/>
        </w:rPr>
      </w:pPr>
      <w:bookmarkStart w:id="815" w:name="bookmark205"/>
      <w:bookmarkEnd w:id="815"/>
      <w:bookmarkStart w:id="816" w:name="bookmark206"/>
      <w:bookmarkEnd w:id="816"/>
      <w:bookmarkStart w:id="817" w:name="_Toc12843"/>
      <w:r>
        <w:rPr>
          <w:rFonts w:ascii="宋体" w:hAnsi="宋体" w:eastAsia="宋体" w:cs="宋体"/>
          <w:b/>
          <w:bCs/>
          <w:spacing w:val="5"/>
          <w:sz w:val="31"/>
          <w:szCs w:val="31"/>
        </w:rPr>
        <w:t>第八章</w:t>
      </w:r>
      <w:r>
        <w:rPr>
          <w:rFonts w:ascii="宋体" w:hAnsi="宋体" w:eastAsia="宋体" w:cs="宋体"/>
          <w:spacing w:val="5"/>
          <w:sz w:val="31"/>
          <w:szCs w:val="31"/>
        </w:rPr>
        <w:t xml:space="preserve">  </w:t>
      </w:r>
      <w:r>
        <w:rPr>
          <w:rFonts w:ascii="宋体" w:hAnsi="宋体" w:eastAsia="宋体" w:cs="宋体"/>
          <w:b/>
          <w:bCs/>
          <w:spacing w:val="5"/>
          <w:sz w:val="31"/>
          <w:szCs w:val="31"/>
        </w:rPr>
        <w:t>投标文件格式</w:t>
      </w:r>
      <w:bookmarkEnd w:id="817"/>
    </w:p>
    <w:p w14:paraId="60B02FD0">
      <w:pPr>
        <w:spacing w:before="63" w:line="225" w:lineRule="auto"/>
        <w:ind w:left="2733"/>
        <w:outlineLvl w:val="1"/>
        <w:rPr>
          <w:rFonts w:ascii="宋体" w:hAnsi="宋体" w:eastAsia="宋体" w:cs="宋体"/>
          <w:sz w:val="31"/>
          <w:szCs w:val="31"/>
        </w:rPr>
      </w:pPr>
      <w:bookmarkStart w:id="818" w:name="bookmark207"/>
      <w:bookmarkEnd w:id="818"/>
      <w:bookmarkStart w:id="819" w:name="bookmark208"/>
      <w:bookmarkEnd w:id="819"/>
      <w:bookmarkStart w:id="820" w:name="_Toc27552"/>
      <w:r>
        <w:rPr>
          <w:rFonts w:ascii="宋体" w:hAnsi="宋体" w:eastAsia="宋体" w:cs="宋体"/>
          <w:b/>
          <w:bCs/>
          <w:spacing w:val="6"/>
          <w:sz w:val="31"/>
          <w:szCs w:val="31"/>
        </w:rPr>
        <w:t>第一节</w:t>
      </w:r>
      <w:r>
        <w:rPr>
          <w:rFonts w:ascii="宋体" w:hAnsi="宋体" w:eastAsia="宋体" w:cs="宋体"/>
          <w:spacing w:val="6"/>
          <w:sz w:val="31"/>
          <w:szCs w:val="31"/>
        </w:rPr>
        <w:t xml:space="preserve">  </w:t>
      </w:r>
      <w:r>
        <w:rPr>
          <w:rFonts w:ascii="宋体" w:hAnsi="宋体" w:eastAsia="宋体" w:cs="宋体"/>
          <w:b/>
          <w:bCs/>
          <w:spacing w:val="6"/>
          <w:sz w:val="31"/>
          <w:szCs w:val="31"/>
        </w:rPr>
        <w:t>投标函格式</w:t>
      </w:r>
      <w:bookmarkEnd w:id="820"/>
    </w:p>
    <w:p w14:paraId="48CE1129">
      <w:pPr>
        <w:spacing w:line="225" w:lineRule="auto"/>
        <w:rPr>
          <w:rFonts w:ascii="宋体" w:hAnsi="宋体" w:eastAsia="宋体" w:cs="宋体"/>
          <w:sz w:val="31"/>
          <w:szCs w:val="31"/>
        </w:rPr>
        <w:sectPr>
          <w:pgSz w:w="11907" w:h="16840"/>
          <w:pgMar w:top="1261" w:right="1786" w:bottom="1029" w:left="1786" w:header="0" w:footer="850" w:gutter="0"/>
          <w:pgNumType w:fmt="decimal"/>
          <w:cols w:space="720" w:num="1"/>
        </w:sectPr>
      </w:pPr>
    </w:p>
    <w:p w14:paraId="78B59E62">
      <w:pPr>
        <w:tabs>
          <w:tab w:val="left" w:pos="3605"/>
        </w:tabs>
        <w:spacing w:before="301" w:line="222" w:lineRule="auto"/>
        <w:ind w:left="1925"/>
        <w:outlineLvl w:val="2"/>
        <w:rPr>
          <w:rFonts w:ascii="黑体" w:hAnsi="黑体" w:eastAsia="黑体" w:cs="黑体"/>
          <w:sz w:val="28"/>
          <w:szCs w:val="28"/>
        </w:rPr>
      </w:pPr>
      <w:r>
        <w:rPr>
          <w:rFonts w:ascii="黑体" w:hAnsi="黑体" w:eastAsia="黑体" w:cs="黑体"/>
          <w:sz w:val="28"/>
          <w:szCs w:val="28"/>
          <w:u w:val="single" w:color="auto"/>
        </w:rPr>
        <w:tab/>
      </w:r>
      <w:bookmarkStart w:id="821" w:name="_Toc28538"/>
      <w:r>
        <w:rPr>
          <w:rFonts w:ascii="黑体" w:hAnsi="黑体" w:eastAsia="黑体" w:cs="黑体"/>
          <w:sz w:val="28"/>
          <w:szCs w:val="28"/>
        </w:rPr>
        <w:t>（项目名称）施工招标</w:t>
      </w:r>
      <w:bookmarkEnd w:id="821"/>
    </w:p>
    <w:p w14:paraId="5DB8269E">
      <w:pPr>
        <w:spacing w:before="363" w:line="225" w:lineRule="auto"/>
        <w:ind w:left="2641"/>
        <w:rPr>
          <w:rFonts w:ascii="黑体" w:hAnsi="黑体" w:eastAsia="黑体" w:cs="黑体"/>
          <w:sz w:val="43"/>
          <w:szCs w:val="43"/>
        </w:rPr>
      </w:pPr>
      <w:r>
        <w:rPr>
          <w:rFonts w:ascii="黑体" w:hAnsi="黑体" w:eastAsia="黑体" w:cs="黑体"/>
          <w:spacing w:val="-5"/>
          <w:sz w:val="43"/>
          <w:szCs w:val="43"/>
        </w:rPr>
        <w:t>投</w:t>
      </w:r>
      <w:r>
        <w:rPr>
          <w:rFonts w:ascii="黑体" w:hAnsi="黑体" w:eastAsia="黑体" w:cs="黑体"/>
          <w:spacing w:val="9"/>
          <w:sz w:val="43"/>
          <w:szCs w:val="43"/>
        </w:rPr>
        <w:t xml:space="preserve">  </w:t>
      </w:r>
      <w:r>
        <w:rPr>
          <w:rFonts w:ascii="黑体" w:hAnsi="黑体" w:eastAsia="黑体" w:cs="黑体"/>
          <w:spacing w:val="-5"/>
          <w:sz w:val="43"/>
          <w:szCs w:val="43"/>
        </w:rPr>
        <w:t>标</w:t>
      </w:r>
      <w:r>
        <w:rPr>
          <w:rFonts w:ascii="黑体" w:hAnsi="黑体" w:eastAsia="黑体" w:cs="黑体"/>
          <w:spacing w:val="17"/>
          <w:sz w:val="43"/>
          <w:szCs w:val="43"/>
        </w:rPr>
        <w:t xml:space="preserve">  </w:t>
      </w:r>
      <w:r>
        <w:rPr>
          <w:rFonts w:ascii="黑体" w:hAnsi="黑体" w:eastAsia="黑体" w:cs="黑体"/>
          <w:spacing w:val="-5"/>
          <w:sz w:val="43"/>
          <w:szCs w:val="43"/>
        </w:rPr>
        <w:t>文</w:t>
      </w:r>
      <w:r>
        <w:rPr>
          <w:rFonts w:ascii="黑体" w:hAnsi="黑体" w:eastAsia="黑体" w:cs="黑体"/>
          <w:spacing w:val="13"/>
          <w:sz w:val="43"/>
          <w:szCs w:val="43"/>
        </w:rPr>
        <w:t xml:space="preserve">  </w:t>
      </w:r>
      <w:r>
        <w:rPr>
          <w:rFonts w:ascii="黑体" w:hAnsi="黑体" w:eastAsia="黑体" w:cs="黑体"/>
          <w:spacing w:val="-5"/>
          <w:sz w:val="43"/>
          <w:szCs w:val="43"/>
        </w:rPr>
        <w:t>件</w:t>
      </w:r>
    </w:p>
    <w:p w14:paraId="48D9B831">
      <w:pPr>
        <w:spacing w:before="29" w:line="227" w:lineRule="auto"/>
        <w:ind w:left="2924"/>
        <w:rPr>
          <w:rFonts w:ascii="黑体" w:hAnsi="黑体" w:eastAsia="黑体" w:cs="黑体"/>
          <w:sz w:val="31"/>
          <w:szCs w:val="31"/>
        </w:rPr>
      </w:pPr>
      <w:r>
        <w:rPr>
          <w:rFonts w:ascii="黑体" w:hAnsi="黑体" w:eastAsia="黑体" w:cs="黑体"/>
          <w:spacing w:val="3"/>
          <w:sz w:val="31"/>
          <w:szCs w:val="31"/>
        </w:rPr>
        <w:t>（投标函及附录）</w:t>
      </w:r>
    </w:p>
    <w:p w14:paraId="48E5E85B">
      <w:pPr>
        <w:pStyle w:val="6"/>
        <w:spacing w:line="251" w:lineRule="auto"/>
      </w:pPr>
    </w:p>
    <w:p w14:paraId="468877F6">
      <w:pPr>
        <w:pStyle w:val="6"/>
        <w:spacing w:line="251" w:lineRule="auto"/>
      </w:pPr>
    </w:p>
    <w:p w14:paraId="7317FC98">
      <w:pPr>
        <w:pStyle w:val="6"/>
        <w:spacing w:line="251" w:lineRule="auto"/>
      </w:pPr>
    </w:p>
    <w:p w14:paraId="2D5D3C97">
      <w:pPr>
        <w:pStyle w:val="6"/>
        <w:spacing w:line="251" w:lineRule="auto"/>
      </w:pPr>
    </w:p>
    <w:p w14:paraId="157ADA8B">
      <w:pPr>
        <w:pStyle w:val="6"/>
        <w:spacing w:line="251" w:lineRule="auto"/>
      </w:pPr>
    </w:p>
    <w:p w14:paraId="26A987E6">
      <w:pPr>
        <w:pStyle w:val="6"/>
        <w:spacing w:line="251" w:lineRule="auto"/>
      </w:pPr>
    </w:p>
    <w:p w14:paraId="0FFFE156">
      <w:pPr>
        <w:pStyle w:val="6"/>
        <w:spacing w:line="251" w:lineRule="auto"/>
      </w:pPr>
    </w:p>
    <w:p w14:paraId="37D573A7">
      <w:pPr>
        <w:pStyle w:val="6"/>
        <w:spacing w:line="251" w:lineRule="auto"/>
      </w:pPr>
    </w:p>
    <w:p w14:paraId="6457E1D9">
      <w:pPr>
        <w:pStyle w:val="6"/>
        <w:spacing w:line="251" w:lineRule="auto"/>
      </w:pPr>
    </w:p>
    <w:p w14:paraId="273AD3D2">
      <w:pPr>
        <w:pStyle w:val="6"/>
        <w:spacing w:line="251" w:lineRule="auto"/>
      </w:pPr>
    </w:p>
    <w:p w14:paraId="1365B4D3">
      <w:pPr>
        <w:pStyle w:val="6"/>
        <w:spacing w:line="251" w:lineRule="auto"/>
      </w:pPr>
    </w:p>
    <w:p w14:paraId="503D11E8">
      <w:pPr>
        <w:pStyle w:val="6"/>
        <w:spacing w:line="251" w:lineRule="auto"/>
      </w:pPr>
    </w:p>
    <w:p w14:paraId="6C75D01C">
      <w:pPr>
        <w:pStyle w:val="6"/>
        <w:spacing w:line="251" w:lineRule="auto"/>
      </w:pPr>
    </w:p>
    <w:p w14:paraId="292BB7FB">
      <w:pPr>
        <w:pStyle w:val="6"/>
        <w:spacing w:line="251" w:lineRule="auto"/>
      </w:pPr>
    </w:p>
    <w:p w14:paraId="165C2BC1">
      <w:pPr>
        <w:pStyle w:val="6"/>
        <w:spacing w:line="252" w:lineRule="auto"/>
      </w:pPr>
    </w:p>
    <w:p w14:paraId="72138C51">
      <w:pPr>
        <w:pStyle w:val="6"/>
        <w:spacing w:line="252" w:lineRule="auto"/>
      </w:pPr>
    </w:p>
    <w:p w14:paraId="3A8701CE">
      <w:pPr>
        <w:spacing w:before="78" w:line="222" w:lineRule="auto"/>
        <w:ind w:left="561"/>
        <w:rPr>
          <w:rFonts w:ascii="黑体" w:hAnsi="黑体" w:eastAsia="黑体" w:cs="黑体"/>
          <w:sz w:val="24"/>
          <w:szCs w:val="24"/>
        </w:rPr>
      </w:pPr>
      <w:r>
        <w:rPr>
          <w:rFonts w:ascii="黑体" w:hAnsi="黑体" w:eastAsia="黑体" w:cs="黑体"/>
          <w:spacing w:val="2"/>
          <w:sz w:val="24"/>
          <w:szCs w:val="24"/>
        </w:rPr>
        <w:t>投标人</w:t>
      </w:r>
      <w:r>
        <w:rPr>
          <w:rFonts w:ascii="黑体" w:hAnsi="黑体" w:eastAsia="黑体" w:cs="黑体"/>
          <w:spacing w:val="-13"/>
          <w:sz w:val="24"/>
          <w:szCs w:val="24"/>
        </w:rPr>
        <w:t>：</w:t>
      </w:r>
      <w:r>
        <w:rPr>
          <w:rFonts w:ascii="黑体" w:hAnsi="黑体" w:eastAsia="黑体" w:cs="黑体"/>
          <w:sz w:val="24"/>
          <w:szCs w:val="24"/>
          <w:u w:val="single" w:color="auto"/>
        </w:rPr>
        <w:t xml:space="preserve">                                     </w:t>
      </w:r>
      <w:r>
        <w:rPr>
          <w:rFonts w:ascii="黑体" w:hAnsi="黑体" w:eastAsia="黑体" w:cs="黑体"/>
          <w:spacing w:val="-13"/>
          <w:sz w:val="24"/>
          <w:szCs w:val="24"/>
        </w:rPr>
        <w:t>（</w:t>
      </w:r>
      <w:r>
        <w:rPr>
          <w:rFonts w:ascii="黑体" w:hAnsi="黑体" w:eastAsia="黑体" w:cs="黑体"/>
          <w:spacing w:val="2"/>
          <w:sz w:val="24"/>
          <w:szCs w:val="24"/>
        </w:rPr>
        <w:t>盖单位章）</w:t>
      </w:r>
    </w:p>
    <w:p w14:paraId="326858A5">
      <w:pPr>
        <w:spacing w:line="222" w:lineRule="auto"/>
        <w:rPr>
          <w:rFonts w:ascii="黑体" w:hAnsi="黑体" w:eastAsia="黑体" w:cs="黑体"/>
          <w:sz w:val="24"/>
          <w:szCs w:val="24"/>
        </w:rPr>
        <w:sectPr>
          <w:footerReference r:id="rId37" w:type="default"/>
          <w:pgSz w:w="11907" w:h="16840"/>
          <w:pgMar w:top="1431" w:right="1786" w:bottom="1029" w:left="1786" w:header="0" w:footer="850" w:gutter="0"/>
          <w:pgNumType w:fmt="decimal"/>
          <w:cols w:space="720" w:num="1"/>
        </w:sectPr>
      </w:pPr>
    </w:p>
    <w:p w14:paraId="68C14579">
      <w:pPr>
        <w:pStyle w:val="3"/>
        <w:spacing w:before="0" w:after="0" w:line="240" w:lineRule="auto"/>
        <w:jc w:val="center"/>
        <w:rPr>
          <w:rFonts w:ascii="Times New Roman" w:hAnsi="Times New Roman" w:eastAsia="黑体"/>
          <w:b w:val="0"/>
          <w:bCs w:val="0"/>
          <w:color w:val="auto"/>
          <w:sz w:val="36"/>
          <w:szCs w:val="36"/>
          <w:highlight w:val="none"/>
        </w:rPr>
      </w:pPr>
      <w:bookmarkStart w:id="822" w:name="_Toc80006151"/>
      <w:bookmarkStart w:id="823" w:name="_Toc9178578"/>
      <w:bookmarkStart w:id="824" w:name="_Toc5804"/>
      <w:bookmarkStart w:id="825" w:name="_Toc80006261"/>
      <w:r>
        <w:rPr>
          <w:rFonts w:ascii="Times New Roman" w:hAnsi="Times New Roman" w:eastAsia="黑体"/>
          <w:b w:val="0"/>
          <w:bCs w:val="0"/>
          <w:color w:val="auto"/>
          <w:sz w:val="36"/>
          <w:szCs w:val="36"/>
          <w:highlight w:val="none"/>
        </w:rPr>
        <w:t>目    录</w:t>
      </w:r>
      <w:bookmarkEnd w:id="822"/>
      <w:bookmarkEnd w:id="823"/>
      <w:bookmarkEnd w:id="824"/>
      <w:bookmarkEnd w:id="825"/>
    </w:p>
    <w:p w14:paraId="101A6AEE">
      <w:pPr>
        <w:widowControl/>
        <w:rPr>
          <w:color w:val="auto"/>
          <w:szCs w:val="21"/>
          <w:highlight w:val="none"/>
        </w:rPr>
      </w:pPr>
    </w:p>
    <w:p w14:paraId="3BF8F906">
      <w:pPr>
        <w:spacing w:line="276" w:lineRule="auto"/>
        <w:ind w:firstLine="420" w:firstLineChars="200"/>
        <w:outlineLvl w:val="2"/>
        <w:rPr>
          <w:color w:val="auto"/>
          <w:highlight w:val="none"/>
        </w:rPr>
      </w:pPr>
      <w:bookmarkStart w:id="826" w:name="_Toc32385"/>
      <w:r>
        <w:rPr>
          <w:color w:val="auto"/>
          <w:highlight w:val="none"/>
        </w:rPr>
        <w:fldChar w:fldCharType="begin"/>
      </w:r>
      <w:r>
        <w:rPr>
          <w:color w:val="auto"/>
          <w:highlight w:val="none"/>
        </w:rPr>
        <w:instrText xml:space="preserve">HYPERLINK \l "_Toc300678567"</w:instrText>
      </w:r>
      <w:r>
        <w:rPr>
          <w:color w:val="auto"/>
          <w:highlight w:val="none"/>
        </w:rPr>
        <w:fldChar w:fldCharType="separate"/>
      </w:r>
      <w:r>
        <w:rPr>
          <w:rStyle w:val="13"/>
          <w:rFonts w:hint="eastAsia"/>
          <w:color w:val="auto"/>
          <w:highlight w:val="none"/>
          <w:u w:val="none"/>
        </w:rPr>
        <w:t>1.</w:t>
      </w:r>
      <w:r>
        <w:rPr>
          <w:rStyle w:val="13"/>
          <w:color w:val="auto"/>
          <w:highlight w:val="none"/>
          <w:u w:val="none"/>
        </w:rPr>
        <w:t>投标函及投标函附录</w:t>
      </w:r>
      <w:r>
        <w:rPr>
          <w:color w:val="auto"/>
          <w:highlight w:val="none"/>
        </w:rPr>
        <w:fldChar w:fldCharType="end"/>
      </w:r>
      <w:bookmarkEnd w:id="826"/>
    </w:p>
    <w:p w14:paraId="330DBBD6">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"_Toc300678568"</w:instrText>
      </w:r>
      <w:r>
        <w:rPr>
          <w:color w:val="auto"/>
          <w:highlight w:val="none"/>
        </w:rPr>
        <w:fldChar w:fldCharType="separate"/>
      </w:r>
      <w:r>
        <w:rPr>
          <w:rStyle w:val="13"/>
          <w:color w:val="auto"/>
          <w:highlight w:val="none"/>
          <w:u w:val="none"/>
        </w:rPr>
        <w:t>（</w:t>
      </w:r>
      <w:r>
        <w:rPr>
          <w:rStyle w:val="13"/>
          <w:rFonts w:hint="eastAsia"/>
          <w:color w:val="auto"/>
          <w:highlight w:val="none"/>
          <w:u w:val="none"/>
        </w:rPr>
        <w:t>1</w:t>
      </w:r>
      <w:r>
        <w:rPr>
          <w:rStyle w:val="13"/>
          <w:color w:val="auto"/>
          <w:highlight w:val="none"/>
          <w:u w:val="none"/>
        </w:rPr>
        <w:t>）投标函</w:t>
      </w:r>
      <w:r>
        <w:rPr>
          <w:color w:val="auto"/>
          <w:highlight w:val="none"/>
        </w:rPr>
        <w:fldChar w:fldCharType="end"/>
      </w:r>
    </w:p>
    <w:p w14:paraId="207E4DAA">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"_Toc300678569"</w:instrText>
      </w:r>
      <w:r>
        <w:rPr>
          <w:color w:val="auto"/>
          <w:highlight w:val="none"/>
        </w:rPr>
        <w:fldChar w:fldCharType="separate"/>
      </w:r>
      <w:r>
        <w:rPr>
          <w:rStyle w:val="13"/>
          <w:color w:val="auto"/>
          <w:highlight w:val="none"/>
          <w:u w:val="none"/>
        </w:rPr>
        <w:t>（</w:t>
      </w:r>
      <w:r>
        <w:rPr>
          <w:rStyle w:val="13"/>
          <w:rFonts w:hint="eastAsia"/>
          <w:color w:val="auto"/>
          <w:highlight w:val="none"/>
          <w:u w:val="none"/>
        </w:rPr>
        <w:t>2</w:t>
      </w:r>
      <w:r>
        <w:rPr>
          <w:rStyle w:val="13"/>
          <w:color w:val="auto"/>
          <w:highlight w:val="none"/>
          <w:u w:val="none"/>
        </w:rPr>
        <w:t>）投标函附录</w:t>
      </w:r>
      <w:r>
        <w:rPr>
          <w:color w:val="auto"/>
          <w:highlight w:val="none"/>
        </w:rPr>
        <w:fldChar w:fldCharType="end"/>
      </w:r>
    </w:p>
    <w:p w14:paraId="455E2767">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"_Toc300678570"</w:instrText>
      </w:r>
      <w:r>
        <w:rPr>
          <w:color w:val="auto"/>
          <w:highlight w:val="none"/>
        </w:rPr>
        <w:fldChar w:fldCharType="separate"/>
      </w:r>
      <w:r>
        <w:rPr>
          <w:rStyle w:val="13"/>
          <w:rFonts w:hint="eastAsia"/>
          <w:color w:val="auto"/>
          <w:highlight w:val="none"/>
          <w:u w:val="none"/>
        </w:rPr>
        <w:t>2.</w:t>
      </w:r>
      <w:r>
        <w:rPr>
          <w:rStyle w:val="13"/>
          <w:color w:val="auto"/>
          <w:highlight w:val="none"/>
          <w:u w:val="none"/>
        </w:rPr>
        <w:t>法定代表人身份证明</w:t>
      </w:r>
      <w:r>
        <w:rPr>
          <w:color w:val="auto"/>
          <w:highlight w:val="none"/>
        </w:rPr>
        <w:fldChar w:fldCharType="end"/>
      </w:r>
    </w:p>
    <w:p w14:paraId="0523FEB8">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"_Toc300678571"</w:instrText>
      </w:r>
      <w:r>
        <w:rPr>
          <w:color w:val="auto"/>
          <w:highlight w:val="none"/>
        </w:rPr>
        <w:fldChar w:fldCharType="separate"/>
      </w:r>
      <w:r>
        <w:rPr>
          <w:rStyle w:val="13"/>
          <w:rFonts w:hint="eastAsia"/>
          <w:color w:val="auto"/>
          <w:highlight w:val="none"/>
          <w:u w:val="none"/>
        </w:rPr>
        <w:t>3.</w:t>
      </w:r>
      <w:r>
        <w:rPr>
          <w:rStyle w:val="13"/>
          <w:color w:val="auto"/>
          <w:highlight w:val="none"/>
          <w:u w:val="none"/>
        </w:rPr>
        <w:t>授权委托书</w:t>
      </w:r>
      <w:r>
        <w:rPr>
          <w:color w:val="auto"/>
          <w:highlight w:val="none"/>
        </w:rPr>
        <w:fldChar w:fldCharType="end"/>
      </w:r>
      <w:r>
        <w:rPr>
          <w:color w:val="auto"/>
          <w:highlight w:val="none"/>
        </w:rPr>
        <w:t>（如有）</w:t>
      </w:r>
    </w:p>
    <w:p w14:paraId="5460428A">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"_Toc300678572"</w:instrText>
      </w:r>
      <w:r>
        <w:rPr>
          <w:color w:val="auto"/>
          <w:highlight w:val="none"/>
        </w:rPr>
        <w:fldChar w:fldCharType="separate"/>
      </w:r>
      <w:r>
        <w:rPr>
          <w:rStyle w:val="13"/>
          <w:rFonts w:hint="eastAsia"/>
          <w:color w:val="auto"/>
          <w:highlight w:val="none"/>
          <w:u w:val="none"/>
        </w:rPr>
        <w:t>4.</w:t>
      </w:r>
      <w:r>
        <w:rPr>
          <w:rStyle w:val="13"/>
          <w:rFonts w:hint="eastAsia"/>
          <w:color w:val="auto"/>
          <w:highlight w:val="none"/>
          <w:u w:val="none"/>
          <w:lang w:val="en-US" w:eastAsia="zh-CN"/>
        </w:rPr>
        <w:t>共同投标</w:t>
      </w:r>
      <w:r>
        <w:rPr>
          <w:rStyle w:val="13"/>
          <w:color w:val="auto"/>
          <w:highlight w:val="none"/>
          <w:u w:val="none"/>
        </w:rPr>
        <w:t>协议</w:t>
      </w:r>
      <w:r>
        <w:rPr>
          <w:color w:val="auto"/>
          <w:highlight w:val="none"/>
        </w:rPr>
        <w:fldChar w:fldCharType="end"/>
      </w:r>
      <w:r>
        <w:rPr>
          <w:color w:val="auto"/>
          <w:highlight w:val="none"/>
        </w:rPr>
        <w:t>（如有）</w:t>
      </w:r>
    </w:p>
    <w:p w14:paraId="4784D6C6">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"_Toc300678573"</w:instrText>
      </w:r>
      <w:r>
        <w:rPr>
          <w:color w:val="auto"/>
          <w:highlight w:val="none"/>
        </w:rPr>
        <w:fldChar w:fldCharType="separate"/>
      </w:r>
      <w:r>
        <w:rPr>
          <w:rStyle w:val="13"/>
          <w:rFonts w:hint="eastAsia"/>
          <w:color w:val="auto"/>
          <w:highlight w:val="none"/>
          <w:u w:val="none"/>
        </w:rPr>
        <w:t>5.</w:t>
      </w:r>
      <w:r>
        <w:rPr>
          <w:rStyle w:val="13"/>
          <w:color w:val="auto"/>
          <w:highlight w:val="none"/>
          <w:u w:val="none"/>
        </w:rPr>
        <w:t>投标保证</w:t>
      </w:r>
      <w:r>
        <w:rPr>
          <w:color w:val="auto"/>
          <w:highlight w:val="none"/>
        </w:rPr>
        <w:fldChar w:fldCharType="end"/>
      </w:r>
    </w:p>
    <w:p w14:paraId="7724013B">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"_Toc300678574"</w:instrText>
      </w:r>
      <w:r>
        <w:rPr>
          <w:color w:val="auto"/>
          <w:highlight w:val="none"/>
        </w:rPr>
        <w:fldChar w:fldCharType="separate"/>
      </w:r>
      <w:r>
        <w:rPr>
          <w:rStyle w:val="13"/>
          <w:rFonts w:hint="eastAsia"/>
          <w:color w:val="auto"/>
          <w:highlight w:val="none"/>
          <w:u w:val="none"/>
        </w:rPr>
        <w:t>6.</w:t>
      </w:r>
      <w:r>
        <w:rPr>
          <w:rStyle w:val="13"/>
          <w:color w:val="auto"/>
          <w:highlight w:val="none"/>
          <w:u w:val="none"/>
        </w:rPr>
        <w:t>项目管理机构</w:t>
      </w:r>
      <w:r>
        <w:rPr>
          <w:color w:val="auto"/>
          <w:highlight w:val="none"/>
        </w:rPr>
        <w:fldChar w:fldCharType="end"/>
      </w:r>
    </w:p>
    <w:p w14:paraId="574B9739">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"_Toc300678575"</w:instrText>
      </w:r>
      <w:r>
        <w:rPr>
          <w:color w:val="auto"/>
          <w:highlight w:val="none"/>
        </w:rPr>
        <w:fldChar w:fldCharType="separate"/>
      </w:r>
      <w:r>
        <w:rPr>
          <w:rStyle w:val="13"/>
          <w:color w:val="auto"/>
          <w:highlight w:val="none"/>
          <w:u w:val="none"/>
        </w:rPr>
        <w:t>（</w:t>
      </w:r>
      <w:r>
        <w:rPr>
          <w:rStyle w:val="13"/>
          <w:rFonts w:hint="eastAsia"/>
          <w:color w:val="auto"/>
          <w:highlight w:val="none"/>
          <w:u w:val="none"/>
        </w:rPr>
        <w:t>1</w:t>
      </w:r>
      <w:r>
        <w:rPr>
          <w:rStyle w:val="13"/>
          <w:color w:val="auto"/>
          <w:highlight w:val="none"/>
          <w:u w:val="none"/>
        </w:rPr>
        <w:t>）</w:t>
      </w:r>
      <w:bookmarkStart w:id="827" w:name="_Hlt11160713"/>
      <w:bookmarkEnd w:id="827"/>
      <w:bookmarkStart w:id="828" w:name="_Hlt11160712"/>
      <w:bookmarkEnd w:id="828"/>
      <w:r>
        <w:rPr>
          <w:rStyle w:val="13"/>
          <w:color w:val="auto"/>
          <w:highlight w:val="none"/>
          <w:u w:val="none"/>
        </w:rPr>
        <w:t>项目管理机构组成表</w:t>
      </w:r>
      <w:r>
        <w:rPr>
          <w:color w:val="auto"/>
          <w:highlight w:val="none"/>
        </w:rPr>
        <w:fldChar w:fldCharType="end"/>
      </w:r>
    </w:p>
    <w:p w14:paraId="49E35DED">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HYPERLINK \l "_Toc300678576"</w:instrText>
      </w:r>
      <w:r>
        <w:rPr>
          <w:color w:val="auto"/>
          <w:highlight w:val="none"/>
        </w:rPr>
        <w:fldChar w:fldCharType="separate"/>
      </w:r>
      <w:r>
        <w:rPr>
          <w:rStyle w:val="13"/>
          <w:color w:val="auto"/>
          <w:highlight w:val="none"/>
          <w:u w:val="none"/>
        </w:rPr>
        <w:t>（</w:t>
      </w:r>
      <w:r>
        <w:rPr>
          <w:rStyle w:val="13"/>
          <w:rFonts w:hint="eastAsia"/>
          <w:color w:val="auto"/>
          <w:highlight w:val="none"/>
          <w:u w:val="none"/>
        </w:rPr>
        <w:t>2</w:t>
      </w:r>
      <w:r>
        <w:rPr>
          <w:rStyle w:val="13"/>
          <w:color w:val="auto"/>
          <w:highlight w:val="none"/>
          <w:u w:val="none"/>
        </w:rPr>
        <w:t>）主要人员简历表</w:t>
      </w:r>
      <w:r>
        <w:rPr>
          <w:color w:val="auto"/>
          <w:highlight w:val="none"/>
        </w:rPr>
        <w:fldChar w:fldCharType="end"/>
      </w:r>
    </w:p>
    <w:p w14:paraId="0C96D697">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"_Toc300678577"</w:instrText>
      </w:r>
      <w:r>
        <w:rPr>
          <w:color w:val="auto"/>
          <w:highlight w:val="none"/>
        </w:rPr>
        <w:fldChar w:fldCharType="separate"/>
      </w:r>
      <w:r>
        <w:rPr>
          <w:rStyle w:val="13"/>
          <w:rFonts w:hint="eastAsia"/>
          <w:color w:val="auto"/>
          <w:highlight w:val="none"/>
          <w:u w:val="none"/>
        </w:rPr>
        <w:t>①拟任</w:t>
      </w:r>
      <w:r>
        <w:rPr>
          <w:rStyle w:val="13"/>
          <w:color w:val="auto"/>
          <w:highlight w:val="none"/>
          <w:u w:val="none"/>
        </w:rPr>
        <w:t>项目经理简历表</w:t>
      </w:r>
      <w:r>
        <w:rPr>
          <w:color w:val="auto"/>
          <w:highlight w:val="none"/>
        </w:rPr>
        <w:fldChar w:fldCharType="end"/>
      </w:r>
    </w:p>
    <w:p w14:paraId="17254AD4">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HYPERLINK \l "_Toc300678578"</w:instrText>
      </w:r>
      <w:r>
        <w:rPr>
          <w:color w:val="auto"/>
          <w:highlight w:val="none"/>
        </w:rPr>
        <w:fldChar w:fldCharType="separate"/>
      </w:r>
      <w:r>
        <w:rPr>
          <w:rStyle w:val="13"/>
          <w:rFonts w:hint="eastAsia"/>
          <w:color w:val="auto"/>
          <w:highlight w:val="none"/>
          <w:u w:val="none"/>
        </w:rPr>
        <w:t>②拟任</w:t>
      </w:r>
      <w:r>
        <w:rPr>
          <w:rStyle w:val="13"/>
          <w:color w:val="auto"/>
          <w:highlight w:val="none"/>
          <w:u w:val="none"/>
        </w:rPr>
        <w:t>技术负责人简历表</w:t>
      </w:r>
      <w:r>
        <w:rPr>
          <w:color w:val="auto"/>
          <w:highlight w:val="none"/>
        </w:rPr>
        <w:fldChar w:fldCharType="end"/>
      </w:r>
    </w:p>
    <w:p w14:paraId="254809FF">
      <w:pPr>
        <w:spacing w:line="276" w:lineRule="auto"/>
        <w:ind w:firstLine="840" w:firstLineChars="400"/>
        <w:rPr>
          <w:rFonts w:hint="eastAsia"/>
          <w:color w:val="auto"/>
          <w:highlight w:val="none"/>
        </w:rPr>
      </w:pPr>
      <w:r>
        <w:rPr>
          <w:rFonts w:hint="eastAsia"/>
          <w:color w:val="auto"/>
          <w:highlight w:val="none"/>
        </w:rPr>
        <w:t>（3）</w:t>
      </w:r>
      <w:r>
        <w:rPr>
          <w:color w:val="auto"/>
          <w:highlight w:val="none"/>
        </w:rPr>
        <w:t>项目管理机构自评表</w:t>
      </w:r>
    </w:p>
    <w:p w14:paraId="185762BA">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"_Toc300678579"</w:instrText>
      </w:r>
      <w:r>
        <w:rPr>
          <w:color w:val="auto"/>
          <w:highlight w:val="none"/>
        </w:rPr>
        <w:fldChar w:fldCharType="separate"/>
      </w:r>
      <w:r>
        <w:rPr>
          <w:rStyle w:val="13"/>
          <w:rFonts w:hint="eastAsia"/>
          <w:color w:val="auto"/>
          <w:highlight w:val="none"/>
          <w:u w:val="none"/>
        </w:rPr>
        <w:t>7.</w:t>
      </w:r>
      <w:r>
        <w:rPr>
          <w:rStyle w:val="13"/>
          <w:color w:val="auto"/>
          <w:highlight w:val="none"/>
          <w:u w:val="none"/>
        </w:rPr>
        <w:t>拟分包计划表</w:t>
      </w:r>
      <w:r>
        <w:rPr>
          <w:color w:val="auto"/>
          <w:highlight w:val="none"/>
        </w:rPr>
        <w:fldChar w:fldCharType="end"/>
      </w:r>
      <w:r>
        <w:rPr>
          <w:color w:val="auto"/>
          <w:highlight w:val="none"/>
        </w:rPr>
        <w:t>（如有）</w:t>
      </w:r>
    </w:p>
    <w:p w14:paraId="5066B0A8">
      <w:pPr>
        <w:spacing w:line="276" w:lineRule="auto"/>
        <w:ind w:firstLine="420" w:firstLineChars="200"/>
        <w:rPr>
          <w:rStyle w:val="13"/>
          <w:color w:val="auto"/>
          <w:highlight w:val="none"/>
          <w:u w:val="none"/>
        </w:rPr>
      </w:pPr>
      <w:r>
        <w:rPr>
          <w:color w:val="auto"/>
          <w:highlight w:val="none"/>
        </w:rPr>
        <w:fldChar w:fldCharType="begin"/>
      </w:r>
      <w:r>
        <w:rPr>
          <w:rStyle w:val="13"/>
          <w:color w:val="auto"/>
          <w:highlight w:val="none"/>
          <w:u w:val="none"/>
        </w:rPr>
        <w:instrText xml:space="preserve">HYPERLINK \l "_Toc300678580"</w:instrText>
      </w:r>
      <w:r>
        <w:rPr>
          <w:color w:val="auto"/>
          <w:highlight w:val="none"/>
        </w:rPr>
        <w:fldChar w:fldCharType="separate"/>
      </w:r>
      <w:r>
        <w:rPr>
          <w:rStyle w:val="13"/>
          <w:rFonts w:hint="eastAsia"/>
          <w:color w:val="auto"/>
          <w:highlight w:val="none"/>
          <w:u w:val="none"/>
        </w:rPr>
        <w:t>8.</w:t>
      </w:r>
      <w:r>
        <w:rPr>
          <w:rStyle w:val="13"/>
          <w:color w:val="auto"/>
          <w:highlight w:val="none"/>
          <w:u w:val="none"/>
        </w:rPr>
        <w:t>资格审查</w:t>
      </w:r>
      <w:r>
        <w:rPr>
          <w:rStyle w:val="13"/>
          <w:rFonts w:hint="eastAsia"/>
          <w:color w:val="auto"/>
          <w:highlight w:val="none"/>
          <w:u w:val="none"/>
        </w:rPr>
        <w:t>、信用等</w:t>
      </w:r>
      <w:r>
        <w:rPr>
          <w:rStyle w:val="13"/>
          <w:color w:val="auto"/>
          <w:highlight w:val="none"/>
          <w:u w:val="none"/>
        </w:rPr>
        <w:t>资料</w:t>
      </w:r>
      <w:r>
        <w:rPr>
          <w:color w:val="auto"/>
          <w:highlight w:val="none"/>
        </w:rPr>
        <w:fldChar w:fldCharType="end"/>
      </w:r>
    </w:p>
    <w:p w14:paraId="1E00078F">
      <w:pPr>
        <w:spacing w:line="276" w:lineRule="auto"/>
        <w:ind w:firstLine="1050" w:firstLineChars="500"/>
        <w:rPr>
          <w:rStyle w:val="13"/>
          <w:color w:val="auto"/>
          <w:highlight w:val="none"/>
          <w:u w:val="none"/>
        </w:rPr>
      </w:pPr>
      <w:r>
        <w:rPr>
          <w:color w:val="auto"/>
          <w:highlight w:val="none"/>
        </w:rPr>
        <w:fldChar w:fldCharType="begin"/>
      </w:r>
      <w:r>
        <w:rPr>
          <w:rStyle w:val="13"/>
          <w:color w:val="auto"/>
          <w:highlight w:val="none"/>
          <w:u w:val="none"/>
        </w:rPr>
        <w:instrText xml:space="preserve">HYPERLINK \l "_Toc300678581"</w:instrText>
      </w:r>
      <w:r>
        <w:rPr>
          <w:color w:val="auto"/>
          <w:highlight w:val="none"/>
        </w:rPr>
        <w:fldChar w:fldCharType="separate"/>
      </w:r>
      <w:r>
        <w:rPr>
          <w:rStyle w:val="13"/>
          <w:color w:val="auto"/>
          <w:highlight w:val="none"/>
          <w:u w:val="none"/>
        </w:rPr>
        <w:t>（</w:t>
      </w:r>
      <w:r>
        <w:rPr>
          <w:rStyle w:val="13"/>
          <w:rFonts w:hint="eastAsia"/>
          <w:color w:val="auto"/>
          <w:highlight w:val="none"/>
          <w:u w:val="none"/>
        </w:rPr>
        <w:t>1</w:t>
      </w:r>
      <w:r>
        <w:rPr>
          <w:rStyle w:val="13"/>
          <w:color w:val="auto"/>
          <w:highlight w:val="none"/>
          <w:u w:val="none"/>
        </w:rPr>
        <w:t>）投标人基本情况表</w:t>
      </w:r>
      <w:r>
        <w:rPr>
          <w:color w:val="auto"/>
          <w:highlight w:val="none"/>
        </w:rPr>
        <w:fldChar w:fldCharType="end"/>
      </w:r>
    </w:p>
    <w:p w14:paraId="1CD591B4">
      <w:pPr>
        <w:spacing w:line="276" w:lineRule="auto"/>
        <w:ind w:firstLine="1050" w:firstLineChars="500"/>
        <w:rPr>
          <w:rStyle w:val="13"/>
          <w:color w:val="auto"/>
          <w:highlight w:val="none"/>
          <w:u w:val="none"/>
        </w:rPr>
      </w:pPr>
      <w:r>
        <w:rPr>
          <w:color w:val="auto"/>
          <w:highlight w:val="none"/>
        </w:rPr>
        <w:fldChar w:fldCharType="begin"/>
      </w:r>
      <w:r>
        <w:rPr>
          <w:rStyle w:val="13"/>
          <w:color w:val="auto"/>
          <w:highlight w:val="none"/>
          <w:u w:val="none"/>
        </w:rPr>
        <w:instrText xml:space="preserve">HYPERLINK \l "_Toc300678582"</w:instrText>
      </w:r>
      <w:r>
        <w:rPr>
          <w:color w:val="auto"/>
          <w:highlight w:val="none"/>
        </w:rPr>
        <w:fldChar w:fldCharType="separate"/>
      </w:r>
      <w:r>
        <w:rPr>
          <w:rStyle w:val="13"/>
          <w:color w:val="auto"/>
          <w:highlight w:val="none"/>
          <w:u w:val="none"/>
        </w:rPr>
        <w:t>（</w:t>
      </w:r>
      <w:r>
        <w:rPr>
          <w:rStyle w:val="13"/>
          <w:rFonts w:hint="eastAsia"/>
          <w:color w:val="auto"/>
          <w:highlight w:val="none"/>
          <w:u w:val="none"/>
        </w:rPr>
        <w:t>2</w:t>
      </w:r>
      <w:r>
        <w:rPr>
          <w:rStyle w:val="13"/>
          <w:color w:val="auto"/>
          <w:highlight w:val="none"/>
          <w:u w:val="none"/>
        </w:rPr>
        <w:t>）</w:t>
      </w:r>
      <w:r>
        <w:rPr>
          <w:color w:val="auto"/>
          <w:highlight w:val="none"/>
        </w:rPr>
        <w:fldChar w:fldCharType="end"/>
      </w:r>
      <w:r>
        <w:rPr>
          <w:rStyle w:val="13"/>
          <w:color w:val="auto"/>
          <w:highlight w:val="none"/>
          <w:u w:val="none"/>
        </w:rPr>
        <w:t>投标人证件复印件</w:t>
      </w:r>
    </w:p>
    <w:p w14:paraId="5CC654C0">
      <w:pPr>
        <w:spacing w:line="276" w:lineRule="auto"/>
        <w:ind w:firstLine="1050" w:firstLineChars="500"/>
        <w:rPr>
          <w:rStyle w:val="13"/>
          <w:color w:val="auto"/>
          <w:highlight w:val="none"/>
          <w:u w:val="none"/>
        </w:rPr>
      </w:pPr>
      <w:r>
        <w:rPr>
          <w:color w:val="auto"/>
          <w:highlight w:val="none"/>
        </w:rPr>
        <w:fldChar w:fldCharType="begin"/>
      </w:r>
      <w:r>
        <w:rPr>
          <w:rStyle w:val="13"/>
          <w:color w:val="auto"/>
          <w:highlight w:val="none"/>
          <w:u w:val="none"/>
        </w:rPr>
        <w:instrText xml:space="preserve">HYPERLINK \l "_Toc300678584"</w:instrText>
      </w:r>
      <w:r>
        <w:rPr>
          <w:color w:val="auto"/>
          <w:highlight w:val="none"/>
        </w:rPr>
        <w:fldChar w:fldCharType="separate"/>
      </w:r>
      <w:r>
        <w:rPr>
          <w:rStyle w:val="13"/>
          <w:color w:val="auto"/>
          <w:highlight w:val="none"/>
          <w:u w:val="none"/>
        </w:rPr>
        <w:t>（</w:t>
      </w:r>
      <w:r>
        <w:rPr>
          <w:rStyle w:val="13"/>
          <w:rFonts w:hint="eastAsia"/>
          <w:color w:val="auto"/>
          <w:highlight w:val="none"/>
          <w:u w:val="none"/>
        </w:rPr>
        <w:t>3</w:t>
      </w:r>
      <w:r>
        <w:rPr>
          <w:rStyle w:val="13"/>
          <w:color w:val="auto"/>
          <w:highlight w:val="none"/>
          <w:u w:val="none"/>
        </w:rPr>
        <w:t>）</w:t>
      </w:r>
      <w:r>
        <w:rPr>
          <w:color w:val="auto"/>
          <w:highlight w:val="none"/>
        </w:rPr>
        <w:fldChar w:fldCharType="end"/>
      </w:r>
      <w:r>
        <w:rPr>
          <w:rStyle w:val="13"/>
          <w:color w:val="auto"/>
          <w:highlight w:val="none"/>
          <w:u w:val="none"/>
        </w:rPr>
        <w:t>近年完成的类似工程业绩情况表</w:t>
      </w:r>
    </w:p>
    <w:p w14:paraId="4D2FB7A5">
      <w:pPr>
        <w:spacing w:line="276" w:lineRule="auto"/>
        <w:ind w:firstLine="1050" w:firstLineChars="500"/>
        <w:rPr>
          <w:rStyle w:val="13"/>
          <w:color w:val="auto"/>
          <w:highlight w:val="none"/>
          <w:u w:val="none"/>
        </w:rPr>
      </w:pPr>
      <w:r>
        <w:rPr>
          <w:rStyle w:val="13"/>
          <w:color w:val="auto"/>
          <w:highlight w:val="none"/>
          <w:u w:val="none"/>
        </w:rPr>
        <w:t>（4）</w:t>
      </w:r>
      <w:r>
        <w:rPr>
          <w:rStyle w:val="13"/>
          <w:rFonts w:hint="eastAsia"/>
          <w:color w:val="auto"/>
          <w:highlight w:val="none"/>
          <w:u w:val="none"/>
        </w:rPr>
        <w:t>投标人奖项情况</w:t>
      </w:r>
    </w:p>
    <w:p w14:paraId="45950122">
      <w:pPr>
        <w:spacing w:line="276" w:lineRule="auto"/>
        <w:ind w:firstLine="1050" w:firstLineChars="500"/>
        <w:rPr>
          <w:rStyle w:val="13"/>
          <w:color w:val="auto"/>
          <w:highlight w:val="none"/>
          <w:u w:val="none"/>
        </w:rPr>
      </w:pPr>
      <w:r>
        <w:rPr>
          <w:rStyle w:val="13"/>
          <w:color w:val="auto"/>
          <w:highlight w:val="none"/>
          <w:u w:val="none"/>
        </w:rPr>
        <w:t>（5）投标人标准化工地情况</w:t>
      </w:r>
    </w:p>
    <w:p w14:paraId="662615F2">
      <w:pPr>
        <w:spacing w:line="276" w:lineRule="auto"/>
        <w:ind w:firstLine="1050" w:firstLineChars="500"/>
        <w:rPr>
          <w:rStyle w:val="13"/>
          <w:color w:val="auto"/>
          <w:highlight w:val="none"/>
          <w:u w:val="none"/>
        </w:rPr>
      </w:pPr>
      <w:r>
        <w:rPr>
          <w:color w:val="auto"/>
          <w:highlight w:val="none"/>
        </w:rPr>
        <w:fldChar w:fldCharType="begin"/>
      </w:r>
      <w:r>
        <w:rPr>
          <w:rStyle w:val="13"/>
          <w:color w:val="auto"/>
          <w:highlight w:val="none"/>
          <w:u w:val="none"/>
        </w:rPr>
        <w:instrText xml:space="preserve">HYPERLINK \l "_Toc300678586"</w:instrText>
      </w:r>
      <w:r>
        <w:rPr>
          <w:color w:val="auto"/>
          <w:highlight w:val="none"/>
        </w:rPr>
        <w:fldChar w:fldCharType="separate"/>
      </w:r>
      <w:r>
        <w:rPr>
          <w:rStyle w:val="13"/>
          <w:color w:val="auto"/>
          <w:highlight w:val="none"/>
          <w:u w:val="none"/>
        </w:rPr>
        <w:t>（6）</w:t>
      </w:r>
      <w:r>
        <w:rPr>
          <w:color w:val="auto"/>
          <w:highlight w:val="none"/>
        </w:rPr>
        <w:fldChar w:fldCharType="end"/>
      </w:r>
      <w:r>
        <w:rPr>
          <w:rStyle w:val="13"/>
          <w:color w:val="auto"/>
          <w:highlight w:val="none"/>
          <w:u w:val="none"/>
        </w:rPr>
        <w:t>投标人信用评价情况</w:t>
      </w:r>
    </w:p>
    <w:p w14:paraId="274F04EF">
      <w:pPr>
        <w:spacing w:line="276" w:lineRule="auto"/>
        <w:ind w:firstLine="1050" w:firstLineChars="500"/>
        <w:rPr>
          <w:rStyle w:val="13"/>
          <w:color w:val="auto"/>
          <w:highlight w:val="none"/>
          <w:u w:val="none"/>
        </w:rPr>
      </w:pPr>
      <w:r>
        <w:rPr>
          <w:rStyle w:val="13"/>
          <w:color w:val="auto"/>
          <w:highlight w:val="none"/>
          <w:u w:val="none"/>
        </w:rPr>
        <w:t>（7）投标人</w:t>
      </w:r>
      <w:r>
        <w:rPr>
          <w:rStyle w:val="13"/>
          <w:rFonts w:hint="eastAsia" w:ascii="Times New Roman" w:hAnsi="Times New Roman" w:eastAsia="宋体" w:cs="Times New Roman"/>
          <w:color w:val="auto"/>
          <w:highlight w:val="none"/>
          <w:u w:val="none"/>
        </w:rPr>
        <w:t>施工项目季度考评综合优良率</w:t>
      </w:r>
      <w:r>
        <w:rPr>
          <w:rStyle w:val="13"/>
          <w:rFonts w:ascii="Times New Roman" w:hAnsi="Times New Roman" w:eastAsia="宋体" w:cs="Times New Roman"/>
          <w:color w:val="auto"/>
          <w:highlight w:val="none"/>
          <w:u w:val="none"/>
        </w:rPr>
        <w:t>情况</w:t>
      </w:r>
    </w:p>
    <w:p w14:paraId="19F8FB49">
      <w:pPr>
        <w:spacing w:line="276" w:lineRule="auto"/>
        <w:ind w:firstLine="1050" w:firstLineChars="500"/>
        <w:rPr>
          <w:rStyle w:val="13"/>
          <w:color w:val="auto"/>
          <w:highlight w:val="none"/>
          <w:u w:val="none"/>
        </w:rPr>
      </w:pPr>
      <w:r>
        <w:rPr>
          <w:rStyle w:val="13"/>
          <w:color w:val="auto"/>
          <w:highlight w:val="none"/>
          <w:u w:val="none"/>
        </w:rPr>
        <w:t>（8）拟任</w:t>
      </w:r>
      <w:r>
        <w:rPr>
          <w:rStyle w:val="13"/>
          <w:rFonts w:hint="eastAsia"/>
          <w:color w:val="auto"/>
          <w:highlight w:val="none"/>
          <w:u w:val="none"/>
        </w:rPr>
        <w:t>项目经理</w:t>
      </w:r>
      <w:r>
        <w:rPr>
          <w:rStyle w:val="13"/>
          <w:rFonts w:hint="eastAsia"/>
          <w:color w:val="auto"/>
          <w:highlight w:val="none"/>
          <w:u w:val="none"/>
          <w:lang w:val="en-US" w:eastAsia="zh-CN"/>
        </w:rPr>
        <w:t>不良信用信息</w:t>
      </w:r>
      <w:r>
        <w:rPr>
          <w:rStyle w:val="13"/>
          <w:color w:val="auto"/>
          <w:highlight w:val="none"/>
          <w:u w:val="none"/>
        </w:rPr>
        <w:t>证明资料复印件</w:t>
      </w:r>
    </w:p>
    <w:p w14:paraId="5F5E3A35">
      <w:pPr>
        <w:spacing w:line="276" w:lineRule="auto"/>
        <w:ind w:firstLine="420" w:firstLineChars="200"/>
        <w:rPr>
          <w:rFonts w:hint="eastAsia"/>
          <w:color w:val="auto"/>
          <w:highlight w:val="none"/>
        </w:rPr>
      </w:pPr>
      <w:r>
        <w:rPr>
          <w:rFonts w:hint="eastAsia"/>
          <w:color w:val="auto"/>
          <w:highlight w:val="none"/>
        </w:rPr>
        <w:t>9</w:t>
      </w:r>
      <w:r>
        <w:rPr>
          <w:color w:val="auto"/>
          <w:highlight w:val="none"/>
        </w:rPr>
        <w:t>.</w:t>
      </w:r>
      <w:r>
        <w:rPr>
          <w:rFonts w:hint="eastAsia"/>
          <w:color w:val="auto"/>
          <w:highlight w:val="none"/>
        </w:rPr>
        <w:t>企业资信及履约能力（或业绩及信用）自评表</w:t>
      </w:r>
    </w:p>
    <w:p w14:paraId="6BE4B6C1">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"_Toc300678591"</w:instrText>
      </w:r>
      <w:r>
        <w:rPr>
          <w:color w:val="auto"/>
          <w:highlight w:val="none"/>
        </w:rPr>
        <w:fldChar w:fldCharType="separate"/>
      </w:r>
      <w:r>
        <w:rPr>
          <w:color w:val="auto"/>
          <w:highlight w:val="none"/>
        </w:rPr>
        <w:t>10.承诺书</w:t>
      </w:r>
      <w:r>
        <w:rPr>
          <w:color w:val="auto"/>
          <w:highlight w:val="none"/>
        </w:rPr>
        <w:fldChar w:fldCharType="end"/>
      </w:r>
    </w:p>
    <w:p w14:paraId="2286508F">
      <w:pPr>
        <w:spacing w:line="276" w:lineRule="auto"/>
        <w:ind w:firstLine="42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w:t>
      </w:r>
      <w:r>
        <w:rPr>
          <w:color w:val="auto"/>
          <w:highlight w:val="none"/>
        </w:rPr>
        <w:t>投标信息表</w:t>
      </w:r>
    </w:p>
    <w:p w14:paraId="4684E7F4">
      <w:pPr>
        <w:spacing w:line="276" w:lineRule="auto"/>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.其他</w:t>
      </w:r>
    </w:p>
    <w:p w14:paraId="37500794">
      <w:pPr>
        <w:spacing w:line="230" w:lineRule="auto"/>
        <w:rPr>
          <w:rFonts w:ascii="宋体" w:hAnsi="宋体" w:eastAsia="宋体" w:cs="宋体"/>
          <w:sz w:val="24"/>
          <w:szCs w:val="24"/>
        </w:rPr>
        <w:sectPr>
          <w:footerReference r:id="rId38" w:type="default"/>
          <w:pgSz w:w="11907" w:h="16840"/>
          <w:pgMar w:top="1004" w:right="1786" w:bottom="1029" w:left="1028" w:header="0" w:footer="850" w:gutter="0"/>
          <w:pgNumType w:fmt="decimal"/>
          <w:cols w:space="720" w:num="1"/>
        </w:sectPr>
      </w:pPr>
    </w:p>
    <w:p w14:paraId="508121C7">
      <w:pPr>
        <w:pStyle w:val="3"/>
        <w:spacing w:before="0" w:after="0" w:line="360" w:lineRule="auto"/>
        <w:jc w:val="center"/>
        <w:outlineLvl w:val="2"/>
        <w:rPr>
          <w:rFonts w:ascii="Times New Roman" w:hAnsi="Times New Roman" w:eastAsia="黑体"/>
          <w:b w:val="0"/>
          <w:bCs w:val="0"/>
          <w:color w:val="auto"/>
          <w:sz w:val="30"/>
          <w:highlight w:val="none"/>
        </w:rPr>
      </w:pPr>
      <w:bookmarkStart w:id="829" w:name="_Toc3506"/>
      <w:bookmarkStart w:id="830" w:name="_Toc9178579"/>
      <w:bookmarkStart w:id="831" w:name="_Toc80006152"/>
      <w:bookmarkStart w:id="832" w:name="_Toc80006262"/>
      <w:r>
        <w:rPr>
          <w:rFonts w:hint="eastAsia" w:ascii="Times New Roman" w:hAnsi="Times New Roman" w:eastAsia="黑体"/>
          <w:b w:val="0"/>
          <w:bCs w:val="0"/>
          <w:color w:val="auto"/>
          <w:sz w:val="30"/>
          <w:highlight w:val="none"/>
        </w:rPr>
        <w:t>1.</w:t>
      </w:r>
      <w:r>
        <w:rPr>
          <w:rFonts w:ascii="Times New Roman" w:hAnsi="Times New Roman" w:eastAsia="黑体"/>
          <w:b w:val="0"/>
          <w:bCs w:val="0"/>
          <w:color w:val="auto"/>
          <w:sz w:val="30"/>
          <w:highlight w:val="none"/>
        </w:rPr>
        <w:t>投标函及投标函附录</w:t>
      </w:r>
      <w:bookmarkEnd w:id="829"/>
      <w:bookmarkEnd w:id="830"/>
      <w:bookmarkEnd w:id="831"/>
      <w:bookmarkEnd w:id="832"/>
    </w:p>
    <w:p w14:paraId="4D295AEF">
      <w:pPr>
        <w:pStyle w:val="5"/>
        <w:spacing w:line="288" w:lineRule="auto"/>
        <w:jc w:val="center"/>
        <w:rPr>
          <w:rFonts w:ascii="Times New Roman" w:hAnsi="Times New Roman" w:eastAsia="黑体"/>
          <w:b w:val="0"/>
          <w:bCs w:val="0"/>
          <w:color w:val="auto"/>
          <w:sz w:val="24"/>
          <w:highlight w:val="none"/>
        </w:rPr>
      </w:pPr>
      <w:bookmarkStart w:id="833" w:name="_Toc300678568"/>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  标  函</w:t>
      </w:r>
      <w:bookmarkEnd w:id="833"/>
    </w:p>
    <w:p w14:paraId="5CFDBF86">
      <w:pPr>
        <w:rPr>
          <w:color w:val="auto"/>
          <w:highlight w:val="none"/>
        </w:rPr>
      </w:pPr>
    </w:p>
    <w:p w14:paraId="6EDAFABD">
      <w:pPr>
        <w:spacing w:line="360" w:lineRule="auto"/>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14:paraId="1DC575EF">
      <w:pPr>
        <w:spacing w:line="360" w:lineRule="auto"/>
        <w:ind w:firstLine="420" w:firstLineChars="200"/>
        <w:rPr>
          <w:color w:val="auto"/>
          <w:szCs w:val="21"/>
          <w:highlight w:val="none"/>
        </w:rPr>
      </w:pPr>
      <w:r>
        <w:rPr>
          <w:color w:val="auto"/>
          <w:szCs w:val="21"/>
          <w:highlight w:val="none"/>
        </w:rPr>
        <w:t>在考察现场并充分研究</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）施工招标文件的全部内容后，我方兹以：</w:t>
      </w:r>
    </w:p>
    <w:p w14:paraId="7EE6B3B3">
      <w:pPr>
        <w:spacing w:line="360" w:lineRule="auto"/>
        <w:ind w:firstLine="1050" w:firstLineChars="500"/>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元</w:t>
      </w:r>
    </w:p>
    <w:p w14:paraId="59F6BB2C">
      <w:pPr>
        <w:spacing w:line="360" w:lineRule="auto"/>
        <w:ind w:firstLine="1050" w:firstLineChars="500"/>
        <w:rPr>
          <w:color w:val="auto"/>
          <w:szCs w:val="21"/>
          <w:highlight w:val="none"/>
        </w:rPr>
      </w:pPr>
      <w:r>
        <w:rPr>
          <w:color w:val="auto"/>
          <w:szCs w:val="21"/>
          <w:highlight w:val="none"/>
        </w:rPr>
        <w:t>RMB￥：</w:t>
      </w:r>
      <w:r>
        <w:rPr>
          <w:color w:val="auto"/>
          <w:szCs w:val="21"/>
          <w:highlight w:val="none"/>
          <w:u w:val="single"/>
        </w:rPr>
        <w:t xml:space="preserve">                  </w:t>
      </w:r>
      <w:r>
        <w:rPr>
          <w:color w:val="auto"/>
          <w:szCs w:val="21"/>
          <w:highlight w:val="none"/>
        </w:rPr>
        <w:t>元</w:t>
      </w:r>
    </w:p>
    <w:p w14:paraId="45B0D303">
      <w:pPr>
        <w:spacing w:line="360" w:lineRule="auto"/>
        <w:rPr>
          <w:color w:val="auto"/>
          <w:szCs w:val="21"/>
          <w:highlight w:val="none"/>
        </w:rPr>
      </w:pPr>
      <w:r>
        <w:rPr>
          <w:color w:val="auto"/>
          <w:szCs w:val="21"/>
          <w:highlight w:val="none"/>
        </w:rPr>
        <w:t>的投标价格和按合同约定有权得到的其它金额，并严格按照合同约定，施工、竣工和交付本工程并维修其中的任何缺陷。</w:t>
      </w:r>
    </w:p>
    <w:p w14:paraId="2BB58C98">
      <w:pPr>
        <w:spacing w:line="360" w:lineRule="auto"/>
        <w:ind w:firstLine="420" w:firstLineChars="200"/>
        <w:rPr>
          <w:color w:val="auto"/>
          <w:szCs w:val="21"/>
          <w:highlight w:val="none"/>
        </w:rPr>
      </w:pPr>
      <w:r>
        <w:rPr>
          <w:color w:val="auto"/>
          <w:szCs w:val="21"/>
          <w:highlight w:val="none"/>
        </w:rPr>
        <w:t>如果我方中标，我方保证按照合同约定的开工日期开始本工程的施工，</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ascii="宋体" w:hAnsi="宋体"/>
          <w:color w:val="auto"/>
          <w:szCs w:val="21"/>
          <w:highlight w:val="none"/>
        </w:rPr>
        <w:t>□月□年</w:t>
      </w:r>
      <w:r>
        <w:rPr>
          <w:color w:val="auto"/>
          <w:szCs w:val="21"/>
          <w:highlight w:val="none"/>
        </w:rPr>
        <w:t>内竣工，并确保工程质量达到</w:t>
      </w:r>
      <w:r>
        <w:rPr>
          <w:color w:val="auto"/>
          <w:szCs w:val="21"/>
          <w:highlight w:val="none"/>
          <w:u w:val="single"/>
        </w:rPr>
        <w:t xml:space="preserve">   </w:t>
      </w:r>
      <w:r>
        <w:rPr>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14:paraId="46FB9AAA">
      <w:pPr>
        <w:spacing w:line="360" w:lineRule="auto"/>
        <w:ind w:firstLine="420" w:firstLineChars="200"/>
        <w:rPr>
          <w:color w:val="auto"/>
          <w:szCs w:val="21"/>
          <w:highlight w:val="none"/>
        </w:rPr>
      </w:pPr>
      <w:r>
        <w:rPr>
          <w:color w:val="auto"/>
          <w:szCs w:val="21"/>
          <w:highlight w:val="none"/>
        </w:rPr>
        <w:t>随本投标函递交的投标函附录是本投标函的组成部分，对我方构成约束力。</w:t>
      </w:r>
    </w:p>
    <w:p w14:paraId="061A63A6">
      <w:pPr>
        <w:spacing w:line="360" w:lineRule="auto"/>
        <w:ind w:firstLine="420" w:firstLineChars="200"/>
        <w:rPr>
          <w:color w:val="auto"/>
          <w:szCs w:val="21"/>
          <w:highlight w:val="none"/>
        </w:rPr>
      </w:pPr>
      <w:r>
        <w:rPr>
          <w:color w:val="auto"/>
          <w:szCs w:val="21"/>
          <w:highlight w:val="none"/>
        </w:rPr>
        <w:t>随同本投标函递交</w:t>
      </w:r>
      <w:r>
        <w:rPr>
          <w:rFonts w:hint="eastAsia" w:ascii="宋体" w:hAnsi="宋体"/>
          <w:color w:val="auto"/>
          <w:szCs w:val="21"/>
          <w:highlight w:val="none"/>
        </w:rPr>
        <w:t>□</w:t>
      </w:r>
      <w:r>
        <w:rPr>
          <w:color w:val="auto"/>
          <w:szCs w:val="21"/>
          <w:highlight w:val="none"/>
        </w:rPr>
        <w:t>投标保证</w:t>
      </w:r>
      <w:r>
        <w:rPr>
          <w:rFonts w:hint="eastAsia"/>
          <w:color w:val="auto"/>
          <w:szCs w:val="21"/>
          <w:highlight w:val="none"/>
        </w:rPr>
        <w:t>：</w:t>
      </w:r>
    </w:p>
    <w:p w14:paraId="5A4C1CC9">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w:t>
      </w:r>
      <w:r>
        <w:rPr>
          <w:rFonts w:hint="eastAsia"/>
          <w:color w:val="auto"/>
          <w:szCs w:val="21"/>
          <w:highlight w:val="none"/>
        </w:rPr>
        <w:t>保证金</w:t>
      </w:r>
      <w:r>
        <w:rPr>
          <w:color w:val="auto"/>
          <w:szCs w:val="21"/>
          <w:highlight w:val="none"/>
        </w:rPr>
        <w:t>，金额为人民币（大写）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14:paraId="3230F176">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投标保函一份，金额为人民币（大写）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14:paraId="52809E64">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投标承诺。</w:t>
      </w:r>
    </w:p>
    <w:p w14:paraId="33F1B7C5">
      <w:pPr>
        <w:spacing w:line="360" w:lineRule="auto"/>
        <w:ind w:firstLine="420" w:firstLineChars="200"/>
        <w:rPr>
          <w:color w:val="auto"/>
          <w:szCs w:val="21"/>
          <w:highlight w:val="none"/>
        </w:rPr>
      </w:pPr>
      <w:r>
        <w:rPr>
          <w:color w:val="auto"/>
          <w:szCs w:val="21"/>
          <w:highlight w:val="none"/>
        </w:rPr>
        <w:t>我方承诺：若我方中标，承诺在规定时间内</w:t>
      </w:r>
      <w:r>
        <w:rPr>
          <w:rFonts w:hint="eastAsia"/>
          <w:color w:val="auto"/>
          <w:szCs w:val="21"/>
          <w:highlight w:val="none"/>
        </w:rPr>
        <w:t>按投标人须知前附表规定</w:t>
      </w:r>
      <w:r>
        <w:rPr>
          <w:color w:val="auto"/>
          <w:szCs w:val="21"/>
          <w:highlight w:val="none"/>
        </w:rPr>
        <w:t>提交履约保证金。</w:t>
      </w:r>
    </w:p>
    <w:p w14:paraId="07813D92">
      <w:pPr>
        <w:spacing w:line="360" w:lineRule="auto"/>
        <w:ind w:firstLine="420" w:firstLineChars="200"/>
        <w:rPr>
          <w:color w:val="auto"/>
          <w:szCs w:val="21"/>
          <w:highlight w:val="none"/>
        </w:rPr>
      </w:pPr>
      <w:r>
        <w:rPr>
          <w:color w:val="auto"/>
          <w:szCs w:val="21"/>
          <w:highlight w:val="none"/>
        </w:rPr>
        <w:t>在签署协议书之前，你方的中标通知书连同本投标函，包括投标函附录，对双方具有约束力。</w:t>
      </w:r>
    </w:p>
    <w:p w14:paraId="3B00ED84">
      <w:pPr>
        <w:ind w:firstLine="420" w:firstLineChars="200"/>
        <w:rPr>
          <w:color w:val="auto"/>
          <w:szCs w:val="21"/>
          <w:highlight w:val="none"/>
        </w:rPr>
      </w:pPr>
    </w:p>
    <w:p w14:paraId="0EFE3D21">
      <w:pPr>
        <w:ind w:firstLine="420" w:firstLineChars="200"/>
        <w:rPr>
          <w:color w:val="auto"/>
          <w:szCs w:val="21"/>
          <w:highlight w:val="none"/>
          <w:u w:val="single"/>
        </w:rPr>
      </w:pPr>
      <w:r>
        <w:rPr>
          <w:color w:val="auto"/>
          <w:szCs w:val="21"/>
          <w:highlight w:val="none"/>
        </w:rPr>
        <w:t>投标人（盖单位章）：</w:t>
      </w:r>
    </w:p>
    <w:p w14:paraId="2F8F8E7C">
      <w:pPr>
        <w:ind w:firstLine="420" w:firstLineChars="200"/>
        <w:rPr>
          <w:color w:val="auto"/>
          <w:szCs w:val="21"/>
          <w:highlight w:val="none"/>
        </w:rPr>
      </w:pPr>
    </w:p>
    <w:p w14:paraId="686FC510">
      <w:pPr>
        <w:ind w:firstLine="420" w:firstLineChars="200"/>
        <w:rPr>
          <w:color w:val="auto"/>
          <w:szCs w:val="21"/>
          <w:highlight w:val="none"/>
          <w:u w:val="single"/>
        </w:rPr>
      </w:pPr>
      <w:r>
        <w:rPr>
          <w:rFonts w:hint="eastAsia"/>
          <w:color w:val="auto"/>
          <w:szCs w:val="21"/>
          <w:highlight w:val="none"/>
        </w:rPr>
        <w:t>法定代表人或其委托代理人</w:t>
      </w:r>
      <w:r>
        <w:rPr>
          <w:color w:val="auto"/>
          <w:szCs w:val="21"/>
          <w:highlight w:val="none"/>
        </w:rPr>
        <w:t>（签字或盖章）：</w:t>
      </w:r>
    </w:p>
    <w:p w14:paraId="4BC299E9">
      <w:pPr>
        <w:ind w:firstLine="420" w:firstLineChars="200"/>
        <w:rPr>
          <w:color w:val="auto"/>
          <w:szCs w:val="21"/>
          <w:highlight w:val="none"/>
        </w:rPr>
      </w:pPr>
    </w:p>
    <w:p w14:paraId="0BEC2B57">
      <w:pPr>
        <w:ind w:firstLine="420" w:firstLineChars="200"/>
        <w:rPr>
          <w:color w:val="auto"/>
          <w:szCs w:val="21"/>
          <w:highlight w:val="none"/>
        </w:rPr>
      </w:pPr>
      <w:r>
        <w:rPr>
          <w:color w:val="auto"/>
          <w:szCs w:val="21"/>
          <w:highlight w:val="none"/>
        </w:rPr>
        <w:t>日期：   年  月  日</w:t>
      </w:r>
    </w:p>
    <w:p w14:paraId="6213A87B">
      <w:pPr>
        <w:spacing w:line="360" w:lineRule="auto"/>
        <w:rPr>
          <w:rFonts w:eastAsia="黑体"/>
          <w:color w:val="auto"/>
          <w:sz w:val="24"/>
          <w:highlight w:val="none"/>
        </w:rPr>
        <w:sectPr>
          <w:pgSz w:w="11907" w:h="16840"/>
          <w:pgMar w:top="1440" w:right="1440" w:bottom="1440" w:left="1440" w:header="851" w:footer="850" w:gutter="0"/>
          <w:pgNumType w:fmt="decimal"/>
          <w:cols w:space="720" w:num="1"/>
          <w:docGrid w:linePitch="326" w:charSpace="0"/>
        </w:sectPr>
      </w:pPr>
    </w:p>
    <w:p w14:paraId="5A252B4C">
      <w:pPr>
        <w:pStyle w:val="5"/>
        <w:jc w:val="center"/>
        <w:rPr>
          <w:rFonts w:ascii="Times New Roman" w:hAnsi="Times New Roman" w:eastAsia="黑体"/>
          <w:b w:val="0"/>
          <w:bCs w:val="0"/>
          <w:color w:val="auto"/>
          <w:sz w:val="24"/>
          <w:highlight w:val="none"/>
        </w:rPr>
      </w:pPr>
      <w:bookmarkStart w:id="834" w:name="_Toc300678569"/>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）投标函附录</w:t>
      </w:r>
      <w:bookmarkEnd w:id="834"/>
    </w:p>
    <w:p w14:paraId="3A0692CD">
      <w:pPr>
        <w:spacing w:after="287" w:afterLines="50"/>
        <w:rPr>
          <w:color w:val="auto"/>
          <w:szCs w:val="21"/>
          <w:highlight w:val="none"/>
        </w:rPr>
      </w:pPr>
      <w:r>
        <w:rPr>
          <w:bCs/>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14:paraId="4491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29FE77F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2931" w:type="dxa"/>
            <w:noWrap w:val="0"/>
            <w:vAlign w:val="center"/>
          </w:tcPr>
          <w:p w14:paraId="5030B2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1278" w:type="dxa"/>
            <w:noWrap w:val="0"/>
            <w:vAlign w:val="center"/>
          </w:tcPr>
          <w:p w14:paraId="15CB26F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合同条款号</w:t>
            </w:r>
          </w:p>
        </w:tc>
        <w:tc>
          <w:tcPr>
            <w:tcW w:w="2975" w:type="dxa"/>
            <w:noWrap w:val="0"/>
            <w:vAlign w:val="center"/>
          </w:tcPr>
          <w:p w14:paraId="1631798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871" w:type="dxa"/>
            <w:noWrap w:val="0"/>
            <w:vAlign w:val="center"/>
          </w:tcPr>
          <w:p w14:paraId="193A64F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说明</w:t>
            </w:r>
          </w:p>
        </w:tc>
      </w:tr>
      <w:tr w14:paraId="36A6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4A0F0CA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931" w:type="dxa"/>
            <w:noWrap w:val="0"/>
            <w:vAlign w:val="center"/>
          </w:tcPr>
          <w:p w14:paraId="43B3132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278" w:type="dxa"/>
            <w:noWrap w:val="0"/>
            <w:tcMar>
              <w:left w:w="170" w:type="dxa"/>
            </w:tcMar>
            <w:vAlign w:val="center"/>
          </w:tcPr>
          <w:p w14:paraId="6566F3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7BC91B4A">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 xml:space="preserve">姓名：  </w:t>
            </w:r>
          </w:p>
        </w:tc>
        <w:tc>
          <w:tcPr>
            <w:tcW w:w="871" w:type="dxa"/>
            <w:noWrap w:val="0"/>
            <w:vAlign w:val="center"/>
          </w:tcPr>
          <w:p w14:paraId="169EA7E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4EA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2FB0A9E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931" w:type="dxa"/>
            <w:noWrap w:val="0"/>
            <w:vAlign w:val="center"/>
          </w:tcPr>
          <w:p w14:paraId="3C83F9F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1278" w:type="dxa"/>
            <w:noWrap w:val="0"/>
            <w:tcMar>
              <w:left w:w="170" w:type="dxa"/>
            </w:tcMar>
            <w:vAlign w:val="center"/>
          </w:tcPr>
          <w:p w14:paraId="57BDFB3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5516E91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71" w:type="dxa"/>
            <w:noWrap w:val="0"/>
            <w:vAlign w:val="center"/>
          </w:tcPr>
          <w:p w14:paraId="3BAAB3C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E9C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417E7D3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931" w:type="dxa"/>
            <w:noWrap w:val="0"/>
            <w:vAlign w:val="center"/>
          </w:tcPr>
          <w:p w14:paraId="55A030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1278" w:type="dxa"/>
            <w:noWrap w:val="0"/>
            <w:tcMar>
              <w:left w:w="170" w:type="dxa"/>
            </w:tcMar>
            <w:vAlign w:val="center"/>
          </w:tcPr>
          <w:p w14:paraId="2462596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24A6D9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p>
        </w:tc>
        <w:tc>
          <w:tcPr>
            <w:tcW w:w="871" w:type="dxa"/>
            <w:noWrap w:val="0"/>
            <w:vAlign w:val="center"/>
          </w:tcPr>
          <w:p w14:paraId="289BFB3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0F47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30FCA2E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931" w:type="dxa"/>
            <w:noWrap w:val="0"/>
            <w:vAlign w:val="center"/>
          </w:tcPr>
          <w:p w14:paraId="607569F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保修要求</w:t>
            </w:r>
          </w:p>
        </w:tc>
        <w:tc>
          <w:tcPr>
            <w:tcW w:w="1278" w:type="dxa"/>
            <w:noWrap w:val="0"/>
            <w:tcMar>
              <w:left w:w="170" w:type="dxa"/>
            </w:tcMar>
            <w:vAlign w:val="center"/>
          </w:tcPr>
          <w:p w14:paraId="76EFFC2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40B9DE2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u w:val="single"/>
              </w:rPr>
            </w:pPr>
          </w:p>
        </w:tc>
        <w:tc>
          <w:tcPr>
            <w:tcW w:w="871" w:type="dxa"/>
            <w:noWrap w:val="0"/>
            <w:vAlign w:val="center"/>
          </w:tcPr>
          <w:p w14:paraId="06D2FB9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58D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75824E4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931" w:type="dxa"/>
            <w:noWrap w:val="0"/>
            <w:vAlign w:val="center"/>
          </w:tcPr>
          <w:p w14:paraId="01EEF06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1278" w:type="dxa"/>
            <w:noWrap w:val="0"/>
            <w:tcMar>
              <w:left w:w="170" w:type="dxa"/>
            </w:tcMar>
            <w:vAlign w:val="center"/>
          </w:tcPr>
          <w:p w14:paraId="11E96A6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1913548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14:paraId="7FE1FFC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B33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71" w:type="dxa"/>
            <w:noWrap w:val="0"/>
            <w:vAlign w:val="center"/>
          </w:tcPr>
          <w:p w14:paraId="12B7DCA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931" w:type="dxa"/>
            <w:noWrap w:val="0"/>
            <w:vAlign w:val="center"/>
          </w:tcPr>
          <w:p w14:paraId="67E2F6C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1278" w:type="dxa"/>
            <w:noWrap w:val="0"/>
            <w:tcMar>
              <w:left w:w="170" w:type="dxa"/>
            </w:tcMar>
            <w:vAlign w:val="center"/>
          </w:tcPr>
          <w:p w14:paraId="140443D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2E252C6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14:paraId="08E98E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2CC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71" w:type="dxa"/>
            <w:noWrap w:val="0"/>
            <w:vAlign w:val="center"/>
          </w:tcPr>
          <w:p w14:paraId="1229C42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931" w:type="dxa"/>
            <w:noWrap w:val="0"/>
            <w:vAlign w:val="center"/>
          </w:tcPr>
          <w:p w14:paraId="781903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1278" w:type="dxa"/>
            <w:noWrap w:val="0"/>
            <w:tcMar>
              <w:left w:w="170" w:type="dxa"/>
            </w:tcMar>
            <w:vAlign w:val="center"/>
          </w:tcPr>
          <w:p w14:paraId="4AA4462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563AA4D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见分包项目情况表</w:t>
            </w:r>
          </w:p>
        </w:tc>
        <w:tc>
          <w:tcPr>
            <w:tcW w:w="871" w:type="dxa"/>
            <w:noWrap w:val="0"/>
            <w:vAlign w:val="center"/>
          </w:tcPr>
          <w:p w14:paraId="5753B23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09C9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5CB8B94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931" w:type="dxa"/>
            <w:noWrap w:val="0"/>
            <w:vAlign w:val="center"/>
          </w:tcPr>
          <w:p w14:paraId="53EF4B9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1278" w:type="dxa"/>
            <w:noWrap w:val="0"/>
            <w:tcMar>
              <w:left w:w="170" w:type="dxa"/>
            </w:tcMar>
            <w:vAlign w:val="center"/>
          </w:tcPr>
          <w:p w14:paraId="6C979CE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37AFF24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元/天</w:t>
            </w:r>
          </w:p>
        </w:tc>
        <w:tc>
          <w:tcPr>
            <w:tcW w:w="871" w:type="dxa"/>
            <w:noWrap w:val="0"/>
            <w:vAlign w:val="center"/>
          </w:tcPr>
          <w:p w14:paraId="58C7141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843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71" w:type="dxa"/>
            <w:noWrap w:val="0"/>
            <w:vAlign w:val="center"/>
          </w:tcPr>
          <w:p w14:paraId="5140901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931" w:type="dxa"/>
            <w:noWrap w:val="0"/>
            <w:vAlign w:val="center"/>
          </w:tcPr>
          <w:p w14:paraId="2EEDC5C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1278" w:type="dxa"/>
            <w:noWrap w:val="0"/>
            <w:tcMar>
              <w:left w:w="170" w:type="dxa"/>
            </w:tcMar>
            <w:vAlign w:val="center"/>
          </w:tcPr>
          <w:p w14:paraId="11AF379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2CA93F8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71" w:type="dxa"/>
            <w:noWrap w:val="0"/>
            <w:vAlign w:val="center"/>
          </w:tcPr>
          <w:p w14:paraId="5102CFB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06CD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78F4400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931" w:type="dxa"/>
            <w:noWrap w:val="0"/>
            <w:vAlign w:val="center"/>
          </w:tcPr>
          <w:p w14:paraId="4E2709C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1278" w:type="dxa"/>
            <w:noWrap w:val="0"/>
            <w:tcMar>
              <w:left w:w="170" w:type="dxa"/>
            </w:tcMar>
            <w:vAlign w:val="center"/>
          </w:tcPr>
          <w:p w14:paraId="2D6DA61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29B16E9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14:paraId="5C42DD2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EE2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13E78DF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931" w:type="dxa"/>
            <w:noWrap w:val="0"/>
            <w:vAlign w:val="center"/>
          </w:tcPr>
          <w:p w14:paraId="021973A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1278" w:type="dxa"/>
            <w:noWrap w:val="0"/>
            <w:tcMar>
              <w:left w:w="170" w:type="dxa"/>
            </w:tcMar>
            <w:vAlign w:val="center"/>
          </w:tcPr>
          <w:p w14:paraId="296E19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1A3162F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14:paraId="5718918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0058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748B96A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931" w:type="dxa"/>
            <w:noWrap w:val="0"/>
            <w:vAlign w:val="center"/>
          </w:tcPr>
          <w:p w14:paraId="0869CF3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8" w:type="dxa"/>
            <w:noWrap w:val="0"/>
            <w:tcMar>
              <w:left w:w="170" w:type="dxa"/>
            </w:tcMar>
            <w:vAlign w:val="center"/>
          </w:tcPr>
          <w:p w14:paraId="7324489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975" w:type="dxa"/>
            <w:noWrap w:val="0"/>
            <w:vAlign w:val="center"/>
          </w:tcPr>
          <w:p w14:paraId="1EEA5BF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14:paraId="23BF88F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262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noWrap w:val="0"/>
            <w:vAlign w:val="center"/>
          </w:tcPr>
          <w:p w14:paraId="422BD48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931" w:type="dxa"/>
            <w:noWrap w:val="0"/>
            <w:vAlign w:val="center"/>
          </w:tcPr>
          <w:p w14:paraId="431C3E4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78" w:type="dxa"/>
            <w:noWrap w:val="0"/>
            <w:vAlign w:val="center"/>
          </w:tcPr>
          <w:p w14:paraId="6D19B2A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975" w:type="dxa"/>
            <w:noWrap w:val="0"/>
            <w:vAlign w:val="center"/>
          </w:tcPr>
          <w:p w14:paraId="7146C5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71" w:type="dxa"/>
            <w:noWrap w:val="0"/>
            <w:vAlign w:val="center"/>
          </w:tcPr>
          <w:p w14:paraId="37BD868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14:paraId="3689E82D">
      <w:pPr>
        <w:ind w:firstLine="420" w:firstLineChars="200"/>
        <w:rPr>
          <w:color w:val="auto"/>
          <w:szCs w:val="21"/>
          <w:highlight w:val="none"/>
          <w:u w:val="single"/>
        </w:rPr>
      </w:pPr>
      <w:r>
        <w:rPr>
          <w:bCs/>
          <w:color w:val="auto"/>
          <w:szCs w:val="21"/>
          <w:highlight w:val="none"/>
        </w:rPr>
        <w:t>投标人</w:t>
      </w:r>
      <w:r>
        <w:rPr>
          <w:color w:val="auto"/>
          <w:szCs w:val="21"/>
          <w:highlight w:val="none"/>
        </w:rPr>
        <w:t>（盖单位章）：</w:t>
      </w:r>
    </w:p>
    <w:p w14:paraId="11ECE177">
      <w:pPr>
        <w:ind w:firstLine="420" w:firstLineChars="200"/>
        <w:rPr>
          <w:color w:val="auto"/>
          <w:szCs w:val="21"/>
          <w:highlight w:val="none"/>
        </w:rPr>
      </w:pPr>
      <w:r>
        <w:rPr>
          <w:rFonts w:hint="eastAsia"/>
          <w:bCs/>
          <w:color w:val="auto"/>
          <w:szCs w:val="21"/>
          <w:highlight w:val="none"/>
        </w:rPr>
        <w:t>法定代表人或其委托代理人</w:t>
      </w:r>
      <w:r>
        <w:rPr>
          <w:color w:val="auto"/>
          <w:szCs w:val="21"/>
          <w:highlight w:val="none"/>
        </w:rPr>
        <w:t>（签字或盖章）：</w:t>
      </w:r>
    </w:p>
    <w:p w14:paraId="33323DAF">
      <w:pPr>
        <w:rPr>
          <w:rFonts w:hint="eastAsia"/>
          <w:bCs/>
          <w:color w:val="auto"/>
          <w:szCs w:val="21"/>
          <w:highlight w:val="none"/>
        </w:rPr>
      </w:pPr>
      <w:r>
        <w:rPr>
          <w:bCs/>
          <w:color w:val="auto"/>
          <w:szCs w:val="21"/>
          <w:highlight w:val="none"/>
        </w:rPr>
        <w:t xml:space="preserve"> </w:t>
      </w:r>
      <w:r>
        <w:rPr>
          <w:rFonts w:hint="eastAsia"/>
          <w:bCs/>
          <w:color w:val="auto"/>
          <w:szCs w:val="21"/>
          <w:highlight w:val="none"/>
        </w:rPr>
        <w:t xml:space="preserve">   </w:t>
      </w:r>
      <w:r>
        <w:rPr>
          <w:bCs/>
          <w:color w:val="auto"/>
          <w:szCs w:val="21"/>
          <w:highlight w:val="none"/>
        </w:rPr>
        <w:t xml:space="preserve"> 日期：   年  月  日</w:t>
      </w:r>
    </w:p>
    <w:p w14:paraId="5F0A1010">
      <w:pPr>
        <w:rPr>
          <w:rFonts w:hint="eastAsia"/>
          <w:bCs/>
          <w:color w:val="auto"/>
          <w:szCs w:val="21"/>
          <w:highlight w:val="none"/>
        </w:rPr>
      </w:pPr>
    </w:p>
    <w:p w14:paraId="54ABB465">
      <w:pPr>
        <w:ind w:firstLine="270" w:firstLineChars="150"/>
        <w:rPr>
          <w:color w:val="auto"/>
          <w:sz w:val="18"/>
          <w:szCs w:val="21"/>
          <w:highlight w:val="none"/>
        </w:rPr>
      </w:pPr>
      <w:r>
        <w:rPr>
          <w:rFonts w:hint="eastAsia"/>
          <w:color w:val="auto"/>
          <w:sz w:val="18"/>
          <w:szCs w:val="21"/>
          <w:highlight w:val="none"/>
        </w:rPr>
        <w:t>说明</w:t>
      </w:r>
      <w:r>
        <w:rPr>
          <w:color w:val="auto"/>
          <w:sz w:val="18"/>
          <w:szCs w:val="21"/>
          <w:highlight w:val="none"/>
        </w:rPr>
        <w:t>：投标人可以在响应招标文件规定的实质性要求和条件的基础上，作出其他有利于招标人的承诺。</w:t>
      </w:r>
    </w:p>
    <w:p w14:paraId="7135C2DF">
      <w:pPr>
        <w:ind w:firstLine="360" w:firstLineChars="200"/>
        <w:rPr>
          <w:color w:val="auto"/>
          <w:kern w:val="0"/>
          <w:szCs w:val="21"/>
          <w:highlight w:val="none"/>
        </w:rPr>
      </w:pPr>
      <w:r>
        <w:rPr>
          <w:color w:val="auto"/>
          <w:sz w:val="18"/>
          <w:szCs w:val="21"/>
          <w:highlight w:val="none"/>
        </w:rPr>
        <w:t>此类承诺可在本表中予以补充填写。</w:t>
      </w:r>
    </w:p>
    <w:p w14:paraId="75D4C134">
      <w:pPr>
        <w:spacing w:before="59" w:line="219" w:lineRule="auto"/>
        <w:ind w:left="0"/>
        <w:rPr>
          <w:rFonts w:ascii="宋体" w:hAnsi="宋体" w:eastAsia="宋体" w:cs="宋体"/>
          <w:spacing w:val="-4"/>
          <w:sz w:val="30"/>
          <w:szCs w:val="30"/>
        </w:rPr>
      </w:pPr>
    </w:p>
    <w:p w14:paraId="28FD174A">
      <w:pPr>
        <w:spacing w:before="59" w:line="219" w:lineRule="auto"/>
        <w:ind w:left="0"/>
        <w:rPr>
          <w:rFonts w:ascii="宋体" w:hAnsi="宋体" w:eastAsia="宋体" w:cs="宋体"/>
          <w:spacing w:val="-4"/>
          <w:sz w:val="30"/>
          <w:szCs w:val="30"/>
        </w:rPr>
      </w:pPr>
    </w:p>
    <w:p w14:paraId="62FF9760">
      <w:pPr>
        <w:spacing w:before="59" w:line="219" w:lineRule="auto"/>
        <w:ind w:left="0"/>
        <w:rPr>
          <w:rFonts w:ascii="宋体" w:hAnsi="宋体" w:eastAsia="宋体" w:cs="宋体"/>
          <w:spacing w:val="-4"/>
          <w:sz w:val="30"/>
          <w:szCs w:val="30"/>
        </w:rPr>
      </w:pPr>
    </w:p>
    <w:p w14:paraId="7C1D053B">
      <w:pPr>
        <w:spacing w:before="59" w:line="219" w:lineRule="auto"/>
        <w:ind w:left="0"/>
        <w:rPr>
          <w:rFonts w:ascii="宋体" w:hAnsi="宋体" w:eastAsia="宋体" w:cs="宋体"/>
          <w:spacing w:val="-4"/>
          <w:sz w:val="30"/>
          <w:szCs w:val="30"/>
        </w:rPr>
      </w:pPr>
    </w:p>
    <w:p w14:paraId="0441697B">
      <w:pPr>
        <w:spacing w:before="59" w:line="219" w:lineRule="auto"/>
        <w:ind w:left="0"/>
        <w:rPr>
          <w:rFonts w:ascii="宋体" w:hAnsi="宋体" w:eastAsia="宋体" w:cs="宋体"/>
          <w:spacing w:val="-4"/>
          <w:sz w:val="30"/>
          <w:szCs w:val="30"/>
        </w:rPr>
      </w:pPr>
    </w:p>
    <w:p w14:paraId="5E48AB9C">
      <w:pPr>
        <w:spacing w:before="59" w:line="219" w:lineRule="auto"/>
        <w:ind w:left="0"/>
        <w:rPr>
          <w:rFonts w:ascii="宋体" w:hAnsi="宋体" w:eastAsia="宋体" w:cs="宋体"/>
          <w:spacing w:val="-4"/>
          <w:sz w:val="30"/>
          <w:szCs w:val="30"/>
        </w:rPr>
      </w:pPr>
    </w:p>
    <w:p w14:paraId="0DA276EF">
      <w:pPr>
        <w:spacing w:before="59" w:line="219" w:lineRule="auto"/>
        <w:ind w:left="0"/>
        <w:rPr>
          <w:rFonts w:ascii="宋体" w:hAnsi="宋体" w:eastAsia="宋体" w:cs="宋体"/>
          <w:spacing w:val="-4"/>
          <w:sz w:val="30"/>
          <w:szCs w:val="30"/>
        </w:rPr>
      </w:pPr>
    </w:p>
    <w:p w14:paraId="7767A50A">
      <w:pPr>
        <w:spacing w:before="59" w:line="219" w:lineRule="auto"/>
        <w:ind w:left="0"/>
        <w:rPr>
          <w:rFonts w:ascii="宋体" w:hAnsi="宋体" w:eastAsia="宋体" w:cs="宋体"/>
          <w:spacing w:val="-4"/>
          <w:sz w:val="30"/>
          <w:szCs w:val="30"/>
        </w:rPr>
      </w:pPr>
    </w:p>
    <w:p w14:paraId="76073230">
      <w:pPr>
        <w:spacing w:before="59" w:line="219" w:lineRule="auto"/>
        <w:ind w:left="0"/>
        <w:rPr>
          <w:rFonts w:ascii="宋体" w:hAnsi="宋体" w:eastAsia="宋体" w:cs="宋体"/>
          <w:spacing w:val="-4"/>
          <w:sz w:val="30"/>
          <w:szCs w:val="30"/>
        </w:rPr>
      </w:pPr>
    </w:p>
    <w:p w14:paraId="7916B38D">
      <w:pPr>
        <w:spacing w:before="59" w:line="219" w:lineRule="auto"/>
        <w:ind w:left="0"/>
        <w:rPr>
          <w:rFonts w:ascii="宋体" w:hAnsi="宋体" w:eastAsia="宋体" w:cs="宋体"/>
          <w:spacing w:val="-4"/>
          <w:sz w:val="30"/>
          <w:szCs w:val="30"/>
        </w:rPr>
      </w:pPr>
    </w:p>
    <w:p w14:paraId="0B4B994B">
      <w:pPr>
        <w:pStyle w:val="3"/>
        <w:spacing w:line="240" w:lineRule="auto"/>
        <w:jc w:val="center"/>
        <w:outlineLvl w:val="2"/>
        <w:rPr>
          <w:rFonts w:ascii="Times New Roman" w:hAnsi="Times New Roman" w:eastAsia="黑体"/>
          <w:b w:val="0"/>
          <w:bCs w:val="0"/>
          <w:color w:val="auto"/>
          <w:sz w:val="30"/>
          <w:highlight w:val="none"/>
        </w:rPr>
      </w:pPr>
      <w:bookmarkStart w:id="835" w:name="_Toc12099"/>
      <w:bookmarkStart w:id="836" w:name="_Toc80006153"/>
      <w:bookmarkStart w:id="837" w:name="_Toc80006263"/>
      <w:bookmarkStart w:id="838" w:name="_Toc9178580"/>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法定代表人身份证明</w:t>
      </w:r>
      <w:bookmarkEnd w:id="835"/>
      <w:bookmarkEnd w:id="836"/>
      <w:bookmarkEnd w:id="837"/>
      <w:bookmarkEnd w:id="838"/>
    </w:p>
    <w:p w14:paraId="10750B79">
      <w:pPr>
        <w:widowControl/>
        <w:topLinePunct/>
        <w:spacing w:line="600" w:lineRule="atLeast"/>
        <w:ind w:firstLine="420"/>
        <w:rPr>
          <w:color w:val="auto"/>
          <w:kern w:val="0"/>
          <w:szCs w:val="21"/>
          <w:highlight w:val="none"/>
          <w:u w:val="single"/>
        </w:rPr>
      </w:pPr>
      <w:r>
        <w:rPr>
          <w:color w:val="auto"/>
          <w:kern w:val="0"/>
          <w:szCs w:val="21"/>
          <w:highlight w:val="none"/>
        </w:rPr>
        <w:t>投标人名称：</w:t>
      </w:r>
    </w:p>
    <w:p w14:paraId="75F6507A">
      <w:pPr>
        <w:widowControl/>
        <w:topLinePunct/>
        <w:spacing w:line="600" w:lineRule="atLeast"/>
        <w:ind w:firstLine="420"/>
        <w:rPr>
          <w:color w:val="auto"/>
          <w:kern w:val="0"/>
          <w:szCs w:val="21"/>
          <w:highlight w:val="none"/>
        </w:rPr>
      </w:pPr>
      <w:r>
        <w:rPr>
          <w:color w:val="auto"/>
          <w:kern w:val="0"/>
          <w:szCs w:val="21"/>
          <w:highlight w:val="none"/>
        </w:rPr>
        <w:t>单位性质：</w:t>
      </w:r>
    </w:p>
    <w:p w14:paraId="6776A098">
      <w:pPr>
        <w:widowControl/>
        <w:topLinePunct/>
        <w:spacing w:line="600" w:lineRule="atLeast"/>
        <w:ind w:firstLine="420"/>
        <w:rPr>
          <w:color w:val="auto"/>
          <w:kern w:val="0"/>
          <w:szCs w:val="21"/>
          <w:highlight w:val="none"/>
        </w:rPr>
      </w:pPr>
      <w:r>
        <w:rPr>
          <w:color w:val="auto"/>
          <w:kern w:val="0"/>
          <w:szCs w:val="21"/>
          <w:highlight w:val="none"/>
        </w:rPr>
        <w:t>成立时间：    年   月  日</w:t>
      </w:r>
    </w:p>
    <w:p w14:paraId="742F3607">
      <w:pPr>
        <w:widowControl/>
        <w:topLinePunct/>
        <w:spacing w:line="600" w:lineRule="atLeast"/>
        <w:ind w:firstLine="420"/>
        <w:rPr>
          <w:color w:val="auto"/>
          <w:kern w:val="0"/>
          <w:szCs w:val="21"/>
          <w:highlight w:val="none"/>
        </w:rPr>
      </w:pPr>
      <w:r>
        <w:rPr>
          <w:color w:val="auto"/>
          <w:kern w:val="0"/>
          <w:szCs w:val="21"/>
          <w:highlight w:val="none"/>
        </w:rPr>
        <w:t>经营期限：</w:t>
      </w:r>
    </w:p>
    <w:p w14:paraId="366C6C6B">
      <w:pPr>
        <w:widowControl/>
        <w:topLinePunct/>
        <w:spacing w:line="600" w:lineRule="atLeast"/>
        <w:ind w:firstLine="420"/>
        <w:rPr>
          <w:color w:val="auto"/>
          <w:kern w:val="0"/>
          <w:szCs w:val="21"/>
          <w:highlight w:val="none"/>
          <w:u w:val="single"/>
        </w:rPr>
      </w:pPr>
      <w:r>
        <w:rPr>
          <w:color w:val="auto"/>
          <w:kern w:val="0"/>
          <w:szCs w:val="21"/>
          <w:highlight w:val="none"/>
        </w:rPr>
        <w:t>姓名：           性别：               年龄：                             职务：</w:t>
      </w:r>
    </w:p>
    <w:p w14:paraId="5DFE2E07">
      <w:pPr>
        <w:widowControl/>
        <w:topLinePunct/>
        <w:spacing w:line="600" w:lineRule="atLeast"/>
        <w:ind w:firstLine="420"/>
        <w:rPr>
          <w:color w:val="auto"/>
          <w:kern w:val="0"/>
          <w:szCs w:val="21"/>
          <w:highlight w:val="none"/>
        </w:rPr>
      </w:pPr>
      <w:r>
        <w:rPr>
          <w:color w:val="auto"/>
          <w:kern w:val="0"/>
          <w:szCs w:val="21"/>
          <w:highlight w:val="none"/>
        </w:rPr>
        <w:t>系</w:t>
      </w:r>
      <w:r>
        <w:rPr>
          <w:color w:val="auto"/>
          <w:kern w:val="0"/>
          <w:szCs w:val="21"/>
          <w:highlight w:val="none"/>
          <w:u w:val="single"/>
        </w:rPr>
        <w:t xml:space="preserve">                          </w:t>
      </w:r>
      <w:r>
        <w:rPr>
          <w:color w:val="auto"/>
          <w:kern w:val="0"/>
          <w:szCs w:val="21"/>
          <w:highlight w:val="none"/>
        </w:rPr>
        <w:t>（投标人名称）的法定代表人。</w:t>
      </w:r>
    </w:p>
    <w:p w14:paraId="234546F4">
      <w:pPr>
        <w:widowControl/>
        <w:topLinePunct/>
        <w:spacing w:line="600" w:lineRule="atLeast"/>
        <w:ind w:firstLine="420"/>
        <w:rPr>
          <w:color w:val="auto"/>
          <w:kern w:val="0"/>
          <w:szCs w:val="21"/>
          <w:highlight w:val="none"/>
        </w:rPr>
      </w:pPr>
      <w:r>
        <w:rPr>
          <w:color w:val="auto"/>
          <w:kern w:val="0"/>
          <w:szCs w:val="21"/>
          <w:highlight w:val="none"/>
        </w:rPr>
        <w:t xml:space="preserve">    特此证明。</w:t>
      </w:r>
    </w:p>
    <w:p w14:paraId="5DBFDCE8">
      <w:pPr>
        <w:widowControl/>
        <w:topLinePunct/>
        <w:spacing w:line="440" w:lineRule="atLeast"/>
        <w:rPr>
          <w:color w:val="auto"/>
          <w:kern w:val="0"/>
          <w:szCs w:val="21"/>
          <w:highlight w:val="none"/>
        </w:rPr>
      </w:pPr>
    </w:p>
    <w:p w14:paraId="687B0150">
      <w:pPr>
        <w:widowControl/>
        <w:topLinePunct/>
        <w:spacing w:line="460" w:lineRule="atLeast"/>
        <w:ind w:firstLine="420" w:firstLineChars="200"/>
        <w:rPr>
          <w:rFonts w:hint="eastAsia"/>
          <w:color w:val="auto"/>
          <w:kern w:val="0"/>
          <w:szCs w:val="21"/>
          <w:highlight w:val="none"/>
        </w:rPr>
      </w:pPr>
      <w:r>
        <w:rPr>
          <w:color w:val="auto"/>
          <w:kern w:val="0"/>
          <w:szCs w:val="21"/>
          <w:highlight w:val="none"/>
        </w:rPr>
        <w:t>附：法定代表人身份证</w:t>
      </w:r>
      <w:r>
        <w:rPr>
          <w:rFonts w:hint="eastAsia"/>
          <w:color w:val="auto"/>
          <w:kern w:val="0"/>
          <w:szCs w:val="21"/>
          <w:highlight w:val="none"/>
        </w:rPr>
        <w:t>复印件（正面和反面）</w:t>
      </w:r>
    </w:p>
    <w:p w14:paraId="69AC3F7E">
      <w:pPr>
        <w:widowControl/>
        <w:topLinePunct/>
        <w:spacing w:line="440" w:lineRule="atLeast"/>
        <w:ind w:firstLine="610"/>
        <w:rPr>
          <w:color w:val="auto"/>
          <w:kern w:val="0"/>
          <w:szCs w:val="21"/>
          <w:highlight w:val="none"/>
        </w:rPr>
      </w:pPr>
    </w:p>
    <w:p w14:paraId="0244548F">
      <w:pPr>
        <w:widowControl/>
        <w:topLinePunct/>
        <w:spacing w:line="440" w:lineRule="atLeast"/>
        <w:ind w:firstLine="2879"/>
        <w:rPr>
          <w:color w:val="auto"/>
          <w:kern w:val="0"/>
          <w:szCs w:val="21"/>
          <w:highlight w:val="none"/>
        </w:rPr>
      </w:pPr>
    </w:p>
    <w:p w14:paraId="3604C816">
      <w:pPr>
        <w:widowControl/>
        <w:topLinePunct/>
        <w:spacing w:line="440" w:lineRule="atLeast"/>
        <w:rPr>
          <w:color w:val="auto"/>
          <w:kern w:val="0"/>
          <w:szCs w:val="21"/>
          <w:highlight w:val="none"/>
        </w:rPr>
      </w:pPr>
      <w:r>
        <w:rPr>
          <w:color w:val="auto"/>
          <w:kern w:val="0"/>
          <w:szCs w:val="21"/>
          <w:highlight w:val="none"/>
        </w:rPr>
        <w:t xml:space="preserve">              投标人：（盖单位章）</w:t>
      </w:r>
    </w:p>
    <w:p w14:paraId="065324B9">
      <w:pPr>
        <w:widowControl/>
        <w:topLinePunct/>
        <w:spacing w:line="440" w:lineRule="atLeast"/>
        <w:rPr>
          <w:color w:val="auto"/>
          <w:kern w:val="0"/>
          <w:szCs w:val="21"/>
          <w:highlight w:val="none"/>
        </w:rPr>
      </w:pPr>
    </w:p>
    <w:p w14:paraId="7D4E729C">
      <w:pPr>
        <w:widowControl/>
        <w:topLinePunct/>
        <w:spacing w:line="440" w:lineRule="atLeast"/>
        <w:ind w:firstLine="3150" w:firstLineChars="1500"/>
        <w:jc w:val="right"/>
        <w:rPr>
          <w:color w:val="auto"/>
          <w:kern w:val="0"/>
          <w:szCs w:val="21"/>
          <w:highlight w:val="none"/>
        </w:rPr>
      </w:pPr>
      <w:r>
        <w:rPr>
          <w:color w:val="auto"/>
          <w:kern w:val="0"/>
          <w:szCs w:val="21"/>
          <w:highlight w:val="none"/>
        </w:rPr>
        <w:t xml:space="preserve">     年   月   日</w:t>
      </w:r>
    </w:p>
    <w:p w14:paraId="263DEED5">
      <w:pPr>
        <w:widowControl/>
        <w:topLinePunct/>
        <w:spacing w:line="440" w:lineRule="atLeast"/>
        <w:ind w:firstLine="3150" w:firstLineChars="1500"/>
        <w:jc w:val="right"/>
        <w:rPr>
          <w:color w:val="auto"/>
          <w:kern w:val="0"/>
          <w:szCs w:val="21"/>
          <w:highlight w:val="none"/>
        </w:rPr>
      </w:pPr>
    </w:p>
    <w:p w14:paraId="17A1C213">
      <w:pPr>
        <w:spacing w:line="228" w:lineRule="auto"/>
        <w:rPr>
          <w:rFonts w:ascii="宋体" w:hAnsi="宋体" w:eastAsia="宋体" w:cs="宋体"/>
          <w:sz w:val="20"/>
          <w:szCs w:val="20"/>
        </w:rPr>
        <w:sectPr>
          <w:footerReference r:id="rId39" w:type="default"/>
          <w:pgSz w:w="11907" w:h="16840"/>
          <w:pgMar w:top="1315" w:right="1020" w:bottom="1029" w:left="1448" w:header="0" w:footer="850" w:gutter="0"/>
          <w:pgNumType w:fmt="decimal"/>
          <w:cols w:space="720" w:num="1"/>
        </w:sectPr>
      </w:pPr>
    </w:p>
    <w:p w14:paraId="798C2EF9">
      <w:pPr>
        <w:pStyle w:val="3"/>
        <w:jc w:val="center"/>
        <w:outlineLvl w:val="2"/>
        <w:rPr>
          <w:rFonts w:ascii="Times New Roman" w:hAnsi="Times New Roman" w:eastAsia="黑体"/>
          <w:b w:val="0"/>
          <w:bCs w:val="0"/>
          <w:color w:val="auto"/>
          <w:sz w:val="30"/>
          <w:highlight w:val="none"/>
        </w:rPr>
      </w:pPr>
      <w:bookmarkStart w:id="839" w:name="_Toc80006154"/>
      <w:bookmarkStart w:id="840" w:name="_Toc9178581"/>
      <w:bookmarkStart w:id="841" w:name="_Toc13205"/>
      <w:bookmarkStart w:id="842" w:name="_Toc80006264"/>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授权委托书</w:t>
      </w:r>
      <w:bookmarkEnd w:id="839"/>
      <w:bookmarkEnd w:id="840"/>
      <w:bookmarkEnd w:id="841"/>
      <w:bookmarkEnd w:id="842"/>
    </w:p>
    <w:p w14:paraId="30212561">
      <w:pPr>
        <w:widowControl/>
        <w:topLinePunct/>
        <w:spacing w:line="440" w:lineRule="exact"/>
        <w:ind w:firstLine="404" w:firstLineChars="200"/>
        <w:rPr>
          <w:color w:val="auto"/>
          <w:kern w:val="0"/>
          <w:szCs w:val="21"/>
          <w:highlight w:val="none"/>
        </w:rPr>
      </w:pPr>
      <w:r>
        <w:rPr>
          <w:color w:val="auto"/>
          <w:kern w:val="0"/>
          <w:szCs w:val="21"/>
          <w:highlight w:val="none"/>
        </w:rPr>
        <w:t>本人</w:t>
      </w:r>
      <w:r>
        <w:rPr>
          <w:color w:val="auto"/>
          <w:kern w:val="0"/>
          <w:szCs w:val="21"/>
          <w:highlight w:val="none"/>
          <w:u w:val="single"/>
        </w:rPr>
        <w:t xml:space="preserve">     </w:t>
      </w:r>
      <w:r>
        <w:rPr>
          <w:color w:val="auto"/>
          <w:kern w:val="0"/>
          <w:szCs w:val="21"/>
          <w:highlight w:val="none"/>
        </w:rPr>
        <w:t>（姓名）系</w:t>
      </w:r>
      <w:r>
        <w:rPr>
          <w:color w:val="auto"/>
          <w:kern w:val="0"/>
          <w:szCs w:val="21"/>
          <w:highlight w:val="none"/>
          <w:u w:val="single"/>
        </w:rPr>
        <w:t xml:space="preserve">     </w:t>
      </w:r>
      <w:r>
        <w:rPr>
          <w:color w:val="auto"/>
          <w:kern w:val="0"/>
          <w:szCs w:val="21"/>
          <w:highlight w:val="none"/>
        </w:rPr>
        <w:t>（投标人名称）的法定代表人，现委托</w:t>
      </w:r>
      <w:r>
        <w:rPr>
          <w:color w:val="auto"/>
          <w:kern w:val="0"/>
          <w:szCs w:val="21"/>
          <w:highlight w:val="none"/>
          <w:u w:val="single"/>
        </w:rPr>
        <w:t xml:space="preserve">    </w:t>
      </w:r>
      <w:r>
        <w:rPr>
          <w:color w:val="auto"/>
          <w:kern w:val="0"/>
          <w:szCs w:val="21"/>
          <w:highlight w:val="none"/>
        </w:rPr>
        <w:t>（姓名）为我方代理人。代理人根据授权，以我方名义签署、澄清、说明、补正、递交、撤回、修改</w:t>
      </w:r>
      <w:r>
        <w:rPr>
          <w:color w:val="auto"/>
          <w:kern w:val="0"/>
          <w:szCs w:val="21"/>
          <w:highlight w:val="none"/>
          <w:u w:val="single"/>
        </w:rPr>
        <w:t xml:space="preserve">    </w:t>
      </w:r>
      <w:r>
        <w:rPr>
          <w:color w:val="auto"/>
          <w:kern w:val="0"/>
          <w:szCs w:val="21"/>
          <w:highlight w:val="none"/>
        </w:rPr>
        <w:t>（</w:t>
      </w:r>
      <w:r>
        <w:rPr>
          <w:rFonts w:hint="eastAsia"/>
          <w:color w:val="auto"/>
          <w:kern w:val="0"/>
          <w:szCs w:val="21"/>
          <w:highlight w:val="none"/>
        </w:rPr>
        <w:t>招标</w:t>
      </w:r>
      <w:r>
        <w:rPr>
          <w:color w:val="auto"/>
          <w:kern w:val="0"/>
          <w:szCs w:val="21"/>
          <w:highlight w:val="none"/>
        </w:rPr>
        <w:t>项目</w:t>
      </w:r>
      <w:r>
        <w:rPr>
          <w:rFonts w:hint="eastAsia"/>
          <w:color w:val="auto"/>
          <w:kern w:val="0"/>
          <w:szCs w:val="21"/>
          <w:highlight w:val="none"/>
        </w:rPr>
        <w:t>及标段</w:t>
      </w:r>
      <w:r>
        <w:rPr>
          <w:color w:val="auto"/>
          <w:kern w:val="0"/>
          <w:szCs w:val="21"/>
          <w:highlight w:val="none"/>
        </w:rPr>
        <w:t>）</w:t>
      </w:r>
      <w:r>
        <w:rPr>
          <w:color w:val="auto"/>
          <w:kern w:val="0"/>
          <w:szCs w:val="21"/>
          <w:highlight w:val="none"/>
          <w:u w:val="single"/>
        </w:rPr>
        <w:t xml:space="preserve">  </w:t>
      </w:r>
      <w:r>
        <w:rPr>
          <w:color w:val="auto"/>
          <w:kern w:val="0"/>
          <w:szCs w:val="21"/>
          <w:highlight w:val="none"/>
        </w:rPr>
        <w:t>施工招标投标文件，其法律后果由我方承担。</w:t>
      </w:r>
    </w:p>
    <w:p w14:paraId="24C57B24">
      <w:pPr>
        <w:widowControl/>
        <w:topLinePunct/>
        <w:spacing w:line="440" w:lineRule="exact"/>
        <w:ind w:firstLine="404" w:firstLineChars="200"/>
        <w:rPr>
          <w:color w:val="auto"/>
          <w:kern w:val="0"/>
          <w:szCs w:val="21"/>
          <w:highlight w:val="none"/>
          <w:u w:val="single"/>
        </w:rPr>
      </w:pPr>
      <w:r>
        <w:rPr>
          <w:color w:val="auto"/>
          <w:kern w:val="0"/>
          <w:szCs w:val="21"/>
          <w:highlight w:val="none"/>
        </w:rPr>
        <w:t>委托期限：</w:t>
      </w:r>
      <w:r>
        <w:rPr>
          <w:color w:val="auto"/>
          <w:kern w:val="0"/>
          <w:szCs w:val="21"/>
          <w:highlight w:val="none"/>
          <w:u w:val="single"/>
        </w:rPr>
        <w:t xml:space="preserve">                    </w:t>
      </w:r>
      <w:r>
        <w:rPr>
          <w:color w:val="auto"/>
          <w:kern w:val="0"/>
          <w:szCs w:val="21"/>
          <w:highlight w:val="none"/>
        </w:rPr>
        <w:t>。</w:t>
      </w:r>
    </w:p>
    <w:p w14:paraId="03FFA20C">
      <w:pPr>
        <w:widowControl/>
        <w:topLinePunct/>
        <w:spacing w:line="440" w:lineRule="exact"/>
        <w:ind w:firstLine="404" w:firstLineChars="200"/>
        <w:rPr>
          <w:color w:val="auto"/>
          <w:kern w:val="0"/>
          <w:szCs w:val="21"/>
          <w:highlight w:val="none"/>
        </w:rPr>
      </w:pPr>
      <w:r>
        <w:rPr>
          <w:color w:val="auto"/>
          <w:kern w:val="0"/>
          <w:szCs w:val="21"/>
          <w:highlight w:val="none"/>
        </w:rPr>
        <w:t>代理人无转委托权。</w:t>
      </w:r>
    </w:p>
    <w:p w14:paraId="3FBC0FF1">
      <w:pPr>
        <w:widowControl/>
        <w:topLinePunct/>
        <w:spacing w:line="440" w:lineRule="exact"/>
        <w:ind w:firstLine="610"/>
        <w:rPr>
          <w:rFonts w:hint="eastAsia"/>
          <w:color w:val="auto"/>
          <w:kern w:val="0"/>
          <w:szCs w:val="21"/>
          <w:highlight w:val="none"/>
        </w:rPr>
      </w:pPr>
      <w:r>
        <w:rPr>
          <w:color w:val="auto"/>
          <w:kern w:val="0"/>
          <w:szCs w:val="21"/>
          <w:highlight w:val="none"/>
        </w:rPr>
        <w:t>附：法定代表人及委托代理人身份证</w:t>
      </w:r>
      <w:r>
        <w:rPr>
          <w:rFonts w:hint="eastAsia"/>
          <w:color w:val="auto"/>
          <w:kern w:val="0"/>
          <w:szCs w:val="21"/>
          <w:highlight w:val="none"/>
        </w:rPr>
        <w:t>复印件（正面和反面）</w:t>
      </w:r>
    </w:p>
    <w:p w14:paraId="76B24DFA">
      <w:pPr>
        <w:widowControl/>
        <w:topLinePunct/>
        <w:spacing w:line="440" w:lineRule="atLeast"/>
        <w:ind w:firstLine="610"/>
        <w:rPr>
          <w:color w:val="auto"/>
          <w:kern w:val="0"/>
          <w:szCs w:val="21"/>
          <w:highlight w:val="none"/>
        </w:rPr>
      </w:pPr>
    </w:p>
    <w:p w14:paraId="7DBD7D9B">
      <w:pPr>
        <w:widowControl/>
        <w:topLinePunct/>
        <w:spacing w:line="440" w:lineRule="atLeast"/>
        <w:ind w:firstLine="2879"/>
        <w:rPr>
          <w:color w:val="auto"/>
          <w:kern w:val="0"/>
          <w:szCs w:val="21"/>
          <w:highlight w:val="none"/>
        </w:rPr>
      </w:pPr>
    </w:p>
    <w:p w14:paraId="3EC613CB">
      <w:pPr>
        <w:widowControl/>
        <w:topLinePunct/>
        <w:spacing w:line="440" w:lineRule="atLeast"/>
        <w:ind w:firstLine="2879"/>
        <w:rPr>
          <w:color w:val="auto"/>
          <w:kern w:val="0"/>
          <w:szCs w:val="21"/>
          <w:highlight w:val="none"/>
        </w:rPr>
      </w:pPr>
      <w:r>
        <w:rPr>
          <w:color w:val="auto"/>
          <w:kern w:val="0"/>
          <w:szCs w:val="21"/>
          <w:highlight w:val="none"/>
        </w:rPr>
        <w:t>投标人：（盖单位章）</w:t>
      </w:r>
    </w:p>
    <w:p w14:paraId="339047C5">
      <w:pPr>
        <w:widowControl/>
        <w:topLinePunct/>
        <w:spacing w:line="440" w:lineRule="atLeast"/>
        <w:ind w:firstLine="2879"/>
        <w:rPr>
          <w:color w:val="auto"/>
          <w:kern w:val="0"/>
          <w:szCs w:val="21"/>
          <w:highlight w:val="none"/>
        </w:rPr>
      </w:pPr>
      <w:r>
        <w:rPr>
          <w:color w:val="auto"/>
          <w:kern w:val="0"/>
          <w:szCs w:val="21"/>
          <w:highlight w:val="none"/>
        </w:rPr>
        <w:t>法定代表人：（签字</w:t>
      </w:r>
      <w:r>
        <w:rPr>
          <w:rFonts w:hint="eastAsia" w:ascii="宋体" w:hAnsi="宋体"/>
          <w:color w:val="auto"/>
          <w:szCs w:val="21"/>
          <w:highlight w:val="none"/>
        </w:rPr>
        <w:t>或盖章</w:t>
      </w:r>
      <w:r>
        <w:rPr>
          <w:color w:val="auto"/>
          <w:kern w:val="0"/>
          <w:szCs w:val="21"/>
          <w:highlight w:val="none"/>
        </w:rPr>
        <w:t>）</w:t>
      </w:r>
    </w:p>
    <w:p w14:paraId="043DA271">
      <w:pPr>
        <w:widowControl/>
        <w:topLinePunct/>
        <w:spacing w:line="440" w:lineRule="atLeast"/>
        <w:ind w:firstLine="2879"/>
        <w:rPr>
          <w:color w:val="auto"/>
          <w:kern w:val="0"/>
          <w:szCs w:val="21"/>
          <w:highlight w:val="none"/>
        </w:rPr>
      </w:pPr>
      <w:r>
        <w:rPr>
          <w:color w:val="auto"/>
          <w:kern w:val="0"/>
          <w:szCs w:val="21"/>
          <w:highlight w:val="none"/>
        </w:rPr>
        <w:t>委托代理人：（签字</w:t>
      </w:r>
      <w:r>
        <w:rPr>
          <w:rFonts w:hint="eastAsia" w:ascii="宋体" w:hAnsi="宋体"/>
          <w:color w:val="auto"/>
          <w:szCs w:val="21"/>
          <w:highlight w:val="none"/>
        </w:rPr>
        <w:t>或盖章</w:t>
      </w:r>
      <w:r>
        <w:rPr>
          <w:color w:val="auto"/>
          <w:kern w:val="0"/>
          <w:szCs w:val="21"/>
          <w:highlight w:val="none"/>
        </w:rPr>
        <w:t>）</w:t>
      </w:r>
    </w:p>
    <w:p w14:paraId="766608F6">
      <w:pPr>
        <w:widowControl/>
        <w:topLinePunct/>
        <w:spacing w:line="440" w:lineRule="atLeast"/>
        <w:ind w:firstLine="2879"/>
        <w:rPr>
          <w:color w:val="auto"/>
          <w:kern w:val="0"/>
          <w:szCs w:val="21"/>
          <w:highlight w:val="none"/>
        </w:rPr>
      </w:pPr>
    </w:p>
    <w:p w14:paraId="0A87B5DD">
      <w:pPr>
        <w:widowControl/>
        <w:topLinePunct/>
        <w:spacing w:line="440" w:lineRule="atLeast"/>
        <w:ind w:left="1836" w:firstLine="3204"/>
        <w:jc w:val="right"/>
        <w:rPr>
          <w:color w:val="auto"/>
          <w:kern w:val="0"/>
          <w:highlight w:val="none"/>
        </w:rPr>
      </w:pPr>
      <w:r>
        <w:rPr>
          <w:color w:val="auto"/>
          <w:kern w:val="0"/>
          <w:szCs w:val="21"/>
          <w:highlight w:val="none"/>
        </w:rPr>
        <w:t>年  月  日</w:t>
      </w:r>
    </w:p>
    <w:p w14:paraId="0B969C62">
      <w:pPr>
        <w:widowControl/>
        <w:topLinePunct/>
        <w:spacing w:line="440" w:lineRule="atLeast"/>
        <w:jc w:val="left"/>
        <w:rPr>
          <w:rFonts w:hint="eastAsia"/>
          <w:color w:val="auto"/>
          <w:kern w:val="0"/>
          <w:highlight w:val="none"/>
        </w:rPr>
      </w:pPr>
    </w:p>
    <w:p w14:paraId="32DDFFBF">
      <w:pPr>
        <w:widowControl/>
        <w:topLinePunct/>
        <w:spacing w:line="440" w:lineRule="atLeast"/>
        <w:jc w:val="left"/>
        <w:rPr>
          <w:rFonts w:hint="eastAsia"/>
          <w:color w:val="auto"/>
          <w:kern w:val="0"/>
          <w:highlight w:val="none"/>
        </w:rPr>
      </w:pPr>
    </w:p>
    <w:p w14:paraId="23EDFA77">
      <w:pPr>
        <w:widowControl/>
        <w:topLinePunct/>
        <w:spacing w:line="440" w:lineRule="atLeast"/>
        <w:jc w:val="left"/>
        <w:rPr>
          <w:rFonts w:hint="eastAsia"/>
          <w:color w:val="auto"/>
          <w:kern w:val="0"/>
          <w:highlight w:val="none"/>
        </w:rPr>
      </w:pPr>
    </w:p>
    <w:p w14:paraId="6EDF82BE">
      <w:pPr>
        <w:widowControl/>
        <w:topLinePunct/>
        <w:spacing w:line="440" w:lineRule="atLeast"/>
        <w:jc w:val="left"/>
        <w:rPr>
          <w:rFonts w:hint="eastAsia"/>
          <w:color w:val="auto"/>
          <w:kern w:val="0"/>
          <w:highlight w:val="none"/>
        </w:rPr>
      </w:pPr>
    </w:p>
    <w:p w14:paraId="1267238B">
      <w:pPr>
        <w:widowControl/>
        <w:topLinePunct/>
        <w:spacing w:line="440" w:lineRule="atLeast"/>
        <w:jc w:val="left"/>
        <w:rPr>
          <w:rFonts w:eastAsia="黑体"/>
          <w:color w:val="auto"/>
          <w:sz w:val="30"/>
          <w:szCs w:val="32"/>
          <w:highlight w:val="none"/>
        </w:rPr>
      </w:pPr>
      <w:bookmarkStart w:id="843" w:name="_Toc300678572"/>
    </w:p>
    <w:p w14:paraId="5443858A">
      <w:pPr>
        <w:pStyle w:val="3"/>
        <w:spacing w:before="0" w:after="0" w:line="360" w:lineRule="auto"/>
        <w:jc w:val="center"/>
        <w:outlineLvl w:val="2"/>
        <w:rPr>
          <w:rFonts w:ascii="Times New Roman" w:hAnsi="Times New Roman" w:eastAsia="黑体"/>
          <w:b w:val="0"/>
          <w:bCs w:val="0"/>
          <w:color w:val="auto"/>
          <w:sz w:val="30"/>
          <w:highlight w:val="none"/>
        </w:rPr>
      </w:pPr>
      <w:bookmarkStart w:id="844" w:name="_Toc9178582"/>
      <w:r>
        <w:rPr>
          <w:rFonts w:hint="eastAsia" w:ascii="Times New Roman" w:hAnsi="Times New Roman" w:eastAsia="黑体"/>
          <w:b w:val="0"/>
          <w:bCs w:val="0"/>
          <w:color w:val="auto"/>
          <w:sz w:val="30"/>
          <w:highlight w:val="none"/>
        </w:rPr>
        <w:br w:type="page"/>
      </w:r>
      <w:bookmarkStart w:id="845" w:name="_Toc80006265"/>
      <w:bookmarkStart w:id="846" w:name="_Toc80006155"/>
      <w:bookmarkStart w:id="847" w:name="_Toc10298"/>
      <w:r>
        <w:rPr>
          <w:rFonts w:hint="eastAsia" w:ascii="Times New Roman" w:hAnsi="Times New Roman" w:eastAsia="黑体"/>
          <w:b w:val="0"/>
          <w:bCs w:val="0"/>
          <w:color w:val="auto"/>
          <w:sz w:val="30"/>
          <w:highlight w:val="none"/>
        </w:rPr>
        <w:t>4.</w:t>
      </w:r>
      <w:bookmarkEnd w:id="843"/>
      <w:bookmarkEnd w:id="844"/>
      <w:r>
        <w:rPr>
          <w:rFonts w:hint="eastAsia" w:ascii="Times New Roman" w:hAnsi="Times New Roman" w:eastAsia="黑体"/>
          <w:b w:val="0"/>
          <w:bCs w:val="0"/>
          <w:color w:val="auto"/>
          <w:sz w:val="30"/>
          <w:highlight w:val="none"/>
          <w:lang w:val="en-US" w:eastAsia="zh-CN"/>
        </w:rPr>
        <w:t>共同投标协议</w:t>
      </w:r>
      <w:r>
        <w:rPr>
          <w:rFonts w:hint="eastAsia" w:ascii="黑体" w:hAnsi="黑体" w:eastAsia="黑体"/>
          <w:color w:val="auto"/>
          <w:sz w:val="24"/>
          <w:highlight w:val="none"/>
        </w:rPr>
        <w:t>（</w:t>
      </w:r>
      <w:r>
        <w:rPr>
          <w:rFonts w:ascii="黑体" w:hAnsi="黑体" w:eastAsia="黑体"/>
          <w:color w:val="auto"/>
          <w:sz w:val="24"/>
          <w:highlight w:val="none"/>
        </w:rPr>
        <w:sym w:font="Wingdings 2" w:char="00A3"/>
      </w:r>
      <w:r>
        <w:rPr>
          <w:rFonts w:hint="eastAsia" w:ascii="黑体" w:hAnsi="黑体" w:eastAsia="黑体"/>
          <w:color w:val="auto"/>
          <w:sz w:val="24"/>
          <w:highlight w:val="none"/>
        </w:rPr>
        <w:t>联合体投标适用）</w:t>
      </w:r>
      <w:bookmarkEnd w:id="845"/>
      <w:bookmarkEnd w:id="846"/>
      <w:bookmarkEnd w:id="847"/>
    </w:p>
    <w:p w14:paraId="465BFEAB">
      <w:pPr>
        <w:snapToGrid w:val="0"/>
        <w:spacing w:line="360" w:lineRule="auto"/>
        <w:rPr>
          <w:color w:val="auto"/>
          <w:szCs w:val="21"/>
          <w:highlight w:val="none"/>
        </w:rPr>
      </w:pPr>
      <w:r>
        <w:rPr>
          <w:color w:val="auto"/>
          <w:szCs w:val="21"/>
          <w:highlight w:val="none"/>
        </w:rPr>
        <w:t>牵头人名称：</w:t>
      </w:r>
    </w:p>
    <w:p w14:paraId="205E298A">
      <w:pPr>
        <w:snapToGrid w:val="0"/>
        <w:spacing w:line="360" w:lineRule="auto"/>
        <w:rPr>
          <w:color w:val="auto"/>
          <w:szCs w:val="21"/>
          <w:highlight w:val="none"/>
        </w:rPr>
      </w:pPr>
      <w:r>
        <w:rPr>
          <w:color w:val="auto"/>
          <w:szCs w:val="21"/>
          <w:highlight w:val="none"/>
        </w:rPr>
        <w:t>法定代表人：</w:t>
      </w:r>
    </w:p>
    <w:p w14:paraId="3AC89504">
      <w:pPr>
        <w:snapToGrid w:val="0"/>
        <w:spacing w:line="360" w:lineRule="auto"/>
        <w:rPr>
          <w:color w:val="auto"/>
          <w:szCs w:val="21"/>
          <w:highlight w:val="none"/>
        </w:rPr>
      </w:pPr>
      <w:r>
        <w:rPr>
          <w:color w:val="auto"/>
          <w:szCs w:val="21"/>
          <w:highlight w:val="none"/>
        </w:rPr>
        <w:t>法定住所：</w:t>
      </w:r>
    </w:p>
    <w:p w14:paraId="603A96BA">
      <w:pPr>
        <w:snapToGrid w:val="0"/>
        <w:spacing w:line="360" w:lineRule="auto"/>
        <w:rPr>
          <w:color w:val="auto"/>
          <w:szCs w:val="21"/>
          <w:highlight w:val="none"/>
        </w:rPr>
      </w:pPr>
      <w:r>
        <w:rPr>
          <w:color w:val="auto"/>
          <w:szCs w:val="21"/>
          <w:highlight w:val="none"/>
        </w:rPr>
        <w:t>成员二名称：</w:t>
      </w:r>
    </w:p>
    <w:p w14:paraId="6EAE34A3">
      <w:pPr>
        <w:snapToGrid w:val="0"/>
        <w:spacing w:line="360" w:lineRule="auto"/>
        <w:rPr>
          <w:color w:val="auto"/>
          <w:szCs w:val="21"/>
          <w:highlight w:val="none"/>
        </w:rPr>
      </w:pPr>
      <w:r>
        <w:rPr>
          <w:color w:val="auto"/>
          <w:szCs w:val="21"/>
          <w:highlight w:val="none"/>
        </w:rPr>
        <w:t>法定代表人：</w:t>
      </w:r>
    </w:p>
    <w:p w14:paraId="218FEA38">
      <w:pPr>
        <w:snapToGrid w:val="0"/>
        <w:spacing w:line="360" w:lineRule="auto"/>
        <w:rPr>
          <w:color w:val="auto"/>
          <w:szCs w:val="21"/>
          <w:highlight w:val="none"/>
          <w:u w:val="single"/>
        </w:rPr>
      </w:pPr>
      <w:r>
        <w:rPr>
          <w:color w:val="auto"/>
          <w:szCs w:val="21"/>
          <w:highlight w:val="none"/>
        </w:rPr>
        <w:t>法定住所：</w:t>
      </w:r>
    </w:p>
    <w:p w14:paraId="0F2E6C9B">
      <w:pPr>
        <w:snapToGrid w:val="0"/>
        <w:spacing w:line="360" w:lineRule="auto"/>
        <w:ind w:firstLine="505" w:firstLineChars="250"/>
        <w:rPr>
          <w:color w:val="auto"/>
          <w:szCs w:val="21"/>
          <w:highlight w:val="none"/>
        </w:rPr>
      </w:pPr>
      <w:r>
        <w:rPr>
          <w:color w:val="auto"/>
          <w:szCs w:val="21"/>
          <w:highlight w:val="none"/>
        </w:rPr>
        <w:t>……</w:t>
      </w:r>
    </w:p>
    <w:p w14:paraId="71186529">
      <w:pPr>
        <w:snapToGrid w:val="0"/>
        <w:spacing w:line="360" w:lineRule="auto"/>
        <w:ind w:firstLine="404" w:firstLineChars="200"/>
        <w:rPr>
          <w:color w:val="auto"/>
          <w:szCs w:val="21"/>
          <w:highlight w:val="none"/>
        </w:rPr>
      </w:pPr>
      <w:r>
        <w:rPr>
          <w:color w:val="auto"/>
          <w:szCs w:val="21"/>
          <w:highlight w:val="none"/>
        </w:rPr>
        <w:t>鉴于上述各成员单位经过友好协商，自愿组成联合体，共同参加</w:t>
      </w:r>
      <w:r>
        <w:rPr>
          <w:color w:val="auto"/>
          <w:szCs w:val="21"/>
          <w:highlight w:val="none"/>
          <w:u w:val="single"/>
        </w:rPr>
        <w:t xml:space="preserve">              </w:t>
      </w:r>
      <w:r>
        <w:rPr>
          <w:color w:val="auto"/>
          <w:szCs w:val="21"/>
          <w:highlight w:val="none"/>
        </w:rPr>
        <w:t>（招标人名称）（以下简称招标人）</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）（以下简称本</w:t>
      </w:r>
      <w:r>
        <w:rPr>
          <w:rFonts w:hint="eastAsia"/>
          <w:color w:val="auto"/>
          <w:szCs w:val="21"/>
          <w:highlight w:val="none"/>
        </w:rPr>
        <w:t>招标项目</w:t>
      </w:r>
      <w:r>
        <w:rPr>
          <w:color w:val="auto"/>
          <w:szCs w:val="21"/>
          <w:highlight w:val="none"/>
        </w:rPr>
        <w:t>）的施工投标并争取赢得本工程施工承包合同（以下简称合同）。现就联合体投标事宜订立如下协议：</w:t>
      </w:r>
    </w:p>
    <w:p w14:paraId="0A48D630">
      <w:pPr>
        <w:snapToGrid w:val="0"/>
        <w:spacing w:line="360" w:lineRule="auto"/>
        <w:ind w:firstLine="404"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（某成员单位名称）为牵头人。</w:t>
      </w:r>
    </w:p>
    <w:p w14:paraId="755C434F">
      <w:pPr>
        <w:snapToGrid w:val="0"/>
        <w:spacing w:line="360" w:lineRule="auto"/>
        <w:ind w:firstLine="404" w:firstLineChars="200"/>
        <w:rPr>
          <w:color w:val="auto"/>
          <w:szCs w:val="21"/>
          <w:highlight w:val="none"/>
        </w:rPr>
      </w:pPr>
      <w:r>
        <w:rPr>
          <w:color w:val="auto"/>
          <w:szCs w:val="21"/>
          <w:highlight w:val="none"/>
        </w:rPr>
        <w:t>2．在本</w:t>
      </w:r>
      <w:r>
        <w:rPr>
          <w:rFonts w:hint="eastAsia"/>
          <w:color w:val="auto"/>
          <w:szCs w:val="21"/>
          <w:highlight w:val="none"/>
        </w:rPr>
        <w:t>招标项目</w:t>
      </w:r>
      <w:r>
        <w:rPr>
          <w:color w:val="auto"/>
          <w:szCs w:val="21"/>
          <w:highlight w:val="none"/>
        </w:rPr>
        <w:t>投标阶段，联合体牵头人合法代表联合体各</w:t>
      </w:r>
      <w:r>
        <w:rPr>
          <w:rFonts w:hint="eastAsia"/>
          <w:color w:val="auto"/>
          <w:szCs w:val="21"/>
          <w:highlight w:val="none"/>
          <w:lang w:val="en-US" w:eastAsia="zh-CN"/>
        </w:rPr>
        <w:t>方</w:t>
      </w:r>
      <w:r>
        <w:rPr>
          <w:color w:val="auto"/>
          <w:szCs w:val="21"/>
          <w:highlight w:val="none"/>
        </w:rPr>
        <w:t>负责本工程投标文件编制活动，代表联合体提交和接收相关的资料、信息及指示，并处理与投标和中标有关的一切事务；联合体中标后，联合体牵头人负责合同订立和合同实施阶段的主办、组织和协调工作。</w:t>
      </w:r>
    </w:p>
    <w:p w14:paraId="39D76C51">
      <w:pPr>
        <w:snapToGrid w:val="0"/>
        <w:spacing w:line="360" w:lineRule="auto"/>
        <w:ind w:firstLine="404" w:firstLineChars="200"/>
        <w:rPr>
          <w:color w:val="auto"/>
          <w:szCs w:val="21"/>
          <w:highlight w:val="none"/>
        </w:rPr>
      </w:pPr>
      <w:r>
        <w:rPr>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C2D5E3E">
      <w:pPr>
        <w:snapToGrid w:val="0"/>
        <w:spacing w:line="360" w:lineRule="auto"/>
        <w:ind w:firstLine="404" w:firstLineChars="200"/>
        <w:rPr>
          <w:color w:val="auto"/>
          <w:szCs w:val="21"/>
          <w:highlight w:val="none"/>
        </w:rPr>
      </w:pPr>
      <w:r>
        <w:rPr>
          <w:color w:val="auto"/>
          <w:szCs w:val="21"/>
          <w:highlight w:val="none"/>
        </w:rPr>
        <w:t>4．联合体各</w:t>
      </w:r>
      <w:r>
        <w:rPr>
          <w:rFonts w:hint="eastAsia"/>
          <w:color w:val="auto"/>
          <w:szCs w:val="21"/>
          <w:highlight w:val="none"/>
          <w:lang w:val="en-US" w:eastAsia="zh-CN"/>
        </w:rPr>
        <w:t>方</w:t>
      </w:r>
      <w:r>
        <w:rPr>
          <w:color w:val="auto"/>
          <w:szCs w:val="21"/>
          <w:highlight w:val="none"/>
        </w:rPr>
        <w:t>单位内部的职责分工如下：</w:t>
      </w:r>
      <w:r>
        <w:rPr>
          <w:color w:val="auto"/>
          <w:szCs w:val="21"/>
          <w:highlight w:val="none"/>
          <w:u w:val="single"/>
        </w:rPr>
        <w:t xml:space="preserve">                </w:t>
      </w:r>
      <w:r>
        <w:rPr>
          <w:color w:val="auto"/>
          <w:szCs w:val="21"/>
          <w:highlight w:val="none"/>
        </w:rPr>
        <w:t>。按照本条上述分工，联合体成员单位各自所承担的合同工作量比例如下</w:t>
      </w:r>
      <w:r>
        <w:rPr>
          <w:rFonts w:hint="eastAsia"/>
          <w:color w:val="auto"/>
          <w:szCs w:val="21"/>
          <w:highlight w:val="none"/>
          <w:lang w:eastAsia="zh-CN"/>
        </w:rPr>
        <w:t>（</w:t>
      </w:r>
      <w:r>
        <w:rPr>
          <w:rFonts w:hint="eastAsia"/>
          <w:color w:val="auto"/>
          <w:szCs w:val="21"/>
          <w:highlight w:val="none"/>
          <w:lang w:val="en-US" w:eastAsia="zh-CN"/>
        </w:rPr>
        <w:t>按100%</w:t>
      </w:r>
      <w:r>
        <w:rPr>
          <w:rFonts w:hint="eastAsia"/>
          <w:color w:val="auto"/>
          <w:szCs w:val="21"/>
          <w:highlight w:val="none"/>
          <w:lang w:eastAsia="zh-CN"/>
        </w:rPr>
        <w:t>）</w:t>
      </w:r>
      <w:r>
        <w:rPr>
          <w:color w:val="auto"/>
          <w:szCs w:val="21"/>
          <w:highlight w:val="none"/>
        </w:rPr>
        <w:t>：</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w:t>
      </w:r>
    </w:p>
    <w:p w14:paraId="28553066">
      <w:pPr>
        <w:snapToGrid w:val="0"/>
        <w:spacing w:line="360" w:lineRule="auto"/>
        <w:ind w:firstLine="404" w:firstLineChars="200"/>
        <w:rPr>
          <w:color w:val="auto"/>
          <w:szCs w:val="21"/>
          <w:highlight w:val="none"/>
        </w:rPr>
      </w:pPr>
      <w:r>
        <w:rPr>
          <w:color w:val="auto"/>
          <w:szCs w:val="21"/>
          <w:highlight w:val="none"/>
        </w:rPr>
        <w:t>5．投标工作和联合体在中标后工程实施过程中的有关费用按各自承担的工作量分摊。</w:t>
      </w:r>
    </w:p>
    <w:p w14:paraId="5B38B78F">
      <w:pPr>
        <w:snapToGrid w:val="0"/>
        <w:spacing w:line="360" w:lineRule="auto"/>
        <w:ind w:firstLine="404" w:firstLineChars="200"/>
        <w:rPr>
          <w:color w:val="auto"/>
          <w:szCs w:val="21"/>
          <w:highlight w:val="none"/>
        </w:rPr>
      </w:pPr>
      <w:r>
        <w:rPr>
          <w:color w:val="auto"/>
          <w:szCs w:val="21"/>
          <w:highlight w:val="none"/>
        </w:rPr>
        <w:t>6．联合体中标后，本联合体协议是合同的附件，对联合体各</w:t>
      </w:r>
      <w:r>
        <w:rPr>
          <w:rFonts w:hint="eastAsia"/>
          <w:color w:val="auto"/>
          <w:szCs w:val="21"/>
          <w:highlight w:val="none"/>
          <w:lang w:val="en-US" w:eastAsia="zh-CN"/>
        </w:rPr>
        <w:t>方</w:t>
      </w:r>
      <w:r>
        <w:rPr>
          <w:color w:val="auto"/>
          <w:szCs w:val="21"/>
          <w:highlight w:val="none"/>
        </w:rPr>
        <w:t>单位有合同约束力。</w:t>
      </w:r>
    </w:p>
    <w:p w14:paraId="455D8162">
      <w:pPr>
        <w:snapToGrid w:val="0"/>
        <w:spacing w:line="360" w:lineRule="auto"/>
        <w:ind w:firstLine="404" w:firstLineChars="200"/>
        <w:rPr>
          <w:color w:val="auto"/>
          <w:szCs w:val="21"/>
          <w:highlight w:val="none"/>
        </w:rPr>
      </w:pPr>
      <w:r>
        <w:rPr>
          <w:color w:val="auto"/>
          <w:szCs w:val="21"/>
          <w:highlight w:val="none"/>
        </w:rPr>
        <w:t>7．本协议书自签署之日起生效，联合体未中标或者中标时合同履行完毕后自动失效。</w:t>
      </w:r>
    </w:p>
    <w:p w14:paraId="753E5B7B">
      <w:pPr>
        <w:snapToGrid w:val="0"/>
        <w:spacing w:line="360" w:lineRule="auto"/>
        <w:ind w:firstLine="404" w:firstLineChars="200"/>
        <w:outlineLvl w:val="2"/>
        <w:rPr>
          <w:color w:val="auto"/>
          <w:szCs w:val="21"/>
          <w:highlight w:val="none"/>
        </w:rPr>
      </w:pPr>
      <w:bookmarkStart w:id="848" w:name="_Toc20335"/>
      <w:r>
        <w:rPr>
          <w:color w:val="auto"/>
          <w:szCs w:val="21"/>
          <w:highlight w:val="none"/>
        </w:rPr>
        <w:t>8．本协议书一式</w:t>
      </w:r>
      <w:r>
        <w:rPr>
          <w:rFonts w:hint="eastAsia"/>
          <w:color w:val="auto"/>
          <w:szCs w:val="21"/>
          <w:highlight w:val="none"/>
        </w:rPr>
        <w:t xml:space="preserve">    </w:t>
      </w:r>
      <w:r>
        <w:rPr>
          <w:color w:val="auto"/>
          <w:szCs w:val="21"/>
          <w:highlight w:val="none"/>
        </w:rPr>
        <w:t>份，联合体成员和招标人各执</w:t>
      </w:r>
      <w:r>
        <w:rPr>
          <w:rFonts w:hint="eastAsia"/>
          <w:color w:val="auto"/>
          <w:szCs w:val="21"/>
          <w:highlight w:val="none"/>
        </w:rPr>
        <w:t xml:space="preserve">   </w:t>
      </w:r>
      <w:r>
        <w:rPr>
          <w:color w:val="auto"/>
          <w:szCs w:val="21"/>
          <w:highlight w:val="none"/>
        </w:rPr>
        <w:t>份。</w:t>
      </w:r>
      <w:bookmarkEnd w:id="848"/>
    </w:p>
    <w:p w14:paraId="29E3DBD0">
      <w:pPr>
        <w:snapToGrid w:val="0"/>
        <w:spacing w:line="360" w:lineRule="auto"/>
        <w:ind w:firstLine="1717" w:firstLineChars="850"/>
        <w:rPr>
          <w:color w:val="auto"/>
          <w:szCs w:val="21"/>
          <w:highlight w:val="none"/>
        </w:rPr>
      </w:pPr>
      <w:r>
        <w:rPr>
          <w:color w:val="auto"/>
          <w:szCs w:val="21"/>
          <w:highlight w:val="none"/>
        </w:rPr>
        <w:t>牵头人名称：（盖单位章）</w:t>
      </w:r>
    </w:p>
    <w:p w14:paraId="01811240">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14:paraId="305F93AA">
      <w:pPr>
        <w:snapToGrid w:val="0"/>
        <w:spacing w:line="360" w:lineRule="auto"/>
        <w:ind w:firstLine="1717" w:firstLineChars="850"/>
        <w:rPr>
          <w:color w:val="auto"/>
          <w:szCs w:val="21"/>
          <w:highlight w:val="none"/>
        </w:rPr>
      </w:pPr>
      <w:r>
        <w:rPr>
          <w:color w:val="auto"/>
          <w:szCs w:val="21"/>
          <w:highlight w:val="none"/>
        </w:rPr>
        <w:t>成员二名称：（盖单位章）</w:t>
      </w:r>
    </w:p>
    <w:p w14:paraId="70C53A37">
      <w:pPr>
        <w:snapToGrid w:val="0"/>
        <w:spacing w:line="360" w:lineRule="auto"/>
        <w:ind w:firstLine="1717" w:firstLineChars="850"/>
        <w:rPr>
          <w:color w:val="auto"/>
          <w:szCs w:val="21"/>
          <w:highlight w:val="none"/>
        </w:rPr>
      </w:pPr>
      <w:r>
        <w:rPr>
          <w:color w:val="auto"/>
          <w:szCs w:val="21"/>
          <w:highlight w:val="none"/>
        </w:rPr>
        <w:t>法定代表人或其委托代理人：（签字</w:t>
      </w:r>
      <w:r>
        <w:rPr>
          <w:rFonts w:hint="eastAsia" w:ascii="宋体" w:hAnsi="宋体"/>
          <w:color w:val="auto"/>
          <w:szCs w:val="21"/>
          <w:highlight w:val="none"/>
        </w:rPr>
        <w:t>或盖章</w:t>
      </w:r>
      <w:r>
        <w:rPr>
          <w:color w:val="auto"/>
          <w:szCs w:val="21"/>
          <w:highlight w:val="none"/>
        </w:rPr>
        <w:t>）</w:t>
      </w:r>
    </w:p>
    <w:p w14:paraId="2D93427A">
      <w:pPr>
        <w:snapToGrid w:val="0"/>
        <w:spacing w:line="360" w:lineRule="auto"/>
        <w:ind w:firstLine="2020" w:firstLineChars="1000"/>
        <w:rPr>
          <w:color w:val="auto"/>
          <w:szCs w:val="21"/>
          <w:highlight w:val="none"/>
        </w:rPr>
      </w:pPr>
      <w:r>
        <w:rPr>
          <w:color w:val="auto"/>
          <w:szCs w:val="21"/>
          <w:highlight w:val="none"/>
        </w:rPr>
        <w:t>……</w:t>
      </w:r>
    </w:p>
    <w:p w14:paraId="28BB3999">
      <w:pPr>
        <w:snapToGrid w:val="0"/>
        <w:spacing w:line="360" w:lineRule="auto"/>
        <w:jc w:val="right"/>
        <w:rPr>
          <w:color w:val="auto"/>
          <w:szCs w:val="21"/>
          <w:highlight w:val="none"/>
        </w:rPr>
      </w:pPr>
      <w:r>
        <w:rPr>
          <w:color w:val="auto"/>
          <w:szCs w:val="21"/>
          <w:highlight w:val="none"/>
        </w:rPr>
        <w:t>年  月  日</w:t>
      </w:r>
    </w:p>
    <w:p w14:paraId="7CFF6DE7">
      <w:pPr>
        <w:spacing w:line="360" w:lineRule="auto"/>
        <w:rPr>
          <w:color w:val="auto"/>
          <w:sz w:val="18"/>
          <w:szCs w:val="18"/>
          <w:highlight w:val="none"/>
        </w:rPr>
      </w:pPr>
      <w:r>
        <w:rPr>
          <w:rFonts w:hint="eastAsia"/>
          <w:color w:val="auto"/>
          <w:sz w:val="18"/>
          <w:szCs w:val="18"/>
          <w:highlight w:val="none"/>
        </w:rPr>
        <w:t>说明</w:t>
      </w:r>
      <w:r>
        <w:rPr>
          <w:color w:val="auto"/>
          <w:sz w:val="18"/>
          <w:szCs w:val="18"/>
          <w:highlight w:val="none"/>
        </w:rPr>
        <w:t>：本协议书由委托代理人</w:t>
      </w:r>
      <w:r>
        <w:rPr>
          <w:rFonts w:hint="eastAsia"/>
          <w:color w:val="auto"/>
          <w:sz w:val="18"/>
          <w:szCs w:val="18"/>
          <w:highlight w:val="none"/>
        </w:rPr>
        <w:t>签署</w:t>
      </w:r>
      <w:r>
        <w:rPr>
          <w:color w:val="auto"/>
          <w:sz w:val="18"/>
          <w:szCs w:val="18"/>
          <w:highlight w:val="none"/>
        </w:rPr>
        <w:t>的，应附法定代表人</w:t>
      </w:r>
      <w:r>
        <w:rPr>
          <w:rFonts w:hint="eastAsia"/>
          <w:color w:val="auto"/>
          <w:sz w:val="18"/>
          <w:szCs w:val="18"/>
          <w:highlight w:val="none"/>
        </w:rPr>
        <w:t>签署</w:t>
      </w:r>
      <w:r>
        <w:rPr>
          <w:color w:val="auto"/>
          <w:sz w:val="18"/>
          <w:szCs w:val="18"/>
          <w:highlight w:val="none"/>
        </w:rPr>
        <w:t>的授权委托书。</w:t>
      </w:r>
    </w:p>
    <w:p w14:paraId="4335053A">
      <w:pPr>
        <w:pStyle w:val="3"/>
        <w:jc w:val="center"/>
        <w:outlineLvl w:val="2"/>
        <w:rPr>
          <w:rFonts w:ascii="Times New Roman" w:hAnsi="Times New Roman" w:eastAsia="黑体"/>
          <w:b w:val="0"/>
          <w:bCs w:val="0"/>
          <w:color w:val="auto"/>
          <w:sz w:val="30"/>
          <w:highlight w:val="none"/>
        </w:rPr>
      </w:pPr>
      <w:bookmarkStart w:id="849" w:name="_Toc300678573"/>
      <w:bookmarkStart w:id="850" w:name="_Toc9178583"/>
      <w:bookmarkStart w:id="851" w:name="_Toc27798"/>
      <w:bookmarkStart w:id="852" w:name="_Toc80006156"/>
      <w:bookmarkStart w:id="853" w:name="_Toc80006266"/>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投标保证</w:t>
      </w:r>
      <w:bookmarkEnd w:id="849"/>
      <w:bookmarkEnd w:id="850"/>
      <w:bookmarkEnd w:id="851"/>
      <w:bookmarkEnd w:id="852"/>
      <w:bookmarkEnd w:id="853"/>
    </w:p>
    <w:p w14:paraId="0C3D999B">
      <w:pPr>
        <w:widowControl/>
        <w:spacing w:line="400" w:lineRule="exact"/>
        <w:jc w:val="left"/>
        <w:rPr>
          <w:color w:val="auto"/>
          <w:highlight w:val="none"/>
        </w:rPr>
      </w:pPr>
      <w:r>
        <w:rPr>
          <w:color w:val="auto"/>
          <w:szCs w:val="21"/>
          <w:highlight w:val="none"/>
        </w:rPr>
        <w:t>采用现金的，请</w:t>
      </w:r>
      <w:r>
        <w:rPr>
          <w:color w:val="auto"/>
          <w:highlight w:val="none"/>
        </w:rPr>
        <w:t>附投标人基本账户开户许可证复印件</w:t>
      </w:r>
      <w:r>
        <w:rPr>
          <w:rFonts w:hint="eastAsia"/>
          <w:color w:val="auto"/>
          <w:highlight w:val="none"/>
        </w:rPr>
        <w:t>（</w:t>
      </w:r>
      <w:r>
        <w:rPr>
          <w:color w:val="auto"/>
          <w:highlight w:val="none"/>
        </w:rPr>
        <w:t>或</w:t>
      </w:r>
      <w:r>
        <w:rPr>
          <w:rFonts w:hint="eastAsia"/>
          <w:color w:val="auto"/>
          <w:highlight w:val="none"/>
        </w:rPr>
        <w:t>基</w:t>
      </w:r>
      <w:r>
        <w:rPr>
          <w:color w:val="auto"/>
          <w:highlight w:val="none"/>
        </w:rPr>
        <w:t>本</w:t>
      </w:r>
      <w:r>
        <w:rPr>
          <w:rFonts w:hint="eastAsia"/>
          <w:color w:val="auto"/>
          <w:highlight w:val="none"/>
          <w:lang w:eastAsia="zh-CN"/>
        </w:rPr>
        <w:t>账户</w:t>
      </w:r>
      <w:r>
        <w:rPr>
          <w:rFonts w:hint="eastAsia"/>
          <w:color w:val="auto"/>
          <w:highlight w:val="none"/>
        </w:rPr>
        <w:t>开户银行打印的账户信息，包含户名、账号、基本存款账户编号等信息）</w:t>
      </w:r>
      <w:r>
        <w:rPr>
          <w:color w:val="auto"/>
          <w:highlight w:val="none"/>
        </w:rPr>
        <w:t>以及投标保证金银行进账单复印件</w:t>
      </w:r>
    </w:p>
    <w:p w14:paraId="68293828">
      <w:pPr>
        <w:widowControl/>
        <w:spacing w:line="400" w:lineRule="exact"/>
        <w:jc w:val="left"/>
        <w:rPr>
          <w:color w:val="auto"/>
          <w:highlight w:val="none"/>
        </w:rPr>
      </w:pPr>
      <w:r>
        <w:rPr>
          <w:color w:val="auto"/>
          <w:highlight w:val="none"/>
        </w:rPr>
        <w:t>采用保函的，附投标保函</w:t>
      </w:r>
      <w:r>
        <w:rPr>
          <w:rFonts w:hint="eastAsia"/>
          <w:color w:val="auto"/>
          <w:highlight w:val="none"/>
        </w:rPr>
        <w:t>复印件</w:t>
      </w:r>
      <w:r>
        <w:rPr>
          <w:color w:val="auto"/>
          <w:highlight w:val="none"/>
        </w:rPr>
        <w:t>（格式附后）</w:t>
      </w:r>
    </w:p>
    <w:p w14:paraId="1FB3ED6C">
      <w:pPr>
        <w:widowControl/>
        <w:spacing w:line="400" w:lineRule="exact"/>
        <w:jc w:val="left"/>
        <w:rPr>
          <w:color w:val="auto"/>
          <w:highlight w:val="none"/>
        </w:rPr>
      </w:pPr>
      <w:r>
        <w:rPr>
          <w:rFonts w:hint="eastAsia"/>
          <w:color w:val="auto"/>
          <w:highlight w:val="none"/>
        </w:rPr>
        <w:t>采用保证保险，请附投标保证保险复印件（格式附后）</w:t>
      </w:r>
    </w:p>
    <w:p w14:paraId="287B0F3E">
      <w:pPr>
        <w:widowControl/>
        <w:spacing w:line="400" w:lineRule="exact"/>
        <w:jc w:val="left"/>
        <w:rPr>
          <w:color w:val="auto"/>
          <w:highlight w:val="none"/>
        </w:rPr>
      </w:pPr>
      <w:r>
        <w:rPr>
          <w:color w:val="auto"/>
          <w:highlight w:val="none"/>
        </w:rPr>
        <w:t>采用承诺的，附投标承诺</w:t>
      </w:r>
      <w:r>
        <w:rPr>
          <w:rFonts w:hint="eastAsia"/>
          <w:color w:val="auto"/>
          <w:highlight w:val="none"/>
        </w:rPr>
        <w:t>复印件</w:t>
      </w:r>
      <w:r>
        <w:rPr>
          <w:color w:val="auto"/>
          <w:highlight w:val="none"/>
        </w:rPr>
        <w:t>（格式附后）</w:t>
      </w:r>
    </w:p>
    <w:p w14:paraId="2A8FB212">
      <w:pPr>
        <w:jc w:val="center"/>
        <w:rPr>
          <w:rFonts w:eastAsia="黑体"/>
          <w:color w:val="auto"/>
          <w:sz w:val="30"/>
          <w:szCs w:val="30"/>
          <w:highlight w:val="none"/>
        </w:rPr>
      </w:pPr>
    </w:p>
    <w:p w14:paraId="125D2C1E">
      <w:pPr>
        <w:jc w:val="center"/>
        <w:rPr>
          <w:rFonts w:eastAsia="黑体"/>
          <w:color w:val="auto"/>
          <w:sz w:val="30"/>
          <w:szCs w:val="30"/>
          <w:highlight w:val="none"/>
        </w:rPr>
      </w:pPr>
      <w:r>
        <w:rPr>
          <w:rFonts w:eastAsia="黑体"/>
          <w:color w:val="auto"/>
          <w:sz w:val="30"/>
          <w:szCs w:val="30"/>
          <w:highlight w:val="none"/>
        </w:rPr>
        <w:t>投标保函</w:t>
      </w:r>
    </w:p>
    <w:p w14:paraId="674D9192">
      <w:pPr>
        <w:spacing w:line="480" w:lineRule="exact"/>
        <w:rPr>
          <w:color w:val="auto"/>
          <w:szCs w:val="32"/>
          <w:highlight w:val="none"/>
        </w:rPr>
      </w:pPr>
      <w:r>
        <w:rPr>
          <w:color w:val="auto"/>
          <w:szCs w:val="32"/>
          <w:highlight w:val="none"/>
          <w:u w:val="single"/>
        </w:rPr>
        <w:t xml:space="preserve">                （受益人名称）</w:t>
      </w:r>
      <w:r>
        <w:rPr>
          <w:color w:val="auto"/>
          <w:szCs w:val="32"/>
          <w:highlight w:val="none"/>
        </w:rPr>
        <w:t>：</w:t>
      </w:r>
    </w:p>
    <w:p w14:paraId="01009A23">
      <w:pPr>
        <w:spacing w:line="480" w:lineRule="exact"/>
        <w:ind w:firstLine="202" w:firstLineChars="100"/>
        <w:rPr>
          <w:color w:val="auto"/>
          <w:szCs w:val="32"/>
          <w:highlight w:val="none"/>
        </w:rPr>
      </w:pPr>
      <w:r>
        <w:rPr>
          <w:color w:val="auto"/>
          <w:szCs w:val="32"/>
          <w:highlight w:val="none"/>
        </w:rPr>
        <w:t>鉴于</w:t>
      </w:r>
      <w:r>
        <w:rPr>
          <w:color w:val="auto"/>
          <w:szCs w:val="32"/>
          <w:highlight w:val="none"/>
          <w:u w:val="single"/>
        </w:rPr>
        <w:t xml:space="preserve">                （投标人名称，以下称“投标人”）</w:t>
      </w:r>
      <w:r>
        <w:rPr>
          <w:color w:val="auto"/>
          <w:szCs w:val="32"/>
          <w:highlight w:val="none"/>
        </w:rPr>
        <w:t>于_____年___月___日参加你方作为招标人组织的</w:t>
      </w:r>
      <w:r>
        <w:rPr>
          <w:color w:val="auto"/>
          <w:szCs w:val="32"/>
          <w:highlight w:val="none"/>
          <w:u w:val="single"/>
        </w:rPr>
        <w:t xml:space="preserve">                </w:t>
      </w:r>
      <w:r>
        <w:rPr>
          <w:color w:val="auto"/>
          <w:szCs w:val="32"/>
          <w:highlight w:val="none"/>
        </w:rPr>
        <w:t>（</w:t>
      </w:r>
      <w:r>
        <w:rPr>
          <w:rFonts w:hint="eastAsia"/>
          <w:color w:val="auto"/>
          <w:szCs w:val="32"/>
          <w:highlight w:val="none"/>
        </w:rPr>
        <w:t>招标项目及标段</w:t>
      </w:r>
      <w:r>
        <w:rPr>
          <w:color w:val="auto"/>
          <w:szCs w:val="32"/>
          <w:highlight w:val="none"/>
        </w:rPr>
        <w:t>）的</w:t>
      </w:r>
      <w:r>
        <w:rPr>
          <w:rFonts w:hint="eastAsia"/>
          <w:color w:val="auto"/>
          <w:szCs w:val="32"/>
          <w:highlight w:val="none"/>
        </w:rPr>
        <w:t>施工</w:t>
      </w:r>
      <w:r>
        <w:rPr>
          <w:color w:val="auto"/>
          <w:szCs w:val="32"/>
          <w:highlight w:val="none"/>
        </w:rPr>
        <w:t>招标投标，我方愿意无条件地、不可撤销就投标人履行</w:t>
      </w:r>
      <w:r>
        <w:rPr>
          <w:color w:val="auto"/>
          <w:szCs w:val="32"/>
          <w:highlight w:val="none"/>
          <w:u w:val="single"/>
        </w:rPr>
        <w:t xml:space="preserve">                     </w:t>
      </w:r>
      <w:r>
        <w:rPr>
          <w:color w:val="auto"/>
          <w:szCs w:val="32"/>
          <w:highlight w:val="none"/>
        </w:rPr>
        <w:t>项目招标文件规定的投标义务，向你方出具见索即付独立保函：</w:t>
      </w:r>
    </w:p>
    <w:p w14:paraId="06E76165">
      <w:pPr>
        <w:spacing w:line="480" w:lineRule="exact"/>
        <w:ind w:firstLine="404"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元（¥</w:t>
      </w:r>
      <w:r>
        <w:rPr>
          <w:color w:val="auto"/>
          <w:szCs w:val="32"/>
          <w:highlight w:val="none"/>
          <w:u w:val="single"/>
        </w:rPr>
        <w:t xml:space="preserve">             </w:t>
      </w:r>
      <w:r>
        <w:rPr>
          <w:color w:val="auto"/>
          <w:szCs w:val="32"/>
          <w:highlight w:val="none"/>
        </w:rPr>
        <w:t xml:space="preserve"> ） 。</w:t>
      </w:r>
    </w:p>
    <w:p w14:paraId="60D15FAC">
      <w:pPr>
        <w:spacing w:line="480" w:lineRule="exact"/>
        <w:ind w:firstLine="404" w:firstLineChars="200"/>
        <w:rPr>
          <w:color w:val="auto"/>
          <w:szCs w:val="32"/>
          <w:highlight w:val="none"/>
        </w:rPr>
      </w:pPr>
      <w:r>
        <w:rPr>
          <w:color w:val="auto"/>
          <w:szCs w:val="32"/>
          <w:highlight w:val="none"/>
        </w:rPr>
        <w:t>2．保函有效期自______年____月_____日至______年____月_____日止。</w:t>
      </w:r>
    </w:p>
    <w:p w14:paraId="758563A7">
      <w:pPr>
        <w:spacing w:line="480" w:lineRule="exact"/>
        <w:ind w:firstLine="404" w:firstLineChars="200"/>
        <w:rPr>
          <w:color w:val="auto"/>
          <w:szCs w:val="32"/>
          <w:highlight w:val="none"/>
          <w:shd w:val="clear" w:color="auto" w:fill="FFFFFF"/>
        </w:rPr>
      </w:pPr>
      <w:r>
        <w:rPr>
          <w:color w:val="auto"/>
          <w:szCs w:val="32"/>
          <w:highlight w:val="none"/>
        </w:rPr>
        <w:t>3．在本保函有效期内，</w:t>
      </w:r>
      <w:r>
        <w:rPr>
          <w:color w:val="auto"/>
          <w:szCs w:val="32"/>
          <w:highlight w:val="none"/>
          <w:shd w:val="clear" w:color="auto" w:fill="FFFFFF"/>
        </w:rPr>
        <w:t>投标人存在下列未履行相关投标义务情形之一的，</w:t>
      </w:r>
      <w:r>
        <w:rPr>
          <w:color w:val="auto"/>
          <w:szCs w:val="32"/>
          <w:highlight w:val="none"/>
        </w:rPr>
        <w:t>我方在收到你方提出的书面</w:t>
      </w:r>
      <w:r>
        <w:rPr>
          <w:color w:val="auto"/>
          <w:szCs w:val="32"/>
          <w:highlight w:val="none"/>
          <w:shd w:val="clear" w:color="auto" w:fill="FFFFFF"/>
        </w:rPr>
        <w:t>索赔通知以及本保函原件后，在10个工作日内支付累计总额不超过本保函第1款约定的经济补偿金。</w:t>
      </w:r>
    </w:p>
    <w:p w14:paraId="2C5079A2">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（1）投标人拒绝按照招标文件、投标文件或中标通知书要求与你方签订合同；</w:t>
      </w:r>
    </w:p>
    <w:p w14:paraId="00806B9B">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（2）投标截止后，投标人要求修改、补充或撤销投标文件的实质性内容或者要求更改招标文件和中标通知书的实质性内容；</w:t>
      </w:r>
    </w:p>
    <w:p w14:paraId="6DC0CC30">
      <w:pPr>
        <w:spacing w:line="480" w:lineRule="exact"/>
        <w:ind w:firstLine="404" w:firstLineChars="200"/>
        <w:rPr>
          <w:color w:val="auto"/>
          <w:szCs w:val="32"/>
          <w:highlight w:val="none"/>
          <w:shd w:val="clear" w:color="auto" w:fill="FFFFFF"/>
        </w:rPr>
      </w:pPr>
      <w:r>
        <w:rPr>
          <w:color w:val="auto"/>
          <w:szCs w:val="32"/>
          <w:highlight w:val="none"/>
          <w:shd w:val="clear" w:color="auto" w:fill="FFFFFF"/>
        </w:rPr>
        <w:t>（3）投标人拒绝按招标文件规定的时间、金额、形式提交履约担保;</w:t>
      </w:r>
      <w:r>
        <w:rPr>
          <w:color w:val="auto"/>
          <w:szCs w:val="32"/>
          <w:highlight w:val="none"/>
          <w:shd w:val="clear" w:color="auto" w:fill="FFFFFF"/>
        </w:rPr>
        <w:tab/>
      </w:r>
      <w:r>
        <w:rPr>
          <w:color w:val="auto"/>
          <w:szCs w:val="32"/>
          <w:highlight w:val="none"/>
          <w:shd w:val="clear" w:color="auto" w:fill="FFFFFF"/>
        </w:rPr>
        <w:tab/>
      </w:r>
    </w:p>
    <w:p w14:paraId="3FA2385D">
      <w:pPr>
        <w:tabs>
          <w:tab w:val="left" w:pos="2184"/>
        </w:tabs>
        <w:spacing w:line="480" w:lineRule="exact"/>
        <w:ind w:firstLine="615"/>
        <w:rPr>
          <w:color w:val="auto"/>
          <w:szCs w:val="32"/>
          <w:highlight w:val="none"/>
          <w:shd w:val="clear" w:color="auto" w:fill="FFFFFF"/>
        </w:rPr>
      </w:pPr>
      <w:r>
        <w:rPr>
          <w:color w:val="auto"/>
          <w:szCs w:val="32"/>
          <w:highlight w:val="none"/>
          <w:shd w:val="clear" w:color="auto" w:fill="FFFFFF"/>
        </w:rPr>
        <w:t xml:space="preserve"> (4) 投标人在投标截止后撤销投标文件，但招标文件未载明投标人在投标截止后撤销投标文件，应当由保函开立人支付经济补偿金的除外。</w:t>
      </w:r>
    </w:p>
    <w:p w14:paraId="14677DAE">
      <w:pPr>
        <w:spacing w:line="480" w:lineRule="exact"/>
        <w:ind w:firstLine="404" w:firstLineChars="200"/>
        <w:jc w:val="left"/>
        <w:outlineLvl w:val="2"/>
        <w:rPr>
          <w:color w:val="auto"/>
          <w:szCs w:val="32"/>
          <w:highlight w:val="none"/>
        </w:rPr>
      </w:pPr>
      <w:bookmarkStart w:id="854" w:name="_Toc13882"/>
      <w:r>
        <w:rPr>
          <w:color w:val="auto"/>
          <w:szCs w:val="32"/>
          <w:highlight w:val="none"/>
          <w:shd w:val="clear" w:color="auto" w:fill="FFFFFF"/>
        </w:rPr>
        <w:t>4．你方的索赔通知，应当符合下列要求：</w:t>
      </w:r>
      <w:bookmarkEnd w:id="854"/>
    </w:p>
    <w:p w14:paraId="2544CC80">
      <w:pPr>
        <w:spacing w:line="480" w:lineRule="exact"/>
        <w:ind w:firstLine="404" w:firstLineChars="200"/>
        <w:rPr>
          <w:color w:val="auto"/>
          <w:szCs w:val="32"/>
          <w:highlight w:val="none"/>
        </w:rPr>
      </w:pPr>
      <w:r>
        <w:rPr>
          <w:color w:val="auto"/>
          <w:szCs w:val="32"/>
          <w:highlight w:val="none"/>
        </w:rPr>
        <w:t>（1）索赔通知应当列明索赔金额，由你方加盖单位公章和法定代表人印章；</w:t>
      </w:r>
    </w:p>
    <w:p w14:paraId="45A0420D">
      <w:pPr>
        <w:spacing w:line="480" w:lineRule="exact"/>
        <w:ind w:firstLine="404"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14:paraId="6161088B">
      <w:pPr>
        <w:spacing w:line="480" w:lineRule="exact"/>
        <w:ind w:firstLine="404" w:firstLineChars="200"/>
        <w:rPr>
          <w:color w:val="auto"/>
          <w:szCs w:val="32"/>
          <w:highlight w:val="none"/>
          <w:shd w:val="clear" w:color="auto" w:fill="FFFFFF"/>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14:paraId="3B272E4C">
      <w:pPr>
        <w:spacing w:line="480" w:lineRule="exact"/>
        <w:ind w:firstLine="404" w:firstLineChars="200"/>
        <w:rPr>
          <w:color w:val="auto"/>
          <w:szCs w:val="32"/>
          <w:highlight w:val="none"/>
        </w:rPr>
      </w:pPr>
      <w:r>
        <w:rPr>
          <w:color w:val="auto"/>
          <w:szCs w:val="32"/>
          <w:highlight w:val="none"/>
        </w:rPr>
        <w:t>5．本保函有效期届满，无论是否将保函原件退回我方，本保函自行失效。我方在本保函</w:t>
      </w:r>
      <w:r>
        <w:rPr>
          <w:strike/>
          <w:color w:val="auto"/>
          <w:szCs w:val="32"/>
          <w:highlight w:val="none"/>
        </w:rPr>
        <w:t>（</w:t>
      </w:r>
      <w:r>
        <w:rPr>
          <w:color w:val="auto"/>
          <w:szCs w:val="32"/>
          <w:highlight w:val="none"/>
        </w:rPr>
        <w:t>项下的保证责任解除，此后提出的要求我方履行担保责任的主张无效。</w:t>
      </w:r>
    </w:p>
    <w:p w14:paraId="5E2B8501">
      <w:pPr>
        <w:spacing w:line="480" w:lineRule="exact"/>
        <w:ind w:firstLine="2018" w:firstLineChars="999"/>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 xml:space="preserve">（盖章） </w:t>
      </w:r>
    </w:p>
    <w:p w14:paraId="319CDE98">
      <w:pPr>
        <w:spacing w:line="480" w:lineRule="exact"/>
        <w:ind w:firstLine="2014" w:firstLineChars="997"/>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14:paraId="0668B531">
      <w:pPr>
        <w:spacing w:line="480" w:lineRule="exact"/>
        <w:ind w:firstLine="2018" w:firstLineChars="999"/>
        <w:rPr>
          <w:color w:val="auto"/>
          <w:szCs w:val="32"/>
          <w:highlight w:val="none"/>
          <w:u w:val="single"/>
        </w:rPr>
      </w:pPr>
      <w:r>
        <w:rPr>
          <w:color w:val="auto"/>
          <w:szCs w:val="32"/>
          <w:highlight w:val="none"/>
        </w:rPr>
        <w:t>地址：</w:t>
      </w:r>
      <w:r>
        <w:rPr>
          <w:color w:val="auto"/>
          <w:szCs w:val="32"/>
          <w:highlight w:val="none"/>
          <w:u w:val="single"/>
        </w:rPr>
        <w:t xml:space="preserve">                              </w:t>
      </w:r>
    </w:p>
    <w:p w14:paraId="3640671E">
      <w:pPr>
        <w:spacing w:line="480" w:lineRule="exact"/>
        <w:ind w:firstLine="2018" w:firstLineChars="999"/>
        <w:rPr>
          <w:color w:val="auto"/>
          <w:szCs w:val="32"/>
          <w:highlight w:val="none"/>
          <w:u w:val="single"/>
        </w:rPr>
      </w:pPr>
      <w:r>
        <w:rPr>
          <w:color w:val="auto"/>
          <w:szCs w:val="32"/>
          <w:highlight w:val="none"/>
        </w:rPr>
        <w:t>电话：</w:t>
      </w:r>
      <w:r>
        <w:rPr>
          <w:color w:val="auto"/>
          <w:szCs w:val="32"/>
          <w:highlight w:val="none"/>
          <w:u w:val="single"/>
        </w:rPr>
        <w:t xml:space="preserve">                     </w:t>
      </w:r>
    </w:p>
    <w:p w14:paraId="6081CC08">
      <w:pPr>
        <w:spacing w:line="480" w:lineRule="exact"/>
        <w:ind w:firstLine="2018" w:firstLineChars="999"/>
        <w:rPr>
          <w:color w:val="auto"/>
          <w:szCs w:val="32"/>
          <w:highlight w:val="none"/>
          <w:u w:val="single"/>
        </w:rPr>
      </w:pPr>
      <w:r>
        <w:rPr>
          <w:color w:val="auto"/>
          <w:szCs w:val="32"/>
          <w:highlight w:val="none"/>
        </w:rPr>
        <w:t>传真：</w:t>
      </w:r>
      <w:r>
        <w:rPr>
          <w:color w:val="auto"/>
          <w:szCs w:val="32"/>
          <w:highlight w:val="none"/>
          <w:u w:val="single"/>
        </w:rPr>
        <w:t xml:space="preserve">            </w:t>
      </w:r>
    </w:p>
    <w:p w14:paraId="50ABBB42">
      <w:pPr>
        <w:spacing w:line="480" w:lineRule="exact"/>
        <w:ind w:firstLine="3434" w:firstLineChars="17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14:paraId="48F33F9D">
      <w:pPr>
        <w:spacing w:line="480" w:lineRule="exact"/>
        <w:ind w:firstLine="3430"/>
        <w:rPr>
          <w:rFonts w:hint="eastAsia"/>
          <w:color w:val="auto"/>
          <w:szCs w:val="32"/>
          <w:highlight w:val="none"/>
        </w:rPr>
      </w:pPr>
    </w:p>
    <w:p w14:paraId="78913D3A">
      <w:pPr>
        <w:spacing w:line="480" w:lineRule="exact"/>
        <w:ind w:firstLine="3430"/>
        <w:rPr>
          <w:rFonts w:hint="eastAsia"/>
          <w:color w:val="auto"/>
          <w:szCs w:val="32"/>
          <w:highlight w:val="none"/>
        </w:rPr>
      </w:pPr>
    </w:p>
    <w:p w14:paraId="6C345F13">
      <w:pPr>
        <w:spacing w:line="480" w:lineRule="exact"/>
        <w:ind w:firstLine="3430"/>
        <w:rPr>
          <w:rFonts w:hint="eastAsia"/>
          <w:color w:val="auto"/>
          <w:szCs w:val="32"/>
          <w:highlight w:val="none"/>
        </w:rPr>
      </w:pPr>
    </w:p>
    <w:p w14:paraId="5D362B0A">
      <w:pPr>
        <w:spacing w:line="480" w:lineRule="exact"/>
        <w:ind w:firstLine="3430"/>
        <w:rPr>
          <w:rFonts w:hint="eastAsia"/>
          <w:color w:val="auto"/>
          <w:szCs w:val="32"/>
          <w:highlight w:val="none"/>
        </w:rPr>
      </w:pPr>
    </w:p>
    <w:p w14:paraId="61E3336C">
      <w:pPr>
        <w:spacing w:line="480" w:lineRule="exact"/>
        <w:ind w:firstLine="3430"/>
        <w:rPr>
          <w:rFonts w:hint="eastAsia"/>
          <w:color w:val="auto"/>
          <w:szCs w:val="32"/>
          <w:highlight w:val="none"/>
        </w:rPr>
      </w:pPr>
    </w:p>
    <w:p w14:paraId="73575944">
      <w:pPr>
        <w:spacing w:line="480" w:lineRule="exact"/>
        <w:ind w:firstLine="3430"/>
        <w:rPr>
          <w:rFonts w:hint="eastAsia"/>
          <w:color w:val="auto"/>
          <w:szCs w:val="32"/>
          <w:highlight w:val="none"/>
        </w:rPr>
      </w:pPr>
    </w:p>
    <w:p w14:paraId="6CF09269">
      <w:pPr>
        <w:spacing w:line="480" w:lineRule="exact"/>
        <w:ind w:firstLine="3430"/>
        <w:rPr>
          <w:rFonts w:hint="eastAsia"/>
          <w:color w:val="auto"/>
          <w:szCs w:val="32"/>
          <w:highlight w:val="none"/>
        </w:rPr>
      </w:pPr>
    </w:p>
    <w:p w14:paraId="5804E6F7">
      <w:pPr>
        <w:spacing w:line="480" w:lineRule="exact"/>
        <w:ind w:firstLine="3430"/>
        <w:rPr>
          <w:rFonts w:hint="eastAsia"/>
          <w:color w:val="auto"/>
          <w:szCs w:val="32"/>
          <w:highlight w:val="none"/>
        </w:rPr>
      </w:pPr>
    </w:p>
    <w:p w14:paraId="7CDF72F6">
      <w:pPr>
        <w:spacing w:line="480" w:lineRule="exact"/>
        <w:ind w:firstLine="3430"/>
        <w:rPr>
          <w:rFonts w:hint="eastAsia"/>
          <w:color w:val="auto"/>
          <w:szCs w:val="32"/>
          <w:highlight w:val="none"/>
        </w:rPr>
      </w:pPr>
    </w:p>
    <w:p w14:paraId="08B3A037">
      <w:pPr>
        <w:spacing w:line="480" w:lineRule="exact"/>
        <w:ind w:firstLine="3430"/>
        <w:rPr>
          <w:rFonts w:hint="eastAsia"/>
          <w:color w:val="auto"/>
          <w:szCs w:val="32"/>
          <w:highlight w:val="none"/>
        </w:rPr>
      </w:pPr>
    </w:p>
    <w:p w14:paraId="6AFD1B48">
      <w:pPr>
        <w:spacing w:line="480" w:lineRule="exact"/>
        <w:ind w:firstLine="3430"/>
        <w:rPr>
          <w:rFonts w:hint="eastAsia"/>
          <w:color w:val="auto"/>
          <w:szCs w:val="32"/>
          <w:highlight w:val="none"/>
        </w:rPr>
      </w:pPr>
    </w:p>
    <w:p w14:paraId="2EBF5D43">
      <w:pPr>
        <w:spacing w:line="480" w:lineRule="exact"/>
        <w:ind w:firstLine="3430"/>
        <w:rPr>
          <w:rFonts w:hint="eastAsia"/>
          <w:color w:val="auto"/>
          <w:szCs w:val="32"/>
          <w:highlight w:val="none"/>
        </w:rPr>
      </w:pPr>
    </w:p>
    <w:p w14:paraId="2FAE94F9">
      <w:pPr>
        <w:spacing w:line="480" w:lineRule="exact"/>
        <w:ind w:firstLine="3430"/>
        <w:rPr>
          <w:rFonts w:hint="eastAsia"/>
          <w:color w:val="auto"/>
          <w:szCs w:val="32"/>
          <w:highlight w:val="none"/>
        </w:rPr>
      </w:pPr>
    </w:p>
    <w:p w14:paraId="178FE4A4">
      <w:pPr>
        <w:spacing w:line="480" w:lineRule="exact"/>
        <w:ind w:firstLine="3430"/>
        <w:rPr>
          <w:rFonts w:hint="eastAsia"/>
          <w:color w:val="auto"/>
          <w:szCs w:val="32"/>
          <w:highlight w:val="none"/>
        </w:rPr>
      </w:pPr>
    </w:p>
    <w:p w14:paraId="46E39E92">
      <w:pPr>
        <w:spacing w:line="480" w:lineRule="exact"/>
        <w:rPr>
          <w:color w:val="auto"/>
          <w:szCs w:val="32"/>
          <w:highlight w:val="none"/>
        </w:rPr>
        <w:sectPr>
          <w:pgSz w:w="11906" w:h="16838"/>
          <w:pgMar w:top="1440" w:right="1440" w:bottom="1440" w:left="1440" w:header="1134" w:footer="851" w:gutter="0"/>
          <w:pgNumType w:fmt="decimal"/>
          <w:cols w:space="720" w:num="1"/>
          <w:docGrid w:type="linesAndChars" w:linePitch="574" w:charSpace="-1683"/>
        </w:sectPr>
      </w:pPr>
      <w:r>
        <w:rPr>
          <w:rFonts w:hint="eastAsia"/>
          <w:color w:val="auto"/>
          <w:szCs w:val="32"/>
          <w:highlight w:val="none"/>
        </w:rPr>
        <w:t>说明：保函开立人可以根据项目具体情况</w:t>
      </w:r>
      <w:r>
        <w:rPr>
          <w:rFonts w:hint="eastAsia"/>
          <w:color w:val="auto"/>
          <w:szCs w:val="32"/>
          <w:highlight w:val="none"/>
          <w:lang w:val="en-US" w:eastAsia="zh-CN"/>
        </w:rPr>
        <w:t>调整</w:t>
      </w:r>
      <w:r>
        <w:rPr>
          <w:rFonts w:hint="eastAsia"/>
          <w:color w:val="auto"/>
          <w:szCs w:val="32"/>
          <w:highlight w:val="none"/>
        </w:rPr>
        <w:t>相关条款，但不得违背招标文件的实质性内容，以及相关法律法规的规定。</w:t>
      </w:r>
    </w:p>
    <w:p w14:paraId="778B4039">
      <w:pPr>
        <w:jc w:val="center"/>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建设工程投标保证保险</w:t>
      </w:r>
    </w:p>
    <w:p w14:paraId="09632562">
      <w:pPr>
        <w:pStyle w:val="16"/>
        <w:snapToGrid w:val="0"/>
        <w:spacing w:after="0" w:line="380" w:lineRule="exact"/>
        <w:rPr>
          <w:rFonts w:ascii="华文楷体" w:hAnsi="华文楷体" w:eastAsia="华文楷体"/>
          <w:color w:val="auto"/>
          <w:sz w:val="21"/>
          <w:szCs w:val="21"/>
          <w:highlight w:val="none"/>
        </w:rPr>
      </w:pPr>
      <w:r>
        <w:rPr>
          <w:rFonts w:ascii="华文楷体" w:hAnsi="华文楷体" w:eastAsia="华文楷体"/>
          <w:color w:val="auto"/>
          <w:sz w:val="21"/>
          <w:szCs w:val="21"/>
          <w:highlight w:val="none"/>
          <w:u w:val="single"/>
        </w:rPr>
        <w:t xml:space="preserve">                       </w:t>
      </w:r>
      <w:r>
        <w:rPr>
          <w:rFonts w:hint="eastAsia" w:ascii="华文楷体" w:hAnsi="华文楷体" w:eastAsia="华文楷体"/>
          <w:color w:val="auto"/>
          <w:sz w:val="21"/>
          <w:szCs w:val="21"/>
          <w:highlight w:val="none"/>
          <w:u w:val="single"/>
        </w:rPr>
        <w:t xml:space="preserve"> </w:t>
      </w:r>
      <w:r>
        <w:rPr>
          <w:rFonts w:hint="eastAsia" w:hAnsi="宋体" w:cs="宋体"/>
          <w:color w:val="auto"/>
          <w:sz w:val="21"/>
          <w:szCs w:val="21"/>
          <w:highlight w:val="none"/>
          <w:u w:val="single"/>
        </w:rPr>
        <w:t xml:space="preserve"> （招标人名称</w:t>
      </w:r>
      <w:r>
        <w:rPr>
          <w:rFonts w:hint="eastAsia" w:ascii="华文楷体" w:hAnsi="华文楷体" w:eastAsia="华文楷体"/>
          <w:color w:val="auto"/>
          <w:sz w:val="21"/>
          <w:szCs w:val="21"/>
          <w:highlight w:val="none"/>
          <w:u w:val="single"/>
        </w:rPr>
        <w:t>）</w:t>
      </w:r>
      <w:r>
        <w:rPr>
          <w:rFonts w:hint="eastAsia" w:ascii="华文楷体" w:hAnsi="华文楷体" w:eastAsia="华文楷体"/>
          <w:color w:val="auto"/>
          <w:sz w:val="21"/>
          <w:szCs w:val="21"/>
          <w:highlight w:val="none"/>
        </w:rPr>
        <w:t>：</w:t>
      </w:r>
      <w:r>
        <w:rPr>
          <w:rFonts w:ascii="华文楷体" w:hAnsi="华文楷体" w:eastAsia="华文楷体"/>
          <w:color w:val="auto"/>
          <w:sz w:val="21"/>
          <w:szCs w:val="21"/>
          <w:highlight w:val="none"/>
        </w:rPr>
        <w:t xml:space="preserve"> </w:t>
      </w:r>
    </w:p>
    <w:p w14:paraId="13F197E8">
      <w:pPr>
        <w:pStyle w:val="16"/>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投标人名称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（以下简称“投标人”）于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招标项目及标段   </w:t>
      </w:r>
      <w:r>
        <w:rPr>
          <w:rFonts w:hint="eastAsia" w:hAnsi="宋体" w:cs="宋体"/>
          <w:color w:val="auto"/>
          <w:sz w:val="21"/>
          <w:szCs w:val="21"/>
          <w:highlight w:val="none"/>
        </w:rPr>
        <w:t>施工的招标投标，并向我方投保建设工程投标保证保险（保险单号：              ）。我方愿就投标人履行招标文件规定的投标义务，向贵方提供如下保证保险：</w:t>
      </w:r>
    </w:p>
    <w:p w14:paraId="6424E23E">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14:paraId="7D6118C2">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我方保证保险的保险金额（最高限额）为人民币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32"/>
          <w:highlight w:val="none"/>
        </w:rPr>
        <w:t>（¥</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 xml:space="preserve"> ）</w:t>
      </w:r>
      <w:r>
        <w:rPr>
          <w:rFonts w:hint="eastAsia" w:ascii="宋体" w:hAnsi="宋体" w:cs="宋体"/>
          <w:color w:val="auto"/>
          <w:szCs w:val="21"/>
          <w:highlight w:val="none"/>
        </w:rPr>
        <w:t>。</w:t>
      </w:r>
    </w:p>
    <w:p w14:paraId="591B8080">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14:paraId="4585DF9F">
      <w:pPr>
        <w:widowControl/>
        <w:snapToGrid w:val="0"/>
        <w:spacing w:line="380" w:lineRule="exact"/>
        <w:ind w:firstLine="404" w:firstLineChars="200"/>
        <w:rPr>
          <w:rFonts w:hint="eastAsia" w:ascii="宋体" w:hAnsi="宋体" w:cs="宋体"/>
          <w:color w:val="auto"/>
          <w:szCs w:val="21"/>
          <w:highlight w:val="none"/>
        </w:rPr>
      </w:pPr>
      <w:r>
        <w:rPr>
          <w:rFonts w:hint="eastAsia" w:ascii="宋体" w:hAnsi="宋体" w:cs="宋体"/>
          <w:color w:val="auto"/>
          <w:szCs w:val="21"/>
          <w:highlight w:val="none"/>
        </w:rPr>
        <w:t>我方在投标人发生以下情形之一时，承担保险责任：</w:t>
      </w:r>
    </w:p>
    <w:p w14:paraId="092F256E">
      <w:pPr>
        <w:pStyle w:val="16"/>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1、投标截止后投标人违反招标文件的规定修改、补充或撤销投标文件的实质性内容或者要求更改招标文件和中标通知书的实质性内容；</w:t>
      </w:r>
    </w:p>
    <w:p w14:paraId="1078D20D">
      <w:pPr>
        <w:pStyle w:val="16"/>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2、投标人中标后未按招标文件或中标通知书的要求签署合同；</w:t>
      </w:r>
    </w:p>
    <w:p w14:paraId="42AD9EF3">
      <w:pPr>
        <w:pStyle w:val="16"/>
        <w:snapToGrid w:val="0"/>
        <w:spacing w:after="0" w:line="380" w:lineRule="exact"/>
        <w:ind w:firstLine="404" w:firstLineChars="200"/>
        <w:rPr>
          <w:rFonts w:hint="eastAsia" w:hAnsi="宋体" w:cs="宋体"/>
          <w:color w:val="auto"/>
          <w:sz w:val="21"/>
          <w:szCs w:val="21"/>
          <w:highlight w:val="none"/>
        </w:rPr>
      </w:pPr>
      <w:r>
        <w:rPr>
          <w:rFonts w:hint="eastAsia" w:hAnsi="宋体" w:cs="宋体"/>
          <w:color w:val="auto"/>
          <w:sz w:val="21"/>
          <w:szCs w:val="21"/>
          <w:highlight w:val="none"/>
        </w:rPr>
        <w:t>3、《建设工程招标文件》规定的其他有关投标实质性违约情形。</w:t>
      </w:r>
    </w:p>
    <w:p w14:paraId="6078FC60">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14:paraId="2C7E5219">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贵方要求我方承担保证保险责任的，应向我方发出书面索赔通知。索赔通知应写明要求索赔的金额，支付款项应到达的帐号，并附有说明投标人违约造成贵方损失情况的证明材料。</w:t>
      </w:r>
    </w:p>
    <w:p w14:paraId="22206C26">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个工作日内进行核定后，按照保险合同的约定承担保证保险责任。</w:t>
      </w:r>
    </w:p>
    <w:p w14:paraId="2E6B1F22">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四、保单凭证的生效</w:t>
      </w:r>
    </w:p>
    <w:p w14:paraId="416AFFD9">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本保单凭证自我方加盖保单专用章并交付贵方之日起生效。</w:t>
      </w:r>
    </w:p>
    <w:p w14:paraId="645A412A">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本保险在投标有效期到期后30日（含）内或被保险人延长投标有效期后的到期日后30日（含）内保持有效，延长投标有效期无须通知本保险人，但任何索款要求应在投标有效期到期后30日（含）内送达我方。 </w:t>
      </w:r>
    </w:p>
    <w:p w14:paraId="4AD708C4">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具体保险期限以保险合同载明为准。</w:t>
      </w:r>
    </w:p>
    <w:p w14:paraId="12BF3CBC">
      <w:pPr>
        <w:snapToGrid w:val="0"/>
        <w:spacing w:line="380" w:lineRule="exact"/>
        <w:ind w:firstLine="404"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Cs/>
          <w:color w:val="auto"/>
          <w:szCs w:val="21"/>
          <w:highlight w:val="none"/>
        </w:rPr>
        <w:t>本保险保单凭证/保函载明事宜以保险合同约定为准。</w:t>
      </w:r>
    </w:p>
    <w:p w14:paraId="06EC9000">
      <w:pPr>
        <w:snapToGrid w:val="0"/>
        <w:spacing w:line="380" w:lineRule="exact"/>
        <w:ind w:firstLine="404"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六、本保单凭证/保函自保险人或授权代理人签字并加盖公章之日起生效。</w:t>
      </w:r>
    </w:p>
    <w:p w14:paraId="06E75311">
      <w:pPr>
        <w:pStyle w:val="17"/>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14:paraId="58215C1B">
      <w:pPr>
        <w:pStyle w:val="17"/>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14:paraId="794A6B27">
      <w:pPr>
        <w:spacing w:line="4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14:paraId="54620A25">
      <w:pPr>
        <w:spacing w:line="480" w:lineRule="exact"/>
        <w:rPr>
          <w:color w:val="auto"/>
          <w:szCs w:val="32"/>
          <w:highlight w:val="none"/>
        </w:rPr>
        <w:sectPr>
          <w:pgSz w:w="11906" w:h="16838"/>
          <w:pgMar w:top="1440" w:right="1588" w:bottom="1440" w:left="1440" w:header="1134" w:footer="851" w:gutter="0"/>
          <w:pgNumType w:fmt="decimal"/>
          <w:cols w:space="720" w:num="1"/>
          <w:docGrid w:type="linesAndChars" w:linePitch="574" w:charSpace="-1683"/>
        </w:sectPr>
      </w:pPr>
      <w:r>
        <w:rPr>
          <w:rFonts w:hint="eastAsia" w:ascii="Times New Roman" w:hAnsi="Times New Roman" w:eastAsia="宋体" w:cs="Times New Roman"/>
          <w:color w:val="auto"/>
          <w:szCs w:val="32"/>
          <w:highlight w:val="none"/>
        </w:rPr>
        <w:t>说明：</w:t>
      </w:r>
      <w:r>
        <w:rPr>
          <w:rFonts w:hint="eastAsia" w:ascii="Times New Roman" w:hAnsi="Times New Roman" w:eastAsia="宋体" w:cs="Times New Roman"/>
          <w:color w:val="auto"/>
          <w:szCs w:val="32"/>
          <w:highlight w:val="none"/>
          <w:lang w:val="en-US" w:eastAsia="zh-CN"/>
        </w:rPr>
        <w:t>保证保险</w:t>
      </w:r>
      <w:r>
        <w:rPr>
          <w:rFonts w:hint="eastAsia" w:ascii="Times New Roman" w:hAnsi="Times New Roman" w:eastAsia="宋体" w:cs="Times New Roman"/>
          <w:color w:val="auto"/>
          <w:szCs w:val="32"/>
          <w:highlight w:val="none"/>
        </w:rPr>
        <w:t>开立人可以根据项目具体情况</w:t>
      </w:r>
      <w:r>
        <w:rPr>
          <w:rFonts w:hint="eastAsia" w:ascii="Times New Roman" w:hAnsi="Times New Roman" w:eastAsia="宋体" w:cs="Times New Roman"/>
          <w:color w:val="auto"/>
          <w:szCs w:val="32"/>
          <w:highlight w:val="none"/>
          <w:lang w:val="en-US" w:eastAsia="zh-CN"/>
        </w:rPr>
        <w:t>调整</w:t>
      </w:r>
      <w:r>
        <w:rPr>
          <w:rFonts w:hint="eastAsia" w:ascii="Times New Roman" w:hAnsi="Times New Roman" w:eastAsia="宋体" w:cs="Times New Roman"/>
          <w:color w:val="auto"/>
          <w:szCs w:val="32"/>
          <w:highlight w:val="none"/>
        </w:rPr>
        <w:t>相关条款，但不得违背招标文件的实质性内容，以及相关法律法规的规定。</w:t>
      </w:r>
    </w:p>
    <w:p w14:paraId="288A11F0">
      <w:pPr>
        <w:widowControl/>
        <w:jc w:val="left"/>
        <w:rPr>
          <w:color w:val="auto"/>
          <w:highlight w:val="none"/>
        </w:rPr>
      </w:pPr>
    </w:p>
    <w:p w14:paraId="1A3514FD">
      <w:pPr>
        <w:adjustRightInd w:val="0"/>
        <w:snapToGrid w:val="0"/>
        <w:jc w:val="center"/>
        <w:rPr>
          <w:rFonts w:eastAsia="黑体"/>
          <w:color w:val="auto"/>
          <w:sz w:val="30"/>
          <w:szCs w:val="30"/>
          <w:highlight w:val="none"/>
        </w:rPr>
      </w:pPr>
      <w:r>
        <w:rPr>
          <w:rFonts w:eastAsia="黑体"/>
          <w:color w:val="auto"/>
          <w:sz w:val="30"/>
          <w:szCs w:val="30"/>
          <w:highlight w:val="none"/>
        </w:rPr>
        <w:t>投标承诺</w:t>
      </w:r>
    </w:p>
    <w:p w14:paraId="46FCF248">
      <w:pPr>
        <w:adjustRightInd w:val="0"/>
        <w:snapToGrid w:val="0"/>
        <w:spacing w:line="480" w:lineRule="exact"/>
        <w:jc w:val="left"/>
        <w:rPr>
          <w:color w:val="auto"/>
          <w:sz w:val="24"/>
          <w:highlight w:val="none"/>
        </w:rPr>
      </w:pPr>
    </w:p>
    <w:p w14:paraId="3F7A3C68">
      <w:pPr>
        <w:spacing w:line="480" w:lineRule="exact"/>
        <w:rPr>
          <w:color w:val="auto"/>
          <w:szCs w:val="32"/>
          <w:highlight w:val="none"/>
        </w:rPr>
      </w:pPr>
      <w:r>
        <w:rPr>
          <w:color w:val="auto"/>
          <w:szCs w:val="32"/>
          <w:highlight w:val="none"/>
          <w:u w:val="single"/>
        </w:rPr>
        <w:t xml:space="preserve">                （招标人名称）</w:t>
      </w:r>
      <w:r>
        <w:rPr>
          <w:color w:val="auto"/>
          <w:szCs w:val="32"/>
          <w:highlight w:val="none"/>
        </w:rPr>
        <w:t xml:space="preserve"> ：</w:t>
      </w:r>
    </w:p>
    <w:p w14:paraId="6353A3FC">
      <w:pPr>
        <w:spacing w:line="480" w:lineRule="exact"/>
        <w:ind w:firstLine="640"/>
        <w:rPr>
          <w:color w:val="auto"/>
          <w:szCs w:val="32"/>
          <w:highlight w:val="none"/>
          <w:u w:val="single"/>
        </w:rPr>
      </w:pPr>
      <w:r>
        <w:rPr>
          <w:color w:val="auto"/>
          <w:szCs w:val="32"/>
          <w:highlight w:val="none"/>
        </w:rPr>
        <w:t>经慎重研究，我公司</w:t>
      </w:r>
      <w:r>
        <w:rPr>
          <w:color w:val="auto"/>
          <w:szCs w:val="32"/>
          <w:highlight w:val="none"/>
          <w:u w:val="single"/>
        </w:rPr>
        <w:t xml:space="preserve">          投标人名称</w:t>
      </w:r>
      <w:r>
        <w:rPr>
          <w:rFonts w:hint="eastAsia"/>
          <w:color w:val="auto"/>
          <w:szCs w:val="32"/>
          <w:highlight w:val="none"/>
          <w:u w:val="single"/>
        </w:rPr>
        <w:t xml:space="preserve">  </w:t>
      </w:r>
      <w:r>
        <w:rPr>
          <w:rFonts w:hint="eastAsia"/>
          <w:color w:val="auto"/>
          <w:szCs w:val="32"/>
          <w:highlight w:val="none"/>
        </w:rPr>
        <w:t>（</w:t>
      </w:r>
      <w:r>
        <w:rPr>
          <w:color w:val="auto"/>
          <w:szCs w:val="32"/>
          <w:highlight w:val="none"/>
        </w:rPr>
        <w:t>以下称“投标人”）决定于______年____月_____日参与你方组织的</w:t>
      </w:r>
      <w:r>
        <w:rPr>
          <w:color w:val="auto"/>
          <w:szCs w:val="32"/>
          <w:highlight w:val="none"/>
          <w:u w:val="single"/>
        </w:rPr>
        <w:t xml:space="preserve">      </w:t>
      </w:r>
      <w:r>
        <w:rPr>
          <w:rFonts w:hint="eastAsia"/>
          <w:color w:val="auto"/>
          <w:szCs w:val="32"/>
          <w:highlight w:val="none"/>
          <w:u w:val="single"/>
        </w:rPr>
        <w:t xml:space="preserve">招标项目及标段   </w:t>
      </w:r>
      <w:r>
        <w:rPr>
          <w:color w:val="auto"/>
          <w:szCs w:val="32"/>
          <w:highlight w:val="none"/>
        </w:rPr>
        <w:t>的</w:t>
      </w:r>
      <w:r>
        <w:rPr>
          <w:rFonts w:hint="eastAsia"/>
          <w:color w:val="auto"/>
          <w:szCs w:val="32"/>
          <w:highlight w:val="none"/>
        </w:rPr>
        <w:t>施工</w:t>
      </w:r>
      <w:r>
        <w:rPr>
          <w:color w:val="auto"/>
          <w:szCs w:val="32"/>
          <w:highlight w:val="none"/>
        </w:rPr>
        <w:t>招标投标，我方承诺严格按照《招标投标法》及其实施条例等法律法规和政策文件的要求，履行投标义务。</w:t>
      </w:r>
    </w:p>
    <w:p w14:paraId="4DB93780">
      <w:pPr>
        <w:spacing w:line="480" w:lineRule="exact"/>
        <w:ind w:firstLine="640"/>
        <w:rPr>
          <w:color w:val="auto"/>
          <w:szCs w:val="32"/>
          <w:highlight w:val="none"/>
        </w:rPr>
      </w:pPr>
      <w:r>
        <w:rPr>
          <w:color w:val="auto"/>
          <w:szCs w:val="32"/>
          <w:highlight w:val="none"/>
        </w:rPr>
        <w:t>如果发生不履行相关投标义务的行为，自愿接受按法律法规和招标文件作出的处理。</w:t>
      </w:r>
    </w:p>
    <w:p w14:paraId="2D560334">
      <w:pPr>
        <w:adjustRightInd w:val="0"/>
        <w:snapToGrid w:val="0"/>
        <w:spacing w:line="480" w:lineRule="exact"/>
        <w:jc w:val="left"/>
        <w:rPr>
          <w:color w:val="auto"/>
          <w:szCs w:val="32"/>
          <w:highlight w:val="none"/>
        </w:rPr>
      </w:pPr>
    </w:p>
    <w:p w14:paraId="4F6B9C50">
      <w:pPr>
        <w:adjustRightInd w:val="0"/>
        <w:snapToGrid w:val="0"/>
        <w:spacing w:line="480" w:lineRule="exact"/>
        <w:jc w:val="left"/>
        <w:rPr>
          <w:color w:val="auto"/>
          <w:szCs w:val="32"/>
          <w:highlight w:val="none"/>
        </w:rPr>
      </w:pPr>
    </w:p>
    <w:p w14:paraId="59AB8135">
      <w:pPr>
        <w:spacing w:line="480" w:lineRule="exact"/>
        <w:ind w:right="404" w:firstLine="2121" w:firstLineChars="1050"/>
        <w:rPr>
          <w:color w:val="auto"/>
          <w:szCs w:val="32"/>
          <w:highlight w:val="none"/>
        </w:rPr>
      </w:pPr>
      <w:r>
        <w:rPr>
          <w:color w:val="auto"/>
          <w:szCs w:val="32"/>
          <w:highlight w:val="none"/>
        </w:rPr>
        <w:t>投标人：</w:t>
      </w:r>
      <w:r>
        <w:rPr>
          <w:color w:val="auto"/>
          <w:szCs w:val="32"/>
          <w:highlight w:val="none"/>
          <w:u w:val="single"/>
        </w:rPr>
        <w:t xml:space="preserve">                         </w:t>
      </w:r>
      <w:r>
        <w:rPr>
          <w:color w:val="auto"/>
          <w:szCs w:val="32"/>
          <w:highlight w:val="none"/>
        </w:rPr>
        <w:t>（盖章）</w:t>
      </w:r>
    </w:p>
    <w:p w14:paraId="15E3D3F7">
      <w:pPr>
        <w:spacing w:line="480" w:lineRule="exact"/>
        <w:ind w:firstLine="2020" w:firstLineChars="1000"/>
        <w:rPr>
          <w:color w:val="auto"/>
          <w:szCs w:val="32"/>
          <w:highlight w:val="none"/>
        </w:rPr>
      </w:pPr>
      <w:r>
        <w:rPr>
          <w:color w:val="auto"/>
          <w:szCs w:val="32"/>
          <w:highlight w:val="none"/>
        </w:rPr>
        <w:t xml:space="preserve"> 法定代表人：</w:t>
      </w:r>
      <w:r>
        <w:rPr>
          <w:color w:val="auto"/>
          <w:szCs w:val="32"/>
          <w:highlight w:val="none"/>
          <w:u w:val="single"/>
        </w:rPr>
        <w:t xml:space="preserve">             </w:t>
      </w:r>
      <w:r>
        <w:rPr>
          <w:color w:val="auto"/>
          <w:szCs w:val="32"/>
          <w:highlight w:val="none"/>
        </w:rPr>
        <w:t>（签字或盖章）</w:t>
      </w:r>
    </w:p>
    <w:p w14:paraId="3538A2D6">
      <w:pPr>
        <w:spacing w:line="480" w:lineRule="exact"/>
        <w:ind w:firstLine="2121" w:firstLineChars="1050"/>
        <w:rPr>
          <w:color w:val="auto"/>
          <w:szCs w:val="32"/>
          <w:highlight w:val="none"/>
          <w:u w:val="single"/>
        </w:rPr>
      </w:pPr>
      <w:r>
        <w:rPr>
          <w:color w:val="auto"/>
          <w:szCs w:val="32"/>
          <w:highlight w:val="none"/>
        </w:rPr>
        <w:t>地址：</w:t>
      </w:r>
      <w:r>
        <w:rPr>
          <w:color w:val="auto"/>
          <w:szCs w:val="32"/>
          <w:highlight w:val="none"/>
          <w:u w:val="single"/>
        </w:rPr>
        <w:t xml:space="preserve">                                  </w:t>
      </w:r>
    </w:p>
    <w:p w14:paraId="0454A318">
      <w:pPr>
        <w:spacing w:line="480" w:lineRule="exact"/>
        <w:ind w:firstLine="2121" w:firstLineChars="1050"/>
        <w:rPr>
          <w:color w:val="auto"/>
          <w:szCs w:val="32"/>
          <w:highlight w:val="none"/>
          <w:u w:val="single"/>
        </w:rPr>
      </w:pPr>
      <w:r>
        <w:rPr>
          <w:color w:val="auto"/>
          <w:szCs w:val="32"/>
          <w:highlight w:val="none"/>
        </w:rPr>
        <w:t>电话：</w:t>
      </w:r>
      <w:r>
        <w:rPr>
          <w:color w:val="auto"/>
          <w:szCs w:val="32"/>
          <w:highlight w:val="none"/>
          <w:u w:val="single"/>
        </w:rPr>
        <w:t xml:space="preserve">                     </w:t>
      </w:r>
    </w:p>
    <w:p w14:paraId="39528A35">
      <w:pPr>
        <w:spacing w:line="480" w:lineRule="exact"/>
        <w:ind w:firstLine="2121" w:firstLineChars="1050"/>
        <w:rPr>
          <w:color w:val="auto"/>
          <w:szCs w:val="32"/>
          <w:highlight w:val="none"/>
          <w:u w:val="single"/>
        </w:rPr>
      </w:pPr>
      <w:r>
        <w:rPr>
          <w:color w:val="auto"/>
          <w:szCs w:val="32"/>
          <w:highlight w:val="none"/>
        </w:rPr>
        <w:t>传真：</w:t>
      </w:r>
      <w:r>
        <w:rPr>
          <w:color w:val="auto"/>
          <w:szCs w:val="32"/>
          <w:highlight w:val="none"/>
          <w:u w:val="single"/>
        </w:rPr>
        <w:t xml:space="preserve">                     </w:t>
      </w:r>
    </w:p>
    <w:p w14:paraId="3CA3EB9B">
      <w:pPr>
        <w:spacing w:line="480" w:lineRule="exact"/>
        <w:ind w:firstLine="707" w:firstLineChars="350"/>
        <w:rPr>
          <w:color w:val="auto"/>
          <w:szCs w:val="32"/>
          <w:highlight w:val="none"/>
        </w:rPr>
      </w:pPr>
    </w:p>
    <w:p w14:paraId="3A8C0908">
      <w:pPr>
        <w:spacing w:line="480" w:lineRule="exact"/>
        <w:ind w:firstLine="2929" w:firstLineChars="1450"/>
        <w:rPr>
          <w:color w:val="auto"/>
          <w:szCs w:val="32"/>
          <w:highlight w:val="none"/>
        </w:rPr>
        <w:sectPr>
          <w:pgSz w:w="11906" w:h="16838"/>
          <w:pgMar w:top="1440" w:right="1440" w:bottom="1440" w:left="1440" w:header="1701" w:footer="1701" w:gutter="0"/>
          <w:pgNumType w:fmt="decimal"/>
          <w:cols w:space="720" w:num="1"/>
          <w:docGrid w:type="linesAndChars" w:linePitch="574" w:charSpace="-1683"/>
        </w:sect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14:paraId="71980FC0">
      <w:pPr>
        <w:pStyle w:val="3"/>
        <w:jc w:val="center"/>
        <w:outlineLvl w:val="2"/>
        <w:rPr>
          <w:rFonts w:ascii="Times New Roman" w:hAnsi="Times New Roman" w:eastAsia="黑体"/>
          <w:b w:val="0"/>
          <w:bCs w:val="0"/>
          <w:color w:val="auto"/>
          <w:sz w:val="30"/>
          <w:highlight w:val="none"/>
        </w:rPr>
      </w:pPr>
      <w:bookmarkStart w:id="855" w:name="_Toc80006267"/>
      <w:bookmarkStart w:id="856" w:name="_Toc80006157"/>
      <w:bookmarkStart w:id="857" w:name="_Toc10676"/>
      <w:bookmarkStart w:id="858" w:name="_Toc9178584"/>
      <w:bookmarkStart w:id="859" w:name="_Toc300678574"/>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项目管理机构</w:t>
      </w:r>
      <w:bookmarkEnd w:id="855"/>
      <w:bookmarkEnd w:id="856"/>
      <w:bookmarkEnd w:id="857"/>
      <w:bookmarkEnd w:id="858"/>
      <w:bookmarkEnd w:id="859"/>
    </w:p>
    <w:p w14:paraId="1B14FE4A">
      <w:pPr>
        <w:pStyle w:val="4"/>
        <w:jc w:val="center"/>
        <w:rPr>
          <w:rFonts w:eastAsia="黑体"/>
          <w:b w:val="0"/>
          <w:bCs w:val="0"/>
          <w:color w:val="auto"/>
          <w:sz w:val="28"/>
          <w:highlight w:val="none"/>
        </w:rPr>
      </w:pPr>
      <w:bookmarkStart w:id="860" w:name="_Toc79998444"/>
      <w:bookmarkStart w:id="861" w:name="_Toc80006158"/>
      <w:bookmarkStart w:id="862" w:name="_Toc80006268"/>
      <w:bookmarkStart w:id="863" w:name="_Toc79998888"/>
      <w:bookmarkStart w:id="864" w:name="_Toc776"/>
      <w:r>
        <w:rPr>
          <w:rFonts w:eastAsia="黑体"/>
          <w:b w:val="0"/>
          <w:bCs w:val="0"/>
          <w:color w:val="auto"/>
          <w:sz w:val="28"/>
          <w:highlight w:val="none"/>
        </w:rPr>
        <w:t>（</w:t>
      </w:r>
      <w:r>
        <w:rPr>
          <w:rFonts w:hint="eastAsia" w:eastAsia="黑体"/>
          <w:b w:val="0"/>
          <w:bCs w:val="0"/>
          <w:color w:val="auto"/>
          <w:sz w:val="28"/>
          <w:highlight w:val="none"/>
        </w:rPr>
        <w:t>1</w:t>
      </w:r>
      <w:r>
        <w:rPr>
          <w:rFonts w:eastAsia="黑体"/>
          <w:b w:val="0"/>
          <w:bCs w:val="0"/>
          <w:color w:val="auto"/>
          <w:sz w:val="28"/>
          <w:highlight w:val="none"/>
        </w:rPr>
        <w:t>）项目管理机构组成表</w:t>
      </w:r>
      <w:bookmarkEnd w:id="860"/>
      <w:bookmarkEnd w:id="861"/>
      <w:bookmarkEnd w:id="862"/>
      <w:bookmarkEnd w:id="863"/>
      <w:bookmarkEnd w:id="86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14:paraId="1D11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noWrap w:val="0"/>
            <w:vAlign w:val="center"/>
          </w:tcPr>
          <w:p w14:paraId="1B5522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639" w:type="dxa"/>
            <w:vMerge w:val="restart"/>
            <w:noWrap w:val="0"/>
            <w:vAlign w:val="center"/>
          </w:tcPr>
          <w:p w14:paraId="4FAB60A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5576" w:type="dxa"/>
            <w:gridSpan w:val="5"/>
            <w:noWrap w:val="0"/>
            <w:vAlign w:val="center"/>
          </w:tcPr>
          <w:p w14:paraId="37C21A2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执业或岗位资格证明</w:t>
            </w:r>
          </w:p>
        </w:tc>
        <w:tc>
          <w:tcPr>
            <w:tcW w:w="1510" w:type="dxa"/>
            <w:vMerge w:val="restart"/>
            <w:noWrap w:val="0"/>
            <w:vAlign w:val="center"/>
          </w:tcPr>
          <w:p w14:paraId="3E1BE11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拟在本项目担任的工作岗位</w:t>
            </w:r>
          </w:p>
        </w:tc>
      </w:tr>
      <w:tr w14:paraId="6A3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noWrap w:val="0"/>
            <w:vAlign w:val="center"/>
          </w:tcPr>
          <w:p w14:paraId="3CCFB0F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vMerge w:val="continue"/>
            <w:noWrap w:val="0"/>
            <w:vAlign w:val="center"/>
          </w:tcPr>
          <w:p w14:paraId="5D4AD90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5630AAC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证书名称</w:t>
            </w:r>
          </w:p>
        </w:tc>
        <w:tc>
          <w:tcPr>
            <w:tcW w:w="808" w:type="dxa"/>
            <w:noWrap w:val="0"/>
            <w:vAlign w:val="center"/>
          </w:tcPr>
          <w:p w14:paraId="4DCE06F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级别</w:t>
            </w:r>
          </w:p>
        </w:tc>
        <w:tc>
          <w:tcPr>
            <w:tcW w:w="852" w:type="dxa"/>
            <w:noWrap w:val="0"/>
            <w:vAlign w:val="center"/>
          </w:tcPr>
          <w:p w14:paraId="274C25C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证号</w:t>
            </w:r>
          </w:p>
        </w:tc>
        <w:tc>
          <w:tcPr>
            <w:tcW w:w="724" w:type="dxa"/>
            <w:noWrap w:val="0"/>
            <w:vAlign w:val="center"/>
          </w:tcPr>
          <w:p w14:paraId="23B4892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2127" w:type="dxa"/>
            <w:noWrap w:val="0"/>
            <w:vAlign w:val="center"/>
          </w:tcPr>
          <w:p w14:paraId="1D6443E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10" w:type="dxa"/>
            <w:vMerge w:val="continue"/>
            <w:noWrap w:val="0"/>
            <w:vAlign w:val="center"/>
          </w:tcPr>
          <w:p w14:paraId="0BA5B1E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468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14:paraId="1B81A9A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4639CBB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2E4A206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14:paraId="51BBA7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14:paraId="47465A9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14:paraId="17F31B8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14:paraId="7B15806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14:paraId="201D96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0CA8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14:paraId="192B40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36C313D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7B248F7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14:paraId="5CC81C6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14:paraId="30D5E8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14:paraId="0A7B08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14:paraId="28B7A8F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14:paraId="451D7D1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17B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14:paraId="09FE98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22F1027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61BDF6C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14:paraId="0BE40DE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14:paraId="5B68680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14:paraId="298BA43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14:paraId="57BFA25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14:paraId="7518174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0FB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14:paraId="3D502BC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374996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3DB27B4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14:paraId="0CB2B6E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14:paraId="3C19D76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14:paraId="4B836E3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14:paraId="1D4792D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14:paraId="5B44CCC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B5A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14:paraId="294278D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63A2DB5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4DBA74A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14:paraId="290DBE8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14:paraId="7791736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14:paraId="1FF2A76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14:paraId="1D56B36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14:paraId="48272F1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C19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14:paraId="47BE989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3B8411B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0C4EEF9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14:paraId="241515F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14:paraId="765658E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14:paraId="4AC945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14:paraId="22D2D71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14:paraId="3359661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C57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14:paraId="094A4AC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68C617D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5591CC1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14:paraId="413D308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14:paraId="6F3CB0C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14:paraId="79B250D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14:paraId="5E5D9F0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14:paraId="06C8891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720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14:paraId="57EF332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6952B72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1AE6605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14:paraId="31C7E05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14:paraId="6D9B02F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14:paraId="46F5618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14:paraId="5149189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14:paraId="531E241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90C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noWrap w:val="0"/>
            <w:vAlign w:val="center"/>
          </w:tcPr>
          <w:p w14:paraId="632D0AE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4B2463A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088F4C7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08" w:type="dxa"/>
            <w:noWrap w:val="0"/>
            <w:vAlign w:val="center"/>
          </w:tcPr>
          <w:p w14:paraId="2B25972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2" w:type="dxa"/>
            <w:noWrap w:val="0"/>
            <w:vAlign w:val="center"/>
          </w:tcPr>
          <w:p w14:paraId="59BFEAF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24" w:type="dxa"/>
            <w:noWrap w:val="0"/>
            <w:vAlign w:val="center"/>
          </w:tcPr>
          <w:p w14:paraId="45C282A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7" w:type="dxa"/>
            <w:noWrap w:val="0"/>
            <w:vAlign w:val="center"/>
          </w:tcPr>
          <w:p w14:paraId="0599639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10" w:type="dxa"/>
            <w:noWrap w:val="0"/>
            <w:vAlign w:val="center"/>
          </w:tcPr>
          <w:p w14:paraId="376F471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14:paraId="4F1D61ED">
      <w:pPr>
        <w:ind w:firstLine="435"/>
        <w:rPr>
          <w:color w:val="auto"/>
          <w:szCs w:val="21"/>
          <w:highlight w:val="none"/>
        </w:rPr>
      </w:pPr>
      <w:r>
        <w:rPr>
          <w:rFonts w:hint="eastAsia"/>
          <w:color w:val="auto"/>
          <w:szCs w:val="21"/>
          <w:highlight w:val="none"/>
        </w:rPr>
        <w:t>说明</w:t>
      </w:r>
      <w:r>
        <w:rPr>
          <w:color w:val="auto"/>
          <w:szCs w:val="21"/>
          <w:highlight w:val="none"/>
        </w:rPr>
        <w:t>：项目管理机构人员是指项目经理。</w:t>
      </w:r>
    </w:p>
    <w:p w14:paraId="78292C2E">
      <w:pPr>
        <w:pStyle w:val="4"/>
        <w:outlineLvl w:val="9"/>
        <w:rPr>
          <w:rFonts w:eastAsia="黑体"/>
          <w:b w:val="0"/>
          <w:bCs w:val="0"/>
          <w:color w:val="auto"/>
          <w:sz w:val="28"/>
          <w:highlight w:val="none"/>
        </w:rPr>
      </w:pPr>
      <w:r>
        <w:rPr>
          <w:color w:val="auto"/>
          <w:szCs w:val="21"/>
          <w:highlight w:val="none"/>
        </w:rPr>
        <w:br w:type="page"/>
      </w:r>
      <w:bookmarkStart w:id="865" w:name="_Toc300678575"/>
      <w:bookmarkStart w:id="866" w:name="_Toc9178585"/>
    </w:p>
    <w:bookmarkEnd w:id="865"/>
    <w:bookmarkEnd w:id="866"/>
    <w:p w14:paraId="3B112B04">
      <w:pPr>
        <w:pStyle w:val="5"/>
        <w:jc w:val="center"/>
        <w:rPr>
          <w:b w:val="0"/>
          <w:color w:val="auto"/>
          <w:szCs w:val="21"/>
          <w:highlight w:val="none"/>
        </w:rPr>
      </w:pPr>
      <w:bookmarkStart w:id="867" w:name="_Toc300678576"/>
      <w:bookmarkStart w:id="868" w:name="_Toc79998889"/>
      <w:bookmarkStart w:id="869" w:name="_Toc80006269"/>
      <w:bookmarkStart w:id="870" w:name="_Toc80006159"/>
      <w:bookmarkStart w:id="871" w:name="_Toc79998445"/>
      <w:r>
        <w:rPr>
          <w:rFonts w:eastAsia="黑体"/>
          <w:b w:val="0"/>
          <w:bCs w:val="0"/>
          <w:color w:val="auto"/>
          <w:sz w:val="28"/>
          <w:highlight w:val="none"/>
        </w:rPr>
        <w:t>（</w:t>
      </w:r>
      <w:r>
        <w:rPr>
          <w:rFonts w:hint="eastAsia" w:eastAsia="黑体"/>
          <w:b w:val="0"/>
          <w:bCs w:val="0"/>
          <w:color w:val="auto"/>
          <w:sz w:val="28"/>
          <w:highlight w:val="none"/>
        </w:rPr>
        <w:t>2</w:t>
      </w:r>
      <w:r>
        <w:rPr>
          <w:rFonts w:eastAsia="黑体"/>
          <w:b w:val="0"/>
          <w:bCs w:val="0"/>
          <w:color w:val="auto"/>
          <w:sz w:val="28"/>
          <w:highlight w:val="none"/>
        </w:rPr>
        <w:t>）</w:t>
      </w:r>
      <w:r>
        <w:rPr>
          <w:rFonts w:ascii="Times New Roman" w:hAnsi="Times New Roman" w:eastAsia="黑体" w:cs="Times New Roman"/>
          <w:b w:val="0"/>
          <w:bCs w:val="0"/>
          <w:color w:val="auto"/>
          <w:kern w:val="0"/>
          <w:sz w:val="28"/>
          <w:szCs w:val="24"/>
          <w:highlight w:val="none"/>
        </w:rPr>
        <w:t>拟任项目经理简历表</w:t>
      </w:r>
    </w:p>
    <w:bookmarkEnd w:id="867"/>
    <w:bookmarkEnd w:id="868"/>
    <w:bookmarkEnd w:id="869"/>
    <w:bookmarkEnd w:id="870"/>
    <w:bookmarkEnd w:id="871"/>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14:paraId="1A90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14:paraId="710827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2169" w:type="dxa"/>
            <w:gridSpan w:val="2"/>
            <w:noWrap w:val="0"/>
            <w:vAlign w:val="center"/>
          </w:tcPr>
          <w:p w14:paraId="5730960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5" w:type="dxa"/>
            <w:noWrap w:val="0"/>
            <w:vAlign w:val="center"/>
          </w:tcPr>
          <w:p w14:paraId="24FA1A8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3715" w:type="dxa"/>
            <w:gridSpan w:val="2"/>
            <w:noWrap w:val="0"/>
            <w:vAlign w:val="center"/>
          </w:tcPr>
          <w:p w14:paraId="14F7802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75A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14:paraId="391073A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1035" w:type="dxa"/>
            <w:noWrap w:val="0"/>
            <w:vAlign w:val="center"/>
          </w:tcPr>
          <w:p w14:paraId="55572D3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48650A9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275" w:type="dxa"/>
            <w:noWrap w:val="0"/>
            <w:vAlign w:val="center"/>
          </w:tcPr>
          <w:p w14:paraId="751C33C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14:paraId="4279A3E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拟在本工程任职</w:t>
            </w:r>
          </w:p>
        </w:tc>
        <w:tc>
          <w:tcPr>
            <w:tcW w:w="1872" w:type="dxa"/>
            <w:noWrap w:val="0"/>
            <w:vAlign w:val="center"/>
          </w:tcPr>
          <w:p w14:paraId="79D63A3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r>
      <w:tr w14:paraId="45BE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14:paraId="3EF5990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注册建造师执业资格等级</w:t>
            </w:r>
          </w:p>
        </w:tc>
        <w:tc>
          <w:tcPr>
            <w:tcW w:w="1275" w:type="dxa"/>
            <w:noWrap w:val="0"/>
            <w:vAlign w:val="center"/>
          </w:tcPr>
          <w:p w14:paraId="269681C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级</w:t>
            </w:r>
          </w:p>
        </w:tc>
        <w:tc>
          <w:tcPr>
            <w:tcW w:w="1843" w:type="dxa"/>
            <w:noWrap w:val="0"/>
            <w:vAlign w:val="center"/>
          </w:tcPr>
          <w:p w14:paraId="5DB068B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建造师专业</w:t>
            </w:r>
          </w:p>
        </w:tc>
        <w:tc>
          <w:tcPr>
            <w:tcW w:w="1872" w:type="dxa"/>
            <w:noWrap w:val="0"/>
            <w:vAlign w:val="center"/>
          </w:tcPr>
          <w:p w14:paraId="120DBF4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1AC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14:paraId="584D441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安全生产考核合格证书证号</w:t>
            </w:r>
          </w:p>
        </w:tc>
        <w:tc>
          <w:tcPr>
            <w:tcW w:w="4990" w:type="dxa"/>
            <w:gridSpan w:val="3"/>
            <w:noWrap w:val="0"/>
            <w:vAlign w:val="center"/>
          </w:tcPr>
          <w:p w14:paraId="5F67C74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53A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14:paraId="335B09B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14:paraId="3FCC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14:paraId="48A23B1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起止时间</w:t>
            </w:r>
          </w:p>
        </w:tc>
        <w:tc>
          <w:tcPr>
            <w:tcW w:w="3444" w:type="dxa"/>
            <w:gridSpan w:val="3"/>
            <w:noWrap w:val="0"/>
            <w:vAlign w:val="center"/>
          </w:tcPr>
          <w:p w14:paraId="1E805E3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参加过的类似项目名称</w:t>
            </w:r>
          </w:p>
        </w:tc>
        <w:tc>
          <w:tcPr>
            <w:tcW w:w="1843" w:type="dxa"/>
            <w:noWrap w:val="0"/>
            <w:vAlign w:val="center"/>
          </w:tcPr>
          <w:p w14:paraId="00B711C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工程概况说明</w:t>
            </w:r>
          </w:p>
        </w:tc>
        <w:tc>
          <w:tcPr>
            <w:tcW w:w="1872" w:type="dxa"/>
            <w:noWrap w:val="0"/>
            <w:vAlign w:val="center"/>
          </w:tcPr>
          <w:p w14:paraId="1278C6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14:paraId="27D3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14:paraId="20652A4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14:paraId="00B471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14:paraId="26171D3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14:paraId="4C2C076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E90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14:paraId="6ECC91F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p w14:paraId="22057A0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14:paraId="68534EF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14:paraId="4531EE8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14:paraId="78596B3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AF6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14:paraId="48E407C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14:paraId="70C783A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14:paraId="2DF600A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14:paraId="578FA7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797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4" w:type="dxa"/>
            <w:gridSpan w:val="6"/>
            <w:noWrap w:val="0"/>
            <w:vAlign w:val="center"/>
          </w:tcPr>
          <w:p w14:paraId="55C0E61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获奖情况</w:t>
            </w:r>
          </w:p>
        </w:tc>
      </w:tr>
      <w:tr w14:paraId="72B2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14:paraId="100CC72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14:paraId="4C1792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14:paraId="5F18F65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14:paraId="3D1508F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C69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14:paraId="11AC905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444" w:type="dxa"/>
            <w:gridSpan w:val="3"/>
            <w:noWrap w:val="0"/>
            <w:vAlign w:val="center"/>
          </w:tcPr>
          <w:p w14:paraId="216FD6E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43" w:type="dxa"/>
            <w:noWrap w:val="0"/>
            <w:vAlign w:val="center"/>
          </w:tcPr>
          <w:p w14:paraId="0D3AC3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72" w:type="dxa"/>
            <w:noWrap w:val="0"/>
            <w:vAlign w:val="center"/>
          </w:tcPr>
          <w:p w14:paraId="71BF7F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14:paraId="7A2253FF">
      <w:pPr>
        <w:spacing w:line="300" w:lineRule="auto"/>
        <w:jc w:val="left"/>
        <w:rPr>
          <w:color w:val="auto"/>
          <w:kern w:val="0"/>
          <w:sz w:val="18"/>
          <w:szCs w:val="18"/>
          <w:highlight w:val="none"/>
        </w:rPr>
      </w:pPr>
      <w:r>
        <w:rPr>
          <w:color w:val="auto"/>
          <w:kern w:val="0"/>
          <w:sz w:val="18"/>
          <w:szCs w:val="18"/>
          <w:highlight w:val="none"/>
        </w:rPr>
        <w:t xml:space="preserve">    </w:t>
      </w:r>
    </w:p>
    <w:p w14:paraId="77FF2966">
      <w:pPr>
        <w:spacing w:line="360" w:lineRule="auto"/>
        <w:rPr>
          <w:color w:val="auto"/>
          <w:highlight w:val="none"/>
        </w:rPr>
      </w:pPr>
      <w:r>
        <w:rPr>
          <w:rFonts w:hint="eastAsia"/>
          <w:color w:val="auto"/>
          <w:highlight w:val="none"/>
        </w:rPr>
        <w:t>说明：</w:t>
      </w:r>
    </w:p>
    <w:p w14:paraId="2BDC9D45">
      <w:pPr>
        <w:ind w:firstLine="420" w:firstLineChars="200"/>
        <w:rPr>
          <w:color w:val="auto"/>
          <w:highlight w:val="none"/>
        </w:rPr>
      </w:pPr>
      <w:r>
        <w:rPr>
          <w:color w:val="auto"/>
          <w:highlight w:val="none"/>
        </w:rPr>
        <w:t>1.请提供拟任项目经理的建造师注册证书、项目负责人安全生产考核合格证书、身份证</w:t>
      </w:r>
      <w:r>
        <w:rPr>
          <w:rFonts w:hint="eastAsia"/>
          <w:color w:val="auto"/>
          <w:highlight w:val="none"/>
        </w:rPr>
        <w:t>的</w:t>
      </w:r>
      <w:r>
        <w:rPr>
          <w:color w:val="auto"/>
          <w:highlight w:val="none"/>
        </w:rPr>
        <w:t>复印件。</w:t>
      </w:r>
    </w:p>
    <w:p w14:paraId="21317D37">
      <w:pPr>
        <w:ind w:firstLine="420" w:firstLineChars="200"/>
        <w:rPr>
          <w:color w:val="auto"/>
          <w:highlight w:val="none"/>
        </w:rPr>
      </w:pPr>
      <w:r>
        <w:rPr>
          <w:color w:val="auto"/>
          <w:highlight w:val="none"/>
        </w:rPr>
        <w:t>2.</w:t>
      </w:r>
      <w:r>
        <w:rPr>
          <w:rFonts w:hint="eastAsia"/>
          <w:color w:val="auto"/>
          <w:highlight w:val="none"/>
        </w:rPr>
        <w:t>拟任本招标项目的项目经理在其他项目担任项目经理并发生过变更撤换的，投标人应当在投标文件中如实注明其变更撤换情况，提供经住房城乡建设主管部门备案的变更撤换资料复印件（或其官方网站查询的变更撤换信息的截图）和竣工验收资料复印件（项目已竣工的提供）。未发生以上情形的，请投标人提供不存在上述情形的承诺书（格式自拟）。（适用于：项目经理业绩、奖项加分的项目，且投标人在投标文件中已按招标文件规定提供符合加分的项目经理业绩或奖项证明材料的）</w:t>
      </w:r>
    </w:p>
    <w:p w14:paraId="202576F6">
      <w:pPr>
        <w:ind w:firstLine="420" w:firstLineChars="200"/>
        <w:rPr>
          <w:rFonts w:hint="eastAsia"/>
          <w:color w:val="auto"/>
          <w:highlight w:val="none"/>
        </w:rPr>
      </w:pPr>
      <w:r>
        <w:rPr>
          <w:color w:val="auto"/>
          <w:highlight w:val="none"/>
        </w:rPr>
        <w:t>3</w:t>
      </w:r>
      <w:r>
        <w:rPr>
          <w:rFonts w:hint="eastAsia"/>
          <w:color w:val="auto"/>
          <w:highlight w:val="none"/>
        </w:rPr>
        <w:t>.类似工程业绩考核期限</w:t>
      </w:r>
      <w:r>
        <w:rPr>
          <w:rFonts w:hint="eastAsia"/>
          <w:color w:val="auto"/>
          <w:highlight w:val="none"/>
          <w:lang w:val="en-US" w:eastAsia="zh-CN"/>
        </w:rPr>
        <w:t>自投标截止之日前</w:t>
      </w:r>
      <w:r>
        <w:rPr>
          <w:rFonts w:hint="eastAsia"/>
          <w:color w:val="auto"/>
          <w:highlight w:val="none"/>
          <w:lang w:eastAsia="zh-CN"/>
        </w:rPr>
        <w:t>3年</w:t>
      </w:r>
      <w:r>
        <w:rPr>
          <w:rFonts w:hint="eastAsia"/>
          <w:color w:val="auto"/>
          <w:highlight w:val="none"/>
        </w:rPr>
        <w:t>，自竣工验收资料中建设单位签字之日起计算。类似工程业绩考核依据中竣工验收备案表未体现建设单位签字之日的以竣工验收备案表“竣工验收日期”栏中注明的时间为准）。</w:t>
      </w:r>
    </w:p>
    <w:p w14:paraId="27B35987">
      <w:pPr>
        <w:ind w:firstLine="420" w:firstLineChars="200"/>
        <w:rPr>
          <w:color w:val="auto"/>
          <w:highlight w:val="none"/>
        </w:rPr>
      </w:pPr>
      <w:r>
        <w:rPr>
          <w:color w:val="auto"/>
          <w:highlight w:val="none"/>
        </w:rPr>
        <w:t>4</w:t>
      </w:r>
      <w:r>
        <w:rPr>
          <w:rFonts w:hint="eastAsia"/>
          <w:color w:val="auto"/>
          <w:highlight w:val="none"/>
        </w:rPr>
        <w:t>.请附类似工程业绩证明资料（具体要求见本招标文件第二章投标人须知）。</w:t>
      </w:r>
    </w:p>
    <w:p w14:paraId="0FA34AD7">
      <w:pPr>
        <w:ind w:firstLine="420" w:firstLineChars="200"/>
        <w:rPr>
          <w:rFonts w:hint="eastAsia"/>
          <w:color w:val="auto"/>
          <w:highlight w:val="none"/>
        </w:rPr>
      </w:pPr>
      <w:r>
        <w:rPr>
          <w:color w:val="auto"/>
          <w:highlight w:val="none"/>
        </w:rPr>
        <w:t>5</w:t>
      </w:r>
      <w:r>
        <w:rPr>
          <w:rFonts w:hint="eastAsia"/>
          <w:color w:val="auto"/>
          <w:highlight w:val="none"/>
        </w:rPr>
        <w:t>.请附拟任项目经理奖项证明文件（关键页）复印件（具体要求见本招标文件第三章评标办法）。</w:t>
      </w:r>
    </w:p>
    <w:p w14:paraId="2B57B49A">
      <w:pPr>
        <w:ind w:firstLine="420" w:firstLineChars="200"/>
        <w:rPr>
          <w:color w:val="auto"/>
          <w:highlight w:val="none"/>
        </w:rPr>
      </w:pPr>
    </w:p>
    <w:p w14:paraId="4E36BD78">
      <w:pPr>
        <w:ind w:firstLine="420" w:firstLineChars="200"/>
        <w:rPr>
          <w:color w:val="auto"/>
          <w:highlight w:val="none"/>
        </w:rPr>
      </w:pPr>
    </w:p>
    <w:p w14:paraId="5F48C8AB">
      <w:pPr>
        <w:ind w:firstLine="420" w:firstLineChars="200"/>
        <w:rPr>
          <w:color w:val="auto"/>
          <w:highlight w:val="none"/>
        </w:rPr>
      </w:pPr>
    </w:p>
    <w:p w14:paraId="6F3E109A">
      <w:pPr>
        <w:ind w:firstLine="420" w:firstLineChars="200"/>
        <w:rPr>
          <w:color w:val="auto"/>
          <w:highlight w:val="none"/>
        </w:rPr>
      </w:pPr>
    </w:p>
    <w:p w14:paraId="6E274BEF">
      <w:pPr>
        <w:ind w:firstLine="420" w:firstLineChars="200"/>
        <w:rPr>
          <w:color w:val="auto"/>
          <w:highlight w:val="none"/>
        </w:rPr>
      </w:pPr>
    </w:p>
    <w:p w14:paraId="7B34D6C1">
      <w:pPr>
        <w:ind w:firstLine="420" w:firstLineChars="200"/>
        <w:rPr>
          <w:rFonts w:hint="eastAsia"/>
          <w:color w:val="auto"/>
          <w:highlight w:val="none"/>
        </w:rPr>
      </w:pPr>
    </w:p>
    <w:p w14:paraId="53F525A5">
      <w:pPr>
        <w:ind w:firstLine="420" w:firstLineChars="200"/>
        <w:rPr>
          <w:rFonts w:hint="eastAsia"/>
          <w:color w:val="auto"/>
          <w:highlight w:val="none"/>
        </w:rPr>
      </w:pPr>
    </w:p>
    <w:p w14:paraId="51166E9B">
      <w:pPr>
        <w:rPr>
          <w:rFonts w:eastAsia="黑体"/>
          <w:color w:val="auto"/>
          <w:sz w:val="30"/>
          <w:szCs w:val="30"/>
          <w:highlight w:val="none"/>
        </w:rPr>
      </w:pPr>
    </w:p>
    <w:p w14:paraId="1052C8C0">
      <w:pPr>
        <w:rPr>
          <w:rFonts w:eastAsia="黑体"/>
          <w:color w:val="auto"/>
          <w:sz w:val="30"/>
          <w:szCs w:val="30"/>
          <w:highlight w:val="none"/>
        </w:rPr>
      </w:pPr>
    </w:p>
    <w:p w14:paraId="4568A723">
      <w:pPr>
        <w:pStyle w:val="7"/>
        <w:rPr>
          <w:color w:val="auto"/>
          <w:highlight w:val="none"/>
        </w:rPr>
      </w:pPr>
    </w:p>
    <w:p w14:paraId="06D15B3B">
      <w:pPr>
        <w:spacing w:line="360" w:lineRule="auto"/>
        <w:ind w:firstLine="420" w:firstLineChars="200"/>
        <w:rPr>
          <w:rFonts w:hint="eastAsia"/>
          <w:color w:val="auto"/>
          <w:highlight w:val="none"/>
        </w:rPr>
      </w:pPr>
    </w:p>
    <w:p w14:paraId="1B0F0796">
      <w:pPr>
        <w:jc w:val="center"/>
        <w:rPr>
          <w:rFonts w:eastAsia="黑体"/>
          <w:color w:val="auto"/>
          <w:kern w:val="0"/>
          <w:sz w:val="28"/>
          <w:highlight w:val="none"/>
        </w:rPr>
      </w:pPr>
      <w:bookmarkStart w:id="872" w:name="_Toc300678578"/>
      <w:r>
        <w:rPr>
          <w:rFonts w:hint="eastAsia" w:eastAsia="黑体"/>
          <w:color w:val="auto"/>
          <w:kern w:val="0"/>
          <w:sz w:val="28"/>
          <w:highlight w:val="none"/>
        </w:rPr>
        <w:t>（3</w:t>
      </w:r>
      <w:r>
        <w:rPr>
          <w:rFonts w:eastAsia="黑体"/>
          <w:color w:val="auto"/>
          <w:kern w:val="0"/>
          <w:sz w:val="28"/>
          <w:highlight w:val="none"/>
        </w:rPr>
        <w:t>）</w:t>
      </w:r>
      <w:r>
        <w:rPr>
          <w:rFonts w:hint="eastAsia" w:eastAsia="黑体"/>
          <w:color w:val="auto"/>
          <w:kern w:val="0"/>
          <w:sz w:val="28"/>
          <w:highlight w:val="none"/>
        </w:rPr>
        <w:t>项目经理</w:t>
      </w:r>
      <w:r>
        <w:rPr>
          <w:rFonts w:eastAsia="黑体"/>
          <w:color w:val="auto"/>
          <w:kern w:val="0"/>
          <w:sz w:val="28"/>
          <w:highlight w:val="none"/>
        </w:rPr>
        <w:t>自评表</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4721"/>
        <w:gridCol w:w="2126"/>
      </w:tblGrid>
      <w:tr w14:paraId="3715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054" w:type="dxa"/>
            <w:gridSpan w:val="2"/>
            <w:noWrap w:val="0"/>
            <w:vAlign w:val="center"/>
          </w:tcPr>
          <w:p w14:paraId="77821C1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p w14:paraId="2BE6745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（项目名称、奖项名称）</w:t>
            </w:r>
          </w:p>
        </w:tc>
        <w:tc>
          <w:tcPr>
            <w:tcW w:w="2126" w:type="dxa"/>
            <w:noWrap w:val="0"/>
            <w:vAlign w:val="center"/>
          </w:tcPr>
          <w:p w14:paraId="0FFDEA3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p w14:paraId="5C61CB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材料所在的页码</w:t>
            </w:r>
          </w:p>
        </w:tc>
      </w:tr>
      <w:tr w14:paraId="2338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333" w:type="dxa"/>
            <w:noWrap w:val="0"/>
            <w:vAlign w:val="center"/>
          </w:tcPr>
          <w:p w14:paraId="2AB444E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w:t>
            </w:r>
          </w:p>
        </w:tc>
        <w:tc>
          <w:tcPr>
            <w:tcW w:w="4721" w:type="dxa"/>
            <w:noWrap w:val="0"/>
            <w:vAlign w:val="top"/>
          </w:tcPr>
          <w:p w14:paraId="3F67A8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6" w:type="dxa"/>
            <w:noWrap w:val="0"/>
            <w:vAlign w:val="top"/>
          </w:tcPr>
          <w:p w14:paraId="5B5C305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336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2333" w:type="dxa"/>
            <w:vMerge w:val="restart"/>
            <w:noWrap w:val="0"/>
            <w:vAlign w:val="center"/>
          </w:tcPr>
          <w:p w14:paraId="2B9AAC6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奖项</w:t>
            </w:r>
          </w:p>
        </w:tc>
        <w:tc>
          <w:tcPr>
            <w:tcW w:w="4721" w:type="dxa"/>
            <w:noWrap w:val="0"/>
            <w:vAlign w:val="top"/>
          </w:tcPr>
          <w:p w14:paraId="198EE55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126" w:type="dxa"/>
            <w:noWrap w:val="0"/>
            <w:vAlign w:val="top"/>
          </w:tcPr>
          <w:p w14:paraId="6B12A31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168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33" w:type="dxa"/>
            <w:vMerge w:val="continue"/>
            <w:noWrap w:val="0"/>
            <w:vAlign w:val="center"/>
          </w:tcPr>
          <w:p w14:paraId="3F42090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721" w:type="dxa"/>
            <w:noWrap w:val="0"/>
            <w:vAlign w:val="top"/>
          </w:tcPr>
          <w:p w14:paraId="31EDD88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26" w:type="dxa"/>
            <w:noWrap w:val="0"/>
            <w:vAlign w:val="top"/>
          </w:tcPr>
          <w:p w14:paraId="1E1A4C9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0461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33" w:type="dxa"/>
            <w:vMerge w:val="restart"/>
            <w:noWrap w:val="0"/>
            <w:vAlign w:val="center"/>
          </w:tcPr>
          <w:p w14:paraId="68A23BE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不良信用信息</w:t>
            </w:r>
          </w:p>
        </w:tc>
        <w:tc>
          <w:tcPr>
            <w:tcW w:w="4721" w:type="dxa"/>
            <w:noWrap w:val="0"/>
            <w:vAlign w:val="top"/>
          </w:tcPr>
          <w:p w14:paraId="6C6D525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26" w:type="dxa"/>
            <w:noWrap w:val="0"/>
            <w:vAlign w:val="top"/>
          </w:tcPr>
          <w:p w14:paraId="7BBCFC9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54DC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333" w:type="dxa"/>
            <w:vMerge w:val="continue"/>
            <w:noWrap w:val="0"/>
            <w:vAlign w:val="top"/>
          </w:tcPr>
          <w:p w14:paraId="661BA32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721" w:type="dxa"/>
            <w:noWrap w:val="0"/>
            <w:vAlign w:val="top"/>
          </w:tcPr>
          <w:p w14:paraId="0CF9F86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126" w:type="dxa"/>
            <w:noWrap w:val="0"/>
            <w:vAlign w:val="top"/>
          </w:tcPr>
          <w:p w14:paraId="7B27598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5D9F8615">
      <w:pPr>
        <w:rPr>
          <w:rFonts w:hint="eastAsia"/>
          <w:color w:val="auto"/>
          <w:highlight w:val="none"/>
        </w:rPr>
      </w:pPr>
    </w:p>
    <w:bookmarkEnd w:id="872"/>
    <w:p w14:paraId="675AAB69">
      <w:pPr>
        <w:rPr>
          <w:color w:val="auto"/>
          <w:highlight w:val="none"/>
        </w:rPr>
      </w:pPr>
      <w:bookmarkStart w:id="873" w:name="_Toc300678579"/>
    </w:p>
    <w:p w14:paraId="2635A82C">
      <w:pPr>
        <w:rPr>
          <w:color w:val="auto"/>
          <w:highlight w:val="none"/>
        </w:rPr>
      </w:pPr>
    </w:p>
    <w:p w14:paraId="3D28D9D3">
      <w:pPr>
        <w:rPr>
          <w:color w:val="auto"/>
          <w:highlight w:val="none"/>
        </w:rPr>
      </w:pPr>
    </w:p>
    <w:p w14:paraId="2085A20B">
      <w:pPr>
        <w:rPr>
          <w:color w:val="auto"/>
          <w:highlight w:val="none"/>
        </w:rPr>
      </w:pPr>
      <w:r>
        <w:rPr>
          <w:color w:val="auto"/>
          <w:highlight w:val="none"/>
        </w:rPr>
        <w:br w:type="page"/>
      </w:r>
    </w:p>
    <w:p w14:paraId="59E70916">
      <w:pPr>
        <w:pStyle w:val="3"/>
        <w:jc w:val="center"/>
        <w:outlineLvl w:val="2"/>
        <w:rPr>
          <w:rFonts w:ascii="Times New Roman" w:hAnsi="Times New Roman" w:eastAsia="黑体"/>
          <w:b w:val="0"/>
          <w:bCs w:val="0"/>
          <w:color w:val="auto"/>
          <w:sz w:val="30"/>
          <w:szCs w:val="30"/>
          <w:highlight w:val="none"/>
        </w:rPr>
      </w:pPr>
      <w:bookmarkStart w:id="874" w:name="_Toc80006270"/>
      <w:bookmarkStart w:id="875" w:name="_Toc80006160"/>
      <w:bookmarkStart w:id="876" w:name="_Toc9178586"/>
      <w:bookmarkStart w:id="877" w:name="_Toc11508"/>
      <w:r>
        <w:rPr>
          <w:rFonts w:hint="eastAsia" w:ascii="Times New Roman" w:hAnsi="Times New Roman" w:eastAsia="黑体"/>
          <w:b w:val="0"/>
          <w:bCs w:val="0"/>
          <w:color w:val="auto"/>
          <w:sz w:val="30"/>
          <w:szCs w:val="30"/>
          <w:highlight w:val="none"/>
        </w:rPr>
        <w:t>7.</w:t>
      </w:r>
      <w:r>
        <w:rPr>
          <w:rFonts w:ascii="Times New Roman" w:hAnsi="Times New Roman" w:eastAsia="黑体"/>
          <w:b w:val="0"/>
          <w:bCs w:val="0"/>
          <w:color w:val="auto"/>
          <w:sz w:val="30"/>
          <w:szCs w:val="30"/>
          <w:highlight w:val="none"/>
        </w:rPr>
        <w:t>拟分包计划表</w:t>
      </w:r>
      <w:bookmarkEnd w:id="873"/>
      <w:bookmarkEnd w:id="874"/>
      <w:bookmarkEnd w:id="875"/>
      <w:bookmarkEnd w:id="876"/>
      <w:bookmarkEnd w:id="87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14:paraId="4410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14:paraId="6272B9B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15" w:type="dxa"/>
            <w:vMerge w:val="restart"/>
            <w:noWrap w:val="0"/>
            <w:vAlign w:val="center"/>
          </w:tcPr>
          <w:p w14:paraId="0DD2E7D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拟分包项目名称、范围及理由</w:t>
            </w:r>
          </w:p>
        </w:tc>
        <w:tc>
          <w:tcPr>
            <w:tcW w:w="4901" w:type="dxa"/>
            <w:gridSpan w:val="5"/>
            <w:noWrap w:val="0"/>
            <w:vAlign w:val="center"/>
          </w:tcPr>
          <w:p w14:paraId="00CBEBF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拟选分包人</w:t>
            </w:r>
          </w:p>
        </w:tc>
        <w:tc>
          <w:tcPr>
            <w:tcW w:w="639" w:type="dxa"/>
            <w:vMerge w:val="restart"/>
            <w:noWrap w:val="0"/>
            <w:vAlign w:val="center"/>
          </w:tcPr>
          <w:p w14:paraId="3E2FE3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284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14:paraId="262054A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14:paraId="64EF525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701" w:type="dxa"/>
            <w:gridSpan w:val="2"/>
            <w:noWrap w:val="0"/>
            <w:vAlign w:val="center"/>
          </w:tcPr>
          <w:p w14:paraId="27375B6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拟选分包人名称</w:t>
            </w:r>
          </w:p>
        </w:tc>
        <w:tc>
          <w:tcPr>
            <w:tcW w:w="1070" w:type="dxa"/>
            <w:noWrap w:val="0"/>
            <w:vAlign w:val="center"/>
          </w:tcPr>
          <w:p w14:paraId="217B831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注册地点</w:t>
            </w:r>
          </w:p>
        </w:tc>
        <w:tc>
          <w:tcPr>
            <w:tcW w:w="1065" w:type="dxa"/>
            <w:noWrap w:val="0"/>
            <w:vAlign w:val="center"/>
          </w:tcPr>
          <w:p w14:paraId="546CC40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1065" w:type="dxa"/>
            <w:noWrap w:val="0"/>
            <w:vAlign w:val="center"/>
          </w:tcPr>
          <w:p w14:paraId="0BA1A8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有关业绩</w:t>
            </w:r>
          </w:p>
        </w:tc>
        <w:tc>
          <w:tcPr>
            <w:tcW w:w="639" w:type="dxa"/>
            <w:vMerge w:val="continue"/>
            <w:noWrap w:val="0"/>
            <w:vAlign w:val="center"/>
          </w:tcPr>
          <w:p w14:paraId="680381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0B59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14:paraId="02FAD5F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14:paraId="00D840E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0B9BF3D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14:paraId="35845E9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22B858B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03AF687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2D00888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33BDCE9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24D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14:paraId="0D78EAC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14:paraId="1D0964D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1F4CC64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14:paraId="714715F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6B55FC8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587E2B4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558B2D0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49A2ABB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462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14:paraId="09B9789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14:paraId="75675D7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09B0F78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14:paraId="58C5841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58FA8B6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51B8FEE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03224F6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3A57A7A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43A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14:paraId="2860C68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14:paraId="02D7F6B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562C497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14:paraId="7B16FB9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6425B4D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3609D5E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728CF01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07F8E28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0E5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14:paraId="6DDEB35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14:paraId="1FB69AB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10C6E7D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14:paraId="6C00B4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49353B0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3AE97DE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63D746A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3FD316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A1C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14:paraId="469EB27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14:paraId="0A8A4CC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0FB3E4C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14:paraId="021ED20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072DB6C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1C0A1A6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0BD3E51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7F20B38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254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14:paraId="23453F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14:paraId="0D10EEB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42DD673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14:paraId="1E7AEC5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6CAAB9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2AA841D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53EA9AD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0CAB40C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200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14:paraId="57A06B3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14:paraId="11F3D0C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21C8096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14:paraId="599611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256D6D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7049853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222E9B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0DBD1E9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313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14:paraId="610974C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14:paraId="5E82881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3E5E7D0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14:paraId="714BEFA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23C688B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7C6F769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326D529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1B81F7E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A08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noWrap w:val="0"/>
            <w:tcMar>
              <w:left w:w="108" w:type="dxa"/>
              <w:right w:w="108" w:type="dxa"/>
            </w:tcMar>
            <w:vAlign w:val="center"/>
          </w:tcPr>
          <w:p w14:paraId="61C2D5E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restart"/>
            <w:noWrap w:val="0"/>
            <w:vAlign w:val="center"/>
          </w:tcPr>
          <w:p w14:paraId="0718BBF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0C99DC6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vAlign w:val="center"/>
          </w:tcPr>
          <w:p w14:paraId="069B03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591B895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0D7A5BF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3170C26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3534C4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098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14:paraId="36301D8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14:paraId="006569B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260C93D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vAlign w:val="center"/>
          </w:tcPr>
          <w:p w14:paraId="3A6AF61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3DF6802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662AA1B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6CC9746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32AE126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2C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noWrap w:val="0"/>
            <w:tcMar>
              <w:left w:w="108" w:type="dxa"/>
              <w:right w:w="108" w:type="dxa"/>
            </w:tcMar>
            <w:vAlign w:val="center"/>
          </w:tcPr>
          <w:p w14:paraId="7040742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15" w:type="dxa"/>
            <w:vMerge w:val="continue"/>
            <w:noWrap w:val="0"/>
            <w:vAlign w:val="center"/>
          </w:tcPr>
          <w:p w14:paraId="047A7A5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51" w:type="dxa"/>
            <w:noWrap w:val="0"/>
            <w:vAlign w:val="center"/>
          </w:tcPr>
          <w:p w14:paraId="035B903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vAlign w:val="center"/>
          </w:tcPr>
          <w:p w14:paraId="2435375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70" w:type="dxa"/>
            <w:noWrap w:val="0"/>
            <w:vAlign w:val="center"/>
          </w:tcPr>
          <w:p w14:paraId="38DF69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487EA35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65" w:type="dxa"/>
            <w:noWrap w:val="0"/>
            <w:vAlign w:val="center"/>
          </w:tcPr>
          <w:p w14:paraId="5FCBA7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39" w:type="dxa"/>
            <w:noWrap w:val="0"/>
            <w:vAlign w:val="center"/>
          </w:tcPr>
          <w:p w14:paraId="741E3B4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14:paraId="20DAD179">
      <w:pPr>
        <w:spacing w:line="360" w:lineRule="auto"/>
        <w:ind w:right="420"/>
        <w:rPr>
          <w:color w:val="auto"/>
          <w:sz w:val="18"/>
          <w:szCs w:val="18"/>
          <w:highlight w:val="none"/>
        </w:rPr>
      </w:pPr>
      <w:r>
        <w:rPr>
          <w:color w:val="auto"/>
          <w:sz w:val="18"/>
          <w:szCs w:val="18"/>
          <w:highlight w:val="none"/>
        </w:rPr>
        <w:t xml:space="preserve">    </w:t>
      </w:r>
      <w:r>
        <w:rPr>
          <w:rFonts w:hint="eastAsia"/>
          <w:color w:val="auto"/>
          <w:sz w:val="18"/>
          <w:szCs w:val="18"/>
          <w:highlight w:val="none"/>
        </w:rPr>
        <w:t>说明</w:t>
      </w:r>
      <w:r>
        <w:rPr>
          <w:color w:val="auto"/>
          <w:sz w:val="18"/>
          <w:szCs w:val="18"/>
          <w:highlight w:val="none"/>
        </w:rPr>
        <w:t>：本表所列分包仅限于承包人自行施工范围内的非主体、非关键工程。</w:t>
      </w:r>
    </w:p>
    <w:p w14:paraId="4CF6B795">
      <w:pPr>
        <w:spacing w:line="360" w:lineRule="auto"/>
        <w:ind w:right="420"/>
        <w:jc w:val="center"/>
        <w:outlineLvl w:val="2"/>
        <w:rPr>
          <w:rFonts w:eastAsia="黑体"/>
          <w:b/>
          <w:bCs/>
          <w:color w:val="auto"/>
          <w:sz w:val="30"/>
          <w:highlight w:val="none"/>
        </w:rPr>
      </w:pPr>
      <w:bookmarkStart w:id="878" w:name="_Toc300678580"/>
      <w:r>
        <w:rPr>
          <w:rFonts w:eastAsia="黑体"/>
          <w:bCs/>
          <w:color w:val="auto"/>
          <w:sz w:val="28"/>
          <w:szCs w:val="28"/>
          <w:highlight w:val="none"/>
        </w:rPr>
        <w:br w:type="page"/>
      </w:r>
      <w:bookmarkStart w:id="879" w:name="_Toc9178587"/>
      <w:bookmarkStart w:id="880" w:name="_Toc23016"/>
      <w:r>
        <w:rPr>
          <w:rFonts w:hint="eastAsia" w:eastAsia="黑体"/>
          <w:b w:val="0"/>
          <w:bCs w:val="0"/>
          <w:color w:val="auto"/>
          <w:sz w:val="30"/>
          <w:highlight w:val="none"/>
        </w:rPr>
        <w:t>8.</w:t>
      </w:r>
      <w:r>
        <w:rPr>
          <w:rFonts w:eastAsia="黑体"/>
          <w:b w:val="0"/>
          <w:bCs w:val="0"/>
          <w:color w:val="auto"/>
          <w:sz w:val="30"/>
          <w:highlight w:val="none"/>
        </w:rPr>
        <w:t>资格审查</w:t>
      </w:r>
      <w:r>
        <w:rPr>
          <w:rFonts w:hint="eastAsia" w:eastAsia="黑体"/>
          <w:b w:val="0"/>
          <w:bCs w:val="0"/>
          <w:color w:val="auto"/>
          <w:sz w:val="30"/>
          <w:highlight w:val="none"/>
        </w:rPr>
        <w:t>等</w:t>
      </w:r>
      <w:r>
        <w:rPr>
          <w:rFonts w:eastAsia="黑体"/>
          <w:b w:val="0"/>
          <w:bCs w:val="0"/>
          <w:color w:val="auto"/>
          <w:sz w:val="30"/>
          <w:highlight w:val="none"/>
        </w:rPr>
        <w:t>资料</w:t>
      </w:r>
      <w:bookmarkEnd w:id="878"/>
      <w:bookmarkEnd w:id="879"/>
      <w:bookmarkEnd w:id="880"/>
    </w:p>
    <w:p w14:paraId="0D5D7307">
      <w:pPr>
        <w:pStyle w:val="5"/>
        <w:ind w:firstLine="0" w:firstLineChars="0"/>
        <w:jc w:val="center"/>
        <w:rPr>
          <w:rFonts w:ascii="Times New Roman" w:hAnsi="Times New Roman" w:eastAsia="黑体"/>
          <w:b w:val="0"/>
          <w:bCs w:val="0"/>
          <w:color w:val="auto"/>
          <w:sz w:val="24"/>
          <w:highlight w:val="none"/>
        </w:rPr>
      </w:pPr>
      <w:bookmarkStart w:id="881" w:name="_Toc300678581"/>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）投标人基本情况表</w:t>
      </w:r>
      <w:bookmarkEnd w:id="88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14:paraId="327B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3E1019F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05" w:type="dxa"/>
            <w:gridSpan w:val="9"/>
            <w:noWrap w:val="0"/>
            <w:vAlign w:val="center"/>
          </w:tcPr>
          <w:p w14:paraId="0558308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7CB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7069AC3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5"/>
            <w:noWrap w:val="0"/>
            <w:vAlign w:val="center"/>
          </w:tcPr>
          <w:p w14:paraId="12C3E48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46" w:type="dxa"/>
            <w:noWrap w:val="0"/>
            <w:vAlign w:val="center"/>
          </w:tcPr>
          <w:p w14:paraId="762E4E8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170" w:type="dxa"/>
            <w:gridSpan w:val="3"/>
            <w:noWrap w:val="0"/>
            <w:vAlign w:val="center"/>
          </w:tcPr>
          <w:p w14:paraId="7A7B7BD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867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noWrap w:val="0"/>
            <w:vAlign w:val="center"/>
          </w:tcPr>
          <w:p w14:paraId="21DCF89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14:paraId="67FCEB7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4"/>
            <w:noWrap w:val="0"/>
            <w:vAlign w:val="center"/>
          </w:tcPr>
          <w:p w14:paraId="1628C7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46" w:type="dxa"/>
            <w:noWrap w:val="0"/>
            <w:vAlign w:val="center"/>
          </w:tcPr>
          <w:p w14:paraId="518BF84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170" w:type="dxa"/>
            <w:gridSpan w:val="3"/>
            <w:noWrap w:val="0"/>
            <w:vAlign w:val="center"/>
          </w:tcPr>
          <w:p w14:paraId="4E077E3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E73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noWrap w:val="0"/>
            <w:vAlign w:val="center"/>
          </w:tcPr>
          <w:p w14:paraId="7A5E69B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97" w:type="dxa"/>
            <w:noWrap w:val="0"/>
            <w:vAlign w:val="center"/>
          </w:tcPr>
          <w:p w14:paraId="3F5675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492" w:type="dxa"/>
            <w:gridSpan w:val="4"/>
            <w:noWrap w:val="0"/>
            <w:vAlign w:val="center"/>
          </w:tcPr>
          <w:p w14:paraId="6A39085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46" w:type="dxa"/>
            <w:noWrap w:val="0"/>
            <w:vAlign w:val="center"/>
          </w:tcPr>
          <w:p w14:paraId="6BC680F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170" w:type="dxa"/>
            <w:gridSpan w:val="3"/>
            <w:noWrap w:val="0"/>
            <w:vAlign w:val="center"/>
          </w:tcPr>
          <w:p w14:paraId="4893873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0FB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52FD6B0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05" w:type="dxa"/>
            <w:gridSpan w:val="9"/>
            <w:noWrap w:val="0"/>
            <w:vAlign w:val="center"/>
          </w:tcPr>
          <w:p w14:paraId="10FF33C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CDE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3358C15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14:paraId="4B86622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7B42352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gridSpan w:val="2"/>
            <w:noWrap w:val="0"/>
            <w:vAlign w:val="center"/>
          </w:tcPr>
          <w:p w14:paraId="60CD965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14:paraId="083E511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14:paraId="379241F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01" w:type="dxa"/>
            <w:noWrap w:val="0"/>
            <w:vAlign w:val="center"/>
          </w:tcPr>
          <w:p w14:paraId="6B1970A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B3E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6CAA784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14:paraId="5896E1A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46C0D65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gridSpan w:val="2"/>
            <w:noWrap w:val="0"/>
            <w:vAlign w:val="center"/>
          </w:tcPr>
          <w:p w14:paraId="758278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14:paraId="7BA172D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14:paraId="6ADF52C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01" w:type="dxa"/>
            <w:noWrap w:val="0"/>
            <w:vAlign w:val="center"/>
          </w:tcPr>
          <w:p w14:paraId="4E476FC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1A6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6A33295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14:paraId="1AF760B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87" w:type="dxa"/>
            <w:gridSpan w:val="7"/>
            <w:noWrap w:val="0"/>
            <w:vAlign w:val="center"/>
          </w:tcPr>
          <w:p w14:paraId="1B948C5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3C0A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3858BD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897" w:type="dxa"/>
            <w:noWrap w:val="0"/>
            <w:vAlign w:val="center"/>
          </w:tcPr>
          <w:p w14:paraId="368E8C5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14:paraId="452BDC4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restart"/>
            <w:noWrap w:val="0"/>
            <w:vAlign w:val="center"/>
          </w:tcPr>
          <w:p w14:paraId="774C466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984" w:type="dxa"/>
            <w:gridSpan w:val="4"/>
            <w:noWrap w:val="0"/>
            <w:vAlign w:val="center"/>
          </w:tcPr>
          <w:p w14:paraId="202F785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项目经理人员</w:t>
            </w:r>
          </w:p>
        </w:tc>
        <w:tc>
          <w:tcPr>
            <w:tcW w:w="1910" w:type="dxa"/>
            <w:gridSpan w:val="2"/>
            <w:noWrap w:val="0"/>
            <w:vAlign w:val="center"/>
          </w:tcPr>
          <w:p w14:paraId="40B1057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AA5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252BD04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897" w:type="dxa"/>
            <w:noWrap w:val="0"/>
            <w:vAlign w:val="center"/>
          </w:tcPr>
          <w:p w14:paraId="023783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14:paraId="6269AC8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14:paraId="36C0719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14:paraId="4ED187A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910" w:type="dxa"/>
            <w:gridSpan w:val="2"/>
            <w:noWrap w:val="0"/>
            <w:vAlign w:val="center"/>
          </w:tcPr>
          <w:p w14:paraId="678DED9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D38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16B6105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897" w:type="dxa"/>
            <w:noWrap w:val="0"/>
            <w:vAlign w:val="center"/>
          </w:tcPr>
          <w:p w14:paraId="09B27BB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14:paraId="25DBA74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14:paraId="700A040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14:paraId="083B8A8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910" w:type="dxa"/>
            <w:gridSpan w:val="2"/>
            <w:noWrap w:val="0"/>
            <w:vAlign w:val="center"/>
          </w:tcPr>
          <w:p w14:paraId="3B54EE1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446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16E2809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897" w:type="dxa"/>
            <w:noWrap w:val="0"/>
            <w:vAlign w:val="center"/>
          </w:tcPr>
          <w:p w14:paraId="6873311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14:paraId="78B5F5B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14:paraId="14931F7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14:paraId="60BE22D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910" w:type="dxa"/>
            <w:gridSpan w:val="2"/>
            <w:noWrap w:val="0"/>
            <w:vAlign w:val="center"/>
          </w:tcPr>
          <w:p w14:paraId="7846316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062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noWrap w:val="0"/>
            <w:vAlign w:val="center"/>
          </w:tcPr>
          <w:p w14:paraId="6B26695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897" w:type="dxa"/>
            <w:noWrap w:val="0"/>
            <w:vAlign w:val="center"/>
          </w:tcPr>
          <w:p w14:paraId="02B2DBB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21" w:type="dxa"/>
            <w:noWrap w:val="0"/>
            <w:vAlign w:val="center"/>
          </w:tcPr>
          <w:p w14:paraId="38736F3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vMerge w:val="continue"/>
            <w:noWrap w:val="0"/>
            <w:vAlign w:val="center"/>
          </w:tcPr>
          <w:p w14:paraId="39108C6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984" w:type="dxa"/>
            <w:gridSpan w:val="4"/>
            <w:noWrap w:val="0"/>
            <w:vAlign w:val="center"/>
          </w:tcPr>
          <w:p w14:paraId="6AF2DA9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1910" w:type="dxa"/>
            <w:gridSpan w:val="2"/>
            <w:noWrap w:val="0"/>
            <w:vAlign w:val="center"/>
          </w:tcPr>
          <w:p w14:paraId="394C975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3BE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noWrap w:val="0"/>
            <w:vAlign w:val="center"/>
          </w:tcPr>
          <w:p w14:paraId="31977DD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05" w:type="dxa"/>
            <w:gridSpan w:val="9"/>
            <w:noWrap w:val="0"/>
            <w:vAlign w:val="center"/>
          </w:tcPr>
          <w:p w14:paraId="6AFD335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9CE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noWrap w:val="0"/>
            <w:vAlign w:val="center"/>
          </w:tcPr>
          <w:p w14:paraId="59785BC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05" w:type="dxa"/>
            <w:gridSpan w:val="9"/>
            <w:noWrap w:val="0"/>
            <w:vAlign w:val="center"/>
          </w:tcPr>
          <w:p w14:paraId="4253F2D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14:paraId="00DD2F90">
      <w:pPr>
        <w:jc w:val="center"/>
        <w:rPr>
          <w:rFonts w:hint="eastAsia" w:ascii="宋体" w:hAnsi="宋体" w:cs="宋体"/>
          <w:color w:val="auto"/>
          <w:szCs w:val="21"/>
          <w:highlight w:val="none"/>
        </w:rPr>
      </w:pPr>
    </w:p>
    <w:p w14:paraId="12154244">
      <w:pPr>
        <w:spacing w:line="300" w:lineRule="auto"/>
        <w:ind w:left="720" w:hanging="630" w:hangingChars="300"/>
        <w:rPr>
          <w:color w:val="auto"/>
          <w:sz w:val="18"/>
          <w:szCs w:val="18"/>
          <w:highlight w:val="none"/>
        </w:rPr>
      </w:pPr>
      <w:r>
        <w:rPr>
          <w:rFonts w:hint="eastAsia" w:ascii="宋体" w:hAnsi="宋体" w:cs="Arial"/>
          <w:color w:val="auto"/>
          <w:szCs w:val="21"/>
          <w:highlight w:val="none"/>
        </w:rPr>
        <w:t>说明：若以联合体形式投标的，则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均须分别填写《投标人基本情况表》</w:t>
      </w:r>
      <w:r>
        <w:rPr>
          <w:rFonts w:eastAsia="黑体"/>
          <w:color w:val="auto"/>
          <w:sz w:val="24"/>
          <w:highlight w:val="none"/>
        </w:rPr>
        <w:br w:type="page"/>
      </w:r>
    </w:p>
    <w:p w14:paraId="2BDFB1AA">
      <w:pPr>
        <w:spacing w:line="300" w:lineRule="auto"/>
        <w:ind w:left="540" w:hanging="540" w:hangingChars="300"/>
        <w:rPr>
          <w:color w:val="auto"/>
          <w:sz w:val="18"/>
          <w:szCs w:val="18"/>
          <w:highlight w:val="none"/>
        </w:rPr>
      </w:pPr>
    </w:p>
    <w:p w14:paraId="128B045A">
      <w:pPr>
        <w:pStyle w:val="5"/>
        <w:jc w:val="center"/>
        <w:rPr>
          <w:rFonts w:ascii="Times New Roman" w:hAnsi="Times New Roman" w:eastAsia="黑体"/>
          <w:b w:val="0"/>
          <w:bCs w:val="0"/>
          <w:color w:val="auto"/>
          <w:sz w:val="24"/>
          <w:highlight w:val="none"/>
        </w:rPr>
      </w:pPr>
      <w:bookmarkStart w:id="882" w:name="_Toc300678583"/>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投标人</w:t>
      </w:r>
      <w:r>
        <w:rPr>
          <w:rFonts w:ascii="Times New Roman" w:hAnsi="Times New Roman" w:eastAsia="黑体"/>
          <w:b w:val="0"/>
          <w:bCs w:val="0"/>
          <w:color w:val="auto"/>
          <w:sz w:val="24"/>
          <w:highlight w:val="none"/>
        </w:rPr>
        <w:t>证件复印件</w:t>
      </w:r>
    </w:p>
    <w:p w14:paraId="19DB05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color w:val="auto"/>
          <w:szCs w:val="21"/>
          <w:highlight w:val="none"/>
        </w:rPr>
        <w:t>说明：复印件</w:t>
      </w:r>
      <w:r>
        <w:rPr>
          <w:color w:val="auto"/>
          <w:szCs w:val="21"/>
          <w:highlight w:val="none"/>
        </w:rPr>
        <w:t>包</w:t>
      </w:r>
      <w:r>
        <w:rPr>
          <w:rFonts w:hint="eastAsia"/>
          <w:color w:val="auto"/>
          <w:szCs w:val="21"/>
          <w:highlight w:val="none"/>
        </w:rPr>
        <w:t>括</w:t>
      </w:r>
      <w:r>
        <w:rPr>
          <w:color w:val="auto"/>
          <w:szCs w:val="21"/>
          <w:highlight w:val="none"/>
        </w:rPr>
        <w:t>企业营业执照、资质证书、安全生产许可证书的复印件</w:t>
      </w:r>
      <w:r>
        <w:rPr>
          <w:rFonts w:hint="eastAsia"/>
          <w:color w:val="auto"/>
          <w:szCs w:val="21"/>
          <w:highlight w:val="none"/>
        </w:rPr>
        <w:t>。</w:t>
      </w:r>
      <w:r>
        <w:rPr>
          <w:rFonts w:hint="eastAsia" w:ascii="宋体" w:hAnsi="宋体" w:cs="Arial"/>
          <w:color w:val="auto"/>
          <w:szCs w:val="21"/>
          <w:highlight w:val="none"/>
        </w:rPr>
        <w:t>若以联合体形式投标的，则</w:t>
      </w:r>
      <w:r>
        <w:rPr>
          <w:rFonts w:hint="eastAsia" w:ascii="宋体" w:hAnsi="宋体" w:cs="Arial"/>
          <w:color w:val="auto"/>
          <w:szCs w:val="21"/>
          <w:highlight w:val="none"/>
          <w:lang w:eastAsia="zh-CN"/>
        </w:rPr>
        <w:t>联合体各方</w:t>
      </w:r>
      <w:r>
        <w:rPr>
          <w:rFonts w:hint="eastAsia" w:ascii="宋体" w:hAnsi="宋体" w:cs="Arial"/>
          <w:color w:val="auto"/>
          <w:szCs w:val="21"/>
          <w:highlight w:val="none"/>
        </w:rPr>
        <w:t>分别提供。</w:t>
      </w:r>
      <w:r>
        <w:rPr>
          <w:rFonts w:hint="eastAsia" w:ascii="Times New Roman" w:hAnsi="Times New Roman" w:eastAsia="宋体" w:cs="Times New Roman"/>
          <w:color w:val="auto"/>
          <w:szCs w:val="21"/>
          <w:highlight w:val="none"/>
        </w:rPr>
        <w:t>同时，请</w:t>
      </w:r>
      <w:r>
        <w:rPr>
          <w:rFonts w:ascii="Times New Roman" w:hAnsi="Times New Roman" w:eastAsia="宋体" w:cs="Times New Roman"/>
          <w:color w:val="auto"/>
          <w:highlight w:val="none"/>
        </w:rPr>
        <w:t>省外入湘企业</w:t>
      </w:r>
      <w:r>
        <w:rPr>
          <w:rFonts w:hint="eastAsia" w:ascii="Times New Roman" w:hAnsi="Times New Roman" w:eastAsia="宋体" w:cs="Times New Roman"/>
          <w:color w:val="auto"/>
          <w:highlight w:val="none"/>
        </w:rPr>
        <w:t>附在</w:t>
      </w:r>
      <w:r>
        <w:rPr>
          <w:rFonts w:ascii="Times New Roman" w:hAnsi="Times New Roman" w:eastAsia="宋体" w:cs="Times New Roman"/>
          <w:color w:val="auto"/>
          <w:highlight w:val="none"/>
        </w:rPr>
        <w:t xml:space="preserve"> “湖南省住房和城乡建设网” 进行基本信息登记</w:t>
      </w:r>
      <w:r>
        <w:rPr>
          <w:rFonts w:hint="eastAsia" w:ascii="Times New Roman" w:hAnsi="Times New Roman" w:eastAsia="宋体" w:cs="Times New Roman"/>
          <w:bCs/>
          <w:color w:val="auto"/>
          <w:highlight w:val="none"/>
        </w:rPr>
        <w:t>的网页</w:t>
      </w:r>
      <w:r>
        <w:rPr>
          <w:rFonts w:ascii="Times New Roman" w:hAnsi="Times New Roman" w:eastAsia="宋体" w:cs="Times New Roman"/>
          <w:bCs/>
          <w:color w:val="auto"/>
          <w:highlight w:val="none"/>
        </w:rPr>
        <w:t>截图</w:t>
      </w:r>
      <w:r>
        <w:rPr>
          <w:rFonts w:ascii="Times New Roman" w:hAnsi="Times New Roman" w:eastAsia="宋体" w:cs="Times New Roman"/>
          <w:color w:val="auto"/>
          <w:szCs w:val="21"/>
          <w:highlight w:val="none"/>
        </w:rPr>
        <w:t>。</w:t>
      </w:r>
    </w:p>
    <w:p w14:paraId="7C33C8BA">
      <w:pPr>
        <w:spacing w:line="360" w:lineRule="auto"/>
        <w:ind w:firstLine="525" w:firstLineChars="250"/>
        <w:rPr>
          <w:color w:val="auto"/>
          <w:szCs w:val="21"/>
          <w:highlight w:val="none"/>
        </w:rPr>
      </w:pPr>
    </w:p>
    <w:p w14:paraId="535D4705">
      <w:pPr>
        <w:spacing w:line="360" w:lineRule="auto"/>
        <w:ind w:firstLine="525" w:firstLineChars="250"/>
        <w:rPr>
          <w:color w:val="auto"/>
          <w:szCs w:val="21"/>
          <w:highlight w:val="none"/>
        </w:rPr>
      </w:pPr>
    </w:p>
    <w:p w14:paraId="4E1311D3">
      <w:pPr>
        <w:rPr>
          <w:rFonts w:eastAsia="黑体"/>
          <w:b/>
          <w:bCs/>
          <w:color w:val="auto"/>
          <w:sz w:val="24"/>
          <w:highlight w:val="none"/>
        </w:rPr>
      </w:pPr>
    </w:p>
    <w:p w14:paraId="248C27E1">
      <w:pPr>
        <w:rPr>
          <w:rFonts w:eastAsia="黑体"/>
          <w:b/>
          <w:bCs/>
          <w:color w:val="auto"/>
          <w:sz w:val="24"/>
          <w:highlight w:val="none"/>
        </w:rPr>
      </w:pPr>
    </w:p>
    <w:p w14:paraId="2579A150">
      <w:pPr>
        <w:rPr>
          <w:rFonts w:eastAsia="黑体"/>
          <w:b/>
          <w:bCs/>
          <w:color w:val="auto"/>
          <w:sz w:val="24"/>
          <w:highlight w:val="none"/>
        </w:rPr>
      </w:pPr>
    </w:p>
    <w:p w14:paraId="511CA722">
      <w:pPr>
        <w:rPr>
          <w:rFonts w:eastAsia="黑体"/>
          <w:b/>
          <w:bCs/>
          <w:color w:val="auto"/>
          <w:sz w:val="24"/>
          <w:highlight w:val="none"/>
        </w:rPr>
      </w:pPr>
    </w:p>
    <w:p w14:paraId="2B6383EC">
      <w:pPr>
        <w:rPr>
          <w:rFonts w:eastAsia="黑体"/>
          <w:b/>
          <w:bCs/>
          <w:color w:val="auto"/>
          <w:sz w:val="24"/>
          <w:highlight w:val="none"/>
        </w:rPr>
      </w:pPr>
    </w:p>
    <w:p w14:paraId="5D24AFF9">
      <w:pPr>
        <w:rPr>
          <w:rFonts w:eastAsia="黑体"/>
          <w:b/>
          <w:bCs/>
          <w:color w:val="auto"/>
          <w:sz w:val="24"/>
          <w:highlight w:val="none"/>
        </w:rPr>
      </w:pPr>
    </w:p>
    <w:p w14:paraId="0212AAA4">
      <w:pPr>
        <w:rPr>
          <w:rFonts w:eastAsia="黑体"/>
          <w:b/>
          <w:bCs/>
          <w:color w:val="auto"/>
          <w:sz w:val="24"/>
          <w:highlight w:val="none"/>
        </w:rPr>
      </w:pPr>
    </w:p>
    <w:p w14:paraId="72BC585C">
      <w:pPr>
        <w:rPr>
          <w:rFonts w:eastAsia="黑体"/>
          <w:b/>
          <w:bCs/>
          <w:color w:val="auto"/>
          <w:sz w:val="24"/>
          <w:highlight w:val="none"/>
        </w:rPr>
      </w:pPr>
    </w:p>
    <w:p w14:paraId="28507327">
      <w:pPr>
        <w:rPr>
          <w:rFonts w:eastAsia="黑体"/>
          <w:b/>
          <w:bCs/>
          <w:color w:val="auto"/>
          <w:sz w:val="24"/>
          <w:highlight w:val="none"/>
        </w:rPr>
      </w:pPr>
    </w:p>
    <w:p w14:paraId="05AF38B6">
      <w:pPr>
        <w:rPr>
          <w:rFonts w:eastAsia="黑体"/>
          <w:b/>
          <w:bCs/>
          <w:color w:val="auto"/>
          <w:sz w:val="24"/>
          <w:highlight w:val="none"/>
        </w:rPr>
      </w:pPr>
    </w:p>
    <w:p w14:paraId="70AE8803">
      <w:pPr>
        <w:rPr>
          <w:rFonts w:eastAsia="黑体"/>
          <w:b/>
          <w:bCs/>
          <w:color w:val="auto"/>
          <w:sz w:val="24"/>
          <w:highlight w:val="none"/>
        </w:rPr>
      </w:pPr>
    </w:p>
    <w:p w14:paraId="62F063A0">
      <w:pPr>
        <w:rPr>
          <w:rFonts w:eastAsia="黑体"/>
          <w:b/>
          <w:bCs/>
          <w:color w:val="auto"/>
          <w:sz w:val="24"/>
          <w:highlight w:val="none"/>
        </w:rPr>
      </w:pPr>
    </w:p>
    <w:p w14:paraId="1A8093C1">
      <w:pPr>
        <w:rPr>
          <w:rFonts w:eastAsia="黑体"/>
          <w:b/>
          <w:bCs/>
          <w:color w:val="auto"/>
          <w:sz w:val="24"/>
          <w:highlight w:val="none"/>
        </w:rPr>
      </w:pPr>
    </w:p>
    <w:p w14:paraId="027A3C40">
      <w:pPr>
        <w:rPr>
          <w:rFonts w:eastAsia="黑体"/>
          <w:b/>
          <w:bCs/>
          <w:color w:val="auto"/>
          <w:sz w:val="24"/>
          <w:highlight w:val="none"/>
        </w:rPr>
      </w:pPr>
    </w:p>
    <w:p w14:paraId="6E376095">
      <w:pPr>
        <w:rPr>
          <w:rFonts w:eastAsia="黑体"/>
          <w:b/>
          <w:bCs/>
          <w:color w:val="auto"/>
          <w:sz w:val="24"/>
          <w:highlight w:val="none"/>
        </w:rPr>
      </w:pPr>
    </w:p>
    <w:p w14:paraId="50B0B0B3">
      <w:pPr>
        <w:rPr>
          <w:rFonts w:eastAsia="黑体"/>
          <w:b/>
          <w:bCs/>
          <w:color w:val="auto"/>
          <w:sz w:val="24"/>
          <w:highlight w:val="none"/>
        </w:rPr>
      </w:pPr>
    </w:p>
    <w:p w14:paraId="27804BAC">
      <w:pPr>
        <w:rPr>
          <w:rFonts w:eastAsia="黑体"/>
          <w:b/>
          <w:bCs/>
          <w:color w:val="auto"/>
          <w:sz w:val="24"/>
          <w:highlight w:val="none"/>
        </w:rPr>
      </w:pPr>
    </w:p>
    <w:p w14:paraId="62227FE3">
      <w:pPr>
        <w:rPr>
          <w:rFonts w:eastAsia="黑体"/>
          <w:b/>
          <w:bCs/>
          <w:color w:val="auto"/>
          <w:sz w:val="24"/>
          <w:highlight w:val="none"/>
        </w:rPr>
      </w:pPr>
    </w:p>
    <w:p w14:paraId="2FAEBCFE">
      <w:pPr>
        <w:rPr>
          <w:rFonts w:eastAsia="黑体"/>
          <w:b/>
          <w:bCs/>
          <w:color w:val="auto"/>
          <w:sz w:val="24"/>
          <w:highlight w:val="none"/>
        </w:rPr>
      </w:pPr>
    </w:p>
    <w:p w14:paraId="660ECAA6">
      <w:pPr>
        <w:rPr>
          <w:rFonts w:eastAsia="黑体"/>
          <w:b/>
          <w:bCs/>
          <w:color w:val="auto"/>
          <w:sz w:val="24"/>
          <w:highlight w:val="none"/>
        </w:rPr>
      </w:pPr>
    </w:p>
    <w:p w14:paraId="26064177">
      <w:pPr>
        <w:rPr>
          <w:rFonts w:eastAsia="黑体"/>
          <w:b/>
          <w:bCs/>
          <w:color w:val="auto"/>
          <w:sz w:val="24"/>
          <w:highlight w:val="none"/>
        </w:rPr>
      </w:pPr>
    </w:p>
    <w:p w14:paraId="74E614AF">
      <w:pPr>
        <w:rPr>
          <w:rFonts w:eastAsia="黑体"/>
          <w:b/>
          <w:bCs/>
          <w:color w:val="auto"/>
          <w:sz w:val="24"/>
          <w:highlight w:val="none"/>
        </w:rPr>
      </w:pPr>
    </w:p>
    <w:p w14:paraId="603C2D1A">
      <w:pPr>
        <w:rPr>
          <w:rFonts w:eastAsia="黑体"/>
          <w:b/>
          <w:bCs/>
          <w:color w:val="auto"/>
          <w:sz w:val="24"/>
          <w:highlight w:val="none"/>
        </w:rPr>
      </w:pPr>
    </w:p>
    <w:p w14:paraId="5DE76A3A">
      <w:pPr>
        <w:rPr>
          <w:rFonts w:eastAsia="黑体"/>
          <w:b/>
          <w:bCs/>
          <w:color w:val="auto"/>
          <w:sz w:val="24"/>
          <w:highlight w:val="none"/>
        </w:rPr>
      </w:pPr>
    </w:p>
    <w:p w14:paraId="16648E55">
      <w:pPr>
        <w:rPr>
          <w:rFonts w:eastAsia="黑体"/>
          <w:b/>
          <w:bCs/>
          <w:color w:val="auto"/>
          <w:sz w:val="24"/>
          <w:highlight w:val="none"/>
        </w:rPr>
      </w:pPr>
    </w:p>
    <w:p w14:paraId="5D8A3148">
      <w:pPr>
        <w:rPr>
          <w:rFonts w:eastAsia="黑体"/>
          <w:b/>
          <w:bCs/>
          <w:color w:val="auto"/>
          <w:sz w:val="24"/>
          <w:highlight w:val="none"/>
        </w:rPr>
      </w:pPr>
    </w:p>
    <w:p w14:paraId="49630571">
      <w:pPr>
        <w:rPr>
          <w:rFonts w:eastAsia="黑体"/>
          <w:b/>
          <w:bCs/>
          <w:color w:val="auto"/>
          <w:sz w:val="24"/>
          <w:highlight w:val="none"/>
        </w:rPr>
        <w:sectPr>
          <w:pgSz w:w="11907" w:h="16840"/>
          <w:pgMar w:top="1418" w:right="1418" w:bottom="1418" w:left="1418" w:header="851" w:footer="992" w:gutter="0"/>
          <w:pgNumType w:fmt="decimal"/>
          <w:cols w:space="720" w:num="1"/>
          <w:docGrid w:linePitch="326" w:charSpace="0"/>
        </w:sectPr>
      </w:pPr>
    </w:p>
    <w:p w14:paraId="44B02E0B">
      <w:pPr>
        <w:pStyle w:val="5"/>
        <w:jc w:val="center"/>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）近年完成的类似</w:t>
      </w:r>
      <w:r>
        <w:rPr>
          <w:rFonts w:hint="eastAsia" w:ascii="Times New Roman" w:hAnsi="Times New Roman" w:eastAsia="黑体"/>
          <w:b w:val="0"/>
          <w:bCs w:val="0"/>
          <w:color w:val="auto"/>
          <w:sz w:val="24"/>
          <w:highlight w:val="none"/>
        </w:rPr>
        <w:t>工程业绩</w:t>
      </w:r>
      <w:r>
        <w:rPr>
          <w:rFonts w:ascii="Times New Roman" w:hAnsi="Times New Roman" w:eastAsia="黑体"/>
          <w:b w:val="0"/>
          <w:bCs w:val="0"/>
          <w:color w:val="auto"/>
          <w:sz w:val="24"/>
          <w:highlight w:val="none"/>
        </w:rPr>
        <w:t>情况表</w:t>
      </w:r>
      <w:bookmarkEnd w:id="88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932"/>
      </w:tblGrid>
      <w:tr w14:paraId="16EB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4260E6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932" w:type="dxa"/>
            <w:noWrap w:val="0"/>
            <w:vAlign w:val="center"/>
          </w:tcPr>
          <w:p w14:paraId="0331091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A69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6E7EF9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5932" w:type="dxa"/>
            <w:noWrap w:val="0"/>
            <w:vAlign w:val="center"/>
          </w:tcPr>
          <w:p w14:paraId="4028673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EB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E01A50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发包人名称</w:t>
            </w:r>
          </w:p>
        </w:tc>
        <w:tc>
          <w:tcPr>
            <w:tcW w:w="5932" w:type="dxa"/>
            <w:noWrap w:val="0"/>
            <w:vAlign w:val="center"/>
          </w:tcPr>
          <w:p w14:paraId="0C68021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BA2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C3D2CE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发包人地址</w:t>
            </w:r>
          </w:p>
        </w:tc>
        <w:tc>
          <w:tcPr>
            <w:tcW w:w="5932" w:type="dxa"/>
            <w:noWrap w:val="0"/>
            <w:vAlign w:val="center"/>
          </w:tcPr>
          <w:p w14:paraId="7B8C521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A4E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29BBF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发包人联系人及电话</w:t>
            </w:r>
          </w:p>
        </w:tc>
        <w:tc>
          <w:tcPr>
            <w:tcW w:w="5932" w:type="dxa"/>
            <w:noWrap w:val="0"/>
            <w:vAlign w:val="center"/>
          </w:tcPr>
          <w:p w14:paraId="4BE85FC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18C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B85B84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合同价格</w:t>
            </w:r>
          </w:p>
        </w:tc>
        <w:tc>
          <w:tcPr>
            <w:tcW w:w="5932" w:type="dxa"/>
            <w:noWrap w:val="0"/>
            <w:vAlign w:val="center"/>
          </w:tcPr>
          <w:p w14:paraId="619084C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FE4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294016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5932" w:type="dxa"/>
            <w:noWrap w:val="0"/>
            <w:vAlign w:val="center"/>
          </w:tcPr>
          <w:p w14:paraId="02C56BE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A63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DEDD8D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竣工日期</w:t>
            </w:r>
          </w:p>
        </w:tc>
        <w:tc>
          <w:tcPr>
            <w:tcW w:w="5932" w:type="dxa"/>
            <w:noWrap w:val="0"/>
            <w:vAlign w:val="center"/>
          </w:tcPr>
          <w:p w14:paraId="2CCE9E0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023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96E3D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承担的工作</w:t>
            </w:r>
          </w:p>
        </w:tc>
        <w:tc>
          <w:tcPr>
            <w:tcW w:w="5932" w:type="dxa"/>
            <w:noWrap w:val="0"/>
            <w:vAlign w:val="center"/>
          </w:tcPr>
          <w:p w14:paraId="222AE8D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EE1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60B220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5932" w:type="dxa"/>
            <w:noWrap w:val="0"/>
            <w:vAlign w:val="center"/>
          </w:tcPr>
          <w:p w14:paraId="7E950AE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0CF4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30DF7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932" w:type="dxa"/>
            <w:noWrap w:val="0"/>
            <w:vAlign w:val="center"/>
          </w:tcPr>
          <w:p w14:paraId="0528D39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E2B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6B5F4D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5932" w:type="dxa"/>
            <w:noWrap w:val="0"/>
            <w:vAlign w:val="center"/>
          </w:tcPr>
          <w:p w14:paraId="60647B1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882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F96087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5932" w:type="dxa"/>
            <w:noWrap w:val="0"/>
            <w:vAlign w:val="center"/>
          </w:tcPr>
          <w:p w14:paraId="76879BA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7C1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411" w:type="dxa"/>
            <w:noWrap w:val="0"/>
            <w:vAlign w:val="center"/>
          </w:tcPr>
          <w:p w14:paraId="633FB00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5932" w:type="dxa"/>
            <w:noWrap w:val="0"/>
            <w:vAlign w:val="center"/>
          </w:tcPr>
          <w:p w14:paraId="73B9B75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646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366D1E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5932" w:type="dxa"/>
            <w:noWrap w:val="0"/>
            <w:vAlign w:val="center"/>
          </w:tcPr>
          <w:p w14:paraId="58C6000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14:paraId="39A326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说明：</w:t>
      </w:r>
      <w:bookmarkStart w:id="883" w:name="_Hlk75203509"/>
    </w:p>
    <w:p w14:paraId="06D101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1.类似工程业绩考核期限</w:t>
      </w:r>
      <w:r>
        <w:rPr>
          <w:rFonts w:hint="eastAsia"/>
          <w:color w:val="auto"/>
          <w:szCs w:val="21"/>
          <w:highlight w:val="none"/>
          <w:lang w:val="en-US" w:eastAsia="zh-CN"/>
        </w:rPr>
        <w:t>自投标截止之日前</w:t>
      </w:r>
      <w:r>
        <w:rPr>
          <w:rFonts w:hint="eastAsia"/>
          <w:color w:val="auto"/>
          <w:szCs w:val="21"/>
          <w:highlight w:val="none"/>
          <w:lang w:eastAsia="zh-CN"/>
        </w:rPr>
        <w:t>3年</w:t>
      </w:r>
      <w:r>
        <w:rPr>
          <w:rFonts w:hint="eastAsia"/>
          <w:color w:val="auto"/>
          <w:szCs w:val="21"/>
          <w:highlight w:val="none"/>
        </w:rPr>
        <w:t>，自竣工验收资料中建设单位签字之日起计算。类似工程业绩考核依据中竣工验收备案表未体现建设单位签字之日的以竣工验收备案表“竣工验收日期”栏中注明的时间为准）。</w:t>
      </w:r>
    </w:p>
    <w:p w14:paraId="2F50BF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2. 请附类似工程业绩证明资料（具体要求见本招标文件第二章投标人须知）。</w:t>
      </w:r>
      <w:bookmarkStart w:id="884" w:name="_Toc300678584"/>
    </w:p>
    <w:bookmarkEnd w:id="883"/>
    <w:bookmarkEnd w:id="884"/>
    <w:p w14:paraId="76F27919">
      <w:pPr>
        <w:spacing w:line="400" w:lineRule="exact"/>
        <w:rPr>
          <w:color w:val="auto"/>
          <w:szCs w:val="21"/>
          <w:highlight w:val="none"/>
        </w:rPr>
      </w:pPr>
    </w:p>
    <w:p w14:paraId="34DA5FA8">
      <w:pPr>
        <w:rPr>
          <w:color w:val="auto"/>
          <w:highlight w:val="none"/>
          <w:lang w:val="zh-CN"/>
        </w:rPr>
      </w:pPr>
      <w:r>
        <w:rPr>
          <w:color w:val="auto"/>
          <w:szCs w:val="21"/>
          <w:highlight w:val="none"/>
        </w:rPr>
        <w:br w:type="page"/>
      </w:r>
    </w:p>
    <w:p w14:paraId="747504AD">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ascii="Times New Roman" w:hAnsi="Times New Roman" w:eastAsia="黑体"/>
          <w:b w:val="0"/>
          <w:bCs w:val="0"/>
          <w:color w:val="auto"/>
          <w:sz w:val="24"/>
          <w:highlight w:val="none"/>
        </w:rPr>
        <w:t>4</w:t>
      </w:r>
      <w:r>
        <w:rPr>
          <w:rFonts w:hint="eastAsia" w:ascii="Times New Roman" w:hAnsi="Times New Roman" w:eastAsia="黑体"/>
          <w:b w:val="0"/>
          <w:bCs w:val="0"/>
          <w:color w:val="auto"/>
          <w:sz w:val="24"/>
          <w:highlight w:val="none"/>
        </w:rPr>
        <w:t>）</w:t>
      </w:r>
      <w:bookmarkStart w:id="885" w:name="_Hlk53732994"/>
      <w:r>
        <w:rPr>
          <w:rFonts w:hint="eastAsia" w:ascii="Times New Roman" w:hAnsi="Times New Roman" w:eastAsia="黑体"/>
          <w:b w:val="0"/>
          <w:bCs w:val="0"/>
          <w:color w:val="auto"/>
          <w:sz w:val="24"/>
          <w:highlight w:val="none"/>
        </w:rPr>
        <w:t>投标人奖项情况</w:t>
      </w:r>
      <w:bookmarkEnd w:id="88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401"/>
        <w:gridCol w:w="2322"/>
        <w:gridCol w:w="2322"/>
      </w:tblGrid>
      <w:tr w14:paraId="4557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14:paraId="03DCBC73">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14:paraId="0CE94F56">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14:paraId="02EC64B8">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奖项名称</w:t>
            </w:r>
          </w:p>
        </w:tc>
        <w:tc>
          <w:tcPr>
            <w:tcW w:w="2322" w:type="dxa"/>
            <w:noWrap w:val="0"/>
            <w:vAlign w:val="center"/>
          </w:tcPr>
          <w:p w14:paraId="75C03B76">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获奖时间</w:t>
            </w:r>
          </w:p>
        </w:tc>
      </w:tr>
      <w:tr w14:paraId="4EFE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14:paraId="2A5D6F44">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14:paraId="57D8169A">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463594BB">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4ECFEC7C">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645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14:paraId="0464EDF3">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14:paraId="1ABCC11D">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7259F85E">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5AA7C9A5">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64F6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14:paraId="2400CA5E">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14:paraId="70344C71">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202F3108">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33B6D039">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14:paraId="678B52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lang w:val="en-US" w:eastAsia="zh-CN"/>
        </w:rPr>
      </w:pPr>
      <w:r>
        <w:rPr>
          <w:rFonts w:hint="eastAsia"/>
          <w:color w:val="auto"/>
          <w:szCs w:val="21"/>
          <w:highlight w:val="none"/>
          <w:lang w:val="en-US" w:eastAsia="zh-CN"/>
        </w:rPr>
        <w:t>注：</w:t>
      </w:r>
    </w:p>
    <w:p w14:paraId="486FA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szCs w:val="21"/>
          <w:highlight w:val="none"/>
          <w:lang w:eastAsia="zh-CN"/>
        </w:rPr>
      </w:pPr>
      <w:r>
        <w:rPr>
          <w:rFonts w:hint="eastAsia"/>
          <w:color w:val="auto"/>
          <w:szCs w:val="21"/>
          <w:highlight w:val="none"/>
          <w:lang w:val="en-US" w:eastAsia="zh-CN"/>
        </w:rPr>
        <w:t>1.</w:t>
      </w:r>
      <w:r>
        <w:rPr>
          <w:rFonts w:hint="eastAsia"/>
          <w:color w:val="auto"/>
          <w:szCs w:val="21"/>
          <w:highlight w:val="none"/>
        </w:rPr>
        <w:t>请附奖项证明资料复印件（具体要求见本招标文件第三章评标办法）</w:t>
      </w:r>
      <w:r>
        <w:rPr>
          <w:rFonts w:hint="eastAsia"/>
          <w:color w:val="auto"/>
          <w:szCs w:val="21"/>
          <w:highlight w:val="none"/>
          <w:lang w:eastAsia="zh-CN"/>
        </w:rPr>
        <w:t>；</w:t>
      </w:r>
    </w:p>
    <w:p w14:paraId="28F29D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szCs w:val="21"/>
          <w:highlight w:val="none"/>
          <w:lang w:eastAsia="zh-CN"/>
        </w:rPr>
      </w:pPr>
      <w:r>
        <w:rPr>
          <w:rFonts w:hint="eastAsia"/>
          <w:color w:val="auto"/>
          <w:szCs w:val="21"/>
          <w:highlight w:val="none"/>
          <w:lang w:val="en-US" w:eastAsia="zh-CN"/>
        </w:rPr>
        <w:t>2.省</w:t>
      </w:r>
      <w:r>
        <w:rPr>
          <w:rFonts w:hint="eastAsia"/>
          <w:color w:val="auto"/>
          <w:szCs w:val="21"/>
          <w:highlight w:val="none"/>
        </w:rPr>
        <w:t>外由省级建设行政主管部门或省级建筑业协会评定的综合工程质量奖项，</w:t>
      </w:r>
      <w:r>
        <w:rPr>
          <w:rFonts w:hint="eastAsia"/>
          <w:color w:val="auto"/>
          <w:szCs w:val="21"/>
          <w:highlight w:val="none"/>
          <w:lang w:val="en-US" w:eastAsia="zh-CN"/>
        </w:rPr>
        <w:t>须提供</w:t>
      </w:r>
      <w:r>
        <w:rPr>
          <w:rFonts w:hint="eastAsia"/>
          <w:color w:val="auto"/>
          <w:szCs w:val="21"/>
          <w:highlight w:val="none"/>
        </w:rPr>
        <w:t>当地省级建设行政主管部门发布的评标办法</w:t>
      </w:r>
      <w:r>
        <w:rPr>
          <w:rFonts w:hint="eastAsia"/>
          <w:color w:val="auto"/>
          <w:szCs w:val="21"/>
          <w:highlight w:val="none"/>
          <w:lang w:val="en-US" w:eastAsia="zh-CN"/>
        </w:rPr>
        <w:t>文件复印件及官网查询截图</w:t>
      </w:r>
      <w:r>
        <w:rPr>
          <w:rFonts w:hint="eastAsia"/>
          <w:color w:val="auto"/>
          <w:szCs w:val="21"/>
          <w:highlight w:val="none"/>
        </w:rPr>
        <w:t>。</w:t>
      </w:r>
      <w:r>
        <w:rPr>
          <w:rFonts w:hint="eastAsia"/>
          <w:color w:val="auto"/>
          <w:szCs w:val="21"/>
          <w:highlight w:val="none"/>
          <w:lang w:val="en-US" w:eastAsia="zh-CN"/>
        </w:rPr>
        <w:t>证明</w:t>
      </w:r>
      <w:r>
        <w:rPr>
          <w:rFonts w:hint="eastAsia"/>
          <w:color w:val="auto"/>
          <w:szCs w:val="21"/>
          <w:highlight w:val="none"/>
        </w:rPr>
        <w:t>每年该综合工程质量奖项数量控制在 100 项以内 (含)的</w:t>
      </w:r>
      <w:r>
        <w:rPr>
          <w:rFonts w:hint="eastAsia"/>
          <w:color w:val="auto"/>
          <w:szCs w:val="21"/>
          <w:highlight w:val="none"/>
          <w:lang w:val="en-US" w:eastAsia="zh-CN"/>
        </w:rPr>
        <w:t>文件复印件（如有）</w:t>
      </w:r>
      <w:r>
        <w:rPr>
          <w:rFonts w:hint="eastAsia"/>
          <w:color w:val="auto"/>
          <w:szCs w:val="21"/>
          <w:highlight w:val="none"/>
          <w:lang w:eastAsia="zh-CN"/>
        </w:rPr>
        <w:t>；</w:t>
      </w:r>
    </w:p>
    <w:p w14:paraId="1A9108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获奖文件能够分辨专业类别的，以获奖文件为准；获奖文件中无法分辨专业类别的，</w:t>
      </w:r>
      <w:r>
        <w:rPr>
          <w:rFonts w:hint="eastAsia"/>
          <w:color w:val="auto"/>
          <w:szCs w:val="21"/>
          <w:highlight w:val="none"/>
          <w:lang w:val="en-US" w:eastAsia="zh-CN"/>
        </w:rPr>
        <w:t>须提供</w:t>
      </w:r>
      <w:r>
        <w:rPr>
          <w:rFonts w:hint="eastAsia"/>
          <w:color w:val="auto"/>
          <w:szCs w:val="21"/>
          <w:highlight w:val="none"/>
        </w:rPr>
        <w:t>奖项申报材料（省级相应行政主管部门、省级协会盖章的相应材料）；仍然无法辨别专业类别的，须提供获奖项目的中标通知书或合同作为证明材料。</w:t>
      </w:r>
    </w:p>
    <w:p w14:paraId="255AB37A">
      <w:pPr>
        <w:rPr>
          <w:color w:val="auto"/>
          <w:highlight w:val="none"/>
        </w:rPr>
      </w:pPr>
    </w:p>
    <w:p w14:paraId="6A0474FE">
      <w:pPr>
        <w:rPr>
          <w:color w:val="auto"/>
          <w:highlight w:val="none"/>
        </w:rPr>
      </w:pPr>
    </w:p>
    <w:p w14:paraId="5911F54B">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ascii="Times New Roman" w:hAnsi="Times New Roman" w:eastAsia="黑体"/>
          <w:b w:val="0"/>
          <w:bCs w:val="0"/>
          <w:color w:val="auto"/>
          <w:sz w:val="24"/>
          <w:highlight w:val="none"/>
        </w:rPr>
        <w:t>5</w:t>
      </w:r>
      <w:r>
        <w:rPr>
          <w:rFonts w:hint="eastAsia" w:ascii="Times New Roman" w:hAnsi="Times New Roman" w:eastAsia="黑体"/>
          <w:b w:val="0"/>
          <w:bCs w:val="0"/>
          <w:color w:val="auto"/>
          <w:sz w:val="24"/>
          <w:highlight w:val="none"/>
        </w:rPr>
        <w:t>）投标人标准化工地情况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401"/>
        <w:gridCol w:w="2322"/>
        <w:gridCol w:w="2322"/>
      </w:tblGrid>
      <w:tr w14:paraId="0B98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noWrap w:val="0"/>
            <w:vAlign w:val="center"/>
          </w:tcPr>
          <w:p w14:paraId="0CE3E034">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序号</w:t>
            </w:r>
          </w:p>
        </w:tc>
        <w:tc>
          <w:tcPr>
            <w:tcW w:w="3401" w:type="dxa"/>
            <w:noWrap w:val="0"/>
            <w:vAlign w:val="center"/>
          </w:tcPr>
          <w:p w14:paraId="200CCF00">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工程项目</w:t>
            </w:r>
          </w:p>
        </w:tc>
        <w:tc>
          <w:tcPr>
            <w:tcW w:w="2322" w:type="dxa"/>
            <w:noWrap w:val="0"/>
            <w:vAlign w:val="center"/>
          </w:tcPr>
          <w:p w14:paraId="5D6BB8C6">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标准化工地名称</w:t>
            </w:r>
          </w:p>
        </w:tc>
        <w:tc>
          <w:tcPr>
            <w:tcW w:w="2322" w:type="dxa"/>
            <w:noWrap w:val="0"/>
            <w:vAlign w:val="center"/>
          </w:tcPr>
          <w:p w14:paraId="108639DC">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highlight w:val="none"/>
              </w:rPr>
              <w:t>获得时间</w:t>
            </w:r>
          </w:p>
        </w:tc>
      </w:tr>
      <w:tr w14:paraId="3224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14:paraId="515D9C89">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14:paraId="7F3C4F49">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190A7D99">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407397AE">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1ED3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noWrap w:val="0"/>
            <w:vAlign w:val="center"/>
          </w:tcPr>
          <w:p w14:paraId="74D83314">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14:paraId="345B77D5">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6BB349E6">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1E843557">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5347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noWrap w:val="0"/>
            <w:vAlign w:val="center"/>
          </w:tcPr>
          <w:p w14:paraId="4288B9D1">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401" w:type="dxa"/>
            <w:noWrap w:val="0"/>
            <w:vAlign w:val="center"/>
          </w:tcPr>
          <w:p w14:paraId="24149744">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0859341D">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2322" w:type="dxa"/>
            <w:noWrap w:val="0"/>
            <w:vAlign w:val="center"/>
          </w:tcPr>
          <w:p w14:paraId="518BFDB9">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14:paraId="5E74E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lang w:val="en-US" w:eastAsia="zh-CN"/>
        </w:rPr>
        <w:t>注：</w:t>
      </w:r>
      <w:r>
        <w:rPr>
          <w:rFonts w:hint="eastAsia"/>
          <w:color w:val="auto"/>
          <w:szCs w:val="21"/>
          <w:highlight w:val="none"/>
        </w:rPr>
        <w:t>请附标准化工地证明资料复印件（具体要求见本招标文件第三章评标办法）。</w:t>
      </w:r>
    </w:p>
    <w:p w14:paraId="4508123F">
      <w:pPr>
        <w:rPr>
          <w:color w:val="auto"/>
          <w:highlight w:val="none"/>
        </w:rPr>
      </w:pPr>
    </w:p>
    <w:p w14:paraId="63FCDF47">
      <w:pPr>
        <w:rPr>
          <w:color w:val="auto"/>
          <w:highlight w:val="none"/>
        </w:rPr>
      </w:pPr>
    </w:p>
    <w:p w14:paraId="3265FC97">
      <w:pPr>
        <w:rPr>
          <w:rFonts w:hint="eastAsia"/>
          <w:color w:val="auto"/>
          <w:highlight w:val="none"/>
        </w:rPr>
      </w:pPr>
    </w:p>
    <w:p w14:paraId="6FA3D3C5">
      <w:pPr>
        <w:pStyle w:val="5"/>
        <w:jc w:val="both"/>
        <w:rPr>
          <w:rFonts w:hint="eastAsia"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br w:type="page"/>
      </w:r>
      <w:bookmarkStart w:id="886" w:name="_Hlk53733018"/>
      <w:r>
        <w:rPr>
          <w:rFonts w:hint="eastAsia" w:ascii="Times New Roman" w:hAnsi="Times New Roman" w:eastAsia="黑体"/>
          <w:b w:val="0"/>
          <w:bCs w:val="0"/>
          <w:color w:val="auto"/>
          <w:sz w:val="24"/>
          <w:highlight w:val="none"/>
        </w:rPr>
        <w:t>（6）投标人信用评价情况</w:t>
      </w:r>
      <w:bookmarkEnd w:id="886"/>
    </w:p>
    <w:p w14:paraId="4862F765">
      <w:pPr>
        <w:ind w:firstLine="435"/>
        <w:rPr>
          <w:rFonts w:hint="eastAsia"/>
          <w:color w:val="auto"/>
          <w:szCs w:val="21"/>
          <w:highlight w:val="none"/>
        </w:rPr>
      </w:pPr>
    </w:p>
    <w:tbl>
      <w:tblPr>
        <w:tblStyle w:val="11"/>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14:paraId="69CD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center"/>
          </w:tcPr>
          <w:p w14:paraId="13A1CF35">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14:paraId="65A2520E">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提交投标文件截止之时</w:t>
            </w:r>
          </w:p>
          <w:p w14:paraId="783CD94E">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r>
              <w:rPr>
                <w:rFonts w:hint="eastAsia" w:ascii="Calibri" w:hAnsi="Calibri" w:cs="Calibri"/>
                <w:color w:val="auto"/>
                <w:szCs w:val="21"/>
                <w:highlight w:val="none"/>
              </w:rPr>
              <w:t>最新公</w:t>
            </w:r>
            <w:r>
              <w:rPr>
                <w:rFonts w:hint="eastAsia" w:ascii="Calibri" w:hAnsi="Calibri" w:cs="Calibri"/>
                <w:color w:val="auto"/>
                <w:szCs w:val="21"/>
                <w:highlight w:val="none"/>
                <w:lang w:eastAsia="zh-CN"/>
              </w:rPr>
              <w:t>告</w:t>
            </w:r>
            <w:r>
              <w:rPr>
                <w:rFonts w:hint="eastAsia" w:ascii="Calibri" w:hAnsi="Calibri" w:cs="Calibri"/>
                <w:color w:val="auto"/>
                <w:szCs w:val="21"/>
                <w:highlight w:val="none"/>
              </w:rPr>
              <w:t>的信用评价结果</w:t>
            </w:r>
          </w:p>
          <w:p w14:paraId="572AB1E2">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tc>
        <w:tc>
          <w:tcPr>
            <w:tcW w:w="5953" w:type="dxa"/>
            <w:noWrap w:val="0"/>
            <w:vAlign w:val="top"/>
          </w:tcPr>
          <w:p w14:paraId="5CD9F442">
            <w:pPr>
              <w:keepNext w:val="0"/>
              <w:keepLines w:val="0"/>
              <w:widowControl/>
              <w:suppressLineNumbers w:val="0"/>
              <w:spacing w:before="0" w:beforeAutospacing="0" w:after="0" w:afterAutospacing="0"/>
              <w:ind w:left="0" w:right="0"/>
              <w:jc w:val="left"/>
              <w:rPr>
                <w:rFonts w:hint="eastAsia" w:ascii="Calibri" w:hAnsi="Calibri" w:cs="Calibri"/>
                <w:color w:val="auto"/>
                <w:szCs w:val="21"/>
                <w:highlight w:val="none"/>
              </w:rPr>
            </w:pPr>
          </w:p>
          <w:p w14:paraId="5EC628E6">
            <w:pPr>
              <w:keepNext w:val="0"/>
              <w:keepLines w:val="0"/>
              <w:suppressLineNumbers w:val="0"/>
              <w:spacing w:before="0" w:beforeAutospacing="0" w:after="0" w:afterAutospacing="0"/>
              <w:ind w:left="0" w:right="0"/>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rPr>
              <w:t>请附“湖南省智慧住建云—湖南省建筑市场监管公共服务平台”</w:t>
            </w:r>
            <w:r>
              <w:rPr>
                <w:rFonts w:hint="default" w:ascii="Calibri" w:hAnsi="Calibri" w:cs="Calibri"/>
                <w:color w:val="auto"/>
                <w:szCs w:val="21"/>
                <w:highlight w:val="none"/>
              </w:rPr>
              <w:t>上查询的信用评价结果详细信息网页截图</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省外企业无施工单位信用评价查询结果的，可以提供注册地省级住房和城乡建设部门提供的施工单位信用评价结果（百分制）作为评审依据。</w:t>
            </w:r>
          </w:p>
        </w:tc>
      </w:tr>
      <w:tr w14:paraId="3567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center"/>
          </w:tcPr>
          <w:p w14:paraId="678879B0">
            <w:pPr>
              <w:keepNext w:val="0"/>
              <w:keepLines w:val="0"/>
              <w:suppressLineNumbers w:val="0"/>
              <w:spacing w:before="0" w:beforeAutospacing="0" w:after="0" w:afterAutospacing="0"/>
              <w:ind w:left="0" w:right="0"/>
              <w:jc w:val="center"/>
              <w:rPr>
                <w:rFonts w:hint="eastAsia" w:ascii="Calibri" w:hAnsi="Calibri" w:cs="Calibri"/>
                <w:color w:val="auto"/>
                <w:szCs w:val="21"/>
                <w:highlight w:val="none"/>
              </w:rPr>
            </w:pPr>
          </w:p>
          <w:p w14:paraId="5DE086DE">
            <w:pPr>
              <w:keepNext w:val="0"/>
              <w:keepLines w:val="0"/>
              <w:suppressLineNumbers w:val="0"/>
              <w:spacing w:before="0" w:beforeAutospacing="0" w:after="0" w:afterAutospacing="0"/>
              <w:ind w:left="0" w:right="0"/>
              <w:jc w:val="center"/>
              <w:rPr>
                <w:rFonts w:hint="default" w:ascii="Calibri" w:hAnsi="Calibri" w:cs="Calibri"/>
                <w:color w:val="auto"/>
                <w:szCs w:val="21"/>
                <w:highlight w:val="none"/>
              </w:rPr>
            </w:pPr>
            <w:r>
              <w:rPr>
                <w:rFonts w:hint="eastAsia" w:ascii="Calibri" w:hAnsi="Calibri" w:cs="Calibri"/>
                <w:color w:val="auto"/>
                <w:szCs w:val="21"/>
                <w:highlight w:val="none"/>
              </w:rPr>
              <w:t>未参加信用评价的投标人</w:t>
            </w:r>
          </w:p>
        </w:tc>
        <w:tc>
          <w:tcPr>
            <w:tcW w:w="5953" w:type="dxa"/>
            <w:noWrap w:val="0"/>
            <w:vAlign w:val="top"/>
          </w:tcPr>
          <w:p w14:paraId="589CA744">
            <w:pPr>
              <w:keepNext w:val="0"/>
              <w:keepLines w:val="0"/>
              <w:suppressLineNumbers w:val="0"/>
              <w:spacing w:before="0" w:beforeAutospacing="0" w:after="0" w:afterAutospacing="0"/>
              <w:ind w:left="0" w:right="0"/>
              <w:rPr>
                <w:rFonts w:hint="default" w:ascii="Calibri" w:hAnsi="Calibri" w:cs="Calibri"/>
                <w:color w:val="auto"/>
                <w:highlight w:val="none"/>
              </w:rPr>
            </w:pPr>
            <w:r>
              <w:rPr>
                <w:rFonts w:hint="default" w:ascii="Calibri" w:hAnsi="Calibri" w:cs="Calibri"/>
                <w:color w:val="auto"/>
                <w:highlight w:val="none"/>
                <w:u w:val="single"/>
              </w:rPr>
              <w:t xml:space="preserve">                          </w:t>
            </w:r>
            <w:r>
              <w:rPr>
                <w:rFonts w:hint="eastAsia" w:ascii="Calibri" w:hAnsi="Calibri" w:cs="Calibri"/>
                <w:color w:val="auto"/>
                <w:highlight w:val="none"/>
              </w:rPr>
              <w:t>。</w:t>
            </w:r>
          </w:p>
          <w:p w14:paraId="1A86557C">
            <w:pPr>
              <w:keepNext w:val="0"/>
              <w:keepLines w:val="0"/>
              <w:suppressLineNumbers w:val="0"/>
              <w:spacing w:before="0" w:beforeAutospacing="0" w:after="0" w:afterAutospacing="0"/>
              <w:ind w:left="0" w:right="0"/>
              <w:rPr>
                <w:rFonts w:hint="default" w:ascii="Calibri" w:hAnsi="Calibri" w:cs="Calibri"/>
                <w:color w:val="auto"/>
                <w:highlight w:val="none"/>
              </w:rPr>
            </w:pPr>
          </w:p>
          <w:p w14:paraId="3230A3E2">
            <w:pPr>
              <w:keepNext w:val="0"/>
              <w:keepLines w:val="0"/>
              <w:suppressLineNumbers w:val="0"/>
              <w:spacing w:before="0" w:beforeAutospacing="0" w:after="0" w:afterAutospacing="0"/>
              <w:ind w:left="0" w:right="0" w:firstLine="420" w:firstLineChars="200"/>
              <w:rPr>
                <w:rFonts w:hint="eastAsia" w:ascii="Calibri" w:hAnsi="Calibri" w:cs="Calibri"/>
                <w:color w:val="auto"/>
                <w:szCs w:val="21"/>
                <w:highlight w:val="none"/>
              </w:rPr>
            </w:pPr>
            <w:r>
              <w:rPr>
                <w:rFonts w:hint="eastAsia" w:ascii="Calibri" w:hAnsi="Calibri" w:cs="Calibri"/>
                <w:color w:val="auto"/>
                <w:highlight w:val="none"/>
              </w:rPr>
              <w:t>注：</w:t>
            </w:r>
            <w:r>
              <w:rPr>
                <w:rFonts w:hint="eastAsia" w:ascii="Calibri" w:hAnsi="Calibri" w:cs="Calibri"/>
                <w:color w:val="auto"/>
                <w:szCs w:val="21"/>
                <w:highlight w:val="none"/>
              </w:rPr>
              <w:t>未参加信用评价的投标人</w:t>
            </w:r>
            <w:r>
              <w:rPr>
                <w:rFonts w:hint="eastAsia" w:ascii="Calibri" w:hAnsi="Calibri" w:cs="Calibri"/>
                <w:color w:val="auto"/>
                <w:highlight w:val="none"/>
              </w:rPr>
              <w:t>请填写“未参加”，</w:t>
            </w:r>
            <w:r>
              <w:rPr>
                <w:rFonts w:hint="eastAsia" w:ascii="Calibri" w:hAnsi="Calibri" w:cs="Calibri"/>
                <w:color w:val="auto"/>
                <w:szCs w:val="21"/>
                <w:highlight w:val="none"/>
              </w:rPr>
              <w:t>已参加信用评价的投标人</w:t>
            </w:r>
            <w:r>
              <w:rPr>
                <w:rFonts w:hint="eastAsia" w:ascii="Calibri" w:hAnsi="Calibri" w:cs="Calibri"/>
                <w:color w:val="auto"/>
                <w:highlight w:val="none"/>
              </w:rPr>
              <w:t>请填写“</w:t>
            </w:r>
            <w:r>
              <w:rPr>
                <w:rFonts w:hint="default" w:ascii="Calibri" w:hAnsi="Calibri" w:cs="Calibri"/>
                <w:color w:val="auto"/>
                <w:highlight w:val="none"/>
              </w:rPr>
              <w:t>\</w:t>
            </w:r>
            <w:r>
              <w:rPr>
                <w:rFonts w:hint="eastAsia" w:ascii="Calibri" w:hAnsi="Calibri" w:cs="Calibri"/>
                <w:color w:val="auto"/>
                <w:highlight w:val="none"/>
              </w:rPr>
              <w:t>”。</w:t>
            </w:r>
          </w:p>
        </w:tc>
      </w:tr>
    </w:tbl>
    <w:p w14:paraId="3B9DA49E">
      <w:pPr>
        <w:rPr>
          <w:rFonts w:hint="eastAsia"/>
          <w:color w:val="auto"/>
          <w:highlight w:val="none"/>
        </w:rPr>
      </w:pPr>
    </w:p>
    <w:p w14:paraId="21F6D320">
      <w:pPr>
        <w:rPr>
          <w:color w:val="auto"/>
          <w:highlight w:val="none"/>
          <w:lang w:val="zh-CN"/>
        </w:rPr>
      </w:pPr>
    </w:p>
    <w:p w14:paraId="5E05BDAB">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7</w:t>
      </w:r>
      <w:r>
        <w:rPr>
          <w:rFonts w:hint="eastAsia" w:ascii="Times New Roman" w:hAnsi="Times New Roman" w:eastAsia="黑体"/>
          <w:b w:val="0"/>
          <w:bCs w:val="0"/>
          <w:color w:val="auto"/>
          <w:sz w:val="24"/>
          <w:highlight w:val="none"/>
        </w:rPr>
        <w:t>）投标人施工项目季度考评综合优良率情况</w:t>
      </w:r>
    </w:p>
    <w:p w14:paraId="0463399E">
      <w:pPr>
        <w:rPr>
          <w:rFonts w:hint="eastAsia"/>
          <w:color w:val="auto"/>
          <w:szCs w:val="21"/>
          <w:highlight w:val="none"/>
        </w:rPr>
      </w:pPr>
    </w:p>
    <w:tbl>
      <w:tblPr>
        <w:tblStyle w:val="11"/>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5953"/>
      </w:tblGrid>
      <w:tr w14:paraId="712B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007" w:type="dxa"/>
            <w:noWrap w:val="0"/>
            <w:vAlign w:val="center"/>
          </w:tcPr>
          <w:p w14:paraId="79CF892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提交投标文件截止之时</w:t>
            </w:r>
          </w:p>
          <w:p w14:paraId="089EA8F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最新公布的</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评价结果</w:t>
            </w:r>
          </w:p>
        </w:tc>
        <w:tc>
          <w:tcPr>
            <w:tcW w:w="5953" w:type="dxa"/>
            <w:noWrap w:val="0"/>
            <w:vAlign w:val="center"/>
          </w:tcPr>
          <w:p w14:paraId="60A7633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请附“湖南省智慧住建云—湖南省建筑市场监管公共服务平台”上查询的</w:t>
            </w:r>
            <w:r>
              <w:rPr>
                <w:rFonts w:hint="eastAsia" w:ascii="宋体" w:hAnsi="宋体" w:eastAsia="宋体" w:cs="宋体"/>
                <w:bCs w:val="0"/>
                <w:color w:val="auto"/>
                <w:szCs w:val="21"/>
                <w:highlight w:val="none"/>
              </w:rPr>
              <w:t>企业</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bCs w:val="0"/>
                <w:color w:val="auto"/>
                <w:szCs w:val="21"/>
                <w:highlight w:val="none"/>
              </w:rPr>
              <w:t>评价结果</w:t>
            </w:r>
            <w:r>
              <w:rPr>
                <w:rFonts w:hint="eastAsia" w:ascii="宋体" w:hAnsi="宋体" w:eastAsia="宋体" w:cs="宋体"/>
                <w:color w:val="auto"/>
                <w:szCs w:val="21"/>
                <w:highlight w:val="none"/>
              </w:rPr>
              <w:t>详细信息网页截图</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省外企业无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查询结果的，可以提供注册地省级住房和城乡建设部门提供的企业</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得分作为评审依据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官网查询截图）</w:t>
            </w:r>
            <w:r>
              <w:rPr>
                <w:rFonts w:hint="eastAsia" w:ascii="宋体" w:hAnsi="宋体" w:eastAsia="宋体" w:cs="宋体"/>
                <w:color w:val="auto"/>
                <w:szCs w:val="21"/>
                <w:highlight w:val="none"/>
                <w:lang w:eastAsia="zh-CN"/>
              </w:rPr>
              <w:t>。</w:t>
            </w:r>
          </w:p>
        </w:tc>
      </w:tr>
      <w:tr w14:paraId="6DAA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07" w:type="dxa"/>
            <w:noWrap w:val="0"/>
            <w:vAlign w:val="center"/>
          </w:tcPr>
          <w:p w14:paraId="5AC4901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14:paraId="20DD80A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没有参加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w:t>
            </w:r>
          </w:p>
        </w:tc>
        <w:tc>
          <w:tcPr>
            <w:tcW w:w="5953" w:type="dxa"/>
            <w:noWrap w:val="0"/>
            <w:vAlign w:val="top"/>
          </w:tcPr>
          <w:p w14:paraId="29B1B078">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6698B71D">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286B068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63FADE35">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6C9224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0FE8A84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注：</w:t>
            </w:r>
            <w:r>
              <w:rPr>
                <w:rFonts w:hint="eastAsia" w:ascii="宋体" w:hAnsi="宋体" w:eastAsia="宋体" w:cs="宋体"/>
                <w:color w:val="auto"/>
                <w:szCs w:val="21"/>
                <w:highlight w:val="none"/>
              </w:rPr>
              <w:t>没有参加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评价的投标人请填写“未参加”，已参加</w:t>
            </w:r>
            <w:r>
              <w:rPr>
                <w:rFonts w:hint="eastAsia" w:ascii="宋体" w:hAnsi="宋体" w:eastAsia="宋体" w:cs="宋体"/>
                <w:color w:val="auto"/>
                <w:kern w:val="0"/>
                <w:szCs w:val="21"/>
                <w:highlight w:val="none"/>
              </w:rPr>
              <w:t>施工项目季度考评综合优良率</w:t>
            </w:r>
            <w:r>
              <w:rPr>
                <w:rFonts w:hint="eastAsia" w:ascii="宋体" w:hAnsi="宋体" w:eastAsia="宋体" w:cs="宋体"/>
                <w:color w:val="auto"/>
                <w:szCs w:val="21"/>
                <w:highlight w:val="none"/>
              </w:rPr>
              <w:t>评价的投标人请填写“\”。</w:t>
            </w:r>
          </w:p>
        </w:tc>
      </w:tr>
    </w:tbl>
    <w:p w14:paraId="117BF1A6">
      <w:pPr>
        <w:rPr>
          <w:color w:val="auto"/>
          <w:highlight w:val="none"/>
        </w:rPr>
      </w:pPr>
    </w:p>
    <w:p w14:paraId="663F7A20">
      <w:pPr>
        <w:rPr>
          <w:color w:val="auto"/>
          <w:highlight w:val="none"/>
        </w:rPr>
      </w:pPr>
    </w:p>
    <w:p w14:paraId="56632372">
      <w:pPr>
        <w:rPr>
          <w:color w:val="auto"/>
          <w:highlight w:val="none"/>
        </w:rPr>
      </w:pPr>
    </w:p>
    <w:p w14:paraId="00DA70E5">
      <w:pPr>
        <w:rPr>
          <w:color w:val="auto"/>
          <w:highlight w:val="none"/>
        </w:rPr>
      </w:pPr>
    </w:p>
    <w:p w14:paraId="57B3E099">
      <w:pPr>
        <w:pStyle w:val="5"/>
        <w:jc w:val="left"/>
        <w:rPr>
          <w:rFonts w:hint="eastAsia"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lang w:val="en-US" w:eastAsia="zh-CN"/>
        </w:rPr>
        <w:t>8</w:t>
      </w:r>
      <w:r>
        <w:rPr>
          <w:rFonts w:hint="eastAsia" w:ascii="Times New Roman" w:hAnsi="Times New Roman" w:eastAsia="黑体"/>
          <w:b w:val="0"/>
          <w:bCs w:val="0"/>
          <w:color w:val="auto"/>
          <w:sz w:val="24"/>
          <w:highlight w:val="none"/>
        </w:rPr>
        <w:t>）</w:t>
      </w:r>
      <w:bookmarkStart w:id="887" w:name="_Hlk53729905"/>
      <w:bookmarkStart w:id="888" w:name="_Hlk53733054"/>
      <w:r>
        <w:rPr>
          <w:rFonts w:hint="eastAsia" w:ascii="Times New Roman" w:hAnsi="Times New Roman" w:eastAsia="黑体"/>
          <w:b w:val="0"/>
          <w:bCs w:val="0"/>
          <w:color w:val="auto"/>
          <w:sz w:val="24"/>
          <w:highlight w:val="none"/>
        </w:rPr>
        <w:t>拟任项目</w:t>
      </w:r>
      <w:bookmarkStart w:id="889" w:name="_Hlk53730093"/>
      <w:r>
        <w:rPr>
          <w:rFonts w:hint="eastAsia" w:ascii="Times New Roman" w:hAnsi="Times New Roman" w:eastAsia="黑体"/>
          <w:b w:val="0"/>
          <w:bCs w:val="0"/>
          <w:color w:val="auto"/>
          <w:sz w:val="24"/>
          <w:highlight w:val="none"/>
        </w:rPr>
        <w:t>经理</w:t>
      </w:r>
      <w:bookmarkEnd w:id="887"/>
      <w:r>
        <w:rPr>
          <w:rFonts w:hint="eastAsia" w:ascii="Times New Roman" w:hAnsi="Times New Roman" w:eastAsia="黑体"/>
          <w:b w:val="0"/>
          <w:bCs w:val="0"/>
          <w:color w:val="auto"/>
          <w:sz w:val="24"/>
          <w:highlight w:val="none"/>
          <w:lang w:val="en-US" w:eastAsia="zh-CN"/>
        </w:rPr>
        <w:t>不良信用信息</w:t>
      </w:r>
      <w:r>
        <w:rPr>
          <w:rFonts w:hint="eastAsia" w:ascii="Times New Roman" w:hAnsi="Times New Roman" w:eastAsia="黑体"/>
          <w:b w:val="0"/>
          <w:bCs w:val="0"/>
          <w:color w:val="auto"/>
          <w:sz w:val="24"/>
          <w:highlight w:val="none"/>
        </w:rPr>
        <w:t>证明资料</w:t>
      </w:r>
      <w:bookmarkEnd w:id="889"/>
      <w:r>
        <w:rPr>
          <w:rFonts w:hint="eastAsia" w:ascii="Times New Roman" w:hAnsi="Times New Roman" w:eastAsia="黑体"/>
          <w:b w:val="0"/>
          <w:bCs w:val="0"/>
          <w:color w:val="auto"/>
          <w:sz w:val="24"/>
          <w:highlight w:val="none"/>
        </w:rPr>
        <w:t>复印件</w:t>
      </w:r>
    </w:p>
    <w:bookmarkEnd w:id="888"/>
    <w:p w14:paraId="7B90961B">
      <w:pPr>
        <w:ind w:firstLine="210" w:firstLineChars="100"/>
        <w:rPr>
          <w:color w:val="auto"/>
          <w:highlight w:val="none"/>
        </w:rPr>
      </w:pPr>
      <w:r>
        <w:rPr>
          <w:rFonts w:hint="eastAsia"/>
          <w:color w:val="auto"/>
          <w:highlight w:val="none"/>
        </w:rPr>
        <w:t>说明：</w:t>
      </w:r>
      <w:r>
        <w:rPr>
          <w:rFonts w:hint="eastAsia"/>
          <w:color w:val="auto"/>
          <w:highlight w:val="none"/>
          <w:lang w:val="en-US" w:eastAsia="zh-CN"/>
        </w:rPr>
        <w:t>不良信用信息</w:t>
      </w:r>
      <w:r>
        <w:rPr>
          <w:rFonts w:hint="eastAsia"/>
          <w:color w:val="auto"/>
          <w:highlight w:val="none"/>
        </w:rPr>
        <w:t>证明资料具体要求见本招标文件第三章评标办法。拟任工程总承包项目负责人在扣分有效期内如无</w:t>
      </w:r>
      <w:r>
        <w:rPr>
          <w:rFonts w:hint="eastAsia"/>
          <w:color w:val="auto"/>
          <w:highlight w:val="none"/>
          <w:lang w:val="en-US" w:eastAsia="zh-CN"/>
        </w:rPr>
        <w:t>不良信用信息</w:t>
      </w:r>
      <w:r>
        <w:rPr>
          <w:rFonts w:hint="eastAsia" w:ascii="宋体" w:hAnsi="宋体"/>
          <w:color w:val="auto"/>
          <w:szCs w:val="21"/>
          <w:highlight w:val="none"/>
        </w:rPr>
        <w:t>的</w:t>
      </w:r>
      <w:r>
        <w:rPr>
          <w:rFonts w:hint="eastAsia"/>
          <w:color w:val="auto"/>
          <w:highlight w:val="none"/>
        </w:rPr>
        <w:t>，投标人需注明“拟任工程总承包项目负责人在扣分有效期内无</w:t>
      </w:r>
      <w:r>
        <w:rPr>
          <w:rFonts w:hint="eastAsia"/>
          <w:color w:val="auto"/>
          <w:highlight w:val="none"/>
          <w:lang w:val="en-US" w:eastAsia="zh-CN"/>
        </w:rPr>
        <w:t>不良信用信息</w:t>
      </w:r>
      <w:r>
        <w:rPr>
          <w:rFonts w:hint="eastAsia"/>
          <w:color w:val="auto"/>
          <w:highlight w:val="none"/>
        </w:rPr>
        <w:t>”。</w:t>
      </w:r>
    </w:p>
    <w:p w14:paraId="32195630">
      <w:pPr>
        <w:ind w:firstLine="210" w:firstLineChars="100"/>
        <w:rPr>
          <w:color w:val="auto"/>
          <w:highlight w:val="none"/>
        </w:rPr>
      </w:pPr>
    </w:p>
    <w:p w14:paraId="4F8BEA13">
      <w:pPr>
        <w:ind w:firstLine="210" w:firstLineChars="100"/>
        <w:rPr>
          <w:color w:val="auto"/>
          <w:highlight w:val="none"/>
        </w:rPr>
        <w:sectPr>
          <w:pgSz w:w="11907" w:h="16840"/>
          <w:pgMar w:top="1418" w:right="1418" w:bottom="1418" w:left="1418" w:header="851" w:footer="992" w:gutter="0"/>
          <w:pgNumType w:fmt="decimal"/>
          <w:cols w:space="720" w:num="1"/>
          <w:docGrid w:linePitch="326" w:charSpace="0"/>
        </w:sectPr>
      </w:pPr>
    </w:p>
    <w:p w14:paraId="28EFC3E3">
      <w:pPr>
        <w:pStyle w:val="3"/>
        <w:jc w:val="center"/>
        <w:outlineLvl w:val="2"/>
        <w:rPr>
          <w:rFonts w:hint="eastAsia" w:ascii="Times New Roman" w:hAnsi="Times New Roman" w:eastAsia="黑体"/>
          <w:b w:val="0"/>
          <w:bCs w:val="0"/>
          <w:color w:val="auto"/>
          <w:sz w:val="30"/>
          <w:highlight w:val="none"/>
        </w:rPr>
      </w:pPr>
      <w:bookmarkStart w:id="890" w:name="_Toc80006161"/>
      <w:bookmarkStart w:id="891" w:name="_Toc80006271"/>
      <w:bookmarkStart w:id="892" w:name="_Toc69199942"/>
      <w:bookmarkStart w:id="893" w:name="_Toc11670"/>
      <w:bookmarkStart w:id="894" w:name="_Hlk53733080"/>
      <w:r>
        <w:rPr>
          <w:rFonts w:hint="eastAsia" w:ascii="Times New Roman" w:hAnsi="Times New Roman" w:eastAsia="黑体"/>
          <w:b w:val="0"/>
          <w:bCs w:val="0"/>
          <w:color w:val="auto"/>
          <w:sz w:val="30"/>
          <w:highlight w:val="none"/>
        </w:rPr>
        <w:t>9</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企业资信及履约能力（业绩及信用）自评表</w:t>
      </w:r>
      <w:bookmarkEnd w:id="890"/>
      <w:bookmarkEnd w:id="891"/>
      <w:bookmarkEnd w:id="892"/>
      <w:bookmarkEnd w:id="893"/>
    </w:p>
    <w:bookmarkEnd w:id="894"/>
    <w:tbl>
      <w:tblPr>
        <w:tblStyle w:val="11"/>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615"/>
        <w:gridCol w:w="15"/>
        <w:gridCol w:w="1115"/>
        <w:gridCol w:w="3828"/>
        <w:gridCol w:w="1426"/>
      </w:tblGrid>
      <w:tr w14:paraId="2726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2332" w:type="dxa"/>
            <w:noWrap w:val="0"/>
            <w:vAlign w:val="center"/>
          </w:tcPr>
          <w:p w14:paraId="2B697FCC">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审对象</w:t>
            </w:r>
          </w:p>
        </w:tc>
        <w:tc>
          <w:tcPr>
            <w:tcW w:w="5573" w:type="dxa"/>
            <w:gridSpan w:val="4"/>
            <w:noWrap w:val="0"/>
            <w:vAlign w:val="center"/>
          </w:tcPr>
          <w:p w14:paraId="04DE01A5">
            <w:pPr>
              <w:keepNext w:val="0"/>
              <w:keepLines w:val="0"/>
              <w:suppressLineNumbers w:val="0"/>
              <w:spacing w:before="0" w:beforeAutospacing="0" w:after="0" w:afterAutospacing="0"/>
              <w:ind w:left="0" w:right="0"/>
              <w:jc w:val="center"/>
              <w:rPr>
                <w:rFonts w:hint="default" w:ascii="Calibri" w:hAnsi="Calibri" w:cs="Calibri"/>
                <w:color w:val="auto"/>
                <w:sz w:val="18"/>
                <w:szCs w:val="21"/>
                <w:highlight w:val="none"/>
              </w:rPr>
            </w:pPr>
            <w:r>
              <w:rPr>
                <w:rFonts w:hint="eastAsia" w:ascii="Calibri" w:hAnsi="Calibri" w:cs="Calibri"/>
                <w:color w:val="auto"/>
                <w:sz w:val="18"/>
                <w:szCs w:val="21"/>
                <w:highlight w:val="none"/>
              </w:rPr>
              <w:t>评</w:t>
            </w:r>
            <w:r>
              <w:rPr>
                <w:rFonts w:hint="default" w:ascii="Calibri" w:hAnsi="Calibri" w:cs="Calibri"/>
                <w:color w:val="auto"/>
                <w:sz w:val="18"/>
                <w:szCs w:val="21"/>
                <w:highlight w:val="none"/>
              </w:rPr>
              <w:t>审内容</w:t>
            </w:r>
          </w:p>
          <w:p w14:paraId="7DDE5DE0">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default" w:ascii="Calibri" w:hAnsi="Calibri" w:cs="Calibri"/>
                <w:color w:val="auto"/>
                <w:sz w:val="18"/>
                <w:szCs w:val="21"/>
                <w:highlight w:val="none"/>
              </w:rPr>
              <w:t>（项目名称、奖项名称）</w:t>
            </w:r>
          </w:p>
        </w:tc>
        <w:tc>
          <w:tcPr>
            <w:tcW w:w="1426" w:type="dxa"/>
            <w:noWrap w:val="0"/>
            <w:vAlign w:val="center"/>
          </w:tcPr>
          <w:p w14:paraId="76F732D6">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材料所在的页码</w:t>
            </w:r>
          </w:p>
        </w:tc>
      </w:tr>
      <w:tr w14:paraId="228D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restart"/>
            <w:noWrap w:val="0"/>
            <w:vAlign w:val="center"/>
          </w:tcPr>
          <w:p w14:paraId="1971FBDD">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独立投标人（施工资质）或联合体中施工单位</w:t>
            </w:r>
          </w:p>
        </w:tc>
        <w:tc>
          <w:tcPr>
            <w:tcW w:w="630" w:type="dxa"/>
            <w:gridSpan w:val="2"/>
            <w:vMerge w:val="restart"/>
            <w:noWrap w:val="0"/>
            <w:vAlign w:val="center"/>
          </w:tcPr>
          <w:p w14:paraId="5AFBC759">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奖项</w:t>
            </w:r>
          </w:p>
        </w:tc>
        <w:tc>
          <w:tcPr>
            <w:tcW w:w="1115" w:type="dxa"/>
            <w:vMerge w:val="restart"/>
            <w:noWrap w:val="0"/>
            <w:vAlign w:val="center"/>
          </w:tcPr>
          <w:p w14:paraId="7A75C424">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14:paraId="1D0F7D70">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3A9CB9C0">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6647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55A9C4F5">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5B0880C7">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14:paraId="46133942">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14:paraId="7CF7D591">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65B99206">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2E16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1949D948">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69AC02B5">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14:paraId="435FA5C0">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14:paraId="6FCA6C91">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35435846">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4345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438EB6E3">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4B2FDDBE">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14:paraId="67CAFF39">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14:paraId="2A577F5A">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0E5E096B">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171F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314BD4CA">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33933CE3">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14:paraId="408D0A6B">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14:paraId="241E1712">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56D6FD40">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69EA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5F03305A">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03BB71EF">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14:paraId="4B7B479C">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14:paraId="6D944F97">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5A55105B">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27FE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1604B4D9">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restart"/>
            <w:noWrap w:val="0"/>
            <w:vAlign w:val="center"/>
          </w:tcPr>
          <w:p w14:paraId="53A8ECD5">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标准化工地</w:t>
            </w:r>
          </w:p>
        </w:tc>
        <w:tc>
          <w:tcPr>
            <w:tcW w:w="1115" w:type="dxa"/>
            <w:vMerge w:val="restart"/>
            <w:noWrap w:val="0"/>
            <w:vAlign w:val="center"/>
          </w:tcPr>
          <w:p w14:paraId="7572A7E4">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国家级</w:t>
            </w:r>
          </w:p>
        </w:tc>
        <w:tc>
          <w:tcPr>
            <w:tcW w:w="3828" w:type="dxa"/>
            <w:noWrap w:val="0"/>
            <w:vAlign w:val="center"/>
          </w:tcPr>
          <w:p w14:paraId="799F4DE6">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06ECE92E">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101D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2960DAF4">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52D68137">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14:paraId="744A2804">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14:paraId="1F1F1D44">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56B35FDC">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40D9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6C1E95F9">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1F86100E">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14:paraId="5303CDB7">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14:paraId="5C0681D9">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6E44B7F8">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0FC0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6F8EFD89">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112B95BB">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14:paraId="6374E874">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14:paraId="6D409062">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13383B94">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513B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6C7BFFD2">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131E4A68">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restart"/>
            <w:noWrap w:val="0"/>
            <w:vAlign w:val="center"/>
          </w:tcPr>
          <w:p w14:paraId="6D7ACCBF">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r>
              <w:rPr>
                <w:rFonts w:hint="eastAsia" w:ascii="Calibri" w:hAnsi="Calibri" w:cs="Calibri"/>
                <w:color w:val="auto"/>
                <w:sz w:val="18"/>
                <w:szCs w:val="21"/>
                <w:highlight w:val="none"/>
              </w:rPr>
              <w:t>省级</w:t>
            </w:r>
          </w:p>
        </w:tc>
        <w:tc>
          <w:tcPr>
            <w:tcW w:w="3828" w:type="dxa"/>
            <w:noWrap w:val="0"/>
            <w:vAlign w:val="center"/>
          </w:tcPr>
          <w:p w14:paraId="7B3F1B79">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695A3312">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3BC2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70F380CA">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6B8B0760">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14:paraId="3CF42CC8">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14:paraId="1849CB65">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40FCFB7D">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39DB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3BF06EA7">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630" w:type="dxa"/>
            <w:gridSpan w:val="2"/>
            <w:vMerge w:val="continue"/>
            <w:noWrap w:val="0"/>
            <w:vAlign w:val="center"/>
          </w:tcPr>
          <w:p w14:paraId="05B5D19D">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115" w:type="dxa"/>
            <w:vMerge w:val="continue"/>
            <w:noWrap w:val="0"/>
            <w:vAlign w:val="center"/>
          </w:tcPr>
          <w:p w14:paraId="7683503C">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3828" w:type="dxa"/>
            <w:noWrap w:val="0"/>
            <w:vAlign w:val="center"/>
          </w:tcPr>
          <w:p w14:paraId="48F9CABB">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c>
          <w:tcPr>
            <w:tcW w:w="1426" w:type="dxa"/>
            <w:noWrap w:val="0"/>
            <w:vAlign w:val="center"/>
          </w:tcPr>
          <w:p w14:paraId="62E251D6">
            <w:pPr>
              <w:keepNext w:val="0"/>
              <w:keepLines w:val="0"/>
              <w:suppressLineNumbers w:val="0"/>
              <w:spacing w:before="0" w:beforeAutospacing="0" w:after="0" w:afterAutospacing="0"/>
              <w:ind w:left="0" w:right="0"/>
              <w:jc w:val="center"/>
              <w:rPr>
                <w:rFonts w:hint="eastAsia" w:ascii="Calibri" w:hAnsi="Calibri" w:cs="Calibri"/>
                <w:color w:val="auto"/>
                <w:sz w:val="18"/>
                <w:szCs w:val="21"/>
                <w:highlight w:val="none"/>
              </w:rPr>
            </w:pPr>
          </w:p>
        </w:tc>
      </w:tr>
      <w:tr w14:paraId="3B0B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6C015887">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630" w:type="dxa"/>
            <w:gridSpan w:val="2"/>
            <w:vMerge w:val="continue"/>
            <w:noWrap w:val="0"/>
            <w:vAlign w:val="center"/>
          </w:tcPr>
          <w:p w14:paraId="2FCE7A2F">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115" w:type="dxa"/>
            <w:vMerge w:val="continue"/>
            <w:noWrap w:val="0"/>
            <w:vAlign w:val="center"/>
          </w:tcPr>
          <w:p w14:paraId="0772A700">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14:paraId="18EA2EA4">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14:paraId="3863E2E1">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7FE2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3B921DAD">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restart"/>
            <w:noWrap w:val="0"/>
            <w:vAlign w:val="center"/>
          </w:tcPr>
          <w:p w14:paraId="6E9A86A3">
            <w:pPr>
              <w:keepNext w:val="0"/>
              <w:keepLines w:val="0"/>
              <w:suppressLineNumbers w:val="0"/>
              <w:spacing w:before="0" w:beforeAutospacing="0" w:after="0" w:afterAutospacing="0"/>
              <w:ind w:left="0" w:right="0"/>
              <w:jc w:val="center"/>
              <w:rPr>
                <w:rFonts w:hint="eastAsia" w:ascii="Calibri" w:hAnsi="Calibri" w:cs="Calibri"/>
                <w:color w:val="auto"/>
                <w:highlight w:val="none"/>
              </w:rPr>
            </w:pPr>
            <w:r>
              <w:rPr>
                <w:rFonts w:hint="eastAsia" w:ascii="Calibri" w:hAnsi="Calibri" w:cs="Calibri"/>
                <w:color w:val="auto"/>
                <w:sz w:val="18"/>
                <w:szCs w:val="21"/>
                <w:highlight w:val="none"/>
              </w:rPr>
              <w:t>类似工程业绩</w:t>
            </w:r>
          </w:p>
        </w:tc>
        <w:tc>
          <w:tcPr>
            <w:tcW w:w="3828" w:type="dxa"/>
            <w:noWrap w:val="0"/>
            <w:vAlign w:val="center"/>
          </w:tcPr>
          <w:p w14:paraId="50B4F647">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14:paraId="2EC75059">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584E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32" w:type="dxa"/>
            <w:vMerge w:val="continue"/>
            <w:noWrap w:val="0"/>
            <w:vAlign w:val="center"/>
          </w:tcPr>
          <w:p w14:paraId="05C7C28B">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745" w:type="dxa"/>
            <w:gridSpan w:val="3"/>
            <w:vMerge w:val="continue"/>
            <w:noWrap w:val="0"/>
            <w:vAlign w:val="center"/>
          </w:tcPr>
          <w:p w14:paraId="421E319D">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3828" w:type="dxa"/>
            <w:noWrap w:val="0"/>
            <w:vAlign w:val="center"/>
          </w:tcPr>
          <w:p w14:paraId="37B54B70">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14:paraId="59683FCE">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2525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2332" w:type="dxa"/>
            <w:vMerge w:val="restart"/>
            <w:noWrap w:val="0"/>
            <w:vAlign w:val="center"/>
          </w:tcPr>
          <w:p w14:paraId="1928962A">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宋体" w:hAnsi="宋体" w:cs="宋体"/>
                <w:color w:val="auto"/>
                <w:kern w:val="0"/>
                <w:sz w:val="20"/>
                <w:szCs w:val="20"/>
                <w:highlight w:val="none"/>
              </w:rPr>
              <w:t>拟任项目经理</w:t>
            </w:r>
          </w:p>
        </w:tc>
        <w:tc>
          <w:tcPr>
            <w:tcW w:w="615" w:type="dxa"/>
            <w:vMerge w:val="restart"/>
            <w:noWrap w:val="0"/>
            <w:vAlign w:val="center"/>
          </w:tcPr>
          <w:p w14:paraId="242DE85F">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奖项</w:t>
            </w:r>
          </w:p>
        </w:tc>
        <w:tc>
          <w:tcPr>
            <w:tcW w:w="1130" w:type="dxa"/>
            <w:gridSpan w:val="2"/>
            <w:noWrap w:val="0"/>
            <w:vAlign w:val="center"/>
          </w:tcPr>
          <w:p w14:paraId="37FD4DD1">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国家级</w:t>
            </w:r>
          </w:p>
        </w:tc>
        <w:tc>
          <w:tcPr>
            <w:tcW w:w="3828" w:type="dxa"/>
            <w:noWrap w:val="0"/>
            <w:vAlign w:val="center"/>
          </w:tcPr>
          <w:p w14:paraId="76630485">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14:paraId="48202E30">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2439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2332" w:type="dxa"/>
            <w:vMerge w:val="continue"/>
            <w:noWrap w:val="0"/>
            <w:vAlign w:val="center"/>
          </w:tcPr>
          <w:p w14:paraId="4CE6A394">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highlight w:val="none"/>
              </w:rPr>
            </w:pPr>
          </w:p>
        </w:tc>
        <w:tc>
          <w:tcPr>
            <w:tcW w:w="615" w:type="dxa"/>
            <w:vMerge w:val="continue"/>
            <w:noWrap w:val="0"/>
            <w:vAlign w:val="center"/>
          </w:tcPr>
          <w:p w14:paraId="0F782D3D">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p>
        </w:tc>
        <w:tc>
          <w:tcPr>
            <w:tcW w:w="1130" w:type="dxa"/>
            <w:gridSpan w:val="2"/>
            <w:noWrap w:val="0"/>
            <w:vAlign w:val="center"/>
          </w:tcPr>
          <w:p w14:paraId="0E112F43">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省级</w:t>
            </w:r>
          </w:p>
        </w:tc>
        <w:tc>
          <w:tcPr>
            <w:tcW w:w="3828" w:type="dxa"/>
            <w:noWrap w:val="0"/>
            <w:vAlign w:val="center"/>
          </w:tcPr>
          <w:p w14:paraId="2EF353A4">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14:paraId="16CCEB3E">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63C2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2332" w:type="dxa"/>
            <w:vMerge w:val="continue"/>
            <w:noWrap w:val="0"/>
            <w:vAlign w:val="center"/>
          </w:tcPr>
          <w:p w14:paraId="4D48FCD9">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highlight w:val="none"/>
              </w:rPr>
            </w:pPr>
          </w:p>
        </w:tc>
        <w:tc>
          <w:tcPr>
            <w:tcW w:w="1745" w:type="dxa"/>
            <w:gridSpan w:val="3"/>
            <w:noWrap w:val="0"/>
            <w:vAlign w:val="center"/>
          </w:tcPr>
          <w:p w14:paraId="38BB48BB">
            <w:pPr>
              <w:keepNext w:val="0"/>
              <w:keepLines w:val="0"/>
              <w:suppressLineNumbers w:val="0"/>
              <w:spacing w:before="0" w:beforeAutospacing="0" w:after="0" w:afterAutospacing="0"/>
              <w:ind w:left="0" w:right="0"/>
              <w:jc w:val="center"/>
              <w:rPr>
                <w:rFonts w:hint="eastAsia" w:ascii="Calibri" w:hAnsi="Calibri" w:cs="Calibri"/>
                <w:color w:val="auto"/>
                <w:sz w:val="20"/>
                <w:szCs w:val="20"/>
                <w:highlight w:val="none"/>
              </w:rPr>
            </w:pPr>
            <w:r>
              <w:rPr>
                <w:rFonts w:hint="eastAsia" w:ascii="Calibri" w:hAnsi="Calibri" w:cs="Calibri"/>
                <w:color w:val="auto"/>
                <w:sz w:val="20"/>
                <w:szCs w:val="20"/>
                <w:highlight w:val="none"/>
              </w:rPr>
              <w:t>类似工程业绩</w:t>
            </w:r>
          </w:p>
        </w:tc>
        <w:tc>
          <w:tcPr>
            <w:tcW w:w="3828" w:type="dxa"/>
            <w:noWrap w:val="0"/>
            <w:vAlign w:val="center"/>
          </w:tcPr>
          <w:p w14:paraId="59C8168E">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14:paraId="5F4B6A85">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r w14:paraId="302B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2332" w:type="dxa"/>
            <w:vMerge w:val="continue"/>
            <w:noWrap w:val="0"/>
            <w:vAlign w:val="center"/>
          </w:tcPr>
          <w:p w14:paraId="5892F2FE">
            <w:pPr>
              <w:keepNext w:val="0"/>
              <w:keepLines w:val="0"/>
              <w:suppressLineNumbers w:val="0"/>
              <w:spacing w:before="0" w:beforeAutospacing="0" w:after="0" w:afterAutospacing="0"/>
              <w:ind w:left="0" w:right="0"/>
              <w:jc w:val="center"/>
              <w:rPr>
                <w:rFonts w:hint="eastAsia" w:ascii="宋体" w:hAnsi="宋体" w:cs="宋体"/>
                <w:color w:val="auto"/>
                <w:kern w:val="0"/>
                <w:sz w:val="20"/>
                <w:szCs w:val="20"/>
                <w:highlight w:val="none"/>
              </w:rPr>
            </w:pPr>
          </w:p>
        </w:tc>
        <w:tc>
          <w:tcPr>
            <w:tcW w:w="1745" w:type="dxa"/>
            <w:gridSpan w:val="3"/>
            <w:noWrap w:val="0"/>
            <w:vAlign w:val="center"/>
          </w:tcPr>
          <w:p w14:paraId="71DF1E2C">
            <w:pPr>
              <w:keepNext w:val="0"/>
              <w:keepLines w:val="0"/>
              <w:suppressLineNumbers w:val="0"/>
              <w:spacing w:before="0" w:beforeAutospacing="0" w:after="0" w:afterAutospacing="0"/>
              <w:ind w:left="0" w:right="0"/>
              <w:jc w:val="center"/>
              <w:rPr>
                <w:rFonts w:hint="eastAsia" w:ascii="Calibri" w:hAnsi="Calibri" w:eastAsia="宋体" w:cs="Calibri"/>
                <w:color w:val="auto"/>
                <w:sz w:val="20"/>
                <w:szCs w:val="20"/>
                <w:highlight w:val="none"/>
                <w:lang w:val="en-US" w:eastAsia="zh-CN"/>
              </w:rPr>
            </w:pPr>
            <w:r>
              <w:rPr>
                <w:rFonts w:hint="eastAsia" w:ascii="Calibri" w:hAnsi="Calibri" w:cs="Calibri"/>
                <w:color w:val="auto"/>
                <w:sz w:val="20"/>
                <w:szCs w:val="20"/>
                <w:highlight w:val="none"/>
                <w:lang w:val="en-US" w:eastAsia="zh-CN"/>
              </w:rPr>
              <w:t>不良信用信息</w:t>
            </w:r>
          </w:p>
        </w:tc>
        <w:tc>
          <w:tcPr>
            <w:tcW w:w="3828" w:type="dxa"/>
            <w:noWrap w:val="0"/>
            <w:vAlign w:val="center"/>
          </w:tcPr>
          <w:p w14:paraId="4EEA16AF">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c>
          <w:tcPr>
            <w:tcW w:w="1426" w:type="dxa"/>
            <w:noWrap w:val="0"/>
            <w:vAlign w:val="center"/>
          </w:tcPr>
          <w:p w14:paraId="3E53A05A">
            <w:pPr>
              <w:keepNext w:val="0"/>
              <w:keepLines w:val="0"/>
              <w:suppressLineNumbers w:val="0"/>
              <w:spacing w:before="0" w:beforeAutospacing="0" w:after="0" w:afterAutospacing="0"/>
              <w:ind w:left="0" w:right="0"/>
              <w:jc w:val="center"/>
              <w:rPr>
                <w:rFonts w:hint="eastAsia" w:ascii="Calibri" w:hAnsi="Calibri" w:cs="Calibri"/>
                <w:color w:val="auto"/>
                <w:highlight w:val="none"/>
              </w:rPr>
            </w:pPr>
          </w:p>
        </w:tc>
      </w:tr>
    </w:tbl>
    <w:p w14:paraId="49603EBE">
      <w:pPr>
        <w:rPr>
          <w:color w:val="auto"/>
          <w:highlight w:val="none"/>
        </w:rPr>
      </w:pPr>
    </w:p>
    <w:p w14:paraId="3470FE75">
      <w:pPr>
        <w:snapToGrid w:val="0"/>
        <w:spacing w:line="360" w:lineRule="auto"/>
        <w:rPr>
          <w:color w:val="auto"/>
          <w:highlight w:val="none"/>
        </w:rPr>
      </w:pPr>
      <w:r>
        <w:rPr>
          <w:color w:val="auto"/>
          <w:highlight w:val="none"/>
        </w:rPr>
        <w:br w:type="page"/>
      </w:r>
    </w:p>
    <w:p w14:paraId="287AE644">
      <w:pPr>
        <w:pStyle w:val="3"/>
        <w:spacing w:before="0" w:after="0" w:line="360" w:lineRule="auto"/>
        <w:jc w:val="center"/>
        <w:outlineLvl w:val="2"/>
        <w:rPr>
          <w:rFonts w:ascii="Times New Roman" w:hAnsi="Times New Roman" w:eastAsia="黑体"/>
          <w:b w:val="0"/>
          <w:bCs w:val="0"/>
          <w:color w:val="auto"/>
          <w:sz w:val="30"/>
          <w:szCs w:val="30"/>
          <w:highlight w:val="none"/>
        </w:rPr>
      </w:pPr>
      <w:bookmarkStart w:id="895" w:name="_Toc80006162"/>
      <w:bookmarkStart w:id="896" w:name="_Toc21210"/>
      <w:bookmarkStart w:id="897" w:name="_Toc69199943"/>
      <w:bookmarkStart w:id="898" w:name="_Toc80006272"/>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0</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承 诺 书</w:t>
      </w:r>
      <w:bookmarkEnd w:id="895"/>
      <w:bookmarkEnd w:id="896"/>
      <w:bookmarkEnd w:id="897"/>
      <w:bookmarkEnd w:id="898"/>
    </w:p>
    <w:p w14:paraId="135B7994">
      <w:pPr>
        <w:snapToGrid w:val="0"/>
        <w:spacing w:line="360" w:lineRule="auto"/>
        <w:rPr>
          <w:color w:val="auto"/>
          <w:highlight w:val="none"/>
        </w:rPr>
      </w:pPr>
    </w:p>
    <w:p w14:paraId="53EA8EE9">
      <w:pPr>
        <w:snapToGrid w:val="0"/>
        <w:spacing w:line="360" w:lineRule="auto"/>
        <w:rPr>
          <w:color w:val="auto"/>
          <w:highlight w:val="none"/>
        </w:rPr>
      </w:pPr>
      <w:r>
        <w:rPr>
          <w:color w:val="auto"/>
          <w:highlight w:val="none"/>
          <w:u w:val="single"/>
        </w:rPr>
        <w:t xml:space="preserve">                     </w:t>
      </w:r>
      <w:r>
        <w:rPr>
          <w:color w:val="auto"/>
          <w:highlight w:val="none"/>
        </w:rPr>
        <w:t>（招标人名称）：</w:t>
      </w:r>
    </w:p>
    <w:p w14:paraId="4D3557CF">
      <w:pPr>
        <w:snapToGrid w:val="0"/>
        <w:spacing w:line="360" w:lineRule="auto"/>
        <w:rPr>
          <w:color w:val="auto"/>
          <w:highlight w:val="none"/>
        </w:rPr>
      </w:pPr>
    </w:p>
    <w:p w14:paraId="36FE6481">
      <w:pPr>
        <w:snapToGrid w:val="0"/>
        <w:spacing w:line="360" w:lineRule="auto"/>
        <w:ind w:firstLine="420" w:firstLineChars="200"/>
        <w:rPr>
          <w:color w:val="auto"/>
          <w:highlight w:val="none"/>
        </w:rPr>
      </w:pPr>
      <w:r>
        <w:rPr>
          <w:color w:val="auto"/>
          <w:highlight w:val="none"/>
        </w:rPr>
        <w:t>我方在此声明：</w:t>
      </w:r>
    </w:p>
    <w:p w14:paraId="190C069F">
      <w:pPr>
        <w:snapToGrid w:val="0"/>
        <w:spacing w:line="360" w:lineRule="auto"/>
        <w:ind w:firstLine="420" w:firstLineChars="200"/>
        <w:rPr>
          <w:color w:val="auto"/>
          <w:highlight w:val="none"/>
        </w:rPr>
      </w:pPr>
      <w:r>
        <w:rPr>
          <w:color w:val="auto"/>
          <w:highlight w:val="none"/>
        </w:rPr>
        <w:t>1.我方拟派</w:t>
      </w:r>
      <w:r>
        <w:rPr>
          <w:rFonts w:hint="eastAsia"/>
          <w:color w:val="auto"/>
          <w:highlight w:val="none"/>
        </w:rPr>
        <w:t>往</w:t>
      </w:r>
      <w:r>
        <w:rPr>
          <w:rFonts w:hint="eastAsia"/>
          <w:color w:val="auto"/>
          <w:highlight w:val="none"/>
          <w:u w:val="single"/>
        </w:rPr>
        <w:t xml:space="preserve">   招标项目及标段       </w:t>
      </w:r>
      <w:r>
        <w:rPr>
          <w:rFonts w:hint="eastAsia"/>
          <w:color w:val="auto"/>
          <w:highlight w:val="none"/>
        </w:rPr>
        <w:t xml:space="preserve"> </w:t>
      </w:r>
      <w:r>
        <w:rPr>
          <w:color w:val="auto"/>
          <w:highlight w:val="none"/>
        </w:rPr>
        <w:t>的</w:t>
      </w:r>
      <w:r>
        <w:rPr>
          <w:rFonts w:hint="eastAsia" w:ascii="宋体" w:hAnsi="宋体"/>
          <w:color w:val="auto"/>
          <w:highlight w:val="none"/>
        </w:rPr>
        <w:t>项目经理</w:t>
      </w:r>
      <w:r>
        <w:rPr>
          <w:color w:val="auto"/>
          <w:highlight w:val="none"/>
        </w:rPr>
        <w:t>能够到位履行职责，如不能到位，我方自愿接受处罚</w:t>
      </w:r>
      <w:r>
        <w:rPr>
          <w:rFonts w:hint="eastAsia"/>
          <w:color w:val="auto"/>
          <w:highlight w:val="none"/>
        </w:rPr>
        <w:t>和被予不良行为记录</w:t>
      </w:r>
      <w:r>
        <w:rPr>
          <w:color w:val="auto"/>
          <w:highlight w:val="none"/>
        </w:rPr>
        <w:t>。</w:t>
      </w:r>
    </w:p>
    <w:p w14:paraId="6834514F">
      <w:pPr>
        <w:snapToGrid w:val="0"/>
        <w:spacing w:line="360" w:lineRule="auto"/>
        <w:ind w:firstLine="420" w:firstLineChars="200"/>
        <w:rPr>
          <w:color w:val="auto"/>
          <w:highlight w:val="none"/>
        </w:rPr>
      </w:pPr>
      <w:r>
        <w:rPr>
          <w:color w:val="auto"/>
          <w:highlight w:val="none"/>
        </w:rPr>
        <w:t>2.我方不存在第二章“投标人须知”第1.4.3项规定的任何一种情形。</w:t>
      </w:r>
    </w:p>
    <w:p w14:paraId="53293B1D">
      <w:pPr>
        <w:snapToGrid w:val="0"/>
        <w:spacing w:line="360" w:lineRule="auto"/>
        <w:ind w:firstLine="420" w:firstLineChars="200"/>
        <w:rPr>
          <w:color w:val="auto"/>
          <w:highlight w:val="none"/>
          <w:lang w:val="sq-AL"/>
        </w:rPr>
      </w:pPr>
      <w:r>
        <w:rPr>
          <w:color w:val="auto"/>
          <w:highlight w:val="none"/>
          <w:lang w:val="sq-AL"/>
        </w:rPr>
        <w:t>3.我方严格遵守相关法律法规</w:t>
      </w:r>
      <w:r>
        <w:rPr>
          <w:rFonts w:hint="eastAsia"/>
          <w:color w:val="auto"/>
          <w:highlight w:val="none"/>
          <w:lang w:val="sq-AL"/>
        </w:rPr>
        <w:t>规定</w:t>
      </w:r>
      <w:r>
        <w:rPr>
          <w:color w:val="auto"/>
          <w:highlight w:val="none"/>
          <w:lang w:val="sq-AL"/>
        </w:rPr>
        <w:t>，没有串通投标、资质挂靠等违法、违规行为，投标文件所投入的管理、技术人员均为我公司正式在职人员。</w:t>
      </w:r>
    </w:p>
    <w:p w14:paraId="32741F24">
      <w:pPr>
        <w:snapToGrid w:val="0"/>
        <w:spacing w:line="360" w:lineRule="auto"/>
        <w:ind w:firstLine="420" w:firstLineChars="200"/>
        <w:rPr>
          <w:color w:val="auto"/>
          <w:highlight w:val="none"/>
          <w:lang w:val="sq-AL"/>
        </w:rPr>
      </w:pPr>
      <w:r>
        <w:rPr>
          <w:color w:val="auto"/>
          <w:highlight w:val="none"/>
          <w:lang w:val="sq-AL"/>
        </w:rPr>
        <w:t>4.我方保证提供的资质、业绩等证明材料真实、合法、有效，</w:t>
      </w:r>
      <w:r>
        <w:rPr>
          <w:color w:val="auto"/>
          <w:highlight w:val="none"/>
        </w:rPr>
        <w:t>并愿意承担因我方就此弄虚作假所引起的一切后果。</w:t>
      </w:r>
    </w:p>
    <w:p w14:paraId="155AF355">
      <w:pPr>
        <w:snapToGrid w:val="0"/>
        <w:spacing w:line="360" w:lineRule="auto"/>
        <w:ind w:firstLine="420" w:firstLineChars="200"/>
        <w:rPr>
          <w:color w:val="auto"/>
          <w:highlight w:val="none"/>
          <w:lang w:val="sq-AL"/>
        </w:rPr>
      </w:pPr>
      <w:r>
        <w:rPr>
          <w:color w:val="auto"/>
          <w:highlight w:val="none"/>
          <w:lang w:val="sq-AL"/>
        </w:rPr>
        <w:t>5.我方不参与不正当竞争，不向招标人、招标代理机构、交易中心、评标专家以及行业监督部门行贿以谋取不正当利益。</w:t>
      </w:r>
    </w:p>
    <w:p w14:paraId="58B7633F">
      <w:pPr>
        <w:snapToGrid w:val="0"/>
        <w:spacing w:line="360" w:lineRule="auto"/>
        <w:ind w:firstLine="420" w:firstLineChars="200"/>
        <w:rPr>
          <w:color w:val="auto"/>
          <w:highlight w:val="none"/>
          <w:lang w:val="sq-AL"/>
        </w:rPr>
      </w:pPr>
      <w:r>
        <w:rPr>
          <w:color w:val="auto"/>
          <w:highlight w:val="none"/>
          <w:lang w:val="sq-AL"/>
        </w:rPr>
        <w:t>6.我方严格按照招、投标文件约定签订合同，不将中标项目转包或违法分包。</w:t>
      </w:r>
    </w:p>
    <w:p w14:paraId="160E4E3E">
      <w:pPr>
        <w:snapToGrid w:val="0"/>
        <w:spacing w:line="360" w:lineRule="auto"/>
        <w:ind w:firstLine="420" w:firstLineChars="200"/>
        <w:rPr>
          <w:color w:val="auto"/>
          <w:highlight w:val="none"/>
        </w:rPr>
      </w:pPr>
      <w:r>
        <w:rPr>
          <w:color w:val="auto"/>
          <w:highlight w:val="none"/>
          <w:lang w:val="sq-AL"/>
        </w:rPr>
        <w:t>7.</w:t>
      </w:r>
      <w:r>
        <w:rPr>
          <w:color w:val="auto"/>
          <w:highlight w:val="none"/>
        </w:rPr>
        <w:t>一旦我方中标，坚决维护农民工的合法权益，按时足额支付农民工工资，</w:t>
      </w:r>
      <w:r>
        <w:rPr>
          <w:rFonts w:hint="eastAsia"/>
          <w:color w:val="auto"/>
          <w:highlight w:val="none"/>
        </w:rPr>
        <w:t>绝</w:t>
      </w:r>
      <w:r>
        <w:rPr>
          <w:color w:val="auto"/>
          <w:highlight w:val="none"/>
        </w:rPr>
        <w:t>不拖欠。</w:t>
      </w:r>
    </w:p>
    <w:p w14:paraId="2E86AA1E">
      <w:pPr>
        <w:snapToGrid w:val="0"/>
        <w:spacing w:line="360" w:lineRule="auto"/>
        <w:ind w:firstLine="420" w:firstLineChars="200"/>
        <w:rPr>
          <w:color w:val="auto"/>
          <w:highlight w:val="none"/>
        </w:rPr>
      </w:pPr>
      <w:r>
        <w:rPr>
          <w:color w:val="auto"/>
          <w:highlight w:val="none"/>
        </w:rPr>
        <w:t>特此承诺！</w:t>
      </w:r>
    </w:p>
    <w:p w14:paraId="45723520">
      <w:pPr>
        <w:snapToGrid w:val="0"/>
        <w:spacing w:line="360" w:lineRule="auto"/>
        <w:ind w:firstLine="420" w:firstLineChars="200"/>
        <w:rPr>
          <w:color w:val="auto"/>
          <w:highlight w:val="none"/>
        </w:rPr>
      </w:pPr>
    </w:p>
    <w:p w14:paraId="1592DAE8">
      <w:pPr>
        <w:snapToGrid w:val="0"/>
        <w:spacing w:line="360" w:lineRule="auto"/>
        <w:ind w:firstLine="420" w:firstLineChars="200"/>
        <w:rPr>
          <w:color w:val="auto"/>
          <w:highlight w:val="none"/>
        </w:rPr>
      </w:pPr>
    </w:p>
    <w:p w14:paraId="10558E5A">
      <w:pPr>
        <w:snapToGrid w:val="0"/>
        <w:spacing w:line="360" w:lineRule="auto"/>
        <w:ind w:firstLine="420" w:firstLineChars="200"/>
        <w:jc w:val="right"/>
        <w:rPr>
          <w:color w:val="auto"/>
          <w:highlight w:val="none"/>
        </w:rPr>
      </w:pPr>
      <w:r>
        <w:rPr>
          <w:color w:val="auto"/>
          <w:highlight w:val="none"/>
        </w:rPr>
        <w:t>投标人：（盖单位章）</w:t>
      </w:r>
    </w:p>
    <w:p w14:paraId="51CBC1F6">
      <w:pPr>
        <w:snapToGrid w:val="0"/>
        <w:spacing w:line="360" w:lineRule="auto"/>
        <w:ind w:firstLine="420" w:firstLineChars="200"/>
        <w:jc w:val="right"/>
        <w:rPr>
          <w:color w:val="auto"/>
          <w:highlight w:val="none"/>
        </w:rPr>
      </w:pPr>
      <w:r>
        <w:rPr>
          <w:color w:val="auto"/>
          <w:highlight w:val="none"/>
        </w:rPr>
        <w:t>法定代表人或其委托代理人：（签字或盖章）</w:t>
      </w:r>
    </w:p>
    <w:p w14:paraId="1DF25841">
      <w:pPr>
        <w:snapToGrid w:val="0"/>
        <w:spacing w:line="360" w:lineRule="auto"/>
        <w:ind w:firstLine="420" w:firstLineChars="200"/>
        <w:jc w:val="right"/>
        <w:rPr>
          <w:color w:val="auto"/>
          <w:highlight w:val="none"/>
        </w:rPr>
      </w:pPr>
      <w:r>
        <w:rPr>
          <w:color w:val="auto"/>
          <w:highlight w:val="none"/>
        </w:rPr>
        <w:t xml:space="preserve">   年   月  日</w:t>
      </w:r>
    </w:p>
    <w:p w14:paraId="3C27F33E">
      <w:pPr>
        <w:widowControl/>
        <w:jc w:val="left"/>
        <w:rPr>
          <w:rFonts w:hint="eastAsia" w:eastAsia="黑体"/>
          <w:bCs/>
          <w:color w:val="auto"/>
          <w:kern w:val="0"/>
          <w:sz w:val="32"/>
          <w:szCs w:val="32"/>
          <w:highlight w:val="none"/>
        </w:rPr>
      </w:pPr>
    </w:p>
    <w:p w14:paraId="0B96EF77">
      <w:pPr>
        <w:pStyle w:val="18"/>
        <w:rPr>
          <w:rFonts w:hint="eastAsia" w:ascii="Arial" w:hAnsi="Arial" w:eastAsia="新宋体" w:cs="Arial"/>
          <w:b/>
          <w:color w:val="auto"/>
          <w:sz w:val="21"/>
          <w:highlight w:val="none"/>
        </w:rPr>
      </w:pPr>
    </w:p>
    <w:p w14:paraId="46AABD83">
      <w:pPr>
        <w:pStyle w:val="18"/>
        <w:rPr>
          <w:rFonts w:eastAsia="黑体"/>
          <w:bCs/>
          <w:color w:val="auto"/>
          <w:sz w:val="32"/>
          <w:szCs w:val="32"/>
          <w:highlight w:val="none"/>
        </w:rPr>
      </w:pPr>
      <w:r>
        <w:rPr>
          <w:rFonts w:eastAsia="黑体"/>
          <w:bCs/>
          <w:color w:val="auto"/>
          <w:sz w:val="32"/>
          <w:szCs w:val="32"/>
          <w:highlight w:val="none"/>
        </w:rPr>
        <w:br w:type="page"/>
      </w:r>
    </w:p>
    <w:p w14:paraId="58F6D30C">
      <w:pPr>
        <w:jc w:val="center"/>
        <w:rPr>
          <w:rFonts w:eastAsia="黑体"/>
          <w:bCs/>
          <w:color w:val="auto"/>
          <w:sz w:val="30"/>
          <w:szCs w:val="30"/>
          <w:highlight w:val="none"/>
        </w:rPr>
      </w:pPr>
    </w:p>
    <w:p w14:paraId="190DFA6D">
      <w:pPr>
        <w:pStyle w:val="3"/>
        <w:spacing w:before="0" w:after="0" w:line="360" w:lineRule="auto"/>
        <w:jc w:val="center"/>
        <w:outlineLvl w:val="2"/>
        <w:rPr>
          <w:rFonts w:ascii="Times New Roman" w:hAnsi="Times New Roman" w:eastAsia="黑体"/>
          <w:b w:val="0"/>
          <w:bCs w:val="0"/>
          <w:color w:val="auto"/>
          <w:sz w:val="30"/>
          <w:szCs w:val="30"/>
          <w:highlight w:val="none"/>
        </w:rPr>
      </w:pPr>
      <w:bookmarkStart w:id="899" w:name="_Toc12884"/>
      <w:bookmarkStart w:id="900" w:name="_Toc80006163"/>
      <w:bookmarkStart w:id="901" w:name="_Toc80006273"/>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1</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投标信息表</w:t>
      </w:r>
      <w:bookmarkEnd w:id="899"/>
      <w:bookmarkEnd w:id="900"/>
      <w:bookmarkEnd w:id="901"/>
    </w:p>
    <w:tbl>
      <w:tblPr>
        <w:tblStyle w:val="11"/>
        <w:tblW w:w="9439"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12"/>
        <w:gridCol w:w="1112"/>
        <w:gridCol w:w="1155"/>
        <w:gridCol w:w="5760"/>
      </w:tblGrid>
      <w:tr w14:paraId="0421C47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2524" w:type="dxa"/>
            <w:gridSpan w:val="2"/>
            <w:tcBorders>
              <w:top w:val="single" w:color="auto" w:sz="4" w:space="0"/>
              <w:left w:val="single" w:color="000000" w:sz="8" w:space="0"/>
              <w:bottom w:val="single" w:color="000000" w:sz="8" w:space="0"/>
              <w:right w:val="single" w:color="000000" w:sz="8" w:space="0"/>
            </w:tcBorders>
            <w:noWrap w:val="0"/>
            <w:tcMar>
              <w:left w:w="108" w:type="dxa"/>
              <w:right w:w="108" w:type="dxa"/>
            </w:tcMar>
            <w:vAlign w:val="center"/>
          </w:tcPr>
          <w:p w14:paraId="5F9DD20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6915" w:type="dxa"/>
            <w:gridSpan w:val="2"/>
            <w:tcBorders>
              <w:top w:val="single" w:color="auto" w:sz="4" w:space="0"/>
              <w:left w:val="nil"/>
              <w:bottom w:val="single" w:color="000000" w:sz="8" w:space="0"/>
              <w:right w:val="single" w:color="000000" w:sz="8" w:space="0"/>
            </w:tcBorders>
            <w:noWrap w:val="0"/>
            <w:tcMar>
              <w:left w:w="108" w:type="dxa"/>
              <w:right w:w="108" w:type="dxa"/>
            </w:tcMar>
            <w:vAlign w:val="center"/>
          </w:tcPr>
          <w:p w14:paraId="7542144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9ED704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2524" w:type="dxa"/>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14:paraId="5DA96FE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投标报价（万元）</w:t>
            </w:r>
          </w:p>
        </w:tc>
        <w:tc>
          <w:tcPr>
            <w:tcW w:w="6915" w:type="dxa"/>
            <w:gridSpan w:val="2"/>
            <w:tcBorders>
              <w:top w:val="nil"/>
              <w:left w:val="nil"/>
              <w:bottom w:val="single" w:color="000000" w:sz="8" w:space="0"/>
              <w:right w:val="single" w:color="000000" w:sz="8" w:space="0"/>
            </w:tcBorders>
            <w:noWrap w:val="0"/>
            <w:tcMar>
              <w:left w:w="108" w:type="dxa"/>
              <w:right w:w="108" w:type="dxa"/>
            </w:tcMar>
            <w:vAlign w:val="center"/>
          </w:tcPr>
          <w:p w14:paraId="77967EE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33A3C65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2524" w:type="dxa"/>
            <w:gridSpan w:val="2"/>
            <w:tcBorders>
              <w:top w:val="nil"/>
              <w:left w:val="single" w:color="000000" w:sz="8" w:space="0"/>
              <w:bottom w:val="single" w:color="000000" w:sz="8" w:space="0"/>
              <w:right w:val="single" w:color="000000" w:sz="8" w:space="0"/>
            </w:tcBorders>
            <w:noWrap w:val="0"/>
            <w:tcMar>
              <w:left w:w="108" w:type="dxa"/>
              <w:right w:w="108" w:type="dxa"/>
            </w:tcMar>
            <w:vAlign w:val="center"/>
          </w:tcPr>
          <w:p w14:paraId="0A27AC6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其中暂估价（万元）</w:t>
            </w:r>
          </w:p>
        </w:tc>
        <w:tc>
          <w:tcPr>
            <w:tcW w:w="6915" w:type="dxa"/>
            <w:gridSpan w:val="2"/>
            <w:tcBorders>
              <w:top w:val="nil"/>
              <w:left w:val="nil"/>
              <w:bottom w:val="single" w:color="000000" w:sz="8" w:space="0"/>
              <w:right w:val="single" w:color="000000" w:sz="8" w:space="0"/>
            </w:tcBorders>
            <w:noWrap w:val="0"/>
            <w:tcMar>
              <w:left w:w="108" w:type="dxa"/>
              <w:right w:w="108" w:type="dxa"/>
            </w:tcMar>
            <w:vAlign w:val="center"/>
          </w:tcPr>
          <w:p w14:paraId="29DFDD1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B6619F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2524" w:type="dxa"/>
            <w:gridSpan w:val="2"/>
            <w:vMerge w:val="restart"/>
            <w:tcBorders>
              <w:top w:val="nil"/>
              <w:left w:val="single" w:color="000000" w:sz="8" w:space="0"/>
              <w:right w:val="single" w:color="000000" w:sz="8" w:space="0"/>
            </w:tcBorders>
            <w:noWrap w:val="0"/>
            <w:tcMar>
              <w:left w:w="108" w:type="dxa"/>
              <w:right w:w="108" w:type="dxa"/>
            </w:tcMar>
            <w:vAlign w:val="center"/>
          </w:tcPr>
          <w:p w14:paraId="6C0720E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类似工程</w:t>
            </w:r>
          </w:p>
          <w:p w14:paraId="1F9082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w:t>
            </w:r>
          </w:p>
        </w:tc>
        <w:tc>
          <w:tcPr>
            <w:tcW w:w="1155" w:type="dxa"/>
            <w:tcBorders>
              <w:top w:val="nil"/>
              <w:left w:val="nil"/>
              <w:bottom w:val="single" w:color="auto" w:sz="4" w:space="0"/>
              <w:right w:val="single" w:color="000000" w:sz="8" w:space="0"/>
            </w:tcBorders>
            <w:noWrap w:val="0"/>
            <w:tcMar>
              <w:left w:w="108" w:type="dxa"/>
              <w:right w:w="108" w:type="dxa"/>
            </w:tcMar>
            <w:vAlign w:val="center"/>
          </w:tcPr>
          <w:p w14:paraId="70CE7E2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760" w:type="dxa"/>
            <w:tcBorders>
              <w:top w:val="nil"/>
              <w:left w:val="nil"/>
              <w:bottom w:val="single" w:color="auto" w:sz="4" w:space="0"/>
              <w:right w:val="single" w:color="000000" w:sz="8" w:space="0"/>
            </w:tcBorders>
            <w:noWrap w:val="0"/>
            <w:vAlign w:val="center"/>
          </w:tcPr>
          <w:p w14:paraId="1631B52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A046E0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noWrap w:val="0"/>
            <w:tcMar>
              <w:left w:w="108" w:type="dxa"/>
              <w:right w:w="108" w:type="dxa"/>
            </w:tcMar>
            <w:vAlign w:val="center"/>
          </w:tcPr>
          <w:p w14:paraId="6328FD7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nil"/>
              <w:left w:val="nil"/>
              <w:bottom w:val="single" w:color="auto" w:sz="4" w:space="0"/>
              <w:right w:val="single" w:color="000000" w:sz="8" w:space="0"/>
            </w:tcBorders>
            <w:noWrap w:val="0"/>
            <w:tcMar>
              <w:left w:w="108" w:type="dxa"/>
              <w:right w:w="108" w:type="dxa"/>
            </w:tcMar>
            <w:vAlign w:val="center"/>
          </w:tcPr>
          <w:p w14:paraId="1A41C48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2</w:t>
            </w:r>
          </w:p>
        </w:tc>
        <w:tc>
          <w:tcPr>
            <w:tcW w:w="5760" w:type="dxa"/>
            <w:tcBorders>
              <w:top w:val="nil"/>
              <w:left w:val="nil"/>
              <w:bottom w:val="single" w:color="auto" w:sz="4" w:space="0"/>
              <w:right w:val="single" w:color="000000" w:sz="8" w:space="0"/>
            </w:tcBorders>
            <w:noWrap w:val="0"/>
            <w:vAlign w:val="center"/>
          </w:tcPr>
          <w:p w14:paraId="5207B24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4DFAAF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noWrap w:val="0"/>
            <w:tcMar>
              <w:left w:w="108" w:type="dxa"/>
              <w:right w:w="108" w:type="dxa"/>
            </w:tcMar>
            <w:vAlign w:val="center"/>
          </w:tcPr>
          <w:p w14:paraId="6212DBC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nil"/>
              <w:left w:val="nil"/>
              <w:bottom w:val="single" w:color="auto" w:sz="4" w:space="0"/>
              <w:right w:val="single" w:color="000000" w:sz="8" w:space="0"/>
            </w:tcBorders>
            <w:noWrap w:val="0"/>
            <w:tcMar>
              <w:left w:w="108" w:type="dxa"/>
              <w:right w:w="108" w:type="dxa"/>
            </w:tcMar>
            <w:vAlign w:val="center"/>
          </w:tcPr>
          <w:p w14:paraId="6CE2FE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3</w:t>
            </w:r>
          </w:p>
        </w:tc>
        <w:tc>
          <w:tcPr>
            <w:tcW w:w="5760" w:type="dxa"/>
            <w:tcBorders>
              <w:top w:val="nil"/>
              <w:left w:val="nil"/>
              <w:bottom w:val="single" w:color="auto" w:sz="4" w:space="0"/>
              <w:right w:val="single" w:color="000000" w:sz="8" w:space="0"/>
            </w:tcBorders>
            <w:noWrap w:val="0"/>
            <w:vAlign w:val="center"/>
          </w:tcPr>
          <w:p w14:paraId="42B21FF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C464F3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000000" w:sz="8" w:space="0"/>
              <w:right w:val="single" w:color="000000" w:sz="8" w:space="0"/>
            </w:tcBorders>
            <w:noWrap w:val="0"/>
            <w:tcMar>
              <w:left w:w="108" w:type="dxa"/>
              <w:right w:w="108" w:type="dxa"/>
            </w:tcMar>
            <w:vAlign w:val="center"/>
          </w:tcPr>
          <w:p w14:paraId="0F7D656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tcBorders>
              <w:top w:val="nil"/>
              <w:left w:val="nil"/>
              <w:bottom w:val="single" w:color="auto" w:sz="4" w:space="0"/>
              <w:right w:val="single" w:color="000000" w:sz="8" w:space="0"/>
            </w:tcBorders>
            <w:noWrap w:val="0"/>
            <w:tcMar>
              <w:left w:w="108" w:type="dxa"/>
              <w:right w:w="108" w:type="dxa"/>
            </w:tcMar>
            <w:vAlign w:val="center"/>
          </w:tcPr>
          <w:p w14:paraId="42E1BF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5760" w:type="dxa"/>
            <w:tcBorders>
              <w:top w:val="nil"/>
              <w:left w:val="nil"/>
              <w:bottom w:val="single" w:color="auto" w:sz="4" w:space="0"/>
              <w:right w:val="single" w:color="000000" w:sz="8" w:space="0"/>
            </w:tcBorders>
            <w:noWrap w:val="0"/>
            <w:vAlign w:val="center"/>
          </w:tcPr>
          <w:p w14:paraId="4062496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D3E1D5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restart"/>
            <w:tcBorders>
              <w:top w:val="single" w:color="auto" w:sz="4" w:space="0"/>
              <w:left w:val="single" w:color="auto" w:sz="4" w:space="0"/>
              <w:right w:val="single" w:color="000000" w:sz="8" w:space="0"/>
            </w:tcBorders>
            <w:noWrap w:val="0"/>
            <w:tcMar>
              <w:left w:w="108" w:type="dxa"/>
              <w:right w:w="108" w:type="dxa"/>
            </w:tcMar>
            <w:vAlign w:val="center"/>
          </w:tcPr>
          <w:p w14:paraId="15CDDC8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表彰奖励 </w:t>
            </w:r>
          </w:p>
          <w:p w14:paraId="6B4D61B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情况</w:t>
            </w:r>
          </w:p>
        </w:tc>
        <w:tc>
          <w:tcPr>
            <w:tcW w:w="1155" w:type="dxa"/>
            <w:vMerge w:val="restart"/>
            <w:tcBorders>
              <w:top w:val="single" w:color="auto" w:sz="4" w:space="0"/>
              <w:left w:val="nil"/>
              <w:right w:val="single" w:color="auto" w:sz="4" w:space="0"/>
            </w:tcBorders>
            <w:noWrap w:val="0"/>
            <w:tcMar>
              <w:left w:w="108" w:type="dxa"/>
              <w:right w:w="108" w:type="dxa"/>
            </w:tcMar>
            <w:vAlign w:val="center"/>
          </w:tcPr>
          <w:p w14:paraId="4021BB1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国家级</w:t>
            </w:r>
          </w:p>
        </w:tc>
        <w:tc>
          <w:tcPr>
            <w:tcW w:w="5760" w:type="dxa"/>
            <w:tcBorders>
              <w:top w:val="single" w:color="auto" w:sz="4" w:space="0"/>
              <w:left w:val="nil"/>
              <w:bottom w:val="single" w:color="auto" w:sz="4" w:space="0"/>
              <w:right w:val="single" w:color="auto" w:sz="4" w:space="0"/>
            </w:tcBorders>
            <w:noWrap w:val="0"/>
            <w:vAlign w:val="center"/>
          </w:tcPr>
          <w:p w14:paraId="2E9FD36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r w14:paraId="35146EE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14:paraId="55CA6EE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right w:val="single" w:color="auto" w:sz="4" w:space="0"/>
            </w:tcBorders>
            <w:noWrap w:val="0"/>
            <w:tcMar>
              <w:left w:w="108" w:type="dxa"/>
              <w:right w:w="108" w:type="dxa"/>
            </w:tcMar>
            <w:vAlign w:val="center"/>
          </w:tcPr>
          <w:p w14:paraId="2545823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14:paraId="077D7A0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r>
      <w:tr w14:paraId="3B8E95C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14:paraId="0DFC00F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bottom w:val="single" w:color="auto" w:sz="4" w:space="0"/>
              <w:right w:val="single" w:color="auto" w:sz="4" w:space="0"/>
            </w:tcBorders>
            <w:noWrap w:val="0"/>
            <w:tcMar>
              <w:left w:w="108" w:type="dxa"/>
              <w:right w:w="108" w:type="dxa"/>
            </w:tcMar>
            <w:vAlign w:val="center"/>
          </w:tcPr>
          <w:p w14:paraId="2B6027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14:paraId="6E958AF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08EFFEE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14:paraId="418C11A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restart"/>
            <w:tcBorders>
              <w:top w:val="single" w:color="auto" w:sz="4" w:space="0"/>
              <w:left w:val="nil"/>
              <w:right w:val="single" w:color="auto" w:sz="4" w:space="0"/>
            </w:tcBorders>
            <w:noWrap w:val="0"/>
            <w:tcMar>
              <w:left w:w="108" w:type="dxa"/>
              <w:right w:w="108" w:type="dxa"/>
            </w:tcMar>
            <w:vAlign w:val="center"/>
          </w:tcPr>
          <w:p w14:paraId="628AB1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省级</w:t>
            </w:r>
          </w:p>
        </w:tc>
        <w:tc>
          <w:tcPr>
            <w:tcW w:w="5760" w:type="dxa"/>
            <w:tcBorders>
              <w:top w:val="single" w:color="auto" w:sz="4" w:space="0"/>
              <w:left w:val="nil"/>
              <w:bottom w:val="single" w:color="auto" w:sz="4" w:space="0"/>
              <w:right w:val="single" w:color="auto" w:sz="4" w:space="0"/>
            </w:tcBorders>
            <w:noWrap w:val="0"/>
            <w:vAlign w:val="center"/>
          </w:tcPr>
          <w:p w14:paraId="10D8596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r w14:paraId="69E70C4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14:paraId="344E854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right w:val="single" w:color="auto" w:sz="4" w:space="0"/>
            </w:tcBorders>
            <w:noWrap w:val="0"/>
            <w:tcMar>
              <w:left w:w="108" w:type="dxa"/>
              <w:right w:w="108" w:type="dxa"/>
            </w:tcMar>
            <w:vAlign w:val="center"/>
          </w:tcPr>
          <w:p w14:paraId="086D057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14:paraId="66145EE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r>
      <w:tr w14:paraId="37D7EF5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524" w:type="dxa"/>
            <w:gridSpan w:val="2"/>
            <w:vMerge w:val="continue"/>
            <w:tcBorders>
              <w:left w:val="single" w:color="auto" w:sz="4" w:space="0"/>
              <w:right w:val="single" w:color="000000" w:sz="8" w:space="0"/>
            </w:tcBorders>
            <w:noWrap w:val="0"/>
            <w:tcMar>
              <w:left w:w="108" w:type="dxa"/>
              <w:right w:w="108" w:type="dxa"/>
            </w:tcMar>
            <w:vAlign w:val="center"/>
          </w:tcPr>
          <w:p w14:paraId="72DF158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55" w:type="dxa"/>
            <w:vMerge w:val="continue"/>
            <w:tcBorders>
              <w:left w:val="nil"/>
              <w:bottom w:val="single" w:color="auto" w:sz="4" w:space="0"/>
              <w:right w:val="single" w:color="auto" w:sz="4" w:space="0"/>
            </w:tcBorders>
            <w:noWrap w:val="0"/>
            <w:tcMar>
              <w:left w:w="108" w:type="dxa"/>
              <w:right w:w="108" w:type="dxa"/>
            </w:tcMar>
            <w:vAlign w:val="center"/>
          </w:tcPr>
          <w:p w14:paraId="61A2DA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760" w:type="dxa"/>
            <w:tcBorders>
              <w:top w:val="single" w:color="auto" w:sz="4" w:space="0"/>
              <w:left w:val="nil"/>
              <w:bottom w:val="single" w:color="auto" w:sz="4" w:space="0"/>
              <w:right w:val="single" w:color="auto" w:sz="4" w:space="0"/>
            </w:tcBorders>
            <w:noWrap w:val="0"/>
            <w:vAlign w:val="center"/>
          </w:tcPr>
          <w:p w14:paraId="171BA51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16EF3D0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41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7C645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F68A7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29E86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D6D8F4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97"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FE91E6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09C65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类似工程业绩</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1354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3F7D31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44"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6B724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1F945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 xml:space="preserve">表彰奖励 </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F4DDA4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982397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283" w:hRule="atLeast"/>
          <w:jc w:val="center"/>
        </w:trPr>
        <w:tc>
          <w:tcPr>
            <w:tcW w:w="1412" w:type="dxa"/>
            <w:tcBorders>
              <w:top w:val="single" w:color="auto" w:sz="4" w:space="0"/>
              <w:left w:val="single" w:color="auto" w:sz="4" w:space="0"/>
              <w:right w:val="single" w:color="auto" w:sz="4" w:space="0"/>
            </w:tcBorders>
            <w:noWrap w:val="0"/>
            <w:tcMar>
              <w:left w:w="108" w:type="dxa"/>
              <w:right w:w="108" w:type="dxa"/>
            </w:tcMar>
            <w:vAlign w:val="center"/>
          </w:tcPr>
          <w:p w14:paraId="46F8203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112" w:type="dxa"/>
            <w:tcBorders>
              <w:top w:val="single" w:color="auto" w:sz="4" w:space="0"/>
              <w:left w:val="single" w:color="auto" w:sz="4" w:space="0"/>
              <w:right w:val="single" w:color="auto" w:sz="4" w:space="0"/>
            </w:tcBorders>
            <w:noWrap w:val="0"/>
            <w:tcMar>
              <w:left w:w="108" w:type="dxa"/>
              <w:right w:w="108" w:type="dxa"/>
            </w:tcMar>
            <w:vAlign w:val="center"/>
          </w:tcPr>
          <w:p w14:paraId="12ED57C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491F5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FF657E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141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FED50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投标担</w:t>
            </w:r>
          </w:p>
          <w:p w14:paraId="539F0E7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保信息</w:t>
            </w: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AAEDB6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担保机构</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723A9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4B9AC0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87"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547B0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BA868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经营地址</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A8046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3BDB15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41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1109A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626E1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6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ECAF9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14:paraId="72D7FAEC">
      <w:pPr>
        <w:rPr>
          <w:rFonts w:eastAsia="仿宋"/>
          <w:color w:val="auto"/>
          <w:highlight w:val="none"/>
        </w:rPr>
      </w:pPr>
    </w:p>
    <w:p w14:paraId="48CC39D6">
      <w:pPr>
        <w:pStyle w:val="3"/>
        <w:spacing w:before="0" w:after="0" w:line="360" w:lineRule="auto"/>
        <w:jc w:val="center"/>
        <w:outlineLvl w:val="2"/>
        <w:rPr>
          <w:rFonts w:ascii="Times New Roman" w:hAnsi="Times New Roman" w:eastAsia="黑体"/>
          <w:b w:val="0"/>
          <w:bCs w:val="0"/>
          <w:color w:val="auto"/>
          <w:sz w:val="30"/>
          <w:szCs w:val="30"/>
          <w:highlight w:val="none"/>
        </w:rPr>
      </w:pPr>
      <w:bookmarkStart w:id="902" w:name="_Toc80006164"/>
      <w:bookmarkStart w:id="903" w:name="_Toc80006274"/>
      <w:bookmarkStart w:id="904" w:name="_Toc21893"/>
      <w:bookmarkStart w:id="905" w:name="_Toc9178589"/>
      <w:r>
        <w:rPr>
          <w:rFonts w:hint="eastAsia" w:ascii="Times New Roman" w:hAnsi="Times New Roman" w:eastAsia="黑体"/>
          <w:b w:val="0"/>
          <w:bCs w:val="0"/>
          <w:color w:val="auto"/>
          <w:sz w:val="30"/>
          <w:szCs w:val="30"/>
          <w:highlight w:val="none"/>
        </w:rPr>
        <w:t>1</w:t>
      </w:r>
      <w:r>
        <w:rPr>
          <w:rFonts w:ascii="Times New Roman" w:hAnsi="Times New Roman" w:eastAsia="黑体"/>
          <w:b w:val="0"/>
          <w:bCs w:val="0"/>
          <w:color w:val="auto"/>
          <w:sz w:val="30"/>
          <w:szCs w:val="30"/>
          <w:highlight w:val="none"/>
        </w:rPr>
        <w:t>2</w:t>
      </w:r>
      <w:r>
        <w:rPr>
          <w:rFonts w:hint="eastAsia" w:ascii="Times New Roman" w:hAnsi="Times New Roman" w:eastAsia="黑体"/>
          <w:b w:val="0"/>
          <w:bCs w:val="0"/>
          <w:color w:val="auto"/>
          <w:sz w:val="30"/>
          <w:szCs w:val="30"/>
          <w:highlight w:val="none"/>
        </w:rPr>
        <w:t>.</w:t>
      </w:r>
      <w:r>
        <w:rPr>
          <w:rFonts w:ascii="Times New Roman" w:hAnsi="Times New Roman" w:eastAsia="黑体"/>
          <w:b w:val="0"/>
          <w:bCs w:val="0"/>
          <w:color w:val="auto"/>
          <w:sz w:val="30"/>
          <w:szCs w:val="30"/>
          <w:highlight w:val="none"/>
        </w:rPr>
        <w:t>其他</w:t>
      </w:r>
      <w:bookmarkEnd w:id="902"/>
      <w:bookmarkEnd w:id="903"/>
      <w:bookmarkEnd w:id="904"/>
      <w:bookmarkEnd w:id="905"/>
    </w:p>
    <w:p w14:paraId="3B55D794">
      <w:pPr>
        <w:widowControl/>
        <w:rPr>
          <w:color w:val="auto"/>
          <w:highlight w:val="none"/>
        </w:rPr>
      </w:pPr>
    </w:p>
    <w:p w14:paraId="7F673502">
      <w:pPr>
        <w:rPr>
          <w:color w:val="auto"/>
          <w:highlight w:val="none"/>
        </w:rPr>
      </w:pPr>
    </w:p>
    <w:p w14:paraId="70B175C7">
      <w:pPr>
        <w:rPr>
          <w:color w:val="auto"/>
          <w:highlight w:val="none"/>
        </w:rPr>
      </w:pPr>
    </w:p>
    <w:p w14:paraId="0943A2C5">
      <w:pPr>
        <w:jc w:val="left"/>
        <w:rPr>
          <w:color w:val="auto"/>
          <w:highlight w:val="none"/>
        </w:rPr>
      </w:pPr>
      <w:r>
        <w:rPr>
          <w:color w:val="auto"/>
          <w:highlight w:val="none"/>
        </w:rPr>
        <w:br w:type="page"/>
      </w:r>
    </w:p>
    <w:p w14:paraId="0CA5BDF2">
      <w:pPr>
        <w:widowControl/>
        <w:rPr>
          <w:color w:val="auto"/>
          <w:highlight w:val="none"/>
        </w:rPr>
      </w:pPr>
    </w:p>
    <w:p w14:paraId="73C23E77">
      <w:pPr>
        <w:widowControl/>
        <w:rPr>
          <w:color w:val="auto"/>
          <w:highlight w:val="none"/>
        </w:rPr>
      </w:pPr>
    </w:p>
    <w:p w14:paraId="65ECBC3C">
      <w:pPr>
        <w:widowControl/>
        <w:rPr>
          <w:color w:val="auto"/>
          <w:highlight w:val="none"/>
        </w:rPr>
      </w:pPr>
    </w:p>
    <w:p w14:paraId="21235573">
      <w:pPr>
        <w:pStyle w:val="2"/>
        <w:jc w:val="center"/>
        <w:outlineLvl w:val="1"/>
        <w:rPr>
          <w:rFonts w:ascii="Times New Roman" w:hAnsi="Times New Roman" w:eastAsia="黑体"/>
          <w:b w:val="0"/>
          <w:color w:val="auto"/>
          <w:highlight w:val="none"/>
        </w:rPr>
      </w:pPr>
      <w:bookmarkStart w:id="906" w:name="_Toc300678593"/>
      <w:bookmarkStart w:id="907" w:name="_Toc80006165"/>
      <w:bookmarkStart w:id="908" w:name="_Toc22721"/>
      <w:bookmarkStart w:id="909" w:name="_Toc80006275"/>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906"/>
      <w:r>
        <w:rPr>
          <w:rFonts w:ascii="Times New Roman" w:hAnsi="Times New Roman" w:eastAsia="黑体"/>
          <w:b w:val="0"/>
          <w:color w:val="auto"/>
          <w:highlight w:val="none"/>
        </w:rPr>
        <w:t>格式</w:t>
      </w:r>
      <w:bookmarkEnd w:id="907"/>
      <w:bookmarkEnd w:id="908"/>
      <w:bookmarkEnd w:id="909"/>
    </w:p>
    <w:p w14:paraId="2C6E9558">
      <w:pPr>
        <w:widowControl/>
        <w:rPr>
          <w:color w:val="auto"/>
          <w:highlight w:val="none"/>
        </w:rPr>
      </w:pPr>
    </w:p>
    <w:p w14:paraId="71DD78E9">
      <w:pPr>
        <w:widowControl/>
        <w:rPr>
          <w:color w:val="auto"/>
          <w:highlight w:val="none"/>
        </w:rPr>
      </w:pPr>
    </w:p>
    <w:p w14:paraId="3182BB77">
      <w:pPr>
        <w:widowControl/>
        <w:rPr>
          <w:color w:val="auto"/>
          <w:highlight w:val="none"/>
        </w:rPr>
      </w:pPr>
    </w:p>
    <w:p w14:paraId="03999CA4">
      <w:pPr>
        <w:widowControl/>
        <w:rPr>
          <w:color w:val="auto"/>
          <w:highlight w:val="none"/>
        </w:rPr>
      </w:pPr>
    </w:p>
    <w:p w14:paraId="5F42E06F">
      <w:pPr>
        <w:widowControl/>
        <w:rPr>
          <w:color w:val="auto"/>
          <w:highlight w:val="none"/>
        </w:rPr>
      </w:pPr>
    </w:p>
    <w:p w14:paraId="1DDE388A">
      <w:pPr>
        <w:widowControl/>
        <w:rPr>
          <w:color w:val="auto"/>
          <w:highlight w:val="none"/>
        </w:rPr>
      </w:pPr>
    </w:p>
    <w:p w14:paraId="3E1E5A32">
      <w:pPr>
        <w:widowControl/>
        <w:rPr>
          <w:color w:val="auto"/>
          <w:highlight w:val="none"/>
        </w:rPr>
      </w:pPr>
    </w:p>
    <w:p w14:paraId="1E620DAF">
      <w:pPr>
        <w:widowControl/>
        <w:rPr>
          <w:color w:val="auto"/>
          <w:highlight w:val="none"/>
        </w:rPr>
      </w:pPr>
    </w:p>
    <w:p w14:paraId="47843969">
      <w:pPr>
        <w:widowControl/>
        <w:rPr>
          <w:color w:val="auto"/>
          <w:highlight w:val="none"/>
        </w:rPr>
      </w:pPr>
    </w:p>
    <w:p w14:paraId="63A140FF">
      <w:pPr>
        <w:widowControl/>
        <w:rPr>
          <w:color w:val="auto"/>
          <w:highlight w:val="none"/>
        </w:rPr>
      </w:pPr>
    </w:p>
    <w:p w14:paraId="69AE1058">
      <w:pPr>
        <w:widowControl/>
        <w:rPr>
          <w:color w:val="auto"/>
          <w:highlight w:val="none"/>
        </w:rPr>
      </w:pPr>
    </w:p>
    <w:p w14:paraId="05D9EF06">
      <w:pPr>
        <w:widowControl/>
        <w:rPr>
          <w:color w:val="auto"/>
          <w:highlight w:val="none"/>
        </w:rPr>
      </w:pPr>
      <w:r>
        <w:rPr>
          <w:color w:val="auto"/>
          <w:highlight w:val="none"/>
        </w:rPr>
        <w:br w:type="page"/>
      </w:r>
    </w:p>
    <w:p w14:paraId="0871CB76">
      <w:pPr>
        <w:widowControl/>
        <w:rPr>
          <w:color w:val="auto"/>
          <w:highlight w:val="none"/>
        </w:rPr>
      </w:pPr>
    </w:p>
    <w:p w14:paraId="04CED543">
      <w:pPr>
        <w:widowControl/>
        <w:rPr>
          <w:color w:val="auto"/>
          <w:highlight w:val="none"/>
        </w:rPr>
      </w:pPr>
    </w:p>
    <w:p w14:paraId="0886C1FF">
      <w:pPr>
        <w:widowControl/>
        <w:rPr>
          <w:color w:val="auto"/>
          <w:highlight w:val="none"/>
        </w:rPr>
      </w:pPr>
    </w:p>
    <w:p w14:paraId="62A89469">
      <w:pPr>
        <w:widowControl/>
        <w:rPr>
          <w:color w:val="auto"/>
          <w:highlight w:val="none"/>
        </w:rPr>
      </w:pPr>
    </w:p>
    <w:p w14:paraId="5413AEE7">
      <w:pPr>
        <w:widowControl/>
        <w:rPr>
          <w:color w:val="auto"/>
          <w:highlight w:val="none"/>
        </w:rPr>
      </w:pPr>
    </w:p>
    <w:p w14:paraId="3C450163">
      <w:pPr>
        <w:jc w:val="center"/>
        <w:outlineLvl w:val="2"/>
        <w:rPr>
          <w:rFonts w:eastAsia="黑体"/>
          <w:color w:val="auto"/>
          <w:sz w:val="28"/>
          <w:szCs w:val="28"/>
          <w:highlight w:val="none"/>
        </w:rPr>
      </w:pPr>
      <w:r>
        <w:rPr>
          <w:rFonts w:eastAsia="黑体"/>
          <w:color w:val="auto"/>
          <w:sz w:val="28"/>
          <w:szCs w:val="28"/>
          <w:highlight w:val="none"/>
          <w:u w:val="single"/>
        </w:rPr>
        <w:t xml:space="preserve">            </w:t>
      </w:r>
      <w:bookmarkStart w:id="910" w:name="_Toc13202"/>
      <w:r>
        <w:rPr>
          <w:rFonts w:eastAsia="黑体"/>
          <w:color w:val="auto"/>
          <w:sz w:val="28"/>
          <w:szCs w:val="28"/>
          <w:highlight w:val="none"/>
        </w:rPr>
        <w:t>（项目名称）施工招标</w:t>
      </w:r>
      <w:bookmarkEnd w:id="910"/>
    </w:p>
    <w:p w14:paraId="7B5EEEE9">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14:paraId="29413CB2">
      <w:pPr>
        <w:jc w:val="center"/>
        <w:rPr>
          <w:rFonts w:eastAsia="黑体"/>
          <w:color w:val="auto"/>
          <w:sz w:val="32"/>
          <w:szCs w:val="32"/>
          <w:highlight w:val="none"/>
        </w:rPr>
      </w:pPr>
      <w:r>
        <w:rPr>
          <w:rFonts w:eastAsia="黑体"/>
          <w:color w:val="auto"/>
          <w:sz w:val="32"/>
          <w:szCs w:val="32"/>
          <w:highlight w:val="none"/>
        </w:rPr>
        <w:t>（投标报价）</w:t>
      </w:r>
    </w:p>
    <w:p w14:paraId="75B05075">
      <w:pPr>
        <w:widowControl/>
        <w:rPr>
          <w:color w:val="auto"/>
          <w:highlight w:val="none"/>
        </w:rPr>
      </w:pPr>
    </w:p>
    <w:p w14:paraId="73404FDF">
      <w:pPr>
        <w:widowControl/>
        <w:rPr>
          <w:color w:val="auto"/>
          <w:highlight w:val="none"/>
        </w:rPr>
      </w:pPr>
    </w:p>
    <w:p w14:paraId="324177AC">
      <w:pPr>
        <w:widowControl/>
        <w:rPr>
          <w:color w:val="auto"/>
          <w:highlight w:val="none"/>
        </w:rPr>
      </w:pPr>
    </w:p>
    <w:p w14:paraId="3E1DCE75">
      <w:pPr>
        <w:widowControl/>
        <w:rPr>
          <w:color w:val="auto"/>
          <w:highlight w:val="none"/>
        </w:rPr>
      </w:pPr>
    </w:p>
    <w:p w14:paraId="25D693BC">
      <w:pPr>
        <w:widowControl/>
        <w:rPr>
          <w:color w:val="auto"/>
          <w:highlight w:val="none"/>
        </w:rPr>
      </w:pPr>
    </w:p>
    <w:p w14:paraId="3DA0F69E">
      <w:pPr>
        <w:widowControl/>
        <w:rPr>
          <w:color w:val="auto"/>
          <w:highlight w:val="none"/>
        </w:rPr>
      </w:pPr>
    </w:p>
    <w:p w14:paraId="1628B845">
      <w:pPr>
        <w:widowControl/>
        <w:rPr>
          <w:color w:val="auto"/>
          <w:highlight w:val="none"/>
        </w:rPr>
      </w:pPr>
    </w:p>
    <w:p w14:paraId="2FC7ED2A">
      <w:pPr>
        <w:widowControl/>
        <w:rPr>
          <w:color w:val="auto"/>
          <w:highlight w:val="none"/>
        </w:rPr>
      </w:pPr>
    </w:p>
    <w:p w14:paraId="6862E5A4">
      <w:pPr>
        <w:widowControl/>
        <w:rPr>
          <w:color w:val="auto"/>
          <w:highlight w:val="none"/>
        </w:rPr>
      </w:pPr>
    </w:p>
    <w:p w14:paraId="6CCB3846">
      <w:pPr>
        <w:widowControl/>
        <w:rPr>
          <w:color w:val="auto"/>
          <w:highlight w:val="none"/>
        </w:rPr>
      </w:pPr>
    </w:p>
    <w:p w14:paraId="491EAE6F">
      <w:pPr>
        <w:widowControl/>
        <w:rPr>
          <w:color w:val="auto"/>
          <w:highlight w:val="none"/>
        </w:rPr>
      </w:pPr>
    </w:p>
    <w:p w14:paraId="2DD343E5">
      <w:pPr>
        <w:widowControl/>
        <w:rPr>
          <w:color w:val="auto"/>
          <w:highlight w:val="none"/>
        </w:rPr>
      </w:pPr>
    </w:p>
    <w:p w14:paraId="7CDD1AEA">
      <w:pPr>
        <w:widowControl/>
        <w:rPr>
          <w:color w:val="auto"/>
          <w:highlight w:val="none"/>
        </w:rPr>
      </w:pPr>
    </w:p>
    <w:p w14:paraId="549D2473">
      <w:pPr>
        <w:widowControl/>
        <w:rPr>
          <w:color w:val="auto"/>
          <w:highlight w:val="none"/>
        </w:rPr>
      </w:pPr>
    </w:p>
    <w:p w14:paraId="17B86047">
      <w:pPr>
        <w:widowControl/>
        <w:rPr>
          <w:color w:val="auto"/>
          <w:highlight w:val="none"/>
        </w:rPr>
      </w:pPr>
    </w:p>
    <w:p w14:paraId="22513C64">
      <w:pPr>
        <w:widowControl/>
        <w:rPr>
          <w:color w:val="auto"/>
          <w:highlight w:val="none"/>
        </w:rPr>
      </w:pPr>
    </w:p>
    <w:p w14:paraId="76D268BC">
      <w:pPr>
        <w:widowControl/>
        <w:rPr>
          <w:color w:val="auto"/>
          <w:highlight w:val="none"/>
        </w:rPr>
      </w:pPr>
    </w:p>
    <w:p w14:paraId="38247960">
      <w:pPr>
        <w:widowControl/>
        <w:rPr>
          <w:color w:val="auto"/>
          <w:highlight w:val="none"/>
        </w:rPr>
      </w:pPr>
    </w:p>
    <w:p w14:paraId="5D3D3583">
      <w:pPr>
        <w:widowControl/>
        <w:rPr>
          <w:color w:val="auto"/>
          <w:highlight w:val="none"/>
        </w:rPr>
      </w:pPr>
    </w:p>
    <w:p w14:paraId="3A197A5F">
      <w:pPr>
        <w:widowControl/>
        <w:rPr>
          <w:color w:val="auto"/>
          <w:highlight w:val="none"/>
        </w:rPr>
      </w:pPr>
    </w:p>
    <w:p w14:paraId="78DA20A8">
      <w:pPr>
        <w:widowControl/>
        <w:rPr>
          <w:color w:val="auto"/>
          <w:highlight w:val="none"/>
        </w:rPr>
      </w:pPr>
    </w:p>
    <w:p w14:paraId="57956B42">
      <w:pPr>
        <w:widowControl/>
        <w:rPr>
          <w:color w:val="auto"/>
          <w:highlight w:val="none"/>
        </w:rPr>
      </w:pPr>
    </w:p>
    <w:p w14:paraId="2E051B75">
      <w:pPr>
        <w:widowControl/>
        <w:rPr>
          <w:color w:val="auto"/>
          <w:highlight w:val="none"/>
        </w:rPr>
      </w:pPr>
    </w:p>
    <w:p w14:paraId="3C9A0CEE">
      <w:pPr>
        <w:widowControl/>
        <w:rPr>
          <w:color w:val="auto"/>
          <w:highlight w:val="none"/>
        </w:rPr>
      </w:pPr>
    </w:p>
    <w:p w14:paraId="0AE8674A">
      <w:pPr>
        <w:widowControl/>
        <w:rPr>
          <w:color w:val="auto"/>
          <w:highlight w:val="none"/>
        </w:rPr>
      </w:pPr>
    </w:p>
    <w:p w14:paraId="1C6EA706">
      <w:pPr>
        <w:widowControl/>
        <w:rPr>
          <w:color w:val="auto"/>
          <w:highlight w:val="none"/>
        </w:rPr>
      </w:pPr>
    </w:p>
    <w:p w14:paraId="1ED34A47">
      <w:pPr>
        <w:widowControl/>
        <w:rPr>
          <w:color w:val="auto"/>
          <w:highlight w:val="none"/>
        </w:rPr>
      </w:pPr>
    </w:p>
    <w:p w14:paraId="3562A88D">
      <w:pPr>
        <w:widowControl/>
        <w:rPr>
          <w:color w:val="auto"/>
          <w:highlight w:val="none"/>
        </w:rPr>
      </w:pPr>
    </w:p>
    <w:p w14:paraId="265B4A82">
      <w:pPr>
        <w:widowControl/>
        <w:rPr>
          <w:color w:val="auto"/>
          <w:highlight w:val="none"/>
        </w:rPr>
      </w:pPr>
    </w:p>
    <w:p w14:paraId="0F711E60">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14:paraId="7E901F13">
      <w:pPr>
        <w:widowControl/>
        <w:rPr>
          <w:color w:val="auto"/>
          <w:highlight w:val="none"/>
        </w:rPr>
      </w:pPr>
    </w:p>
    <w:p w14:paraId="3A143A3A">
      <w:pPr>
        <w:widowControl/>
        <w:rPr>
          <w:color w:val="auto"/>
          <w:highlight w:val="none"/>
        </w:rPr>
      </w:pPr>
    </w:p>
    <w:p w14:paraId="70645BB4">
      <w:pPr>
        <w:widowControl/>
        <w:rPr>
          <w:rFonts w:eastAsia="黑体"/>
          <w:color w:val="auto"/>
          <w:sz w:val="28"/>
          <w:szCs w:val="28"/>
          <w:highlight w:val="none"/>
        </w:rPr>
      </w:pPr>
      <w:r>
        <w:rPr>
          <w:rFonts w:eastAsia="黑体"/>
          <w:color w:val="auto"/>
          <w:sz w:val="28"/>
          <w:szCs w:val="28"/>
          <w:highlight w:val="none"/>
        </w:rPr>
        <w:br w:type="page"/>
      </w:r>
      <w:bookmarkStart w:id="911" w:name="_Toc300678594"/>
    </w:p>
    <w:p w14:paraId="57EAC61C">
      <w:pPr>
        <w:widowControl/>
        <w:rPr>
          <w:rFonts w:eastAsia="黑体"/>
          <w:color w:val="auto"/>
          <w:sz w:val="28"/>
          <w:szCs w:val="28"/>
          <w:highlight w:val="none"/>
        </w:rPr>
      </w:pPr>
    </w:p>
    <w:p w14:paraId="7575310E">
      <w:pPr>
        <w:widowControl/>
        <w:rPr>
          <w:rFonts w:eastAsia="黑体"/>
          <w:color w:val="auto"/>
          <w:sz w:val="28"/>
          <w:szCs w:val="28"/>
          <w:highlight w:val="none"/>
        </w:rPr>
      </w:pPr>
    </w:p>
    <w:p w14:paraId="100C3C66">
      <w:pPr>
        <w:pStyle w:val="3"/>
        <w:spacing w:before="0" w:after="0" w:line="240" w:lineRule="auto"/>
        <w:jc w:val="center"/>
        <w:rPr>
          <w:rFonts w:ascii="Times New Roman" w:hAnsi="Times New Roman" w:eastAsia="黑体"/>
          <w:b w:val="0"/>
          <w:bCs w:val="0"/>
          <w:color w:val="auto"/>
          <w:sz w:val="36"/>
          <w:szCs w:val="36"/>
          <w:highlight w:val="none"/>
        </w:rPr>
      </w:pPr>
      <w:bookmarkStart w:id="912" w:name="_Toc80006166"/>
      <w:bookmarkStart w:id="913" w:name="_Toc80006276"/>
      <w:bookmarkStart w:id="914" w:name="_Toc13502"/>
      <w:bookmarkStart w:id="915" w:name="_Toc9178591"/>
      <w:r>
        <w:rPr>
          <w:rFonts w:ascii="Times New Roman" w:hAnsi="Times New Roman" w:eastAsia="黑体"/>
          <w:b w:val="0"/>
          <w:bCs w:val="0"/>
          <w:color w:val="auto"/>
          <w:sz w:val="36"/>
          <w:szCs w:val="36"/>
          <w:highlight w:val="none"/>
        </w:rPr>
        <w:t>目    录</w:t>
      </w:r>
      <w:bookmarkEnd w:id="911"/>
      <w:bookmarkEnd w:id="912"/>
      <w:bookmarkEnd w:id="913"/>
      <w:bookmarkEnd w:id="914"/>
      <w:bookmarkEnd w:id="915"/>
    </w:p>
    <w:p w14:paraId="6642B123">
      <w:pPr>
        <w:spacing w:line="360" w:lineRule="auto"/>
        <w:rPr>
          <w:color w:val="auto"/>
          <w:highlight w:val="none"/>
        </w:rPr>
      </w:pPr>
    </w:p>
    <w:p w14:paraId="4ED484F4">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"_Toc300678595"</w:instrText>
      </w:r>
      <w:r>
        <w:rPr>
          <w:color w:val="auto"/>
          <w:highlight w:val="none"/>
        </w:rPr>
        <w:fldChar w:fldCharType="separate"/>
      </w:r>
      <w:r>
        <w:rPr>
          <w:rFonts w:hint="eastAsia"/>
          <w:color w:val="auto"/>
          <w:highlight w:val="none"/>
        </w:rPr>
        <w:t>1.</w:t>
      </w:r>
      <w:r>
        <w:rPr>
          <w:rStyle w:val="13"/>
          <w:color w:val="auto"/>
          <w:highlight w:val="none"/>
          <w:u w:val="none"/>
        </w:rPr>
        <w:t>已标价工程量清单内容</w:t>
      </w:r>
      <w:r>
        <w:rPr>
          <w:color w:val="auto"/>
          <w:highlight w:val="none"/>
        </w:rPr>
        <w:tab/>
      </w:r>
      <w:r>
        <w:rPr>
          <w:color w:val="auto"/>
          <w:highlight w:val="none"/>
        </w:rPr>
        <w:fldChar w:fldCharType="end"/>
      </w:r>
    </w:p>
    <w:p w14:paraId="2D613C80">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HYPERLINK \l "_Toc300678596"</w:instrText>
      </w:r>
      <w:r>
        <w:rPr>
          <w:color w:val="auto"/>
          <w:highlight w:val="none"/>
        </w:rPr>
        <w:fldChar w:fldCharType="separate"/>
      </w:r>
      <w:r>
        <w:rPr>
          <w:rFonts w:hint="eastAsia"/>
          <w:color w:val="auto"/>
          <w:highlight w:val="none"/>
        </w:rPr>
        <w:t>2.</w:t>
      </w:r>
      <w:r>
        <w:rPr>
          <w:rStyle w:val="13"/>
          <w:rFonts w:hint="eastAsia"/>
          <w:color w:val="auto"/>
          <w:highlight w:val="none"/>
          <w:u w:val="none"/>
        </w:rPr>
        <w:t>已</w:t>
      </w:r>
      <w:r>
        <w:rPr>
          <w:rStyle w:val="13"/>
          <w:color w:val="auto"/>
          <w:highlight w:val="none"/>
          <w:u w:val="none"/>
        </w:rPr>
        <w:t>标价工程量清单格式</w:t>
      </w:r>
      <w:r>
        <w:rPr>
          <w:color w:val="auto"/>
          <w:highlight w:val="none"/>
        </w:rPr>
        <w:tab/>
      </w:r>
      <w:r>
        <w:rPr>
          <w:color w:val="auto"/>
          <w:highlight w:val="none"/>
        </w:rPr>
        <w:fldChar w:fldCharType="end"/>
      </w:r>
    </w:p>
    <w:p w14:paraId="3592ECDB">
      <w:pPr>
        <w:autoSpaceDE w:val="0"/>
        <w:autoSpaceDN w:val="0"/>
        <w:adjustRightInd w:val="0"/>
        <w:spacing w:before="64" w:line="360" w:lineRule="auto"/>
        <w:ind w:right="-23" w:firstLine="420" w:firstLineChars="200"/>
        <w:jc w:val="left"/>
        <w:rPr>
          <w:color w:val="auto"/>
          <w:kern w:val="0"/>
          <w:szCs w:val="21"/>
          <w:highlight w:val="none"/>
        </w:rPr>
      </w:pPr>
      <w:r>
        <w:rPr>
          <w:color w:val="auto"/>
          <w:highlight w:val="none"/>
        </w:rPr>
        <w:t xml:space="preserve">   </w:t>
      </w:r>
    </w:p>
    <w:p w14:paraId="5F126507">
      <w:pPr>
        <w:autoSpaceDE w:val="0"/>
        <w:autoSpaceDN w:val="0"/>
        <w:adjustRightInd w:val="0"/>
        <w:spacing w:before="64"/>
        <w:ind w:right="-23" w:firstLine="420" w:firstLineChars="200"/>
        <w:jc w:val="left"/>
        <w:rPr>
          <w:color w:val="auto"/>
          <w:kern w:val="0"/>
          <w:szCs w:val="21"/>
          <w:highlight w:val="none"/>
        </w:rPr>
      </w:pPr>
    </w:p>
    <w:p w14:paraId="703C357D">
      <w:pPr>
        <w:autoSpaceDE w:val="0"/>
        <w:autoSpaceDN w:val="0"/>
        <w:adjustRightInd w:val="0"/>
        <w:spacing w:before="64"/>
        <w:ind w:right="-23" w:firstLine="420" w:firstLineChars="200"/>
        <w:jc w:val="left"/>
        <w:rPr>
          <w:color w:val="auto"/>
          <w:kern w:val="0"/>
          <w:szCs w:val="21"/>
          <w:highlight w:val="none"/>
        </w:rPr>
      </w:pPr>
    </w:p>
    <w:p w14:paraId="056B890A">
      <w:pPr>
        <w:autoSpaceDE w:val="0"/>
        <w:autoSpaceDN w:val="0"/>
        <w:adjustRightInd w:val="0"/>
        <w:spacing w:before="64"/>
        <w:ind w:right="-23" w:firstLine="420" w:firstLineChars="200"/>
        <w:jc w:val="left"/>
        <w:rPr>
          <w:color w:val="auto"/>
          <w:kern w:val="0"/>
          <w:szCs w:val="21"/>
          <w:highlight w:val="none"/>
        </w:rPr>
      </w:pPr>
    </w:p>
    <w:p w14:paraId="2B6E44A8">
      <w:pPr>
        <w:autoSpaceDE w:val="0"/>
        <w:autoSpaceDN w:val="0"/>
        <w:adjustRightInd w:val="0"/>
        <w:spacing w:before="64"/>
        <w:ind w:right="-23" w:firstLine="420" w:firstLineChars="200"/>
        <w:jc w:val="left"/>
        <w:rPr>
          <w:color w:val="auto"/>
          <w:kern w:val="0"/>
          <w:szCs w:val="21"/>
          <w:highlight w:val="none"/>
        </w:rPr>
      </w:pPr>
    </w:p>
    <w:p w14:paraId="05BD66EF">
      <w:pPr>
        <w:autoSpaceDE w:val="0"/>
        <w:autoSpaceDN w:val="0"/>
        <w:adjustRightInd w:val="0"/>
        <w:spacing w:before="64"/>
        <w:ind w:right="-23" w:firstLine="420" w:firstLineChars="200"/>
        <w:jc w:val="left"/>
        <w:rPr>
          <w:color w:val="auto"/>
          <w:kern w:val="0"/>
          <w:szCs w:val="21"/>
          <w:highlight w:val="none"/>
        </w:rPr>
      </w:pPr>
    </w:p>
    <w:p w14:paraId="403FC622">
      <w:pPr>
        <w:autoSpaceDE w:val="0"/>
        <w:autoSpaceDN w:val="0"/>
        <w:adjustRightInd w:val="0"/>
        <w:spacing w:before="64"/>
        <w:ind w:right="-23" w:firstLine="420" w:firstLineChars="200"/>
        <w:jc w:val="left"/>
        <w:rPr>
          <w:color w:val="auto"/>
          <w:kern w:val="0"/>
          <w:szCs w:val="21"/>
          <w:highlight w:val="none"/>
        </w:rPr>
      </w:pPr>
    </w:p>
    <w:p w14:paraId="36989760">
      <w:pPr>
        <w:widowControl/>
        <w:jc w:val="left"/>
        <w:rPr>
          <w:color w:val="auto"/>
          <w:kern w:val="0"/>
          <w:szCs w:val="21"/>
          <w:highlight w:val="none"/>
        </w:rPr>
      </w:pPr>
      <w:r>
        <w:rPr>
          <w:color w:val="auto"/>
          <w:kern w:val="0"/>
          <w:szCs w:val="21"/>
          <w:highlight w:val="none"/>
        </w:rPr>
        <w:br w:type="page"/>
      </w:r>
    </w:p>
    <w:p w14:paraId="07280BCA">
      <w:pPr>
        <w:pStyle w:val="10"/>
        <w:tabs>
          <w:tab w:val="right" w:leader="dot" w:pos="8720"/>
        </w:tabs>
        <w:ind w:left="0" w:leftChars="0"/>
        <w:jc w:val="left"/>
        <w:rPr>
          <w:color w:val="auto"/>
          <w:highlight w:val="none"/>
        </w:rPr>
      </w:pPr>
    </w:p>
    <w:p w14:paraId="57FCA4AB">
      <w:pPr>
        <w:pStyle w:val="4"/>
        <w:keepNext/>
        <w:keepLines/>
        <w:widowControl w:val="0"/>
        <w:jc w:val="left"/>
        <w:rPr>
          <w:rFonts w:eastAsia="黑体"/>
          <w:b w:val="0"/>
          <w:color w:val="auto"/>
          <w:sz w:val="28"/>
          <w:szCs w:val="28"/>
          <w:highlight w:val="none"/>
        </w:rPr>
      </w:pPr>
      <w:bookmarkStart w:id="916" w:name="_Toc9178592"/>
      <w:bookmarkStart w:id="917" w:name="_Toc80006167"/>
      <w:bookmarkStart w:id="918" w:name="_Toc80006277"/>
      <w:bookmarkStart w:id="919" w:name="_Toc32465"/>
      <w:bookmarkStart w:id="920" w:name="_Toc300678595"/>
      <w:r>
        <w:rPr>
          <w:rFonts w:hint="eastAsia" w:eastAsia="黑体"/>
          <w:b w:val="0"/>
          <w:color w:val="auto"/>
          <w:sz w:val="28"/>
          <w:szCs w:val="28"/>
          <w:highlight w:val="none"/>
        </w:rPr>
        <w:t>1.</w:t>
      </w:r>
      <w:r>
        <w:rPr>
          <w:rFonts w:eastAsia="黑体"/>
          <w:b w:val="0"/>
          <w:color w:val="auto"/>
          <w:sz w:val="28"/>
          <w:szCs w:val="28"/>
          <w:highlight w:val="none"/>
        </w:rPr>
        <w:t>已标价工程量清单内容</w:t>
      </w:r>
      <w:bookmarkEnd w:id="916"/>
      <w:bookmarkEnd w:id="917"/>
      <w:bookmarkEnd w:id="918"/>
      <w:bookmarkEnd w:id="919"/>
      <w:bookmarkEnd w:id="920"/>
    </w:p>
    <w:p w14:paraId="700C3ACB">
      <w:pPr>
        <w:autoSpaceDE w:val="0"/>
        <w:autoSpaceDN w:val="0"/>
        <w:adjustRightInd w:val="0"/>
        <w:spacing w:before="64" w:line="360" w:lineRule="auto"/>
        <w:ind w:right="-23"/>
        <w:jc w:val="left"/>
        <w:rPr>
          <w:color w:val="auto"/>
          <w:highlight w:val="none"/>
        </w:rPr>
      </w:pPr>
    </w:p>
    <w:p w14:paraId="3D9958CA">
      <w:pPr>
        <w:autoSpaceDE w:val="0"/>
        <w:autoSpaceDN w:val="0"/>
        <w:adjustRightInd w:val="0"/>
        <w:spacing w:before="64" w:line="360" w:lineRule="auto"/>
        <w:ind w:right="-23"/>
        <w:jc w:val="left"/>
        <w:rPr>
          <w:color w:val="auto"/>
          <w:highlight w:val="none"/>
        </w:rPr>
      </w:pPr>
    </w:p>
    <w:p w14:paraId="0B54F522">
      <w:pPr>
        <w:widowControl/>
        <w:jc w:val="left"/>
        <w:rPr>
          <w:color w:val="auto"/>
          <w:highlight w:val="none"/>
        </w:rPr>
      </w:pPr>
      <w:r>
        <w:rPr>
          <w:color w:val="auto"/>
          <w:highlight w:val="none"/>
        </w:rPr>
        <w:br w:type="page"/>
      </w:r>
    </w:p>
    <w:p w14:paraId="60D5B49A">
      <w:pPr>
        <w:spacing w:after="240" w:afterLines="100"/>
        <w:rPr>
          <w:color w:val="auto"/>
          <w:highlight w:val="none"/>
        </w:rPr>
      </w:pPr>
      <w:bookmarkStart w:id="921" w:name="_Toc300678597"/>
    </w:p>
    <w:bookmarkEnd w:id="921"/>
    <w:p w14:paraId="0F0883DD">
      <w:pPr>
        <w:pStyle w:val="4"/>
        <w:keepNext/>
        <w:keepLines/>
        <w:widowControl w:val="0"/>
        <w:jc w:val="left"/>
        <w:rPr>
          <w:rFonts w:eastAsia="黑体"/>
          <w:b w:val="0"/>
          <w:color w:val="auto"/>
          <w:sz w:val="28"/>
          <w:szCs w:val="28"/>
          <w:highlight w:val="none"/>
        </w:rPr>
      </w:pPr>
      <w:bookmarkStart w:id="922" w:name="_Toc80006278"/>
      <w:bookmarkStart w:id="923" w:name="_Toc80006168"/>
      <w:bookmarkStart w:id="924" w:name="_Toc28804"/>
      <w:r>
        <w:rPr>
          <w:rFonts w:hint="eastAsia" w:eastAsia="黑体"/>
          <w:b w:val="0"/>
          <w:color w:val="auto"/>
          <w:sz w:val="28"/>
          <w:szCs w:val="28"/>
          <w:highlight w:val="none"/>
        </w:rPr>
        <w:t>2.</w:t>
      </w:r>
      <w:r>
        <w:rPr>
          <w:rFonts w:eastAsia="黑体"/>
          <w:b w:val="0"/>
          <w:color w:val="auto"/>
          <w:sz w:val="28"/>
          <w:szCs w:val="28"/>
          <w:highlight w:val="none"/>
        </w:rPr>
        <w:t>已标价工程量清单格式</w:t>
      </w:r>
      <w:bookmarkEnd w:id="922"/>
      <w:bookmarkEnd w:id="923"/>
      <w:bookmarkEnd w:id="924"/>
    </w:p>
    <w:p w14:paraId="59006C3C">
      <w:pPr>
        <w:spacing w:line="360" w:lineRule="auto"/>
        <w:ind w:firstLine="480" w:firstLineChars="200"/>
        <w:rPr>
          <w:rFonts w:eastAsia="黑体"/>
          <w:color w:val="auto"/>
          <w:sz w:val="24"/>
          <w:highlight w:val="none"/>
        </w:rPr>
      </w:pPr>
    </w:p>
    <w:p w14:paraId="301F57E0">
      <w:pPr>
        <w:widowControl/>
        <w:rPr>
          <w:color w:val="auto"/>
          <w:highlight w:val="none"/>
        </w:rPr>
      </w:pPr>
      <w:r>
        <w:rPr>
          <w:rFonts w:hint="eastAsia" w:eastAsia="黑体"/>
          <w:color w:val="auto"/>
          <w:sz w:val="24"/>
          <w:highlight w:val="none"/>
        </w:rPr>
        <w:t>说明：</w:t>
      </w:r>
      <w:r>
        <w:rPr>
          <w:rFonts w:hint="eastAsia" w:ascii="宋体" w:hAnsi="宋体"/>
          <w:color w:val="auto"/>
          <w:szCs w:val="21"/>
          <w:highlight w:val="none"/>
        </w:rPr>
        <w:t>已标价工程量清单按照</w:t>
      </w:r>
      <w:r>
        <w:rPr>
          <w:color w:val="auto"/>
          <w:highlight w:val="none"/>
        </w:rPr>
        <w:t>《</w:t>
      </w:r>
      <w:r>
        <w:rPr>
          <w:rFonts w:hint="eastAsia"/>
          <w:color w:val="auto"/>
          <w:highlight w:val="none"/>
        </w:rPr>
        <w:t>湖南省住房和城乡建设厅关于印发&lt;湖南省建设工程计价办法</w:t>
      </w:r>
      <w:r>
        <w:rPr>
          <w:color w:val="auto"/>
          <w:highlight w:val="none"/>
        </w:rPr>
        <w:t>&gt;</w:t>
      </w:r>
      <w:r>
        <w:rPr>
          <w:rFonts w:hint="eastAsia"/>
          <w:color w:val="auto"/>
          <w:highlight w:val="none"/>
        </w:rPr>
        <w:t>及&lt;湖南省建设工程消耗量标准</w:t>
      </w:r>
      <w:r>
        <w:rPr>
          <w:color w:val="auto"/>
          <w:highlight w:val="none"/>
        </w:rPr>
        <w:t>&gt;</w:t>
      </w:r>
      <w:r>
        <w:rPr>
          <w:rFonts w:hint="eastAsia"/>
          <w:color w:val="auto"/>
          <w:highlight w:val="none"/>
        </w:rPr>
        <w:t>的通知</w:t>
      </w:r>
      <w:r>
        <w:rPr>
          <w:color w:val="auto"/>
          <w:highlight w:val="none"/>
        </w:rPr>
        <w:t>》（</w:t>
      </w:r>
      <w:r>
        <w:rPr>
          <w:rFonts w:hint="eastAsia"/>
          <w:color w:val="auto"/>
          <w:highlight w:val="none"/>
        </w:rPr>
        <w:t xml:space="preserve"> 湘建价【2020】56号</w:t>
      </w:r>
      <w:r>
        <w:rPr>
          <w:color w:val="auto"/>
          <w:highlight w:val="none"/>
        </w:rPr>
        <w:t>）等文件规定的格式</w:t>
      </w:r>
      <w:r>
        <w:rPr>
          <w:rFonts w:hint="eastAsia"/>
          <w:color w:val="auto"/>
          <w:highlight w:val="none"/>
        </w:rPr>
        <w:t>填写。由计价软件打印的已标价工程量清单与上述文件格式不一致的，以计价软件打印的表格为准。投标人采用的计价软件应当通过了湖南建设工程造价管理总站的测评。</w:t>
      </w:r>
    </w:p>
    <w:p w14:paraId="275CAA07">
      <w:pPr>
        <w:spacing w:before="0" w:line="240" w:lineRule="auto"/>
        <w:rPr>
          <w:rFonts w:ascii="宋体" w:hAnsi="宋体" w:eastAsia="宋体" w:cs="宋体"/>
          <w:sz w:val="18"/>
          <w:szCs w:val="18"/>
        </w:rPr>
        <w:sectPr>
          <w:footerReference r:id="rId40" w:type="default"/>
          <w:pgSz w:w="11907" w:h="16840"/>
          <w:pgMar w:top="1351" w:right="1020" w:bottom="1029" w:left="1027" w:header="0" w:footer="850" w:gutter="0"/>
          <w:pgNumType w:fmt="decimal"/>
          <w:cols w:space="720" w:num="1"/>
        </w:sectPr>
      </w:pPr>
    </w:p>
    <w:p w14:paraId="2AA7B6F8">
      <w:pPr>
        <w:keepNext w:val="0"/>
        <w:keepLines w:val="0"/>
        <w:widowControl/>
        <w:suppressLineNumbers w:val="0"/>
        <w:jc w:val="center"/>
      </w:pPr>
      <w:r>
        <w:rPr>
          <w:rFonts w:hint="eastAsia" w:ascii="宋体" w:hAnsi="宋体" w:eastAsia="宋体" w:cs="宋体"/>
          <w:b/>
          <w:bCs/>
          <w:snapToGrid w:val="0"/>
          <w:color w:val="000000"/>
          <w:kern w:val="0"/>
          <w:sz w:val="31"/>
          <w:szCs w:val="31"/>
          <w:lang w:val="en-US" w:eastAsia="zh-CN" w:bidi="ar"/>
        </w:rPr>
        <w:t>第三节 施工组织设计格式（明标）</w:t>
      </w:r>
    </w:p>
    <w:p w14:paraId="5F0BB70C">
      <w:pPr>
        <w:spacing w:before="0" w:line="240" w:lineRule="auto"/>
        <w:rPr>
          <w:rFonts w:ascii="宋体" w:hAnsi="宋体" w:eastAsia="宋体" w:cs="宋体"/>
          <w:sz w:val="18"/>
          <w:szCs w:val="18"/>
        </w:rPr>
        <w:sectPr>
          <w:pgSz w:w="11907" w:h="16840"/>
          <w:pgMar w:top="1351" w:right="1020" w:bottom="1029" w:left="1027" w:header="0" w:footer="850" w:gutter="0"/>
          <w:pgNumType w:fmt="decimal"/>
          <w:cols w:space="720" w:num="1"/>
        </w:sectPr>
      </w:pPr>
    </w:p>
    <w:p w14:paraId="6A1AD31F">
      <w:pPr>
        <w:rPr>
          <w:color w:val="auto"/>
          <w:highlight w:val="none"/>
        </w:rPr>
      </w:pPr>
    </w:p>
    <w:p w14:paraId="7047D1A2">
      <w:pPr>
        <w:rPr>
          <w:color w:val="auto"/>
          <w:highlight w:val="none"/>
        </w:rPr>
      </w:pPr>
    </w:p>
    <w:p w14:paraId="1BF35325">
      <w:pPr>
        <w:rPr>
          <w:color w:val="auto"/>
          <w:highlight w:val="none"/>
        </w:rPr>
      </w:pPr>
    </w:p>
    <w:p w14:paraId="783BCCA8">
      <w:pPr>
        <w:rPr>
          <w:color w:val="auto"/>
          <w:highlight w:val="none"/>
        </w:rPr>
      </w:pPr>
    </w:p>
    <w:p w14:paraId="2B44219D">
      <w:pPr>
        <w:rPr>
          <w:color w:val="auto"/>
          <w:highlight w:val="none"/>
        </w:rPr>
      </w:pPr>
    </w:p>
    <w:p w14:paraId="0BDB1025">
      <w:pPr>
        <w:rPr>
          <w:color w:val="auto"/>
          <w:highlight w:val="none"/>
        </w:rPr>
      </w:pPr>
    </w:p>
    <w:p w14:paraId="2EFFEA79">
      <w:pPr>
        <w:rPr>
          <w:color w:val="auto"/>
          <w:highlight w:val="none"/>
        </w:rPr>
      </w:pPr>
    </w:p>
    <w:p w14:paraId="69AAA93D">
      <w:pPr>
        <w:rPr>
          <w:rFonts w:eastAsia="黑体"/>
          <w:color w:val="auto"/>
          <w:sz w:val="28"/>
          <w:szCs w:val="32"/>
          <w:highlight w:val="none"/>
          <w:u w:val="single"/>
        </w:rPr>
      </w:pPr>
    </w:p>
    <w:p w14:paraId="30423691">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（项目名称）施工招标</w:t>
      </w:r>
    </w:p>
    <w:p w14:paraId="2F477D77">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14:paraId="0E633202">
      <w:pPr>
        <w:jc w:val="center"/>
        <w:rPr>
          <w:rFonts w:eastAsia="黑体"/>
          <w:color w:val="auto"/>
          <w:sz w:val="32"/>
          <w:szCs w:val="32"/>
          <w:highlight w:val="none"/>
        </w:rPr>
      </w:pPr>
      <w:r>
        <w:rPr>
          <w:rFonts w:eastAsia="黑体"/>
          <w:color w:val="auto"/>
          <w:sz w:val="32"/>
          <w:szCs w:val="32"/>
          <w:highlight w:val="none"/>
        </w:rPr>
        <w:t>（施工组织设计）</w:t>
      </w:r>
    </w:p>
    <w:p w14:paraId="0DF53D39">
      <w:pPr>
        <w:rPr>
          <w:rFonts w:eastAsia="黑体"/>
          <w:color w:val="auto"/>
          <w:szCs w:val="21"/>
          <w:highlight w:val="none"/>
          <w:u w:val="single"/>
        </w:rPr>
      </w:pPr>
    </w:p>
    <w:p w14:paraId="0DDEE6AE">
      <w:pPr>
        <w:rPr>
          <w:rFonts w:eastAsia="黑体"/>
          <w:color w:val="auto"/>
          <w:szCs w:val="21"/>
          <w:highlight w:val="none"/>
          <w:u w:val="single"/>
        </w:rPr>
      </w:pPr>
    </w:p>
    <w:p w14:paraId="08A29FF4">
      <w:pPr>
        <w:rPr>
          <w:rFonts w:eastAsia="黑体"/>
          <w:color w:val="auto"/>
          <w:szCs w:val="21"/>
          <w:highlight w:val="none"/>
          <w:u w:val="single"/>
        </w:rPr>
      </w:pPr>
    </w:p>
    <w:p w14:paraId="41AB3DF1">
      <w:pPr>
        <w:rPr>
          <w:rFonts w:eastAsia="黑体"/>
          <w:color w:val="auto"/>
          <w:szCs w:val="21"/>
          <w:highlight w:val="none"/>
          <w:u w:val="single"/>
        </w:rPr>
      </w:pPr>
    </w:p>
    <w:p w14:paraId="5A443411">
      <w:pPr>
        <w:rPr>
          <w:rFonts w:eastAsia="黑体"/>
          <w:color w:val="auto"/>
          <w:szCs w:val="21"/>
          <w:highlight w:val="none"/>
          <w:u w:val="single"/>
        </w:rPr>
      </w:pPr>
    </w:p>
    <w:p w14:paraId="64473724">
      <w:pPr>
        <w:rPr>
          <w:rFonts w:eastAsia="黑体"/>
          <w:color w:val="auto"/>
          <w:szCs w:val="21"/>
          <w:highlight w:val="none"/>
          <w:u w:val="single"/>
        </w:rPr>
      </w:pPr>
    </w:p>
    <w:p w14:paraId="711B1FF3">
      <w:pPr>
        <w:rPr>
          <w:rFonts w:eastAsia="黑体"/>
          <w:color w:val="auto"/>
          <w:szCs w:val="21"/>
          <w:highlight w:val="none"/>
          <w:u w:val="single"/>
        </w:rPr>
      </w:pPr>
    </w:p>
    <w:p w14:paraId="3F396D37">
      <w:pPr>
        <w:rPr>
          <w:rFonts w:eastAsia="黑体"/>
          <w:color w:val="auto"/>
          <w:szCs w:val="21"/>
          <w:highlight w:val="none"/>
          <w:u w:val="single"/>
        </w:rPr>
      </w:pPr>
    </w:p>
    <w:p w14:paraId="14F5053E">
      <w:pPr>
        <w:rPr>
          <w:rFonts w:eastAsia="黑体"/>
          <w:color w:val="auto"/>
          <w:szCs w:val="21"/>
          <w:highlight w:val="none"/>
          <w:u w:val="single"/>
        </w:rPr>
      </w:pPr>
    </w:p>
    <w:p w14:paraId="6A972094">
      <w:pPr>
        <w:rPr>
          <w:rFonts w:eastAsia="黑体"/>
          <w:color w:val="auto"/>
          <w:szCs w:val="21"/>
          <w:highlight w:val="none"/>
          <w:u w:val="single"/>
        </w:rPr>
      </w:pPr>
    </w:p>
    <w:p w14:paraId="66FA620C">
      <w:pPr>
        <w:rPr>
          <w:rFonts w:eastAsia="黑体"/>
          <w:color w:val="auto"/>
          <w:szCs w:val="21"/>
          <w:highlight w:val="none"/>
          <w:u w:val="single"/>
        </w:rPr>
      </w:pPr>
    </w:p>
    <w:p w14:paraId="7F009040">
      <w:pPr>
        <w:rPr>
          <w:rFonts w:eastAsia="黑体"/>
          <w:color w:val="auto"/>
          <w:szCs w:val="21"/>
          <w:highlight w:val="none"/>
          <w:u w:val="single"/>
        </w:rPr>
      </w:pPr>
    </w:p>
    <w:p w14:paraId="20CF839D">
      <w:pPr>
        <w:rPr>
          <w:rFonts w:eastAsia="黑体"/>
          <w:color w:val="auto"/>
          <w:szCs w:val="21"/>
          <w:highlight w:val="none"/>
          <w:u w:val="single"/>
        </w:rPr>
      </w:pPr>
    </w:p>
    <w:p w14:paraId="39286166">
      <w:pPr>
        <w:rPr>
          <w:rFonts w:eastAsia="黑体"/>
          <w:color w:val="auto"/>
          <w:szCs w:val="21"/>
          <w:highlight w:val="none"/>
          <w:u w:val="single"/>
        </w:rPr>
      </w:pPr>
    </w:p>
    <w:p w14:paraId="354B8570">
      <w:pPr>
        <w:rPr>
          <w:rFonts w:eastAsia="黑体"/>
          <w:color w:val="auto"/>
          <w:szCs w:val="21"/>
          <w:highlight w:val="none"/>
          <w:u w:val="single"/>
        </w:rPr>
      </w:pPr>
    </w:p>
    <w:p w14:paraId="3A3D787B">
      <w:pPr>
        <w:rPr>
          <w:rFonts w:eastAsia="黑体"/>
          <w:color w:val="auto"/>
          <w:szCs w:val="21"/>
          <w:highlight w:val="none"/>
          <w:u w:val="single"/>
        </w:rPr>
      </w:pPr>
    </w:p>
    <w:p w14:paraId="5C140862">
      <w:pPr>
        <w:rPr>
          <w:rFonts w:eastAsia="黑体"/>
          <w:color w:val="auto"/>
          <w:szCs w:val="21"/>
          <w:highlight w:val="none"/>
          <w:u w:val="single"/>
        </w:rPr>
      </w:pPr>
    </w:p>
    <w:p w14:paraId="7593B66E">
      <w:pPr>
        <w:rPr>
          <w:rFonts w:eastAsia="黑体"/>
          <w:color w:val="auto"/>
          <w:szCs w:val="21"/>
          <w:highlight w:val="none"/>
          <w:u w:val="single"/>
        </w:rPr>
      </w:pPr>
    </w:p>
    <w:p w14:paraId="56913D2E">
      <w:pPr>
        <w:rPr>
          <w:rFonts w:eastAsia="黑体"/>
          <w:color w:val="auto"/>
          <w:szCs w:val="21"/>
          <w:highlight w:val="none"/>
          <w:u w:val="single"/>
        </w:rPr>
      </w:pPr>
    </w:p>
    <w:p w14:paraId="4E2830AB">
      <w:pPr>
        <w:rPr>
          <w:rFonts w:eastAsia="黑体"/>
          <w:color w:val="auto"/>
          <w:szCs w:val="21"/>
          <w:highlight w:val="none"/>
          <w:u w:val="single"/>
        </w:rPr>
      </w:pPr>
    </w:p>
    <w:p w14:paraId="4A3D4872">
      <w:pPr>
        <w:rPr>
          <w:rFonts w:eastAsia="黑体"/>
          <w:color w:val="auto"/>
          <w:szCs w:val="21"/>
          <w:highlight w:val="none"/>
          <w:u w:val="single"/>
        </w:rPr>
      </w:pPr>
    </w:p>
    <w:p w14:paraId="3195EB7B">
      <w:pPr>
        <w:rPr>
          <w:rFonts w:eastAsia="黑体"/>
          <w:color w:val="auto"/>
          <w:szCs w:val="21"/>
          <w:highlight w:val="none"/>
          <w:u w:val="single"/>
        </w:rPr>
      </w:pPr>
    </w:p>
    <w:p w14:paraId="1ABE3D3D">
      <w:pPr>
        <w:rPr>
          <w:rFonts w:eastAsia="黑体"/>
          <w:color w:val="auto"/>
          <w:szCs w:val="21"/>
          <w:highlight w:val="none"/>
          <w:u w:val="single"/>
        </w:rPr>
      </w:pPr>
    </w:p>
    <w:p w14:paraId="2CF8A0B1">
      <w:pPr>
        <w:rPr>
          <w:rFonts w:eastAsia="黑体"/>
          <w:color w:val="auto"/>
          <w:szCs w:val="21"/>
          <w:highlight w:val="none"/>
          <w:u w:val="single"/>
        </w:rPr>
      </w:pPr>
    </w:p>
    <w:p w14:paraId="6AB17C5F">
      <w:pPr>
        <w:rPr>
          <w:rFonts w:eastAsia="黑体"/>
          <w:color w:val="auto"/>
          <w:szCs w:val="21"/>
          <w:highlight w:val="none"/>
          <w:u w:val="single"/>
        </w:rPr>
      </w:pPr>
    </w:p>
    <w:p w14:paraId="30E05F83">
      <w:pPr>
        <w:rPr>
          <w:rFonts w:eastAsia="黑体"/>
          <w:color w:val="auto"/>
          <w:szCs w:val="21"/>
          <w:highlight w:val="none"/>
          <w:u w:val="single"/>
        </w:rPr>
      </w:pPr>
    </w:p>
    <w:p w14:paraId="165D7702">
      <w:pPr>
        <w:rPr>
          <w:rFonts w:eastAsia="黑体"/>
          <w:color w:val="auto"/>
          <w:szCs w:val="21"/>
          <w:highlight w:val="none"/>
          <w:u w:val="single"/>
        </w:rPr>
      </w:pPr>
    </w:p>
    <w:p w14:paraId="1DD0FF03">
      <w:pPr>
        <w:rPr>
          <w:rFonts w:eastAsia="黑体"/>
          <w:color w:val="auto"/>
          <w:szCs w:val="21"/>
          <w:highlight w:val="none"/>
          <w:u w:val="single"/>
        </w:rPr>
      </w:pPr>
    </w:p>
    <w:p w14:paraId="4E91D053">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w:t>
      </w:r>
      <w:r>
        <w:rPr>
          <w:rFonts w:hint="eastAsia" w:eastAsia="黑体"/>
          <w:color w:val="auto"/>
          <w:kern w:val="0"/>
          <w:sz w:val="24"/>
          <w:szCs w:val="28"/>
          <w:highlight w:val="none"/>
          <w:lang w:val="en-US" w:eastAsia="zh-CN"/>
        </w:rPr>
        <w:t xml:space="preserve">             </w:t>
      </w:r>
      <w:r>
        <w:rPr>
          <w:rFonts w:eastAsia="黑体"/>
          <w:color w:val="auto"/>
          <w:kern w:val="0"/>
          <w:sz w:val="24"/>
          <w:szCs w:val="28"/>
          <w:highlight w:val="none"/>
        </w:rPr>
        <w:t xml:space="preserve"> </w:t>
      </w:r>
      <w:r>
        <w:rPr>
          <w:rFonts w:hint="eastAsia" w:eastAsia="黑体"/>
          <w:color w:val="auto"/>
          <w:kern w:val="0"/>
          <w:sz w:val="24"/>
          <w:szCs w:val="28"/>
          <w:highlight w:val="none"/>
          <w:lang w:val="en-US" w:eastAsia="zh-CN"/>
        </w:rPr>
        <w:t xml:space="preserve">  </w:t>
      </w:r>
      <w:r>
        <w:rPr>
          <w:rFonts w:eastAsia="黑体"/>
          <w:color w:val="auto"/>
          <w:kern w:val="0"/>
          <w:sz w:val="24"/>
          <w:szCs w:val="28"/>
          <w:highlight w:val="none"/>
        </w:rPr>
        <w:t>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14:paraId="1DEEBC22">
      <w:pPr>
        <w:rPr>
          <w:rFonts w:eastAsia="黑体"/>
          <w:color w:val="auto"/>
          <w:sz w:val="24"/>
          <w:szCs w:val="21"/>
          <w:highlight w:val="none"/>
        </w:rPr>
      </w:pPr>
      <w:r>
        <w:rPr>
          <w:rFonts w:eastAsia="黑体"/>
          <w:color w:val="auto"/>
          <w:sz w:val="24"/>
          <w:szCs w:val="21"/>
          <w:highlight w:val="none"/>
        </w:rPr>
        <w:br w:type="page"/>
      </w:r>
    </w:p>
    <w:p w14:paraId="4B1DD3CD">
      <w:pPr>
        <w:adjustRightInd w:val="0"/>
        <w:snapToGrid w:val="0"/>
        <w:spacing w:line="400" w:lineRule="atLeast"/>
        <w:ind w:firstLine="560" w:firstLineChars="200"/>
        <w:jc w:val="center"/>
        <w:rPr>
          <w:rFonts w:eastAsia="黑体"/>
          <w:color w:val="auto"/>
          <w:sz w:val="28"/>
          <w:szCs w:val="28"/>
          <w:highlight w:val="none"/>
        </w:rPr>
      </w:pPr>
      <w:r>
        <w:rPr>
          <w:rFonts w:eastAsia="黑体"/>
          <w:color w:val="auto"/>
          <w:sz w:val="28"/>
          <w:szCs w:val="28"/>
          <w:highlight w:val="none"/>
        </w:rPr>
        <w:t>施工组织设计编制要求</w:t>
      </w:r>
    </w:p>
    <w:p w14:paraId="4C31DD2B">
      <w:pPr>
        <w:rPr>
          <w:color w:val="auto"/>
          <w:highlight w:val="none"/>
        </w:rPr>
      </w:pPr>
    </w:p>
    <w:p w14:paraId="02F95F60">
      <w:pPr>
        <w:spacing w:line="360" w:lineRule="auto"/>
        <w:ind w:firstLine="420" w:firstLineChars="200"/>
        <w:rPr>
          <w:color w:val="auto"/>
          <w:highlight w:val="none"/>
        </w:rPr>
      </w:pPr>
      <w:r>
        <w:rPr>
          <w:color w:val="auto"/>
          <w:highlight w:val="none"/>
        </w:rPr>
        <w:t>“经评审的最低投标价法”的施工组织设计采用明标方式评审，</w:t>
      </w:r>
      <w:r>
        <w:rPr>
          <w:color w:val="auto"/>
          <w:szCs w:val="21"/>
          <w:highlight w:val="none"/>
        </w:rPr>
        <w:t>投标人应当根据</w:t>
      </w:r>
      <w:r>
        <w:rPr>
          <w:color w:val="auto"/>
          <w:highlight w:val="none"/>
        </w:rPr>
        <w:t>湘建监督〔</w:t>
      </w:r>
      <w:r>
        <w:rPr>
          <w:rFonts w:hint="eastAsia"/>
          <w:color w:val="auto"/>
          <w:highlight w:val="none"/>
          <w:lang w:val="en-US" w:eastAsia="zh-CN"/>
        </w:rPr>
        <w:t xml:space="preserve">2024 </w:t>
      </w:r>
      <w:r>
        <w:rPr>
          <w:color w:val="auto"/>
          <w:highlight w:val="none"/>
        </w:rPr>
        <w:t>〕</w:t>
      </w:r>
      <w:r>
        <w:rPr>
          <w:rFonts w:hint="eastAsia"/>
          <w:color w:val="auto"/>
          <w:highlight w:val="none"/>
          <w:lang w:val="en-US" w:eastAsia="zh-CN"/>
        </w:rPr>
        <w:t>33</w:t>
      </w:r>
      <w:r>
        <w:rPr>
          <w:rFonts w:hint="eastAsia"/>
          <w:color w:val="auto"/>
          <w:highlight w:val="none"/>
        </w:rPr>
        <w:t xml:space="preserve"> </w:t>
      </w:r>
      <w:r>
        <w:rPr>
          <w:color w:val="auto"/>
          <w:highlight w:val="none"/>
        </w:rPr>
        <w:t>号文件规定的评审内容编制施工组织设计，具体包括下列内容（按此顺序）：</w:t>
      </w:r>
    </w:p>
    <w:p w14:paraId="0C2224FF">
      <w:pPr>
        <w:adjustRightInd w:val="0"/>
        <w:snapToGrid w:val="0"/>
        <w:spacing w:line="360" w:lineRule="auto"/>
        <w:ind w:firstLine="420" w:firstLineChars="200"/>
        <w:jc w:val="left"/>
        <w:rPr>
          <w:color w:val="auto"/>
          <w:highlight w:val="none"/>
        </w:rPr>
      </w:pPr>
      <w:r>
        <w:rPr>
          <w:color w:val="auto"/>
          <w:highlight w:val="none"/>
        </w:rPr>
        <w:t>1.施工方案与技术措施；</w:t>
      </w:r>
    </w:p>
    <w:p w14:paraId="7C04918E">
      <w:pPr>
        <w:adjustRightInd w:val="0"/>
        <w:snapToGrid w:val="0"/>
        <w:spacing w:line="360" w:lineRule="auto"/>
        <w:ind w:firstLine="420" w:firstLineChars="200"/>
        <w:jc w:val="left"/>
        <w:rPr>
          <w:color w:val="auto"/>
          <w:highlight w:val="none"/>
        </w:rPr>
      </w:pPr>
      <w:r>
        <w:rPr>
          <w:color w:val="auto"/>
          <w:highlight w:val="none"/>
        </w:rPr>
        <w:t>2.质量管理体系与措施；</w:t>
      </w:r>
    </w:p>
    <w:p w14:paraId="1CD75672">
      <w:pPr>
        <w:spacing w:line="360" w:lineRule="auto"/>
        <w:ind w:firstLine="420" w:firstLineChars="200"/>
        <w:rPr>
          <w:color w:val="auto"/>
          <w:highlight w:val="none"/>
        </w:rPr>
      </w:pPr>
      <w:r>
        <w:rPr>
          <w:color w:val="auto"/>
          <w:highlight w:val="none"/>
        </w:rPr>
        <w:t>3.</w:t>
      </w:r>
      <w:r>
        <w:rPr>
          <w:color w:val="auto"/>
          <w:szCs w:val="21"/>
          <w:highlight w:val="none"/>
        </w:rPr>
        <w:t>安全管理</w:t>
      </w:r>
      <w:r>
        <w:rPr>
          <w:color w:val="auto"/>
          <w:highlight w:val="none"/>
        </w:rPr>
        <w:t>体系与措施；</w:t>
      </w:r>
    </w:p>
    <w:p w14:paraId="354F8DBD">
      <w:pPr>
        <w:adjustRightInd w:val="0"/>
        <w:snapToGrid w:val="0"/>
        <w:spacing w:line="360" w:lineRule="auto"/>
        <w:jc w:val="left"/>
        <w:rPr>
          <w:color w:val="auto"/>
          <w:sz w:val="18"/>
          <w:szCs w:val="18"/>
          <w:highlight w:val="none"/>
        </w:rPr>
      </w:pPr>
    </w:p>
    <w:p w14:paraId="51F8C832">
      <w:pPr>
        <w:adjustRightInd w:val="0"/>
        <w:snapToGrid w:val="0"/>
        <w:spacing w:line="360" w:lineRule="auto"/>
        <w:jc w:val="left"/>
        <w:rPr>
          <w:color w:val="auto"/>
          <w:sz w:val="18"/>
          <w:szCs w:val="18"/>
          <w:highlight w:val="none"/>
        </w:rPr>
      </w:pPr>
      <w:r>
        <w:rPr>
          <w:rFonts w:hint="eastAsia"/>
          <w:color w:val="auto"/>
          <w:sz w:val="18"/>
          <w:szCs w:val="18"/>
          <w:highlight w:val="none"/>
        </w:rPr>
        <w:t>说明</w:t>
      </w:r>
      <w:r>
        <w:rPr>
          <w:color w:val="auto"/>
          <w:sz w:val="18"/>
          <w:szCs w:val="18"/>
          <w:highlight w:val="none"/>
        </w:rPr>
        <w:t>：如有合理化建议，不单独列出，各投标人将相关内容融入各相应章节。</w:t>
      </w:r>
    </w:p>
    <w:p w14:paraId="1CF7E543">
      <w:pPr>
        <w:spacing w:before="0" w:line="240" w:lineRule="auto"/>
        <w:rPr>
          <w:rFonts w:ascii="宋体" w:hAnsi="宋体" w:eastAsia="宋体" w:cs="宋体"/>
          <w:sz w:val="18"/>
          <w:szCs w:val="18"/>
        </w:rPr>
      </w:pPr>
    </w:p>
    <w:sectPr>
      <w:pgSz w:w="11907" w:h="16840"/>
      <w:pgMar w:top="1351" w:right="1020" w:bottom="1029" w:left="1027" w:header="0" w:footer="8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ZShuSong-Z01">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607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F50BE">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FF50BE">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19B5">
    <w:pPr>
      <w:spacing w:line="172" w:lineRule="auto"/>
      <w:ind w:left="4845"/>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3E431">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43E431">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F63F">
    <w:pPr>
      <w:spacing w:line="172" w:lineRule="auto"/>
      <w:ind w:left="4845"/>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2E2C4">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BC2E2C4">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7012">
    <w:pPr>
      <w:spacing w:line="172" w:lineRule="auto"/>
      <w:ind w:left="4845"/>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A25EE">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0EA25EE">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AD5A">
    <w:pPr>
      <w:spacing w:line="172" w:lineRule="auto"/>
      <w:ind w:left="4844"/>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EA479">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CEA479">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633C">
    <w:pPr>
      <w:spacing w:line="173" w:lineRule="auto"/>
      <w:ind w:left="4845"/>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D03F4">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E3D03F4">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FDD0">
    <w:pPr>
      <w:spacing w:line="172" w:lineRule="auto"/>
      <w:ind w:left="484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CBF81">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56CBF81">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9F411">
    <w:pPr>
      <w:spacing w:line="172" w:lineRule="auto"/>
      <w:ind w:left="4964"/>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22683">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ED22683">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E6A26">
    <w:pPr>
      <w:spacing w:line="172" w:lineRule="auto"/>
      <w:ind w:left="4964"/>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F908B">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F9F908B">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D9758">
    <w:pPr>
      <w:spacing w:line="172" w:lineRule="auto"/>
      <w:ind w:left="4964"/>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DC418">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EADC418">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6216">
    <w:pPr>
      <w:spacing w:line="172" w:lineRule="auto"/>
      <w:ind w:left="4847"/>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14476">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3414476">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0DAC">
    <w:pPr>
      <w:spacing w:line="173" w:lineRule="auto"/>
      <w:ind w:left="4868"/>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2FF04">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82FF04">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32C3">
    <w:pPr>
      <w:spacing w:line="172" w:lineRule="auto"/>
      <w:ind w:left="484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DD52">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67EDD52">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34FC">
    <w:pPr>
      <w:spacing w:line="172" w:lineRule="auto"/>
      <w:ind w:left="4844"/>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44A0E">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2644A0E">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813D">
    <w:pPr>
      <w:spacing w:line="173" w:lineRule="auto"/>
      <w:ind w:left="4843"/>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9D7BE">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7A9D7BE">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F67B1">
    <w:pPr>
      <w:spacing w:line="172" w:lineRule="auto"/>
      <w:ind w:left="4842"/>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084A0">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E5084A0">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5AE6">
    <w:pPr>
      <w:pStyle w:val="8"/>
      <w:jc w:val="left"/>
      <w:rPr>
        <w:rFonts w:ascii="宋体" w:hAnsi="宋体"/>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0BD9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290BD9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CC29">
    <w:pPr>
      <w:pStyle w:val="8"/>
      <w:jc w:val="left"/>
      <w:rPr>
        <w:rFonts w:hint="default" w:eastAsia="宋体"/>
        <w:lang w:val="en-US" w:eastAsia="zh-CN"/>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EE95B">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53EE95B">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0CBE">
    <w:pPr>
      <w:pStyle w:val="8"/>
      <w:jc w:val="left"/>
      <w:rPr>
        <w:rFonts w:ascii="宋体" w:hAnsi="宋体"/>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D4979">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1DD4979">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8495">
    <w:pPr>
      <w:spacing w:line="173" w:lineRule="auto"/>
      <w:ind w:left="4846"/>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5BDE1">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B85BDE1">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644D">
    <w:pPr>
      <w:spacing w:line="172" w:lineRule="auto"/>
      <w:ind w:left="4085"/>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814A7">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E2814A7">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7B07">
    <w:pPr>
      <w:spacing w:line="172" w:lineRule="auto"/>
      <w:ind w:left="4964"/>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316CE">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316CE">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BC6A">
    <w:pPr>
      <w:spacing w:line="173" w:lineRule="auto"/>
      <w:ind w:left="4868"/>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6521E">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C6521E">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F305">
    <w:pPr>
      <w:spacing w:line="172" w:lineRule="auto"/>
      <w:ind w:left="4841"/>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1FCA2">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B21FCA2">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292B">
    <w:pPr>
      <w:spacing w:line="172" w:lineRule="auto"/>
      <w:ind w:left="4084"/>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0D902">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EF0D902">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D3A16">
    <w:pPr>
      <w:spacing w:line="172" w:lineRule="auto"/>
      <w:ind w:left="4084"/>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211A">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E77211A">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ED989">
    <w:pPr>
      <w:spacing w:line="172" w:lineRule="auto"/>
      <w:ind w:left="4842"/>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81E73">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CF81E73">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F363">
    <w:pPr>
      <w:spacing w:line="172" w:lineRule="auto"/>
      <w:ind w:left="4422"/>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A48F6">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7DA48F6">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3AD9">
    <w:pPr>
      <w:spacing w:line="173" w:lineRule="auto"/>
      <w:ind w:left="4810"/>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DD686">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5BDD686">
                    <w:pPr>
                      <w:pStyle w:val="8"/>
                    </w:pPr>
                    <w:r>
                      <w:fldChar w:fldCharType="begin"/>
                    </w:r>
                    <w:r>
                      <w:instrText xml:space="preserve"> PAGE  \* MERGEFORMAT </w:instrText>
                    </w:r>
                    <w:r>
                      <w:fldChar w:fldCharType="separate"/>
                    </w:r>
                    <w:r>
                      <w:t>85</w:t>
                    </w:r>
                    <w:r>
                      <w:fldChar w:fldCharType="end"/>
                    </w:r>
                  </w:p>
                </w:txbxContent>
              </v:textbox>
            </v:shape>
          </w:pict>
        </mc:Fallback>
      </mc:AlternateContent>
    </w: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58117">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CF58117">
                    <w:pPr>
                      <w:pStyle w:val="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F8E5">
    <w:pPr>
      <w:spacing w:line="173" w:lineRule="auto"/>
      <w:ind w:left="4868"/>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35CFC">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635CFC">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D2965">
    <w:pPr>
      <w:spacing w:line="173" w:lineRule="auto"/>
      <w:ind w:left="4868"/>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7D527">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A87D527">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3F4">
    <w:pPr>
      <w:spacing w:line="172" w:lineRule="auto"/>
      <w:ind w:left="4843"/>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8CE36">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008CE36">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12A1">
    <w:pPr>
      <w:spacing w:line="172" w:lineRule="auto"/>
      <w:ind w:left="4845"/>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FB10F">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5AFB10F">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83A1">
    <w:pPr>
      <w:spacing w:line="172" w:lineRule="auto"/>
      <w:ind w:left="484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0C580">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940C580">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AE83">
    <w:pPr>
      <w:spacing w:line="172" w:lineRule="auto"/>
      <w:ind w:left="4845"/>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8BD36">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598BD36">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0E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F5D90"/>
    <w:multiLevelType w:val="singleLevel"/>
    <w:tmpl w:val="8C6F5D90"/>
    <w:lvl w:ilvl="0" w:tentative="0">
      <w:start w:val="8"/>
      <w:numFmt w:val="decimal"/>
      <w:suff w:val="space"/>
      <w:lvlText w:val="%1."/>
      <w:lvlJc w:val="left"/>
    </w:lvl>
  </w:abstractNum>
  <w:abstractNum w:abstractNumId="1">
    <w:nsid w:val="CFE932F9"/>
    <w:multiLevelType w:val="singleLevel"/>
    <w:tmpl w:val="CFE932F9"/>
    <w:lvl w:ilvl="0" w:tentative="0">
      <w:start w:val="4"/>
      <w:numFmt w:val="decimal"/>
      <w:lvlText w:val="%1."/>
      <w:lvlJc w:val="left"/>
      <w:pPr>
        <w:tabs>
          <w:tab w:val="left" w:pos="312"/>
        </w:tabs>
      </w:pPr>
    </w:lvl>
  </w:abstractNum>
  <w:abstractNum w:abstractNumId="2">
    <w:nsid w:val="6BA28D23"/>
    <w:multiLevelType w:val="singleLevel"/>
    <w:tmpl w:val="6BA28D23"/>
    <w:lvl w:ilvl="0" w:tentative="0">
      <w:start w:val="10"/>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QwNWUwZjkxOWQ1YzRhMWEwNGFjYjVjM2MwNDc0NmYifQ=="/>
  </w:docVars>
  <w:rsids>
    <w:rsidRoot w:val="00000000"/>
    <w:rsid w:val="00A01C62"/>
    <w:rsid w:val="0112363F"/>
    <w:rsid w:val="05697868"/>
    <w:rsid w:val="09452EAE"/>
    <w:rsid w:val="0AB43AB6"/>
    <w:rsid w:val="0E8C5D73"/>
    <w:rsid w:val="10894684"/>
    <w:rsid w:val="156212DD"/>
    <w:rsid w:val="25193202"/>
    <w:rsid w:val="28506935"/>
    <w:rsid w:val="285E585C"/>
    <w:rsid w:val="2A6442D0"/>
    <w:rsid w:val="2BDD0222"/>
    <w:rsid w:val="317E456E"/>
    <w:rsid w:val="3369382F"/>
    <w:rsid w:val="387B14EE"/>
    <w:rsid w:val="3A93331A"/>
    <w:rsid w:val="3C7C75A9"/>
    <w:rsid w:val="3CF60293"/>
    <w:rsid w:val="3D8368E8"/>
    <w:rsid w:val="3F400D9C"/>
    <w:rsid w:val="425A0E92"/>
    <w:rsid w:val="452E1415"/>
    <w:rsid w:val="496168F1"/>
    <w:rsid w:val="4A004445"/>
    <w:rsid w:val="4A130D53"/>
    <w:rsid w:val="58DF4CD6"/>
    <w:rsid w:val="5B3024B4"/>
    <w:rsid w:val="674A1F08"/>
    <w:rsid w:val="69A26482"/>
    <w:rsid w:val="728D7F5A"/>
    <w:rsid w:val="744E128A"/>
    <w:rsid w:val="756774F9"/>
    <w:rsid w:val="7C647F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qFormat/>
    <w:uiPriority w:val="0"/>
    <w:pPr>
      <w:widowControl/>
      <w:spacing w:line="360" w:lineRule="auto"/>
      <w:outlineLvl w:val="2"/>
    </w:pPr>
    <w:rPr>
      <w:b/>
      <w:bCs/>
      <w:kern w:val="0"/>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7"/>
    <w:semiHidden/>
    <w:qFormat/>
    <w:uiPriority w:val="0"/>
    <w:rPr>
      <w:rFonts w:ascii="Arial" w:hAnsi="Arial" w:eastAsia="Arial" w:cs="Arial"/>
      <w:sz w:val="21"/>
      <w:szCs w:val="21"/>
      <w:lang w:val="en-US" w:eastAsia="en-US" w:bidi="ar-SA"/>
    </w:rPr>
  </w:style>
  <w:style w:type="paragraph" w:styleId="7">
    <w:name w:val="Body Text First Indent"/>
    <w:basedOn w:val="6"/>
    <w:unhideWhenUsed/>
    <w:qFormat/>
    <w:uiPriority w:val="0"/>
    <w:pPr>
      <w:spacing w:after="120"/>
      <w:ind w:firstLine="420" w:firstLineChars="100"/>
    </w:pPr>
    <w:rPr>
      <w:sz w:val="3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4"/>
    <w:basedOn w:val="1"/>
    <w:next w:val="1"/>
    <w:qFormat/>
    <w:uiPriority w:val="39"/>
    <w:pPr>
      <w:ind w:left="1260" w:leftChars="600"/>
    </w:pPr>
  </w:style>
  <w:style w:type="character" w:styleId="13">
    <w:name w:val="Hyperlink"/>
    <w:qFormat/>
    <w:uiPriority w:val="99"/>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paragraph" w:customStyle="1" w:styleId="16">
    <w:name w:val="CM99"/>
    <w:basedOn w:val="1"/>
    <w:next w:val="1"/>
    <w:qFormat/>
    <w:uiPriority w:val="0"/>
    <w:pPr>
      <w:autoSpaceDE w:val="0"/>
      <w:autoSpaceDN w:val="0"/>
      <w:adjustRightInd w:val="0"/>
      <w:spacing w:after="443"/>
      <w:jc w:val="left"/>
    </w:pPr>
    <w:rPr>
      <w:rFonts w:ascii="宋体" w:hAnsi="Times New Roman" w:eastAsia="宋体" w:cs="Times New Roman"/>
      <w:kern w:val="0"/>
      <w:sz w:val="24"/>
      <w:szCs w:val="20"/>
    </w:rPr>
  </w:style>
  <w:style w:type="paragraph" w:customStyle="1" w:styleId="17">
    <w:name w:val="CM91"/>
    <w:basedOn w:val="1"/>
    <w:next w:val="1"/>
    <w:qFormat/>
    <w:uiPriority w:val="0"/>
    <w:pPr>
      <w:autoSpaceDE w:val="0"/>
      <w:autoSpaceDN w:val="0"/>
      <w:adjustRightInd w:val="0"/>
      <w:spacing w:after="160"/>
      <w:jc w:val="left"/>
    </w:pPr>
    <w:rPr>
      <w:rFonts w:ascii="宋体" w:hAnsi="Times New Roman" w:eastAsia="宋体" w:cs="Times New Roman"/>
      <w:kern w:val="0"/>
      <w:sz w:val="24"/>
      <w:szCs w:val="20"/>
    </w:rPr>
  </w:style>
  <w:style w:type="paragraph" w:customStyle="1" w:styleId="18">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 w:type="paragraph" w:customStyle="1" w:styleId="19">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WPSOffice手动目录 1"/>
    <w:qFormat/>
    <w:uiPriority w:val="0"/>
    <w:pPr>
      <w:ind w:leftChars="0"/>
    </w:pPr>
    <w:rPr>
      <w:rFonts w:ascii="Arial" w:hAnsi="Arial" w:eastAsia="Arial" w:cs="Arial"/>
      <w:sz w:val="20"/>
      <w:szCs w:val="20"/>
    </w:rPr>
  </w:style>
  <w:style w:type="paragraph" w:customStyle="1" w:styleId="21">
    <w:name w:val="WPSOffice手动目录 2"/>
    <w:qFormat/>
    <w:uiPriority w:val="0"/>
    <w:pPr>
      <w:ind w:leftChars="200"/>
    </w:pPr>
    <w:rPr>
      <w:rFonts w:ascii="Arial" w:hAnsi="Arial" w:eastAsia="Arial" w:cs="Arial"/>
      <w:sz w:val="20"/>
      <w:szCs w:val="20"/>
    </w:rPr>
  </w:style>
  <w:style w:type="paragraph" w:customStyle="1" w:styleId="22">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103</Pages>
  <Words>47565</Words>
  <Characters>50136</Characters>
  <TotalTime>12</TotalTime>
  <ScaleCrop>false</ScaleCrop>
  <LinksUpToDate>false</LinksUpToDate>
  <CharactersWithSpaces>56786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2024-07-08T16:21:00Z</dcterms:created>
  <dc:creator>User</dc:creator>
  <cp:lastModifiedBy>无与伦比</cp:lastModifiedBy>
  <cp:lastPrinted>2024-07-18T02:59:00Z</cp:lastPrinted>
  <dcterms:modified xsi:type="dcterms:W3CDTF">2024-07-25T07:13:51Z</dcterms:modified>
  <dc:title>第二章  投标人须知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2024-07-16T10:07:18Z</vt:filetime>
  </property>
  <property fmtid="{D5CDD505-2E9C-101B-9397-08002B2CF9AE}" pid="4" name="KSOProductBuildVer">
    <vt:lpwstr>2052-12.1.0.17147</vt:lpwstr>
  </property>
  <property fmtid="{D5CDD505-2E9C-101B-9397-08002B2CF9AE}" pid="5" name="ICV">
    <vt:lpwstr>5766831D9212416490C679C2DBC82991_13</vt:lpwstr>
  </property>
</Properties>
</file>