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终止特困供养日常生活照料护理人护理告知书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号</w:t>
      </w:r>
      <w:r>
        <w:rPr>
          <w:rFonts w:hint="eastAsia"/>
          <w:sz w:val="40"/>
          <w:szCs w:val="40"/>
          <w:lang w:val="en-US"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村（社区）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同志：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因您违反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日与特困供养人员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签订的日常生活照料护理协议中的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协定内容，经调查核实，决定于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日起终止其特困供养日常生活照料护理协议内中的相关服务事项，并停发照料护理服务费。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若不服上述决定，可收到本告知书之日起60日内申请行政复议。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送达人：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乡镇人民政府（盖章）</w:t>
      </w: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   月   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（本告知书一式四份，县民政局、乡镇人民政府、结对帮扶责任人）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725A5"/>
    <w:rsid w:val="066D03A6"/>
    <w:rsid w:val="3A7C75B2"/>
    <w:rsid w:val="6FE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2020-03-05T01:23:00Z</dcterms:created>
  <dc:creator>高志坚</dc:creator>
  <cp:lastModifiedBy>高志坚</cp:lastModifiedBy>
  <dcterms:modified xsi:type="dcterms:W3CDTF">2020-03-20T08:26:46Z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