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8"/>
        <w:gridCol w:w="1196"/>
        <w:gridCol w:w="1381"/>
        <w:gridCol w:w="1283"/>
        <w:gridCol w:w="3307"/>
        <w:gridCol w:w="1045"/>
        <w:gridCol w:w="1295"/>
        <w:gridCol w:w="1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44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2020年县级一般公共预算收支调整方案（草案）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变动情况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一、地方收入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-2692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一、县本级支出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444599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二、上级补助收入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297672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296042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-1630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二、上解支出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返还性收入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三、地方政府一般债务还本支出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一般性转移支付收入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267685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四、收回存量支出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专项转移支付收入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-1977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三、地方政府一般债务转贷收入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55754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77554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借新还旧再融资地方政府债券收入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新增一般债务收入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四、调入资金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69766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56079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-13687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从政府性基金预算调入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-15000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从其他资金调入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五、上年结余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507511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507511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4A44"/>
    <w:rsid w:val="11C1472D"/>
    <w:rsid w:val="557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2021-01-06T02:45:00Z</dcterms:created>
  <dc:creator>无与伦比</dc:creator>
  <cp:lastModifiedBy>无与伦比</cp:lastModifiedBy>
  <dcterms:modified xsi:type="dcterms:W3CDTF">2021-01-06T02:45:57Z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