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27" w:firstLineChars="196"/>
        <w:jc w:val="left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相关说明</w:t>
      </w:r>
    </w:p>
    <w:p>
      <w:pPr>
        <w:widowControl/>
        <w:spacing w:line="600" w:lineRule="exact"/>
        <w:ind w:firstLine="627" w:firstLineChars="196"/>
        <w:jc w:val="left"/>
        <w:rPr>
          <w:rFonts w:hint="eastAsia" w:eastAsia="黑体"/>
          <w:bCs/>
          <w:color w:val="FF0000"/>
          <w:kern w:val="0"/>
          <w:sz w:val="32"/>
          <w:szCs w:val="32"/>
          <w:lang w:eastAsia="zh-CN"/>
        </w:rPr>
      </w:pPr>
      <w:r>
        <w:rPr>
          <w:rFonts w:eastAsia="黑体"/>
          <w:bCs/>
          <w:kern w:val="0"/>
          <w:sz w:val="32"/>
          <w:szCs w:val="32"/>
        </w:rPr>
        <w:t>一、税收返还和转移支付情况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2019</w:t>
      </w:r>
      <w:r>
        <w:rPr>
          <w:rFonts w:eastAsia="仿宋_GB2312"/>
          <w:color w:val="000000"/>
          <w:sz w:val="32"/>
          <w:szCs w:val="32"/>
        </w:rPr>
        <w:t>年转移支付预算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23.74亿元</w:t>
      </w:r>
      <w:r>
        <w:rPr>
          <w:rFonts w:eastAsia="仿宋_GB2312"/>
          <w:color w:val="000000"/>
          <w:sz w:val="32"/>
          <w:szCs w:val="32"/>
        </w:rPr>
        <w:t>，其中：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</w:rPr>
        <w:t>返还性转移支付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val="en-US" w:eastAsia="zh-CN"/>
        </w:rPr>
        <w:t>0.61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</w:rPr>
        <w:t>亿元，包括增值税和消费税税收返还、所得税基数返还、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>成品油价格和税费改革税收返还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u w:val="none" w:color="auto"/>
          <w:lang w:eastAsia="zh-CN"/>
        </w:rPr>
        <w:t>其他税收返还。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一般性转移支付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18.51亿元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占转移支付比重为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77.96</w:t>
      </w:r>
      <w:r>
        <w:rPr>
          <w:rFonts w:hint="eastAsia" w:eastAsia="仿宋_GB2312"/>
          <w:color w:val="000000"/>
          <w:sz w:val="32"/>
          <w:szCs w:val="32"/>
        </w:rPr>
        <w:t>%，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其中：</w:t>
      </w:r>
      <w:r>
        <w:rPr>
          <w:rFonts w:hint="eastAsia" w:eastAsia="仿宋_GB2312"/>
          <w:sz w:val="32"/>
          <w:szCs w:val="32"/>
        </w:rPr>
        <w:t>均衡性转移支付</w:t>
      </w:r>
      <w:r>
        <w:rPr>
          <w:rFonts w:hint="eastAsia" w:eastAsia="仿宋_GB2312"/>
          <w:sz w:val="32"/>
          <w:szCs w:val="32"/>
          <w:lang w:val="en-US" w:eastAsia="zh-CN"/>
        </w:rPr>
        <w:t>4.3亿</w:t>
      </w:r>
      <w:r>
        <w:rPr>
          <w:rFonts w:hint="eastAsia" w:eastAsia="仿宋_GB2312"/>
          <w:sz w:val="32"/>
          <w:szCs w:val="32"/>
        </w:rPr>
        <w:t>元，县级基本财力保障机制奖补资金1</w:t>
      </w:r>
      <w:r>
        <w:rPr>
          <w:rFonts w:hint="eastAsia" w:eastAsia="仿宋_GB2312"/>
          <w:sz w:val="32"/>
          <w:szCs w:val="32"/>
          <w:lang w:val="en-US" w:eastAsia="zh-CN"/>
        </w:rPr>
        <w:t>.7</w:t>
      </w:r>
      <w:r>
        <w:rPr>
          <w:rFonts w:hint="eastAsia" w:eastAsia="仿宋_GB2312"/>
          <w:sz w:val="32"/>
          <w:szCs w:val="32"/>
        </w:rPr>
        <w:t>亿元，</w:t>
      </w:r>
      <w:r>
        <w:rPr>
          <w:rFonts w:hint="eastAsia" w:eastAsia="仿宋_GB2312"/>
          <w:color w:val="000000"/>
          <w:sz w:val="32"/>
          <w:szCs w:val="32"/>
        </w:rPr>
        <w:t>重点生态功能区转移支付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0.53</w:t>
      </w:r>
      <w:r>
        <w:rPr>
          <w:rFonts w:hint="eastAsia" w:eastAsia="仿宋_GB2312"/>
          <w:color w:val="000000"/>
          <w:sz w:val="32"/>
          <w:szCs w:val="32"/>
        </w:rPr>
        <w:t>亿元，革命老区及民族贫困地区转移支付补助收入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2.37</w:t>
      </w:r>
      <w:r>
        <w:rPr>
          <w:rFonts w:hint="eastAsia" w:eastAsia="仿宋_GB2312"/>
          <w:color w:val="000000"/>
          <w:sz w:val="32"/>
          <w:szCs w:val="32"/>
        </w:rPr>
        <w:t>亿元，固定数额补助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1.68</w:t>
      </w:r>
      <w:r>
        <w:rPr>
          <w:rFonts w:hint="eastAsia" w:eastAsia="仿宋_GB2312"/>
          <w:color w:val="000000"/>
          <w:sz w:val="32"/>
          <w:szCs w:val="32"/>
        </w:rPr>
        <w:t>亿元，产粮大县奖励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0.34</w:t>
      </w:r>
      <w:r>
        <w:rPr>
          <w:rFonts w:hint="eastAsia" w:eastAsia="仿宋_GB2312"/>
          <w:color w:val="000000"/>
          <w:sz w:val="32"/>
          <w:szCs w:val="32"/>
        </w:rPr>
        <w:t>亿元，体制结算补助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0.38</w:t>
      </w:r>
      <w:r>
        <w:rPr>
          <w:rFonts w:hint="eastAsia" w:eastAsia="仿宋_GB2312"/>
          <w:color w:val="000000"/>
          <w:sz w:val="32"/>
          <w:szCs w:val="32"/>
        </w:rPr>
        <w:t>亿元，其他一般性转移支付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0.8</w:t>
      </w:r>
      <w:r>
        <w:rPr>
          <w:rFonts w:hint="eastAsia" w:eastAsia="仿宋_GB2312"/>
          <w:color w:val="000000"/>
          <w:sz w:val="32"/>
          <w:szCs w:val="32"/>
        </w:rPr>
        <w:t>亿元；公共安全共同财政事权转移支付、教育共同事权转移支付、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卫生健康</w:t>
      </w:r>
      <w:r>
        <w:rPr>
          <w:rFonts w:hint="eastAsia" w:eastAsia="仿宋_GB2312"/>
          <w:color w:val="000000"/>
          <w:sz w:val="32"/>
          <w:szCs w:val="32"/>
        </w:rPr>
        <w:t>共同财政事权转移支付等具有明确投向的共同财政事权转移支付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5.9</w:t>
      </w:r>
      <w:r>
        <w:rPr>
          <w:rFonts w:hint="eastAsia" w:eastAsia="仿宋_GB2312"/>
          <w:color w:val="000000"/>
          <w:sz w:val="32"/>
          <w:szCs w:val="32"/>
        </w:rPr>
        <w:t>亿元。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专项转移支付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4.62亿元</w:t>
      </w:r>
      <w:r>
        <w:rPr>
          <w:rFonts w:eastAsia="仿宋_GB2312"/>
          <w:color w:val="000000"/>
          <w:sz w:val="32"/>
          <w:szCs w:val="32"/>
        </w:rPr>
        <w:t>，比上年减少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3.2亿元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主要是按照财政事权与支出责任划分改革要求和上下对口原则，部分原以专项转移支付下达的资金，改为共同财政事权转移支付下达，计入一般性转移支付，转移支付结构发生较大变化。</w:t>
      </w:r>
      <w:r>
        <w:rPr>
          <w:rFonts w:hint="eastAsia" w:eastAsia="仿宋_GB2312"/>
          <w:sz w:val="32"/>
          <w:szCs w:val="32"/>
          <w:lang w:eastAsia="zh-CN"/>
        </w:rPr>
        <w:t>年初已</w:t>
      </w:r>
      <w:r>
        <w:rPr>
          <w:rFonts w:hint="eastAsia" w:eastAsia="仿宋_GB2312"/>
          <w:color w:val="000000"/>
          <w:sz w:val="32"/>
          <w:szCs w:val="32"/>
        </w:rPr>
        <w:t>将中央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、省级</w:t>
      </w:r>
      <w:r>
        <w:rPr>
          <w:rFonts w:hint="eastAsia" w:eastAsia="仿宋_GB2312"/>
          <w:color w:val="000000"/>
          <w:sz w:val="32"/>
          <w:szCs w:val="32"/>
        </w:rPr>
        <w:t>提前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下达</w:t>
      </w:r>
      <w:r>
        <w:rPr>
          <w:rFonts w:hint="eastAsia" w:eastAsia="仿宋_GB2312"/>
          <w:color w:val="000000"/>
          <w:sz w:val="32"/>
          <w:szCs w:val="32"/>
        </w:rPr>
        <w:t>的专项转移支付全部编入预算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eastAsia="黑体"/>
          <w:color w:val="000000"/>
          <w:sz w:val="32"/>
          <w:szCs w:val="32"/>
        </w:rPr>
        <w:t>二、举借政府债务情况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（一）地方政府债务限额余额情况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2018年末</w:t>
      </w:r>
      <w:r>
        <w:rPr>
          <w:rFonts w:eastAsia="仿宋_GB2312"/>
          <w:sz w:val="32"/>
          <w:szCs w:val="32"/>
        </w:rPr>
        <w:t>，政府债务总限额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34.05亿元</w:t>
      </w:r>
      <w:r>
        <w:rPr>
          <w:rFonts w:eastAsia="仿宋_GB2312"/>
          <w:sz w:val="32"/>
          <w:szCs w:val="32"/>
        </w:rPr>
        <w:t>，其中一般债务限额</w:t>
      </w:r>
      <w:r>
        <w:rPr>
          <w:rFonts w:hint="eastAsia" w:eastAsia="仿宋_GB2312"/>
          <w:sz w:val="32"/>
          <w:szCs w:val="32"/>
        </w:rPr>
        <w:t>25.26</w:t>
      </w:r>
      <w:r>
        <w:rPr>
          <w:rFonts w:hint="eastAsia" w:eastAsia="仿宋_GB2312"/>
          <w:sz w:val="32"/>
          <w:szCs w:val="32"/>
          <w:lang w:eastAsia="zh-CN"/>
        </w:rPr>
        <w:t>亿元</w:t>
      </w:r>
      <w:r>
        <w:rPr>
          <w:rFonts w:eastAsia="仿宋_GB2312"/>
          <w:sz w:val="32"/>
          <w:szCs w:val="32"/>
        </w:rPr>
        <w:t>，专项债务限额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8.79亿元</w:t>
      </w:r>
      <w:r>
        <w:rPr>
          <w:rFonts w:eastAsia="仿宋_GB2312"/>
          <w:sz w:val="32"/>
          <w:szCs w:val="32"/>
        </w:rPr>
        <w:t>。截止</w:t>
      </w:r>
      <w:r>
        <w:rPr>
          <w:rFonts w:hint="eastAsia" w:eastAsia="仿宋_GB2312"/>
          <w:sz w:val="32"/>
          <w:szCs w:val="32"/>
          <w:lang w:val="en-US" w:eastAsia="zh-CN"/>
        </w:rPr>
        <w:t>2018</w:t>
      </w:r>
      <w:r>
        <w:rPr>
          <w:rFonts w:eastAsia="仿宋_GB2312"/>
          <w:sz w:val="32"/>
          <w:szCs w:val="32"/>
        </w:rPr>
        <w:t>年底，地方政府债务余额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34.05亿元</w:t>
      </w:r>
      <w:r>
        <w:rPr>
          <w:rFonts w:eastAsia="仿宋_GB2312"/>
          <w:sz w:val="32"/>
          <w:szCs w:val="32"/>
        </w:rPr>
        <w:t>，其中一般债务余额</w:t>
      </w:r>
      <w:r>
        <w:rPr>
          <w:rFonts w:hint="eastAsia" w:eastAsia="仿宋_GB2312"/>
          <w:sz w:val="32"/>
          <w:szCs w:val="32"/>
        </w:rPr>
        <w:t>25.26</w:t>
      </w:r>
      <w:r>
        <w:rPr>
          <w:rFonts w:hint="eastAsia" w:eastAsia="仿宋_GB2312"/>
          <w:sz w:val="32"/>
          <w:szCs w:val="32"/>
          <w:lang w:eastAsia="zh-CN"/>
        </w:rPr>
        <w:t>亿元</w:t>
      </w:r>
      <w:r>
        <w:rPr>
          <w:rFonts w:eastAsia="仿宋_GB2312"/>
          <w:sz w:val="32"/>
          <w:szCs w:val="32"/>
        </w:rPr>
        <w:t>，专项债务余额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8.79亿元</w:t>
      </w:r>
      <w:r>
        <w:rPr>
          <w:rFonts w:eastAsia="仿宋_GB2312"/>
          <w:sz w:val="32"/>
          <w:szCs w:val="32"/>
        </w:rPr>
        <w:t>。</w:t>
      </w:r>
    </w:p>
    <w:p>
      <w:pPr>
        <w:spacing w:line="580" w:lineRule="exact"/>
        <w:ind w:firstLine="643" w:firstLineChars="200"/>
        <w:rPr>
          <w:rFonts w:hint="eastAsia" w:eastAsia="楷体_GB2312"/>
          <w:b/>
          <w:color w:val="FF0000"/>
          <w:sz w:val="32"/>
          <w:szCs w:val="32"/>
          <w:lang w:eastAsia="zh-CN"/>
        </w:rPr>
      </w:pPr>
      <w:r>
        <w:rPr>
          <w:rFonts w:eastAsia="楷体_GB2312"/>
          <w:b/>
          <w:color w:val="000000"/>
          <w:sz w:val="32"/>
          <w:szCs w:val="32"/>
        </w:rPr>
        <w:t>（二）地方政府债券发行情况</w:t>
      </w:r>
    </w:p>
    <w:p>
      <w:pPr>
        <w:spacing w:line="580" w:lineRule="exact"/>
        <w:ind w:firstLine="640" w:firstLineChars="200"/>
        <w:rPr>
          <w:rFonts w:hint="default" w:eastAsia="仿宋_GB2312"/>
          <w:sz w:val="32"/>
          <w:szCs w:val="32"/>
          <w:lang w:val="en-US"/>
        </w:rPr>
      </w:pP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eastAsia="仿宋_GB2312"/>
          <w:sz w:val="32"/>
          <w:szCs w:val="32"/>
        </w:rPr>
        <w:t>年，省转贷新增债务限额</w:t>
      </w:r>
      <w:r>
        <w:rPr>
          <w:rFonts w:hint="eastAsia" w:eastAsia="仿宋_GB2312"/>
          <w:sz w:val="32"/>
          <w:szCs w:val="32"/>
          <w:lang w:val="en-US" w:eastAsia="zh-CN"/>
        </w:rPr>
        <w:t>3.785亿元</w:t>
      </w:r>
      <w:r>
        <w:rPr>
          <w:rFonts w:eastAsia="仿宋_GB2312"/>
          <w:sz w:val="32"/>
          <w:szCs w:val="32"/>
        </w:rPr>
        <w:t>，其中一般债务限额</w:t>
      </w:r>
      <w:r>
        <w:rPr>
          <w:rFonts w:hint="eastAsia" w:eastAsia="仿宋_GB2312"/>
          <w:sz w:val="32"/>
          <w:szCs w:val="32"/>
          <w:lang w:val="en-US" w:eastAsia="zh-CN"/>
        </w:rPr>
        <w:t>3.35亿元</w:t>
      </w:r>
      <w:r>
        <w:rPr>
          <w:rFonts w:eastAsia="仿宋_GB2312"/>
          <w:sz w:val="32"/>
          <w:szCs w:val="32"/>
        </w:rPr>
        <w:t>，专项债务限额</w:t>
      </w:r>
      <w:r>
        <w:rPr>
          <w:rFonts w:hint="eastAsia" w:eastAsia="仿宋_GB2312"/>
          <w:sz w:val="32"/>
          <w:szCs w:val="32"/>
          <w:lang w:val="en-US" w:eastAsia="zh-CN"/>
        </w:rPr>
        <w:t>0.435亿元</w:t>
      </w:r>
      <w:r>
        <w:rPr>
          <w:rFonts w:hint="eastAsia" w:eastAsia="仿宋_GB2312"/>
          <w:sz w:val="32"/>
          <w:szCs w:val="32"/>
          <w:lang w:eastAsia="zh-CN"/>
        </w:rPr>
        <w:t>。当年</w:t>
      </w:r>
      <w:r>
        <w:rPr>
          <w:rFonts w:eastAsia="仿宋_GB2312"/>
          <w:sz w:val="32"/>
          <w:szCs w:val="32"/>
        </w:rPr>
        <w:t>，发行</w:t>
      </w:r>
      <w:r>
        <w:rPr>
          <w:rFonts w:hint="eastAsia" w:eastAsia="仿宋_GB2312"/>
          <w:sz w:val="32"/>
          <w:szCs w:val="32"/>
          <w:lang w:eastAsia="zh-CN"/>
        </w:rPr>
        <w:t>新增</w:t>
      </w:r>
      <w:r>
        <w:rPr>
          <w:rFonts w:eastAsia="仿宋_GB2312"/>
          <w:sz w:val="32"/>
          <w:szCs w:val="32"/>
        </w:rPr>
        <w:t>一般债券</w:t>
      </w:r>
      <w:r>
        <w:rPr>
          <w:rFonts w:hint="eastAsia" w:eastAsia="仿宋_GB2312"/>
          <w:sz w:val="32"/>
          <w:szCs w:val="32"/>
          <w:lang w:val="en-US" w:eastAsia="zh-CN"/>
        </w:rPr>
        <w:t>3.35亿元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新增</w:t>
      </w:r>
      <w:r>
        <w:rPr>
          <w:rFonts w:eastAsia="仿宋_GB2312"/>
          <w:sz w:val="32"/>
          <w:szCs w:val="32"/>
        </w:rPr>
        <w:t>专项债券</w:t>
      </w:r>
      <w:r>
        <w:rPr>
          <w:rFonts w:hint="eastAsia" w:eastAsia="仿宋_GB2312"/>
          <w:sz w:val="32"/>
          <w:szCs w:val="32"/>
          <w:lang w:val="en-US" w:eastAsia="zh-CN"/>
        </w:rPr>
        <w:t>0.435亿元，</w:t>
      </w:r>
      <w:r>
        <w:rPr>
          <w:rFonts w:hint="eastAsia" w:eastAsia="仿宋_GB2312"/>
          <w:sz w:val="32"/>
          <w:szCs w:val="32"/>
        </w:rPr>
        <w:t>再融资债券</w:t>
      </w:r>
      <w:r>
        <w:rPr>
          <w:rFonts w:hint="eastAsia" w:eastAsia="仿宋_GB2312"/>
          <w:sz w:val="32"/>
          <w:szCs w:val="32"/>
          <w:lang w:val="en-US" w:eastAsia="zh-CN"/>
        </w:rPr>
        <w:t>2.73亿元。</w:t>
      </w:r>
    </w:p>
    <w:p>
      <w:pPr>
        <w:spacing w:line="580" w:lineRule="exact"/>
        <w:ind w:left="0" w:leftChars="0" w:firstLine="842" w:firstLineChars="262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(三)地方政府债务还本付息情况</w:t>
      </w: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eastAsia="仿宋_GB2312"/>
          <w:sz w:val="32"/>
          <w:szCs w:val="32"/>
        </w:rPr>
        <w:t>年偿还地方政府债券本金</w:t>
      </w:r>
      <w:r>
        <w:rPr>
          <w:rFonts w:hint="eastAsia" w:eastAsia="仿宋_GB2312"/>
          <w:sz w:val="32"/>
          <w:szCs w:val="32"/>
          <w:lang w:val="en-US" w:eastAsia="zh-CN"/>
        </w:rPr>
        <w:t>27263.53万元</w:t>
      </w:r>
      <w:r>
        <w:rPr>
          <w:rFonts w:eastAsia="仿宋_GB2312"/>
          <w:sz w:val="32"/>
          <w:szCs w:val="32"/>
        </w:rPr>
        <w:t>，其中一般债券</w:t>
      </w:r>
      <w:r>
        <w:rPr>
          <w:rFonts w:hint="eastAsia" w:eastAsia="仿宋_GB2312"/>
          <w:sz w:val="32"/>
          <w:szCs w:val="32"/>
          <w:lang w:val="en-US" w:eastAsia="zh-CN"/>
        </w:rPr>
        <w:t>12310.56万元</w:t>
      </w:r>
      <w:r>
        <w:rPr>
          <w:rFonts w:eastAsia="仿宋_GB2312"/>
          <w:sz w:val="32"/>
          <w:szCs w:val="32"/>
        </w:rPr>
        <w:t>，专项债务</w:t>
      </w:r>
      <w:r>
        <w:rPr>
          <w:rFonts w:hint="eastAsia" w:eastAsia="仿宋_GB2312"/>
          <w:sz w:val="32"/>
          <w:szCs w:val="32"/>
          <w:lang w:val="en-US" w:eastAsia="zh-CN"/>
        </w:rPr>
        <w:t>14952.97万元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eastAsia="仿宋_GB2312"/>
          <w:sz w:val="32"/>
          <w:szCs w:val="32"/>
        </w:rPr>
        <w:t>支付地方政府债券利息</w:t>
      </w:r>
      <w:r>
        <w:rPr>
          <w:rFonts w:hint="eastAsia" w:eastAsia="仿宋_GB2312"/>
          <w:sz w:val="32"/>
          <w:szCs w:val="32"/>
          <w:lang w:val="en-US" w:eastAsia="zh-CN"/>
        </w:rPr>
        <w:t>12075.4588万元</w:t>
      </w:r>
      <w:r>
        <w:rPr>
          <w:rFonts w:eastAsia="仿宋_GB2312"/>
          <w:sz w:val="32"/>
          <w:szCs w:val="32"/>
        </w:rPr>
        <w:t>，其中一般债券利息</w:t>
      </w:r>
      <w:r>
        <w:rPr>
          <w:rFonts w:hint="eastAsia" w:eastAsia="仿宋_GB2312"/>
          <w:sz w:val="32"/>
          <w:szCs w:val="32"/>
          <w:lang w:val="en-US" w:eastAsia="zh-CN"/>
        </w:rPr>
        <w:t>9089.8098万元</w:t>
      </w:r>
      <w:r>
        <w:rPr>
          <w:rFonts w:eastAsia="仿宋_GB2312"/>
          <w:sz w:val="32"/>
          <w:szCs w:val="32"/>
        </w:rPr>
        <w:t>，专项债券利息</w:t>
      </w:r>
      <w:r>
        <w:rPr>
          <w:rFonts w:hint="eastAsia" w:eastAsia="仿宋_GB2312"/>
          <w:sz w:val="32"/>
          <w:szCs w:val="32"/>
          <w:lang w:val="en-US" w:eastAsia="zh-CN"/>
        </w:rPr>
        <w:t>2985.649万元。</w:t>
      </w:r>
    </w:p>
    <w:p>
      <w:pPr>
        <w:numPr>
          <w:ilvl w:val="0"/>
          <w:numId w:val="2"/>
        </w:numPr>
        <w:spacing w:line="580" w:lineRule="exact"/>
        <w:ind w:left="0" w:leftChars="0" w:firstLine="842" w:firstLineChars="262"/>
        <w:rPr>
          <w:rFonts w:hint="eastAsia" w:eastAsia="楷体_GB2312"/>
          <w:b/>
          <w:color w:val="000000"/>
          <w:sz w:val="32"/>
          <w:szCs w:val="32"/>
          <w:lang w:val="en-US" w:eastAsia="zh-CN"/>
        </w:rPr>
      </w:pPr>
      <w:r>
        <w:rPr>
          <w:rFonts w:hint="eastAsia" w:eastAsia="楷体_GB2312"/>
          <w:b/>
          <w:color w:val="000000"/>
          <w:sz w:val="32"/>
          <w:szCs w:val="32"/>
          <w:lang w:val="en-US" w:eastAsia="zh-CN"/>
        </w:rPr>
        <w:t>地方政府债券资金使用安排情况。</w:t>
      </w:r>
    </w:p>
    <w:p>
      <w:pPr>
        <w:numPr>
          <w:numId w:val="0"/>
        </w:numPr>
        <w:spacing w:line="58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楷体_GB2312"/>
          <w:b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根据《地方政府一般债券发行管理暂行办法》（财库〔2015〕64号）规定，在未收到上级财政下达债券额度通知的情况下，各县市区不允许将新增债券数额列入年初预算，只能在明确当年新增债券额度后列入当年的调整预算。故2019年预算中无本年债券资金使用安排情况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三、预算绩效管理工作开展情况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2018年预算绩效管理管理工作开展情况：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所有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预算单位对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财政性资金开展绩效目标申报、绩效自评，并引入第三方机构对县环保局、县商粮局的0.37亿元部门整体支出及关注度高的就业补助资金、贫困村基础设施资金等0.51亿元民生项目资金开展重点绩效评价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逐步实现“预算编制有目标，预算执行有监控，预算完成有评价，评价结果有反馈，反馈结果有应用”的绩效管理体系。</w:t>
      </w:r>
    </w:p>
    <w:p>
      <w:pPr>
        <w:ind w:firstLine="640" w:firstLineChars="200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2019年预算绩效管理工作计划：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进一步完善预算绩效管理制度体系，增强可操作性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将第三方绩效评价纳入政府购买服务范围，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进一步扩大第三方绩效评价的广度和深度，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有效利用第三方中介机构的力量扩大绩效评价的范围和规模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进一步推进评价结果应用，建立绩效报告机制。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2E2309"/>
    <w:multiLevelType w:val="singleLevel"/>
    <w:tmpl w:val="D82E2309"/>
    <w:lvl w:ilvl="0" w:tentative="0">
      <w:start w:val="4"/>
      <w:numFmt w:val="chineseCounting"/>
      <w:suff w:val="nothing"/>
      <w:lvlText w:val="(%1）"/>
      <w:lvlJc w:val="left"/>
      <w:rPr>
        <w:rFonts w:hint="eastAsia"/>
      </w:rPr>
    </w:lvl>
  </w:abstractNum>
  <w:abstractNum w:abstractNumId="1">
    <w:nsid w:val="60B89B7A"/>
    <w:multiLevelType w:val="singleLevel"/>
    <w:tmpl w:val="60B89B7A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15599"/>
    <w:rsid w:val="18AE640D"/>
    <w:rsid w:val="1CD77C91"/>
    <w:rsid w:val="27B02F7F"/>
    <w:rsid w:val="2AEC5CD0"/>
    <w:rsid w:val="2EC0315D"/>
    <w:rsid w:val="488F6E55"/>
    <w:rsid w:val="4CAB6E78"/>
    <w:rsid w:val="4CB22145"/>
    <w:rsid w:val="4D282BC5"/>
    <w:rsid w:val="6C207007"/>
    <w:rsid w:val="6C397E0F"/>
    <w:rsid w:val="72FA6F4D"/>
    <w:rsid w:val="74855A91"/>
    <w:rsid w:val="755565EF"/>
    <w:rsid w:val="7BF90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2021-06-23T09:08:08Z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