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27" w:firstLineChars="196"/>
        <w:jc w:val="left"/>
        <w:rPr>
          <w:rFonts w:hint="eastAsia" w:eastAsia="黑体"/>
          <w:bCs/>
          <w:kern w:val="0"/>
          <w:sz w:val="32"/>
          <w:szCs w:val="32"/>
          <w:lang w:val="en-US" w:eastAsia="zh-CN"/>
        </w:rPr>
      </w:pP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相关说明</w:t>
      </w: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一、税收返还和转移支付情况</w:t>
      </w:r>
    </w:p>
    <w:p>
      <w:pPr>
        <w:spacing w:line="580" w:lineRule="exact"/>
        <w:ind w:firstLine="616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2018年上级转移支付资金27.4亿元，较上年增加0.91亿元，增长3.45%。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其中：</w:t>
      </w:r>
    </w:p>
    <w:p>
      <w:pPr>
        <w:numPr>
          <w:ilvl w:val="0"/>
          <w:numId w:val="1"/>
        </w:numPr>
        <w:spacing w:line="580" w:lineRule="exact"/>
        <w:ind w:firstLine="616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返还性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转移支付0.61亿元，包括增值税和消费税税收返还、所得税基数返还、成品油价格和税费改革税收返还收入。</w:t>
      </w:r>
    </w:p>
    <w:p>
      <w:pPr>
        <w:numPr>
          <w:ilvl w:val="0"/>
          <w:numId w:val="1"/>
        </w:numPr>
        <w:spacing w:line="580" w:lineRule="exact"/>
        <w:ind w:firstLine="616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一般性转移支付19亿元，较上年增加2.59亿元，</w:t>
      </w:r>
      <w:r>
        <w:rPr>
          <w:rFonts w:eastAsia="仿宋_GB2312"/>
          <w:color w:val="000000"/>
          <w:sz w:val="32"/>
          <w:szCs w:val="32"/>
        </w:rPr>
        <w:t>增长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15.8%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主要是</w:t>
      </w:r>
      <w:r>
        <w:rPr>
          <w:rFonts w:hint="eastAsia" w:eastAsia="仿宋_GB2312"/>
          <w:color w:val="000000"/>
          <w:sz w:val="32"/>
          <w:szCs w:val="32"/>
        </w:rPr>
        <w:t>基本养老金保险和低保等转移支付收入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1.7亿元</w:t>
      </w:r>
      <w:r>
        <w:rPr>
          <w:rFonts w:eastAsia="仿宋_GB2312"/>
          <w:color w:val="000000"/>
          <w:sz w:val="32"/>
          <w:szCs w:val="32"/>
        </w:rPr>
        <w:t>, 比上年增增加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9亿元；</w:t>
      </w:r>
      <w:r>
        <w:rPr>
          <w:rFonts w:eastAsia="仿宋_GB2312"/>
          <w:color w:val="auto"/>
          <w:sz w:val="32"/>
          <w:szCs w:val="32"/>
        </w:rPr>
        <w:t>均衡性转移支付</w:t>
      </w:r>
      <w:r>
        <w:rPr>
          <w:rFonts w:hint="eastAsia" w:eastAsia="仿宋_GB2312"/>
          <w:color w:val="auto"/>
          <w:sz w:val="32"/>
          <w:szCs w:val="32"/>
          <w:lang w:eastAsia="zh-CN"/>
        </w:rPr>
        <w:t>收入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4.13亿元</w:t>
      </w:r>
      <w:r>
        <w:rPr>
          <w:rFonts w:eastAsia="仿宋_GB2312"/>
          <w:color w:val="auto"/>
          <w:sz w:val="32"/>
          <w:szCs w:val="32"/>
        </w:rPr>
        <w:t>, 比上年增加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0.23亿元；义务教育等转移支付收入2.05亿元，</w:t>
      </w:r>
      <w:r>
        <w:rPr>
          <w:rFonts w:eastAsia="仿宋_GB2312"/>
          <w:color w:val="auto"/>
          <w:sz w:val="32"/>
          <w:szCs w:val="32"/>
        </w:rPr>
        <w:t>比上年增加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0.53亿元；革命老区及民族和贫困地区转移支付补助收入2.43亿元，</w:t>
      </w:r>
      <w:r>
        <w:rPr>
          <w:rFonts w:eastAsia="仿宋_GB2312"/>
          <w:color w:val="auto"/>
          <w:sz w:val="32"/>
          <w:szCs w:val="32"/>
        </w:rPr>
        <w:t>比上年增加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0.31亿元；城乡居民医疗保险转移支付收入2.12亿元，比上年增加0.17亿元；其他一般性转移支付收入1.21亿元，比上年增加0.85亿元。</w:t>
      </w:r>
    </w:p>
    <w:p>
      <w:pPr>
        <w:numPr>
          <w:ilvl w:val="0"/>
          <w:numId w:val="1"/>
        </w:numPr>
        <w:spacing w:line="580" w:lineRule="exact"/>
        <w:ind w:firstLine="616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专项转移支付7.79亿元，较上年减少1.67亿元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降低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17.65%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主要是省加大一般性转移支付力度，减少专项转移支付所致。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其中：教育支出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0.59亿元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；文化体育与传媒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0.33亿元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；社会保障和就业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0.54亿元；</w:t>
      </w:r>
      <w:r>
        <w:rPr>
          <w:rFonts w:hint="eastAsia" w:eastAsia="仿宋_GB2312"/>
          <w:color w:val="000000"/>
          <w:sz w:val="32"/>
          <w:szCs w:val="32"/>
        </w:rPr>
        <w:t>医疗卫生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0.53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亿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元；节能环保0.54亿元；农林水支出3.17亿元；</w:t>
      </w:r>
      <w:r>
        <w:rPr>
          <w:rFonts w:hint="eastAsia" w:eastAsia="仿宋_GB2312"/>
          <w:color w:val="000000"/>
          <w:sz w:val="32"/>
          <w:szCs w:val="32"/>
        </w:rPr>
        <w:t>住房保障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0.66亿元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eastAsia="黑体"/>
          <w:color w:val="000000"/>
          <w:sz w:val="32"/>
          <w:szCs w:val="32"/>
        </w:rPr>
        <w:t>二、举借政府债务情况</w:t>
      </w:r>
    </w:p>
    <w:p>
      <w:pPr>
        <w:spacing w:line="58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（一）地方政府债务限额余额情况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</w:t>
      </w:r>
      <w:r>
        <w:rPr>
          <w:rFonts w:eastAsia="仿宋_GB2312"/>
          <w:sz w:val="32"/>
          <w:szCs w:val="32"/>
        </w:rPr>
        <w:t>，政府债务总限额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34.05亿元</w:t>
      </w:r>
      <w:r>
        <w:rPr>
          <w:rFonts w:eastAsia="仿宋_GB2312"/>
          <w:sz w:val="32"/>
          <w:szCs w:val="32"/>
        </w:rPr>
        <w:t>，其中一般债务限额</w:t>
      </w:r>
      <w:r>
        <w:rPr>
          <w:rFonts w:hint="eastAsia" w:eastAsia="仿宋_GB2312"/>
          <w:sz w:val="32"/>
          <w:szCs w:val="32"/>
        </w:rPr>
        <w:t>25.26</w:t>
      </w:r>
      <w:r>
        <w:rPr>
          <w:rFonts w:hint="eastAsia" w:eastAsia="仿宋_GB2312"/>
          <w:sz w:val="32"/>
          <w:szCs w:val="32"/>
          <w:lang w:eastAsia="zh-CN"/>
        </w:rPr>
        <w:t>亿元</w:t>
      </w:r>
      <w:r>
        <w:rPr>
          <w:rFonts w:eastAsia="仿宋_GB2312"/>
          <w:sz w:val="32"/>
          <w:szCs w:val="32"/>
        </w:rPr>
        <w:t>，专项债务限额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8.79亿元</w:t>
      </w:r>
      <w:r>
        <w:rPr>
          <w:rFonts w:eastAsia="仿宋_GB2312"/>
          <w:sz w:val="32"/>
          <w:szCs w:val="32"/>
        </w:rPr>
        <w:t>。截止</w:t>
      </w:r>
      <w:r>
        <w:rPr>
          <w:rFonts w:hint="eastAsia" w:eastAsia="仿宋_GB2312"/>
          <w:sz w:val="32"/>
          <w:szCs w:val="32"/>
          <w:lang w:val="en-US" w:eastAsia="zh-CN"/>
        </w:rPr>
        <w:t>2018</w:t>
      </w:r>
      <w:r>
        <w:rPr>
          <w:rFonts w:eastAsia="仿宋_GB2312"/>
          <w:sz w:val="32"/>
          <w:szCs w:val="32"/>
        </w:rPr>
        <w:t>年底，地方政府债务余额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34.05亿元</w:t>
      </w:r>
      <w:r>
        <w:rPr>
          <w:rFonts w:eastAsia="仿宋_GB2312"/>
          <w:sz w:val="32"/>
          <w:szCs w:val="32"/>
        </w:rPr>
        <w:t>，其中一般债务余额</w:t>
      </w:r>
      <w:r>
        <w:rPr>
          <w:rFonts w:hint="eastAsia" w:eastAsia="仿宋_GB2312"/>
          <w:sz w:val="32"/>
          <w:szCs w:val="32"/>
        </w:rPr>
        <w:t>25.26</w:t>
      </w:r>
      <w:r>
        <w:rPr>
          <w:rFonts w:hint="eastAsia" w:eastAsia="仿宋_GB2312"/>
          <w:sz w:val="32"/>
          <w:szCs w:val="32"/>
          <w:lang w:eastAsia="zh-CN"/>
        </w:rPr>
        <w:t>亿元</w:t>
      </w:r>
      <w:r>
        <w:rPr>
          <w:rFonts w:eastAsia="仿宋_GB2312"/>
          <w:sz w:val="32"/>
          <w:szCs w:val="32"/>
        </w:rPr>
        <w:t>，专项债务余额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8.79亿元</w:t>
      </w:r>
      <w:r>
        <w:rPr>
          <w:rFonts w:eastAsia="仿宋_GB2312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（二）地方政府债券发行情况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2018</w:t>
      </w:r>
      <w:r>
        <w:rPr>
          <w:rFonts w:eastAsia="仿宋_GB2312"/>
          <w:sz w:val="32"/>
          <w:szCs w:val="32"/>
        </w:rPr>
        <w:t>年，新增债务限额</w:t>
      </w:r>
      <w:r>
        <w:rPr>
          <w:rFonts w:hint="eastAsia" w:eastAsia="仿宋_GB2312"/>
          <w:sz w:val="32"/>
          <w:szCs w:val="32"/>
          <w:lang w:val="en-US" w:eastAsia="zh-CN"/>
        </w:rPr>
        <w:t>9.45亿元</w:t>
      </w:r>
      <w:r>
        <w:rPr>
          <w:rFonts w:eastAsia="仿宋_GB2312"/>
          <w:sz w:val="32"/>
          <w:szCs w:val="32"/>
        </w:rPr>
        <w:t>，其中一般债务限额</w:t>
      </w:r>
      <w:r>
        <w:rPr>
          <w:rFonts w:hint="eastAsia" w:eastAsia="仿宋_GB2312"/>
          <w:sz w:val="32"/>
          <w:szCs w:val="32"/>
          <w:lang w:val="en-US" w:eastAsia="zh-CN"/>
        </w:rPr>
        <w:t>4.45亿元</w:t>
      </w:r>
      <w:r>
        <w:rPr>
          <w:rFonts w:eastAsia="仿宋_GB2312"/>
          <w:sz w:val="32"/>
          <w:szCs w:val="32"/>
        </w:rPr>
        <w:t>，专项债务限额</w:t>
      </w:r>
      <w:r>
        <w:rPr>
          <w:rFonts w:hint="eastAsia" w:eastAsia="仿宋_GB2312"/>
          <w:sz w:val="32"/>
          <w:szCs w:val="32"/>
          <w:lang w:val="en-US" w:eastAsia="zh-CN"/>
        </w:rPr>
        <w:t>5亿元</w:t>
      </w:r>
      <w:r>
        <w:rPr>
          <w:rFonts w:eastAsia="仿宋_GB2312"/>
          <w:sz w:val="32"/>
          <w:szCs w:val="32"/>
        </w:rPr>
        <w:t>，据此，发行一般债券</w:t>
      </w:r>
      <w:r>
        <w:rPr>
          <w:rFonts w:hint="eastAsia" w:eastAsia="仿宋_GB2312"/>
          <w:sz w:val="32"/>
          <w:szCs w:val="32"/>
          <w:lang w:val="en-US" w:eastAsia="zh-CN"/>
        </w:rPr>
        <w:t>4.45亿元</w:t>
      </w:r>
      <w:r>
        <w:rPr>
          <w:rFonts w:eastAsia="仿宋_GB2312"/>
          <w:sz w:val="32"/>
          <w:szCs w:val="32"/>
        </w:rPr>
        <w:t>，专项债券</w:t>
      </w:r>
      <w:r>
        <w:rPr>
          <w:rFonts w:hint="eastAsia" w:eastAsia="仿宋_GB2312"/>
          <w:sz w:val="32"/>
          <w:szCs w:val="32"/>
          <w:lang w:val="en-US" w:eastAsia="zh-CN"/>
        </w:rPr>
        <w:t>5亿元</w:t>
      </w:r>
      <w:r>
        <w:rPr>
          <w:rFonts w:eastAsia="仿宋_GB2312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(三)地方政府债务还本付息情况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2018</w:t>
      </w:r>
      <w:r>
        <w:rPr>
          <w:rFonts w:eastAsia="仿宋_GB2312"/>
          <w:sz w:val="32"/>
          <w:szCs w:val="32"/>
        </w:rPr>
        <w:t>年偿还地方政府债券本金</w:t>
      </w:r>
      <w:r>
        <w:rPr>
          <w:rFonts w:hint="eastAsia" w:eastAsia="仿宋_GB2312"/>
          <w:sz w:val="32"/>
          <w:szCs w:val="32"/>
          <w:lang w:val="en-US" w:eastAsia="zh-CN"/>
        </w:rPr>
        <w:t>4.7719亿元</w:t>
      </w:r>
      <w:r>
        <w:rPr>
          <w:rFonts w:eastAsia="仿宋_GB2312"/>
          <w:sz w:val="32"/>
          <w:szCs w:val="32"/>
        </w:rPr>
        <w:t>，其中一般债券</w:t>
      </w:r>
      <w:r>
        <w:rPr>
          <w:rFonts w:hint="eastAsia" w:eastAsia="仿宋_GB2312"/>
          <w:sz w:val="32"/>
          <w:szCs w:val="32"/>
          <w:lang w:val="en-US" w:eastAsia="zh-CN"/>
        </w:rPr>
        <w:t>4.7669亿元</w:t>
      </w:r>
      <w:r>
        <w:rPr>
          <w:rFonts w:eastAsia="仿宋_GB2312"/>
          <w:sz w:val="32"/>
          <w:szCs w:val="32"/>
        </w:rPr>
        <w:t>，专项债务</w:t>
      </w:r>
      <w:r>
        <w:rPr>
          <w:rFonts w:hint="eastAsia" w:eastAsia="仿宋_GB2312"/>
          <w:sz w:val="32"/>
          <w:szCs w:val="32"/>
          <w:lang w:val="en-US" w:eastAsia="zh-CN"/>
        </w:rPr>
        <w:t>0.005亿元</w:t>
      </w:r>
      <w:r>
        <w:rPr>
          <w:rFonts w:eastAsia="仿宋_GB2312"/>
          <w:sz w:val="32"/>
          <w:szCs w:val="32"/>
        </w:rPr>
        <w:t>，支付地方政府债券利息</w:t>
      </w:r>
      <w:r>
        <w:rPr>
          <w:rFonts w:hint="eastAsia" w:eastAsia="仿宋_GB2312"/>
          <w:sz w:val="32"/>
          <w:szCs w:val="32"/>
          <w:lang w:val="en-US" w:eastAsia="zh-CN"/>
        </w:rPr>
        <w:t>0.6409亿元</w:t>
      </w:r>
      <w:r>
        <w:rPr>
          <w:rFonts w:eastAsia="仿宋_GB2312"/>
          <w:sz w:val="32"/>
          <w:szCs w:val="32"/>
        </w:rPr>
        <w:t>，其中一般债券利息</w:t>
      </w:r>
      <w:r>
        <w:rPr>
          <w:rFonts w:hint="eastAsia" w:eastAsia="仿宋_GB2312"/>
          <w:sz w:val="32"/>
          <w:szCs w:val="32"/>
          <w:lang w:val="en-US" w:eastAsia="zh-CN"/>
        </w:rPr>
        <w:t>0.5368亿元</w:t>
      </w:r>
      <w:r>
        <w:rPr>
          <w:rFonts w:eastAsia="仿宋_GB2312"/>
          <w:sz w:val="32"/>
          <w:szCs w:val="32"/>
        </w:rPr>
        <w:t>，专项债券利息</w:t>
      </w:r>
      <w:r>
        <w:rPr>
          <w:rFonts w:hint="eastAsia" w:eastAsia="仿宋_GB2312"/>
          <w:sz w:val="32"/>
          <w:szCs w:val="32"/>
          <w:lang w:val="en-US" w:eastAsia="zh-CN"/>
        </w:rPr>
        <w:t>0.1041亿元</w:t>
      </w:r>
      <w:r>
        <w:rPr>
          <w:rFonts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三、预算绩效管理工作开展情况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2018年预算绩效管理管理工作开展情况：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组织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所有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预算单位对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部门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财政性资金开展绩效目标申报、绩效自评，并引入第三方机构对县环保局、县商粮局的0.37亿元部门整体支出及关注度高的就业补助资金、贫困村基础设施资金等0.51亿元民生项目资金开展重点绩效评价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逐步实现“预算编制有目标，预算执行有监控，预算完成有评价，评价结果有反馈，反馈结果有应用”的绩效管理体系。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2019年预算绩效管理工作计划：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进一步完善预算绩效管理制度体系，增强可操作性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将第三方绩效评价纳入政府购买服务范围，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进一步扩大第三方绩效评价的广度和深度，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有效利用第三方中介机构的力量扩大绩效评价的范围和规模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进一步推进评价结果应用，建立绩效报告机制。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91AE"/>
    <w:multiLevelType w:val="singleLevel"/>
    <w:tmpl w:val="60B891A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15599"/>
    <w:rsid w:val="26257807"/>
    <w:rsid w:val="3D2A7F1C"/>
    <w:rsid w:val="446349A5"/>
    <w:rsid w:val="4A9E1C85"/>
    <w:rsid w:val="56BE47CB"/>
    <w:rsid w:val="59F81C0E"/>
    <w:rsid w:val="699E491B"/>
    <w:rsid w:val="6C397E0F"/>
    <w:rsid w:val="702634AB"/>
    <w:rsid w:val="7ED907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2021-06-06T10:14:55Z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