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年专项资金绩效自评报告</w:t>
      </w:r>
    </w:p>
    <w:p>
      <w:pPr>
        <w:widowControl/>
        <w:adjustRightInd w:val="0"/>
        <w:snapToGrid w:val="0"/>
        <w:spacing w:line="580" w:lineRule="exact"/>
        <w:ind w:firstLine="640" w:firstLineChars="200"/>
        <w:jc w:val="left"/>
        <w:rPr>
          <w:rFonts w:eastAsia="黑体"/>
          <w:kern w:val="0"/>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kern w:val="0"/>
          <w:sz w:val="32"/>
          <w:szCs w:val="32"/>
        </w:rPr>
      </w:pPr>
      <w:r>
        <w:rPr>
          <w:rFonts w:eastAsia="黑体"/>
          <w:kern w:val="0"/>
          <w:sz w:val="32"/>
          <w:szCs w:val="32"/>
        </w:rPr>
        <w:t>一、预算支出概况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（一）项目实施单位基本情况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江华高新技术产业开发区是2006年5月经省人民政府批准、国家发改委核准的省级开发区，2018年1月经省人民政府批准转型为永州市第一家省级高新区。高新区已开发面积7.4平方公里，入驻了工业企业177家，落户了中国五矿集团、中国风电、安徽海螺集团、温氏集团等20家上市公司（含新三板），培育了高新技术企业45家。2021年实现规模工业总产值220.05亿元，增幅11.59%；规模工业税金3.83亿元，增幅21.66%；外贸进出口总额超8亿美元，江华高新区打造中国“马达之城”的典型经验被省政府综合大督查通报表扬，园区建设、科技投入2项工作获得了省政府真抓实干表彰，在湖南省建设“五好”园区综合评价中排名第4位（省级园区排名第一），连续6年保持在全省产业园区第一方阵，是湖南省唯一连续5年获得全省真抓实干成效明显的省级高新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（二）预算资金基本情况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江华县财政局</w:t>
      </w:r>
      <w:r>
        <w:rPr>
          <w:rFonts w:ascii="仿宋_GB2312" w:hAnsi="仿宋_GB2312" w:eastAsia="仿宋_GB2312" w:cs="仿宋_GB2312"/>
          <w:sz w:val="32"/>
          <w:szCs w:val="32"/>
        </w:rPr>
        <w:t>关于</w:t>
      </w:r>
      <w:r>
        <w:rPr>
          <w:rFonts w:hint="eastAsia" w:ascii="仿宋_GB2312" w:hAnsi="仿宋_GB2312" w:eastAsia="仿宋_GB2312" w:cs="仿宋_GB2312"/>
          <w:sz w:val="32"/>
          <w:szCs w:val="32"/>
        </w:rPr>
        <w:t>下达园区运营资金</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江财预指〔2024〕0344号</w:t>
      </w:r>
      <w:r>
        <w:rPr>
          <w:rFonts w:hint="eastAsia" w:ascii="仿宋_GB2312" w:hAnsi="仿宋_GB2312" w:eastAsia="仿宋_GB2312" w:cs="仿宋_GB2312"/>
          <w:sz w:val="32"/>
          <w:szCs w:val="32"/>
        </w:rPr>
        <w:t>）文件，202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年园区运营资金</w:t>
      </w:r>
      <w:r>
        <w:rPr>
          <w:rFonts w:hint="eastAsia" w:ascii="仿宋_GB2312" w:hAnsi="仿宋_GB2312" w:eastAsia="仿宋_GB2312" w:cs="仿宋_GB2312"/>
          <w:sz w:val="32"/>
          <w:szCs w:val="32"/>
          <w:lang w:val="en-US" w:eastAsia="zh-CN"/>
        </w:rPr>
        <w:t>2000万元</w:t>
      </w:r>
      <w:r>
        <w:rPr>
          <w:rFonts w:hint="eastAsia" w:ascii="仿宋_GB2312" w:hAnsi="仿宋_GB2312" w:eastAsia="仿宋_GB2312" w:cs="仿宋_GB2312"/>
          <w:sz w:val="32"/>
          <w:szCs w:val="32"/>
        </w:rPr>
        <w:t>。实际到位专项资金共计</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万元，资金到位率100%。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江华县财政局</w:t>
      </w:r>
      <w:r>
        <w:rPr>
          <w:rFonts w:ascii="仿宋_GB2312" w:hAnsi="仿宋_GB2312" w:eastAsia="仿宋_GB2312" w:cs="仿宋_GB2312"/>
          <w:sz w:val="32"/>
          <w:szCs w:val="32"/>
        </w:rPr>
        <w:t>关于</w:t>
      </w:r>
      <w:r>
        <w:rPr>
          <w:rFonts w:hint="eastAsia" w:ascii="仿宋_GB2312" w:hAnsi="仿宋_GB2312" w:eastAsia="仿宋_GB2312" w:cs="仿宋_GB2312"/>
          <w:sz w:val="32"/>
          <w:szCs w:val="32"/>
        </w:rPr>
        <w:t>下达湖南骏高智能科技股份有限公司国家级创新创业大赛补助资金的通知（江财预指〔2024〕0067号）——202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预算内</w:t>
      </w:r>
      <w:r>
        <w:rPr>
          <w:rFonts w:hint="eastAsia" w:ascii="仿宋_GB2312" w:hAnsi="仿宋_GB2312" w:eastAsia="仿宋_GB2312" w:cs="仿宋_GB2312"/>
          <w:sz w:val="32"/>
          <w:szCs w:val="32"/>
        </w:rPr>
        <w:t>资金</w:t>
      </w:r>
      <w:r>
        <w:rPr>
          <w:rFonts w:hint="eastAsia" w:ascii="仿宋_GB2312" w:eastAsia="仿宋_GB2312"/>
          <w:sz w:val="32"/>
          <w:szCs w:val="32"/>
          <w:lang w:val="en-US" w:eastAsia="zh-CN"/>
        </w:rPr>
        <w:t>5万元</w:t>
      </w:r>
      <w:r>
        <w:rPr>
          <w:rFonts w:hint="eastAsia" w:ascii="仿宋_GB2312" w:hAnsi="仿宋_GB2312" w:eastAsia="仿宋_GB2312" w:cs="仿宋_GB2312"/>
          <w:sz w:val="32"/>
          <w:szCs w:val="32"/>
        </w:rPr>
        <w:t>。</w:t>
      </w:r>
      <w:r>
        <w:rPr>
          <w:rFonts w:hint="eastAsia" w:ascii="仿宋_GB2312" w:eastAsia="仿宋_GB2312"/>
          <w:sz w:val="32"/>
          <w:szCs w:val="32"/>
        </w:rPr>
        <w:t>实际到位</w:t>
      </w:r>
      <w:r>
        <w:rPr>
          <w:rFonts w:hint="eastAsia" w:ascii="仿宋_GB2312" w:eastAsia="仿宋_GB2312"/>
          <w:sz w:val="32"/>
          <w:szCs w:val="32"/>
          <w:lang w:val="en-US" w:eastAsia="zh-CN"/>
        </w:rPr>
        <w:t>5万元，</w:t>
      </w:r>
      <w:r>
        <w:rPr>
          <w:rFonts w:hint="eastAsia" w:ascii="仿宋_GB2312" w:eastAsia="仿宋_GB2312"/>
          <w:sz w:val="32"/>
          <w:szCs w:val="32"/>
        </w:rPr>
        <w:t>资金到位率100%。</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江华县财政局</w:t>
      </w:r>
      <w:r>
        <w:rPr>
          <w:rFonts w:ascii="仿宋_GB2312" w:hAnsi="仿宋_GB2312" w:eastAsia="仿宋_GB2312" w:cs="仿宋_GB2312"/>
          <w:sz w:val="32"/>
          <w:szCs w:val="32"/>
        </w:rPr>
        <w:t>关于</w:t>
      </w:r>
      <w:r>
        <w:rPr>
          <w:rFonts w:hint="eastAsia" w:ascii="仿宋_GB2312" w:hAnsi="仿宋_GB2312" w:eastAsia="仿宋_GB2312" w:cs="仿宋_GB2312"/>
          <w:sz w:val="32"/>
          <w:szCs w:val="32"/>
        </w:rPr>
        <w:t>下达2024年第一批省预算内基建资金的通知（湘财建指[2024]62号）-全省营商环境综合排名前十的园区奖励资金的通知（湘财建指[2024]62号）——202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预算内</w:t>
      </w:r>
      <w:r>
        <w:rPr>
          <w:rFonts w:hint="eastAsia" w:ascii="仿宋_GB2312" w:hAnsi="仿宋_GB2312" w:eastAsia="仿宋_GB2312" w:cs="仿宋_GB2312"/>
          <w:sz w:val="32"/>
          <w:szCs w:val="32"/>
        </w:rPr>
        <w:t>资金</w:t>
      </w:r>
      <w:r>
        <w:rPr>
          <w:rFonts w:hint="eastAsia" w:ascii="仿宋_GB2312" w:eastAsia="仿宋_GB2312"/>
          <w:sz w:val="32"/>
          <w:szCs w:val="32"/>
          <w:lang w:val="en-US" w:eastAsia="zh-CN"/>
        </w:rPr>
        <w:t>100万元</w:t>
      </w:r>
      <w:r>
        <w:rPr>
          <w:rFonts w:hint="eastAsia" w:ascii="仿宋_GB2312" w:hAnsi="仿宋_GB2312" w:eastAsia="仿宋_GB2312" w:cs="仿宋_GB2312"/>
          <w:sz w:val="32"/>
          <w:szCs w:val="32"/>
        </w:rPr>
        <w:t>。</w:t>
      </w:r>
      <w:r>
        <w:rPr>
          <w:rFonts w:hint="eastAsia" w:ascii="仿宋_GB2312" w:eastAsia="仿宋_GB2312"/>
          <w:sz w:val="32"/>
          <w:szCs w:val="32"/>
        </w:rPr>
        <w:t>实际到位</w:t>
      </w:r>
      <w:r>
        <w:rPr>
          <w:rFonts w:hint="eastAsia" w:ascii="仿宋_GB2312" w:eastAsia="仿宋_GB2312"/>
          <w:sz w:val="32"/>
          <w:szCs w:val="32"/>
          <w:lang w:val="en-US" w:eastAsia="zh-CN"/>
        </w:rPr>
        <w:t>100万元，</w:t>
      </w:r>
      <w:r>
        <w:rPr>
          <w:rFonts w:hint="eastAsia" w:ascii="仿宋_GB2312" w:eastAsia="仿宋_GB2312"/>
          <w:sz w:val="32"/>
          <w:szCs w:val="32"/>
        </w:rPr>
        <w:t>资金到位率100%。</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江华县财政局</w:t>
      </w:r>
      <w:r>
        <w:rPr>
          <w:rFonts w:ascii="仿宋_GB2312" w:hAnsi="仿宋_GB2312" w:eastAsia="仿宋_GB2312" w:cs="仿宋_GB2312"/>
          <w:sz w:val="32"/>
          <w:szCs w:val="32"/>
        </w:rPr>
        <w:t>关于</w:t>
      </w:r>
      <w:r>
        <w:rPr>
          <w:rFonts w:hint="eastAsia" w:ascii="仿宋_GB2312" w:hAnsi="仿宋_GB2312" w:eastAsia="仿宋_GB2312" w:cs="仿宋_GB2312"/>
          <w:sz w:val="32"/>
          <w:szCs w:val="32"/>
        </w:rPr>
        <w:t>下达重点项目土地补偿资金的通知（江财预指〔2024〕0133号）——202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预算内</w:t>
      </w:r>
      <w:r>
        <w:rPr>
          <w:rFonts w:hint="eastAsia" w:ascii="仿宋_GB2312" w:hAnsi="仿宋_GB2312" w:eastAsia="仿宋_GB2312" w:cs="仿宋_GB2312"/>
          <w:sz w:val="32"/>
          <w:szCs w:val="32"/>
        </w:rPr>
        <w:t>资金</w:t>
      </w:r>
      <w:r>
        <w:rPr>
          <w:rFonts w:hint="eastAsia" w:ascii="仿宋_GB2312" w:eastAsia="仿宋_GB2312"/>
          <w:sz w:val="32"/>
          <w:szCs w:val="32"/>
          <w:lang w:val="en-US" w:eastAsia="zh-CN"/>
        </w:rPr>
        <w:t>1434.85万元</w:t>
      </w:r>
      <w:r>
        <w:rPr>
          <w:rFonts w:hint="eastAsia" w:ascii="仿宋_GB2312" w:hAnsi="仿宋_GB2312" w:eastAsia="仿宋_GB2312" w:cs="仿宋_GB2312"/>
          <w:sz w:val="32"/>
          <w:szCs w:val="32"/>
        </w:rPr>
        <w:t>。</w:t>
      </w:r>
      <w:r>
        <w:rPr>
          <w:rFonts w:hint="eastAsia" w:ascii="仿宋_GB2312" w:eastAsia="仿宋_GB2312"/>
          <w:sz w:val="32"/>
          <w:szCs w:val="32"/>
        </w:rPr>
        <w:t>实际到位</w:t>
      </w:r>
      <w:r>
        <w:rPr>
          <w:rFonts w:hint="eastAsia" w:ascii="仿宋_GB2312" w:eastAsia="仿宋_GB2312"/>
          <w:sz w:val="32"/>
          <w:szCs w:val="32"/>
          <w:lang w:val="en-US" w:eastAsia="zh-CN"/>
        </w:rPr>
        <w:t>1434.85万元，</w:t>
      </w:r>
      <w:r>
        <w:rPr>
          <w:rFonts w:hint="eastAsia" w:ascii="仿宋_GB2312" w:eastAsia="仿宋_GB2312"/>
          <w:sz w:val="32"/>
          <w:szCs w:val="32"/>
        </w:rPr>
        <w:t>资金到位率100%。</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江华县财政局</w:t>
      </w:r>
      <w:r>
        <w:rPr>
          <w:rFonts w:ascii="仿宋_GB2312" w:hAnsi="仿宋_GB2312" w:eastAsia="仿宋_GB2312" w:cs="仿宋_GB2312"/>
          <w:sz w:val="32"/>
          <w:szCs w:val="32"/>
        </w:rPr>
        <w:t>关于</w:t>
      </w:r>
      <w:r>
        <w:rPr>
          <w:rFonts w:hint="eastAsia" w:ascii="仿宋_GB2312" w:hAnsi="仿宋_GB2312" w:eastAsia="仿宋_GB2312" w:cs="仿宋_GB2312"/>
          <w:sz w:val="32"/>
          <w:szCs w:val="32"/>
        </w:rPr>
        <w:t>下达-基础设施建设开发资金的通知（江财预指〔2024〕0112号）——202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预算内</w:t>
      </w:r>
      <w:r>
        <w:rPr>
          <w:rFonts w:hint="eastAsia" w:ascii="仿宋_GB2312" w:hAnsi="仿宋_GB2312" w:eastAsia="仿宋_GB2312" w:cs="仿宋_GB2312"/>
          <w:sz w:val="32"/>
          <w:szCs w:val="32"/>
        </w:rPr>
        <w:t>资金</w:t>
      </w:r>
      <w:r>
        <w:rPr>
          <w:rFonts w:hint="eastAsia" w:ascii="仿宋_GB2312" w:eastAsia="仿宋_GB2312"/>
          <w:sz w:val="32"/>
          <w:szCs w:val="32"/>
          <w:lang w:val="en-US" w:eastAsia="zh-CN"/>
        </w:rPr>
        <w:t>14362万元</w:t>
      </w:r>
      <w:r>
        <w:rPr>
          <w:rFonts w:hint="eastAsia" w:ascii="仿宋_GB2312" w:hAnsi="仿宋_GB2312" w:eastAsia="仿宋_GB2312" w:cs="仿宋_GB2312"/>
          <w:sz w:val="32"/>
          <w:szCs w:val="32"/>
        </w:rPr>
        <w:t>。</w:t>
      </w:r>
      <w:r>
        <w:rPr>
          <w:rFonts w:hint="eastAsia" w:ascii="仿宋_GB2312" w:eastAsia="仿宋_GB2312"/>
          <w:sz w:val="32"/>
          <w:szCs w:val="32"/>
        </w:rPr>
        <w:t>实际到位</w:t>
      </w:r>
      <w:r>
        <w:rPr>
          <w:rFonts w:hint="eastAsia" w:ascii="仿宋_GB2312" w:eastAsia="仿宋_GB2312"/>
          <w:sz w:val="32"/>
          <w:szCs w:val="32"/>
          <w:lang w:val="en-US" w:eastAsia="zh-CN"/>
        </w:rPr>
        <w:t>14362万元，</w:t>
      </w:r>
      <w:r>
        <w:rPr>
          <w:rFonts w:hint="eastAsia" w:ascii="仿宋_GB2312" w:eastAsia="仿宋_GB2312"/>
          <w:sz w:val="32"/>
          <w:szCs w:val="32"/>
        </w:rPr>
        <w:t>资金到位率100%。</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江华县财政局</w:t>
      </w:r>
      <w:r>
        <w:rPr>
          <w:rFonts w:ascii="仿宋_GB2312" w:hAnsi="仿宋_GB2312" w:eastAsia="仿宋_GB2312" w:cs="仿宋_GB2312"/>
          <w:sz w:val="32"/>
          <w:szCs w:val="32"/>
        </w:rPr>
        <w:t>关于</w:t>
      </w:r>
      <w:r>
        <w:rPr>
          <w:rFonts w:hint="eastAsia" w:ascii="仿宋_GB2312" w:hAnsi="仿宋_GB2312" w:eastAsia="仿宋_GB2312" w:cs="仿宋_GB2312"/>
          <w:sz w:val="32"/>
          <w:szCs w:val="32"/>
        </w:rPr>
        <w:t>关于下达“135”工程升级版扫尾批标准厂房项目奖补及收回资金的通知</w:t>
      </w:r>
      <w:bookmarkStart w:id="4" w:name="_GoBack"/>
      <w:bookmarkEnd w:id="4"/>
      <w:r>
        <w:rPr>
          <w:rFonts w:hint="eastAsia" w:ascii="仿宋_GB2312" w:hAnsi="仿宋_GB2312" w:eastAsia="仿宋_GB2312" w:cs="仿宋_GB2312"/>
          <w:sz w:val="32"/>
          <w:szCs w:val="32"/>
        </w:rPr>
        <w:t>（湘财建指[2024]25号）-标准厂房项目竣工入住奖补资金——202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预算内</w:t>
      </w:r>
      <w:r>
        <w:rPr>
          <w:rFonts w:hint="eastAsia" w:ascii="仿宋_GB2312" w:hAnsi="仿宋_GB2312" w:eastAsia="仿宋_GB2312" w:cs="仿宋_GB2312"/>
          <w:sz w:val="32"/>
          <w:szCs w:val="32"/>
        </w:rPr>
        <w:t>资金</w:t>
      </w:r>
      <w:r>
        <w:rPr>
          <w:rFonts w:hint="eastAsia" w:ascii="仿宋_GB2312" w:eastAsia="仿宋_GB2312"/>
          <w:sz w:val="32"/>
          <w:szCs w:val="32"/>
          <w:lang w:val="en-US" w:eastAsia="zh-CN"/>
        </w:rPr>
        <w:t>720万元</w:t>
      </w:r>
      <w:r>
        <w:rPr>
          <w:rFonts w:hint="eastAsia" w:ascii="仿宋_GB2312" w:hAnsi="仿宋_GB2312" w:eastAsia="仿宋_GB2312" w:cs="仿宋_GB2312"/>
          <w:sz w:val="32"/>
          <w:szCs w:val="32"/>
        </w:rPr>
        <w:t>。</w:t>
      </w:r>
      <w:r>
        <w:rPr>
          <w:rFonts w:hint="eastAsia" w:ascii="仿宋_GB2312" w:eastAsia="仿宋_GB2312"/>
          <w:sz w:val="32"/>
          <w:szCs w:val="32"/>
        </w:rPr>
        <w:t>实际到位</w:t>
      </w:r>
      <w:r>
        <w:rPr>
          <w:rFonts w:hint="eastAsia" w:ascii="仿宋_GB2312" w:eastAsia="仿宋_GB2312"/>
          <w:sz w:val="32"/>
          <w:szCs w:val="32"/>
          <w:lang w:val="en-US" w:eastAsia="zh-CN"/>
        </w:rPr>
        <w:t>720万元，</w:t>
      </w:r>
      <w:r>
        <w:rPr>
          <w:rFonts w:hint="eastAsia" w:ascii="仿宋_GB2312" w:eastAsia="仿宋_GB2312"/>
          <w:sz w:val="32"/>
          <w:szCs w:val="32"/>
        </w:rPr>
        <w:t>资金到位率100%。</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numPr>
          <w:ilvl w:val="0"/>
          <w:numId w:val="0"/>
        </w:numPr>
        <w:rPr>
          <w:rFonts w:hint="eastAsia"/>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具体使用方向如下：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1.园区</w:t>
      </w:r>
      <w:r>
        <w:rPr>
          <w:rFonts w:hint="eastAsia" w:ascii="仿宋_GB2312" w:hAnsi="仿宋_GB2312" w:eastAsia="仿宋_GB2312" w:cs="仿宋_GB2312"/>
          <w:b/>
          <w:bCs/>
          <w:sz w:val="32"/>
          <w:szCs w:val="32"/>
          <w:lang w:eastAsia="zh-CN"/>
        </w:rPr>
        <w:t>招商引资</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5</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Hans"/>
        </w:rPr>
      </w:pPr>
      <w:r>
        <w:rPr>
          <w:rFonts w:hint="eastAsia" w:ascii="仿宋_GB2312" w:hAnsi="仿宋_GB2312" w:eastAsia="仿宋_GB2312" w:cs="仿宋_GB2312"/>
          <w:b/>
          <w:bCs/>
          <w:sz w:val="32"/>
          <w:szCs w:val="32"/>
          <w:lang w:val="en-US" w:eastAsia="zh-CN"/>
        </w:rPr>
        <w:t>支持方向：</w:t>
      </w:r>
      <w:r>
        <w:rPr>
          <w:rFonts w:hint="eastAsia" w:ascii="仿宋_GB2312" w:hAnsi="仿宋_GB2312" w:eastAsia="仿宋_GB2312" w:cs="仿宋_GB2312"/>
          <w:sz w:val="32"/>
          <w:szCs w:val="32"/>
          <w:lang w:val="en-US" w:eastAsia="zh-CN"/>
        </w:rPr>
        <w:t>用于园区招商引资，支持创建国家级特色电机产业集群，加快推进电机产业转型升级，引导和培育集群企业创建省级以上各类科技创新平台，实施中心项目带动战略，以“招商引资突破年”活动为总抓手，始终坚持大上项目、上大项目；以重点产业、重点区域、重要客商为主线，整合资源，创新方式，全力全速推动产业招商、专业招商、资本招商、资源招商，提升招商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2.</w:t>
      </w:r>
      <w:r>
        <w:rPr>
          <w:rFonts w:hint="eastAsia" w:ascii="仿宋_GB2312" w:hAnsi="仿宋_GB2312" w:eastAsia="仿宋_GB2312" w:cs="仿宋_GB2312"/>
          <w:b/>
          <w:bCs/>
          <w:sz w:val="32"/>
          <w:szCs w:val="32"/>
        </w:rPr>
        <w:t>知识产权专项资金：</w:t>
      </w:r>
      <w:r>
        <w:rPr>
          <w:rFonts w:hint="eastAsia" w:ascii="仿宋_GB2312" w:hAnsi="仿宋_GB2312" w:eastAsia="仿宋_GB2312" w:cs="仿宋_GB2312"/>
          <w:b/>
          <w:bCs/>
          <w:sz w:val="32"/>
          <w:szCs w:val="32"/>
          <w:lang w:val="en-US" w:eastAsia="zh-CN"/>
        </w:rPr>
        <w:t>50</w:t>
      </w:r>
      <w:r>
        <w:rPr>
          <w:rFonts w:hint="eastAsia" w:ascii="仿宋_GB2312" w:hAnsi="仿宋_GB2312" w:eastAsia="仿宋_GB2312" w:cs="仿宋_GB2312"/>
          <w:b/>
          <w:bCs/>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rPr>
        <w:t>支持方向:</w:t>
      </w:r>
      <w:r>
        <w:rPr>
          <w:rFonts w:hint="eastAsia" w:ascii="仿宋_GB2312" w:hAnsi="仿宋_GB2312" w:eastAsia="仿宋_GB2312" w:cs="仿宋_GB2312"/>
          <w:sz w:val="32"/>
          <w:szCs w:val="32"/>
        </w:rPr>
        <w:t xml:space="preserve"> 为企业申报专利提供综合服务，</w:t>
      </w:r>
      <w:r>
        <w:rPr>
          <w:rFonts w:hint="eastAsia" w:ascii="仿宋_GB2312" w:hAnsi="仿宋_GB2312" w:eastAsia="仿宋_GB2312" w:cs="仿宋_GB2312"/>
          <w:sz w:val="32"/>
          <w:szCs w:val="32"/>
          <w:lang w:val="en-US" w:eastAsia="zh-Hans"/>
        </w:rPr>
        <w:t>提升电机产业发明专利保护</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大力推动企业知识产权管理标准化建设，有效提升企业以发明专利为主的核心自主知识产权产出，对企业自主申报成功的发明专利及实用新型专利给予奖补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lang w:eastAsia="zh-CN"/>
        </w:rPr>
        <w:t>“江华马达”集体商标注册、</w:t>
      </w:r>
      <w:r>
        <w:rPr>
          <w:rFonts w:hint="eastAsia" w:ascii="仿宋_GB2312" w:hAnsi="仿宋_GB2312" w:eastAsia="仿宋_GB2312" w:cs="仿宋_GB2312"/>
          <w:sz w:val="32"/>
          <w:szCs w:val="32"/>
          <w:lang w:val="en-US" w:eastAsia="zh-CN"/>
        </w:rPr>
        <w:t>园区企业创建国家、行业、团体标准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3.</w:t>
      </w:r>
      <w:r>
        <w:rPr>
          <w:rFonts w:hint="eastAsia" w:ascii="仿宋_GB2312" w:hAnsi="仿宋" w:eastAsia="仿宋_GB2312" w:cs="仿宋"/>
          <w:b/>
          <w:bCs/>
          <w:sz w:val="32"/>
          <w:szCs w:val="32"/>
        </w:rPr>
        <w:t>科技项目专项资金</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rPr>
        <w:t>支持方向:全力培育和创建创新型园区，提升园区企业</w:t>
      </w:r>
      <w:r>
        <w:rPr>
          <w:rFonts w:hint="eastAsia" w:ascii="仿宋_GB2312" w:hAnsi="仿宋_GB2312" w:eastAsia="仿宋_GB2312" w:cs="仿宋_GB2312"/>
          <w:sz w:val="32"/>
          <w:szCs w:val="32"/>
          <w:lang w:val="en-US" w:eastAsia="zh-Hans"/>
        </w:rPr>
        <w:t>智能制造及信息化</w:t>
      </w:r>
      <w:r>
        <w:rPr>
          <w:rFonts w:hint="eastAsia" w:ascii="仿宋_GB2312" w:hAnsi="仿宋_GB2312" w:eastAsia="仿宋_GB2312" w:cs="仿宋_GB2312"/>
          <w:sz w:val="32"/>
          <w:szCs w:val="32"/>
        </w:rPr>
        <w:t>能力，大力推动企业</w:t>
      </w:r>
      <w:r>
        <w:rPr>
          <w:rFonts w:hint="eastAsia" w:ascii="仿宋_GB2312" w:hAnsi="仿宋_GB2312" w:eastAsia="仿宋_GB2312" w:cs="仿宋_GB2312"/>
          <w:sz w:val="32"/>
          <w:szCs w:val="32"/>
          <w:lang w:val="en-US" w:eastAsia="zh-Hans"/>
        </w:rPr>
        <w:t>两化融合管理</w:t>
      </w:r>
      <w:r>
        <w:rPr>
          <w:rFonts w:hint="eastAsia" w:ascii="仿宋_GB2312" w:hAnsi="仿宋_GB2312" w:eastAsia="仿宋_GB2312" w:cs="仿宋_GB2312"/>
          <w:sz w:val="32"/>
          <w:szCs w:val="32"/>
        </w:rPr>
        <w:t>标准化建设</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rPr>
        <w:t>为现有孵化器、众创空间、孵化基地等科技创新平台建设、运营给予资金支持，同时引导和培育企业创建省级以上科技创新平台，加强对企业申报的指导，对申报成功的企业给予奖补。</w:t>
      </w:r>
    </w:p>
    <w:p>
      <w:pPr>
        <w:keepNext w:val="0"/>
        <w:keepLines w:val="0"/>
        <w:widowControl/>
        <w:numPr>
          <w:ilvl w:val="0"/>
          <w:numId w:val="2"/>
        </w:numPr>
        <w:suppressLineNumbers w:val="0"/>
        <w:pBdr>
          <w:top w:val="none" w:color="auto" w:sz="0" w:space="0"/>
          <w:bottom w:val="none" w:color="auto" w:sz="0" w:space="0"/>
          <w:right w:val="none" w:color="auto" w:sz="0" w:space="0"/>
        </w:pBdr>
        <w:spacing w:before="0" w:beforeAutospacing="1" w:after="0" w:afterAutospacing="1" w:line="390" w:lineRule="atLeast"/>
        <w:ind w:left="0" w:right="0" w:hanging="360"/>
      </w:pPr>
    </w:p>
    <w:p>
      <w:pPr>
        <w:keepNext w:val="0"/>
        <w:keepLines w:val="0"/>
        <w:widowControl/>
        <w:numPr>
          <w:ilvl w:val="0"/>
          <w:numId w:val="2"/>
        </w:numPr>
        <w:suppressLineNumbers w:val="0"/>
        <w:pBdr>
          <w:top w:val="none" w:color="auto" w:sz="0" w:space="0"/>
          <w:bottom w:val="none" w:color="auto" w:sz="0" w:space="0"/>
          <w:right w:val="none" w:color="auto" w:sz="0" w:space="0"/>
        </w:pBdr>
        <w:spacing w:before="0" w:beforeAutospacing="1" w:after="0" w:afterAutospacing="1" w:line="390" w:lineRule="atLeast"/>
        <w:ind w:left="0" w:right="0" w:hanging="360"/>
        <w:rPr>
          <w:rFonts w:hint="eastAsia" w:ascii="仿宋_GB2312" w:hAnsi="仿宋" w:eastAsia="仿宋_GB2312" w:cs="仿宋"/>
          <w:b/>
          <w:bCs/>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b/>
          <w:bCs/>
          <w:sz w:val="32"/>
          <w:szCs w:val="32"/>
          <w:lang w:val="en-US" w:eastAsia="zh-CN"/>
        </w:rPr>
        <w:t>园区运营服务专项资金：10000万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firstLine="640" w:firstLineChars="200"/>
        <w:rPr>
          <w:rFonts w:hint="default"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明确园区定位与规划‌：首先，高新区应明确自身的产业定位和发展方向，根据区域经济发展规划、市场需求和资源禀赋，确定主导产业和特色产业，形成差异化竞争优势。例如，对于科技创新园区，应聚焦于高新技术产业的引进和培育；对于制造业园区，则应关注产业链的完善和升级‌‌构建全方位企业服务体系‌：高新区应设立专业服务团队，提供咨询、法律、财务等多方面的服务。服务内容应涵盖企业发展的全生命周期，包括战略规划、市场调研、合同审查、知识产权保护、财务管理、招聘培训等。此外，还可以通过搭建产学研合作平台，促进科技成果的转化和应用‌‌强化园区运营管理能力‌：制定科学合理的招商策略，明确招商目标，优化招商流程，提高招商效率。同时，加强物业管理，提升服务团队的专业素养和服务意识，形成服务需求收集、问题处置、效果反馈的闭环管理流程‌‌推动资产高效运营‌：通过“3+X”招商去化工作模式，确保园区载体资产权属的全面合法化与规范化。利用智能化管理平台实现资源的高效配置与精准管控，提升管理精细化水平‌‌提升配套服务质量‌：引进知名品牌餐饮、超市、电动汽车充电桩等配套设施，形成资源高效利用、价值持续增长的良性发展格局。此外，推进阅读中心、电动汽车充电桩、连锁品牌汽车服务中心等建设，优化营商环境‌‌智慧化管理平台构建‌：构建智慧化管理平台，包括数据采集、处理、分析和业务应用模块。通过视频监控、智能分析系统、出入口管理与控制等措施，提升园区的安全防范和应急响应能力‌</w:t>
      </w:r>
    </w:p>
    <w:p>
      <w:pPr>
        <w:keepNext w:val="0"/>
        <w:keepLines w:val="0"/>
        <w:widowControl/>
        <w:numPr>
          <w:ilvl w:val="0"/>
          <w:numId w:val="2"/>
        </w:numPr>
        <w:suppressLineNumbers w:val="0"/>
        <w:pBdr>
          <w:top w:val="none" w:color="auto" w:sz="0" w:space="0"/>
          <w:bottom w:val="none" w:color="auto" w:sz="0" w:space="0"/>
          <w:right w:val="none" w:color="auto" w:sz="0" w:space="0"/>
        </w:pBdr>
        <w:spacing w:before="0" w:beforeAutospacing="1" w:after="0" w:afterAutospacing="1" w:line="390" w:lineRule="atLeast"/>
        <w:ind w:left="0" w:right="0" w:hanging="360"/>
      </w:pPr>
    </w:p>
    <w:p>
      <w:pPr>
        <w:pStyle w:val="2"/>
        <w:rPr>
          <w:rFonts w:hint="eastAsia" w:eastAsia="仿宋_GB231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（三）预算资金绩效目标，包括总体目标和年度目标</w:t>
      </w:r>
    </w:p>
    <w:p>
      <w:pPr>
        <w:keepNext w:val="0"/>
        <w:keepLines w:val="0"/>
        <w:pageBreakBefore w:val="0"/>
        <w:shd w:val="clear" w:color="auto" w:fill="FFFFFF"/>
        <w:kinsoku/>
        <w:wordWrap/>
        <w:overflowPunct/>
        <w:topLinePunct w:val="0"/>
        <w:autoSpaceDE/>
        <w:autoSpaceDN/>
        <w:bidi w:val="0"/>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1.总体目标：</w:t>
      </w:r>
      <w:r>
        <w:rPr>
          <w:rFonts w:hint="eastAsia" w:ascii="仿宋_GB2312" w:hAnsi="仿宋_GB2312" w:eastAsia="仿宋_GB2312" w:cs="仿宋_GB2312"/>
          <w:sz w:val="32"/>
          <w:szCs w:val="32"/>
          <w:lang w:val="en-US" w:eastAsia="zh-CN"/>
        </w:rPr>
        <w:t>因地制宜、精心谋划，坚持一张蓝图绘到底，持续深耕“一主一特”产业。重点打造以稀土、不干胶企业为核心的新能源、新材料主导产业，以马达小家电为核心的电机电器特色产业。抓住沿海地区急需转移外迁发展的历史机遇，瞄准东盟、粤港澳大湾区，派出党建招商小分队，重点围绕新能源、新材料和马达电机“一主一特”产业，坚持招龙头、补链条、聚集群，努力走向全产业链的高端制造。</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eastAsia="黑体"/>
          <w:kern w:val="0"/>
          <w:sz w:val="32"/>
          <w:szCs w:val="32"/>
        </w:rPr>
      </w:pPr>
      <w:r>
        <w:rPr>
          <w:rFonts w:hint="eastAsia" w:ascii="仿宋_GB2312" w:hAnsi="仿宋_GB2312" w:eastAsia="仿宋_GB2312" w:cs="仿宋_GB2312"/>
          <w:b/>
          <w:bCs/>
          <w:sz w:val="32"/>
          <w:szCs w:val="32"/>
          <w:lang w:val="en-US" w:eastAsia="zh-CN"/>
        </w:rPr>
        <w:t>2.年度目标：</w:t>
      </w:r>
      <w:r>
        <w:rPr>
          <w:rFonts w:hint="eastAsia" w:ascii="仿宋_GB2312" w:hAnsi="仿宋_GB2312" w:eastAsia="仿宋_GB2312" w:cs="仿宋_GB2312"/>
          <w:sz w:val="32"/>
          <w:szCs w:val="32"/>
          <w:lang w:val="en-US" w:eastAsia="zh-CN"/>
        </w:rPr>
        <w:t>推进引入电机上游厂商；推进引入下游厂商；推进引入中高端电机厂商；完善电机产业财税优惠政策，降低企业运营成本；提升招商服务能力，打造产业品牌影响力，</w:t>
      </w:r>
      <w:r>
        <w:rPr>
          <w:rFonts w:hint="eastAsia" w:ascii="仿宋_GB2312" w:hAnsi="仿宋_GB2312" w:eastAsia="仿宋_GB2312" w:cs="仿宋_GB2312"/>
          <w:spacing w:val="0"/>
          <w:sz w:val="32"/>
          <w:szCs w:val="32"/>
          <w:lang w:eastAsia="zh-CN"/>
        </w:rPr>
        <w:t>引进新能源汽车电机、家用电器及配套项目15家以上。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kern w:val="0"/>
          <w:sz w:val="32"/>
          <w:szCs w:val="32"/>
        </w:rPr>
      </w:pPr>
      <w:r>
        <w:rPr>
          <w:rFonts w:eastAsia="黑体"/>
          <w:kern w:val="0"/>
          <w:sz w:val="32"/>
          <w:szCs w:val="32"/>
        </w:rPr>
        <w:t>二、预算资金使用及管理情况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专项资金</w:t>
      </w:r>
      <w:r>
        <w:rPr>
          <w:rFonts w:hint="eastAsia" w:ascii="仿宋_GB2312" w:hAnsi="仿宋_GB2312" w:eastAsia="仿宋_GB2312" w:cs="仿宋_GB2312"/>
          <w:sz w:val="32"/>
          <w:szCs w:val="32"/>
        </w:rPr>
        <w:t>支出合法、合规、合理，按上级相关规定全部用于</w:t>
      </w:r>
      <w:r>
        <w:rPr>
          <w:rFonts w:hint="eastAsia" w:ascii="仿宋_GB2312" w:hAnsi="仿宋_GB2312" w:eastAsia="仿宋_GB2312" w:cs="仿宋_GB2312"/>
          <w:sz w:val="32"/>
          <w:szCs w:val="32"/>
          <w:lang w:val="en-US" w:eastAsia="zh-CN"/>
        </w:rPr>
        <w:t>支持园区电机产业发展</w:t>
      </w:r>
      <w:r>
        <w:rPr>
          <w:rFonts w:hint="eastAsia" w:ascii="仿宋_GB2312" w:eastAsia="仿宋_GB2312"/>
          <w:sz w:val="32"/>
          <w:szCs w:val="32"/>
          <w:highlight w:val="none"/>
        </w:rPr>
        <w:t>。</w:t>
      </w:r>
      <w:r>
        <w:rPr>
          <w:rFonts w:hint="eastAsia" w:ascii="仿宋_GB2312" w:eastAsia="仿宋_GB2312"/>
          <w:sz w:val="32"/>
          <w:szCs w:val="32"/>
        </w:rPr>
        <w:t>为保证专项资金使用的合理、合法和合规性，我单位建立严格的项目资金使用管理制度、确保项目资金专款专用；严格按照相关规定要求，对批准的预算建设内容，做好账务设置和账务管理，在资金使用过程中，严格监督审核把关，建立健全内部审批程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b/>
          <w:bCs/>
          <w:kern w:val="0"/>
          <w:sz w:val="32"/>
          <w:szCs w:val="32"/>
        </w:rPr>
      </w:pPr>
      <w:r>
        <w:rPr>
          <w:rFonts w:eastAsia="黑体"/>
          <w:kern w:val="0"/>
          <w:sz w:val="32"/>
          <w:szCs w:val="32"/>
        </w:rPr>
        <w:t>三、预算支出组织实施情况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kern w:val="0"/>
          <w:sz w:val="32"/>
          <w:szCs w:val="32"/>
        </w:rPr>
      </w:pPr>
      <w:r>
        <w:rPr>
          <w:rFonts w:hint="eastAsia" w:ascii="仿宋_GB2312" w:eastAsia="仿宋_GB2312"/>
          <w:sz w:val="32"/>
          <w:szCs w:val="32"/>
        </w:rPr>
        <w:t>为进一步加强项目及资金管理，在管理制度不断健全的基础上，着力强化对项目申报工作的组织、项目资金的分配以及对项目实施过程的监管，推行全程公开、规范评审、集体决策审议、信息比对、责任下沉、责任追究，严格遵循专项资金管理制度，从预算绩效管理的要求出发，全面推动项目管理工作充分落实到位。本项目专项资金的使用严格遵循</w:t>
      </w:r>
      <w:r>
        <w:rPr>
          <w:rFonts w:hint="eastAsia" w:ascii="仿宋_GB2312" w:eastAsia="仿宋_GB2312"/>
          <w:sz w:val="32"/>
          <w:szCs w:val="32"/>
          <w:lang w:val="en-US" w:eastAsia="zh-CN"/>
        </w:rPr>
        <w:t>江华</w:t>
      </w:r>
      <w:r>
        <w:rPr>
          <w:rFonts w:hint="eastAsia" w:ascii="仿宋_GB2312" w:eastAsia="仿宋_GB2312"/>
          <w:sz w:val="32"/>
          <w:szCs w:val="32"/>
        </w:rPr>
        <w:t>县财政专项资金使用与监督管理办法要求，合法合规。</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kern w:val="0"/>
          <w:sz w:val="32"/>
          <w:szCs w:val="32"/>
        </w:rPr>
      </w:pPr>
      <w:r>
        <w:rPr>
          <w:rFonts w:eastAsia="黑体"/>
          <w:kern w:val="0"/>
          <w:sz w:val="32"/>
          <w:szCs w:val="32"/>
        </w:rPr>
        <w:t>四、预算支出绩效情况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eastAsia="仿宋_GB2312"/>
          <w:sz w:val="32"/>
          <w:szCs w:val="32"/>
        </w:rPr>
      </w:pPr>
      <w:bookmarkStart w:id="0" w:name="_Toc27494"/>
      <w:r>
        <w:rPr>
          <w:rFonts w:hint="eastAsia" w:ascii="仿宋_GB2312" w:hAnsi="仿宋_GB2312" w:eastAsia="仿宋_GB2312" w:cs="仿宋_GB2312"/>
          <w:b/>
          <w:bCs/>
          <w:sz w:val="32"/>
          <w:szCs w:val="32"/>
          <w:lang w:val="en-US" w:eastAsia="zh-CN"/>
        </w:rPr>
        <w:t>（一）经济效益</w:t>
      </w:r>
      <w:bookmarkEnd w:id="0"/>
      <w:r>
        <w:rPr>
          <w:rFonts w:hint="eastAsia" w:ascii="仿宋_GB2312" w:hAnsi="仿宋_GB2312" w:eastAsia="仿宋_GB2312" w:cs="仿宋_GB2312"/>
          <w:b/>
          <w:bCs/>
          <w:sz w:val="32"/>
          <w:szCs w:val="32"/>
          <w:lang w:val="en-US" w:eastAsia="zh-CN"/>
        </w:rPr>
        <w:t>：</w:t>
      </w:r>
      <w:r>
        <w:rPr>
          <w:rFonts w:hint="eastAsia" w:ascii="仿宋_GB2312" w:eastAsia="仿宋_GB2312"/>
          <w:sz w:val="32"/>
          <w:szCs w:val="32"/>
        </w:rPr>
        <w:t>以丰辉电机、长锦成电器、锐毅马达、国梦电机等企业为代表的电机电器制造特色产业，80%的零配件实现本地生产，年产马达3亿只，其产业链46道工序，除漆包线暂未引进，其他工序都已实现本地化生产，“马达之城”初具规模。以五矿稀土、九恒集团、正海五矿等企业为代表的新材料主导产业表现亮眼。今年1至6月，五矿稀土、九恒数码产值分别实现5.15亿元、7.38亿元，同比增长128.7%和21.82%。目前，“一主一特”产业链条企业总数达124家，占工业企业总数的67.39%，税收占比85.4%，产业集聚度达75%以上，打造了一条“拆不散、带不走”的产业链。</w:t>
      </w:r>
    </w:p>
    <w:p>
      <w:pPr>
        <w:shd w:val="clear" w:color="auto" w:fill="FFFFFF"/>
        <w:spacing w:line="600" w:lineRule="exact"/>
        <w:ind w:firstLine="640" w:firstLineChars="200"/>
        <w:jc w:val="left"/>
        <w:rPr>
          <w:rFonts w:hint="default" w:ascii="仿宋" w:hAnsi="仿宋" w:eastAsia="仿宋" w:cs="仿宋"/>
          <w:kern w:val="0"/>
          <w:sz w:val="32"/>
          <w:szCs w:val="32"/>
          <w:lang w:val="en-US" w:eastAsia="zh-CN"/>
        </w:rPr>
      </w:pPr>
    </w:p>
    <w:p>
      <w:pPr>
        <w:shd w:val="clear" w:color="auto" w:fill="FFFFFF"/>
        <w:spacing w:line="600" w:lineRule="exact"/>
        <w:ind w:firstLine="643" w:firstLineChars="200"/>
        <w:jc w:val="left"/>
        <w:outlineLvl w:val="2"/>
        <w:rPr>
          <w:rFonts w:hint="eastAsia" w:ascii="仿宋_GB2312" w:hAnsi="仿宋_GB2312" w:eastAsia="仿宋_GB2312" w:cs="仿宋_GB2312"/>
          <w:sz w:val="32"/>
          <w:szCs w:val="32"/>
          <w:lang w:val="en-US" w:eastAsia="zh-CN"/>
        </w:rPr>
      </w:pPr>
      <w:bookmarkStart w:id="1" w:name="_Toc26946"/>
      <w:r>
        <w:rPr>
          <w:rFonts w:hint="eastAsia" w:ascii="仿宋_GB2312" w:hAnsi="仿宋_GB2312" w:eastAsia="仿宋_GB2312" w:cs="仿宋_GB2312"/>
          <w:b/>
          <w:bCs/>
          <w:sz w:val="32"/>
          <w:szCs w:val="32"/>
          <w:lang w:val="en-US" w:eastAsia="zh-CN"/>
        </w:rPr>
        <w:t>（二）社会效益</w:t>
      </w:r>
      <w:bookmarkEnd w:id="1"/>
      <w:r>
        <w:rPr>
          <w:rFonts w:hint="eastAsia" w:ascii="仿宋_GB2312" w:hAnsi="仿宋_GB2312" w:eastAsia="仿宋_GB2312" w:cs="仿宋_GB2312"/>
          <w:b/>
          <w:bCs/>
          <w:sz w:val="32"/>
          <w:szCs w:val="32"/>
          <w:lang w:val="en-US" w:eastAsia="zh-CN"/>
        </w:rPr>
        <w:t>：</w:t>
      </w:r>
      <w:bookmarkStart w:id="2" w:name="_Toc29128"/>
      <w:r>
        <w:rPr>
          <w:rFonts w:hint="eastAsia" w:ascii="仿宋_GB2312" w:hAnsi="仿宋_GB2312" w:eastAsia="仿宋_GB2312" w:cs="仿宋_GB2312"/>
          <w:sz w:val="32"/>
          <w:szCs w:val="32"/>
          <w:lang w:val="en-US" w:eastAsia="zh-CN"/>
        </w:rPr>
        <w:t>坚持目标导向。重视湘商资源，积极参加并组织座谈会和招商推介会等活动吸引湘商回江华投资。充分发挥县乡两级湘商回归和返乡创业联络站的桥梁纽带作用，大力推进产业回归、资本回流、人才回聚、总部回建。今年以来招商引资签约项目4个，总投资29.5亿元。内联引资完成13.97亿元，其中湘商回归实际到位资金11.71亿元。目前湘商回归投资新注册企业4家，外商直接投资完成84万美元。</w:t>
      </w:r>
    </w:p>
    <w:p>
      <w:pPr>
        <w:shd w:val="clear" w:color="auto" w:fill="FFFFFF"/>
        <w:spacing w:line="600" w:lineRule="exact"/>
        <w:ind w:firstLine="643" w:firstLineChars="200"/>
        <w:jc w:val="left"/>
        <w:outlineLvl w:val="2"/>
        <w:rPr>
          <w:rFonts w:hint="default" w:ascii="仿宋" w:hAnsi="仿宋" w:eastAsia="仿宋" w:cs="仿宋"/>
          <w:kern w:val="0"/>
          <w:sz w:val="32"/>
          <w:szCs w:val="32"/>
          <w:lang w:val="en-US" w:eastAsia="zh-CN"/>
        </w:rPr>
      </w:pP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三</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生态效益</w:t>
      </w:r>
      <w:bookmarkEnd w:id="2"/>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江华智能小家电电机特色产业集群项目</w:t>
      </w:r>
      <w:r>
        <w:rPr>
          <w:rFonts w:hint="eastAsia" w:ascii="仿宋" w:hAnsi="仿宋" w:eastAsia="仿宋" w:cs="仿宋"/>
          <w:kern w:val="0"/>
          <w:sz w:val="32"/>
          <w:szCs w:val="32"/>
          <w:lang w:val="en-US" w:eastAsia="zh-CN"/>
        </w:rPr>
        <w:t>建立了集群碳排放监测机制，如《能源管理体系》、《环境管理手册》、《环境污染第三方治理实施方案》,按照“政府主导、市场运作，统一规划、分步推进，县域统筹、打捆实施，厂网一体、建管并重”的原则，全力推进乡镇污水处理设施建设，提前完成全省目标任务，在全市率先实现乡镇污水处理设施建设全覆盖。</w:t>
      </w:r>
    </w:p>
    <w:p>
      <w:pPr>
        <w:shd w:val="clear" w:color="auto" w:fill="FFFFFF"/>
        <w:spacing w:line="600" w:lineRule="exact"/>
        <w:ind w:firstLine="643" w:firstLineChars="200"/>
        <w:jc w:val="left"/>
        <w:outlineLvl w:val="2"/>
        <w:rPr>
          <w:rFonts w:eastAsia="黑体"/>
          <w:kern w:val="0"/>
          <w:sz w:val="32"/>
          <w:szCs w:val="32"/>
        </w:rPr>
      </w:pPr>
      <w:bookmarkStart w:id="3" w:name="_Toc30872"/>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四</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可持续影响效益</w:t>
      </w:r>
      <w:bookmarkEnd w:id="3"/>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江华智能小家电电机特色产业集群项目聚焦马达产业链，致力于提升产品的创新性、实用性；通过</w:t>
      </w:r>
      <w:r>
        <w:rPr>
          <w:rFonts w:hint="eastAsia" w:ascii="仿宋" w:hAnsi="仿宋" w:eastAsia="仿宋" w:cs="仿宋"/>
          <w:kern w:val="0"/>
          <w:sz w:val="32"/>
          <w:szCs w:val="32"/>
          <w:lang w:eastAsia="zh-CN"/>
        </w:rPr>
        <w:t>增强产业链供应链安全，产品</w:t>
      </w:r>
      <w:r>
        <w:rPr>
          <w:rFonts w:hint="eastAsia" w:ascii="仿宋" w:hAnsi="仿宋" w:eastAsia="仿宋" w:cs="仿宋"/>
          <w:kern w:val="0"/>
          <w:sz w:val="32"/>
          <w:szCs w:val="32"/>
        </w:rPr>
        <w:t>市场前景</w:t>
      </w:r>
      <w:r>
        <w:rPr>
          <w:rFonts w:hint="eastAsia" w:ascii="仿宋" w:hAnsi="仿宋" w:eastAsia="仿宋" w:cs="仿宋"/>
          <w:kern w:val="0"/>
          <w:sz w:val="32"/>
          <w:szCs w:val="32"/>
          <w:lang w:val="en-US" w:eastAsia="zh-CN"/>
        </w:rPr>
        <w:t>光明，对江华地区的产业发展有积极深远的</w:t>
      </w:r>
      <w:r>
        <w:rPr>
          <w:rFonts w:hint="eastAsia" w:ascii="仿宋" w:hAnsi="仿宋" w:eastAsia="仿宋" w:cs="仿宋"/>
          <w:sz w:val="32"/>
          <w:szCs w:val="32"/>
        </w:rPr>
        <w:t>影响</w:t>
      </w:r>
      <w:r>
        <w:rPr>
          <w:rFonts w:hint="eastAsia" w:ascii="仿宋" w:hAnsi="仿宋" w:eastAsia="仿宋" w:cs="仿宋"/>
          <w:kern w:val="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黑体"/>
          <w:kern w:val="0"/>
          <w:sz w:val="32"/>
          <w:szCs w:val="32"/>
        </w:rPr>
      </w:pPr>
      <w:r>
        <w:rPr>
          <w:rFonts w:eastAsia="黑体"/>
          <w:kern w:val="0"/>
          <w:sz w:val="32"/>
          <w:szCs w:val="32"/>
        </w:rPr>
        <w:t>五、主要经验做法、存在的问题及原因分析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kern w:val="0"/>
          <w:sz w:val="32"/>
          <w:szCs w:val="32"/>
          <w:lang w:val="en-US" w:eastAsia="zh-CN"/>
        </w:rPr>
      </w:pPr>
      <w:r>
        <w:rPr>
          <w:rFonts w:hint="eastAsia" w:ascii="楷体_GB2312" w:hAnsi="楷体_GB2312" w:eastAsia="楷体_GB2312" w:cs="楷体_GB2312"/>
          <w:b/>
          <w:bCs/>
          <w:spacing w:val="0"/>
          <w:sz w:val="32"/>
          <w:szCs w:val="32"/>
          <w:lang w:val="en-US" w:eastAsia="zh-CN"/>
        </w:rPr>
        <w:t>（一）</w:t>
      </w:r>
      <w:r>
        <w:rPr>
          <w:rFonts w:hint="eastAsia" w:ascii="仿宋" w:hAnsi="仿宋" w:eastAsia="仿宋" w:cs="仿宋"/>
          <w:kern w:val="0"/>
          <w:sz w:val="32"/>
          <w:szCs w:val="32"/>
          <w:lang w:eastAsia="zh-CN"/>
        </w:rPr>
        <w:t>“提供‘母亲式’服务，是强化‘自家人’的情感认同，一枝一叶总关情，像妈妈对待孩子那样，全身心付出、全过程奉献、全方位关怀园区企业，近年来，江华县大力推行“母亲式”服务，全县民营经济发展出现了“山乡巨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仿宋" w:hAnsi="仿宋" w:eastAsia="仿宋" w:cs="仿宋"/>
          <w:kern w:val="0"/>
          <w:sz w:val="32"/>
          <w:szCs w:val="32"/>
          <w:lang w:val="en-US" w:eastAsia="zh-CN"/>
        </w:rPr>
      </w:pPr>
      <w:r>
        <w:rPr>
          <w:rFonts w:hint="eastAsia" w:ascii="楷体_GB2312" w:hAnsi="楷体_GB2312" w:eastAsia="楷体_GB2312" w:cs="楷体_GB2312"/>
          <w:b/>
          <w:bCs/>
          <w:spacing w:val="0"/>
          <w:sz w:val="32"/>
          <w:szCs w:val="32"/>
          <w:lang w:val="en-US" w:eastAsia="zh-CN"/>
        </w:rPr>
        <w:t>（二）</w:t>
      </w:r>
      <w:r>
        <w:rPr>
          <w:rFonts w:hint="eastAsia" w:ascii="仿宋" w:hAnsi="仿宋" w:eastAsia="仿宋" w:cs="仿宋"/>
          <w:kern w:val="0"/>
          <w:sz w:val="32"/>
          <w:szCs w:val="32"/>
          <w:lang w:eastAsia="zh-CN"/>
        </w:rPr>
        <w:t>在‘一主一特’产业发展上一心一意；在创建‘五好’园区上，一马当先。‘三个一’重点围绕新能源、新材料和马达电机产业招大引强，打造县域经济新增长极，走出一条符合了少数民族地区特色的发展之路。</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kern w:val="0"/>
          <w:sz w:val="32"/>
          <w:szCs w:val="32"/>
          <w:lang w:eastAsia="zh-CN"/>
        </w:rPr>
      </w:pPr>
      <w:r>
        <w:rPr>
          <w:rFonts w:hint="eastAsia" w:ascii="楷体_GB2312" w:hAnsi="楷体_GB2312" w:eastAsia="楷体_GB2312" w:cs="楷体_GB2312"/>
          <w:b/>
          <w:bCs/>
          <w:spacing w:val="0"/>
          <w:sz w:val="32"/>
          <w:szCs w:val="32"/>
          <w:lang w:val="en-US" w:eastAsia="zh-CN"/>
        </w:rPr>
        <w:t>（三）</w:t>
      </w:r>
      <w:r>
        <w:rPr>
          <w:rFonts w:hint="eastAsia" w:ascii="仿宋" w:hAnsi="仿宋" w:eastAsia="仿宋" w:cs="仿宋"/>
          <w:kern w:val="0"/>
          <w:sz w:val="32"/>
          <w:szCs w:val="32"/>
          <w:lang w:eastAsia="zh-CN"/>
        </w:rPr>
        <w:t>出台了《规模工业项目招商引资优惠政策二十条规定》，内容涵盖审批服务、用地、就业、奖补等，让企业实实在在得实惠，节约了大量租金成本、人力资源成本和运营成本。还出台了《工业项目招商引资中介人奖励办法》，对成功引荐县域外投资工业项目并固定资产投入累计达到2000万元以上的中介人，按比例给予奖励。</w:t>
      </w:r>
    </w:p>
    <w:p>
      <w:pPr>
        <w:pStyle w:val="2"/>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eastAsia="zh-CN"/>
        </w:rPr>
        <w:t>存在问题：</w:t>
      </w:r>
      <w:r>
        <w:rPr>
          <w:rFonts w:hint="eastAsia" w:ascii="仿宋" w:hAnsi="仿宋" w:eastAsia="仿宋" w:cs="仿宋"/>
          <w:kern w:val="0"/>
          <w:sz w:val="32"/>
          <w:szCs w:val="32"/>
          <w:lang w:val="en-US" w:eastAsia="zh-CN" w:bidi="ar-SA"/>
        </w:rPr>
        <w:t>总体规划做得不够完善，没有能够充分地利用当地的优势资源，没有充分利用当地的地区比较优势</w:t>
      </w:r>
    </w:p>
    <w:p>
      <w:pPr>
        <w:rPr>
          <w:rFonts w:hint="default"/>
          <w:lang w:val="en-US" w:eastAsia="zh-CN"/>
        </w:rPr>
      </w:pPr>
      <w:r>
        <w:rPr>
          <w:rFonts w:hint="eastAsia" w:ascii="仿宋" w:hAnsi="仿宋" w:eastAsia="仿宋" w:cs="仿宋"/>
          <w:kern w:val="0"/>
          <w:sz w:val="32"/>
          <w:szCs w:val="32"/>
          <w:lang w:val="en-US" w:eastAsia="zh-CN" w:bidi="ar-SA"/>
        </w:rPr>
        <w:t xml:space="preserve">  </w:t>
      </w:r>
    </w:p>
    <w:p>
      <w:pPr>
        <w:widowControl/>
        <w:numPr>
          <w:ilvl w:val="0"/>
          <w:numId w:val="0"/>
        </w:numPr>
        <w:adjustRightInd w:val="0"/>
        <w:snapToGrid w:val="0"/>
        <w:spacing w:line="580" w:lineRule="exact"/>
        <w:jc w:val="left"/>
        <w:rPr>
          <w:rFonts w:eastAsia="仿宋_GB2312"/>
          <w:kern w:val="0"/>
          <w:sz w:val="32"/>
          <w:szCs w:val="32"/>
        </w:rPr>
      </w:pPr>
    </w:p>
    <w:p>
      <w:pPr>
        <w:widowControl/>
        <w:adjustRightInd w:val="0"/>
        <w:snapToGrid w:val="0"/>
        <w:spacing w:after="200"/>
        <w:jc w:val="left"/>
        <w:rPr>
          <w:rFonts w:hint="eastAsia" w:eastAsia="仿宋_GB2312"/>
          <w:lang w:val="en-US" w:eastAsia="zh-CN"/>
        </w:rPr>
      </w:pPr>
      <w:r>
        <w:rPr>
          <w:rFonts w:hint="eastAsia" w:eastAsia="仿宋_GB2312"/>
          <w:lang w:val="en-US" w:eastAsia="zh-CN"/>
        </w:rPr>
        <w:t xml:space="preserve">                                               </w:t>
      </w:r>
    </w:p>
    <w:p>
      <w:pPr>
        <w:widowControl/>
        <w:adjustRightInd w:val="0"/>
        <w:snapToGrid w:val="0"/>
        <w:spacing w:after="200"/>
        <w:ind w:firstLine="5120" w:firstLineChars="160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江华高新区</w:t>
      </w:r>
    </w:p>
    <w:p>
      <w:pPr>
        <w:pStyle w:val="2"/>
        <w:rPr>
          <w:rFonts w:hint="default"/>
          <w:lang w:val="en-US" w:eastAsia="zh-CN"/>
        </w:rPr>
      </w:pPr>
      <w:r>
        <w:rPr>
          <w:rFonts w:hint="eastAsia" w:ascii="仿宋" w:hAnsi="仿宋" w:eastAsia="仿宋" w:cs="仿宋"/>
          <w:kern w:val="0"/>
          <w:sz w:val="32"/>
          <w:szCs w:val="32"/>
          <w:lang w:val="en-US" w:eastAsia="zh-CN" w:bidi="ar-SA"/>
        </w:rPr>
        <w:t xml:space="preserve">                            2024年5月7日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4972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a:noFill/>
                      </a:ln>
                      <a:effectLst/>
                    </wps:spPr>
                    <wps:txbx>
                      <w:txbx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37 -</w:t>
                          </w:r>
                          <w:r>
                            <w:rPr>
                              <w:rFonts w:hint="eastAsia" w:ascii="宋体" w:hAnsi="宋体" w:cs="宋体"/>
                              <w:sz w:val="28"/>
                              <w:szCs w:val="28"/>
                              <w:lang w:val="zh-CN"/>
                            </w:rPr>
                            <w:fldChar w:fldCharType="end"/>
                          </w:r>
                        </w:p>
                      </w:txbxContent>
                    </wps:txbx>
                    <wps:bodyPr wrap="none" lIns="0" tIns="0" rIns="0" bIns="0"/>
                  </wps:wsp>
                </a:graphicData>
              </a:graphic>
            </wp:anchor>
          </w:drawing>
        </mc:Choice>
        <mc:Fallback>
          <w:pict>
            <v:shape id="_x0000_s1026" o:spid="_x0000_s1026" o:spt="202" type="#_x0000_t202" style="position:absolute;left:0pt;margin-top:-21pt;height:39.15pt;width:144pt;mso-position-horizontal:outside;mso-position-horizontal-relative:margin;mso-wrap-style:none;z-index:251659264;mso-width-relative:page;mso-height-relative:page;" filled="f" stroked="f" coordsize="21600,21600" o:gfxdata="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mpS3dQAAAAHAQAADwAAAAAAAAABACAAAAAiAAAAZHJzL2Rvd25yZXYueG1sUEsB&#10;AhQAFAAAAAgAh07iQJiNuf/AAQAAgAMAAA4AAAAAAAAAAQAgAAAAIwEAAGRycy9lMm9Eb2MueG1s&#10;UEsFBgAAAAAGAAYAWQEAAFUFAAAAAA==&#10;">
              <v:fill on="f" focussize="0,0"/>
              <v:stroke on="f"/>
              <v:imagedata o:title=""/>
              <o:lock v:ext="edit" aspectratio="f"/>
              <v:textbox inset="0mm,0mm,0mm,0mm">
                <w:txbxContent>
                  <w:p>
                    <w:pPr>
                      <w:pStyle w:val="5"/>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37 -</w:t>
                    </w:r>
                    <w:r>
                      <w:rPr>
                        <w:rFonts w:hint="eastAsia" w:ascii="宋体" w:hAnsi="宋体" w:cs="宋体"/>
                        <w:sz w:val="28"/>
                        <w:szCs w:val="28"/>
                        <w:lang w:val="zh-C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090A2"/>
    <w:multiLevelType w:val="multilevel"/>
    <w:tmpl w:val="120090A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18CE9513"/>
    <w:multiLevelType w:val="singleLevel"/>
    <w:tmpl w:val="18CE951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M2ViMWY0MjY2N2Y3YTg5MjA5NDIzY2JmZTNlYTMifQ=="/>
  </w:docVars>
  <w:rsids>
    <w:rsidRoot w:val="5598662B"/>
    <w:rsid w:val="01CD2A84"/>
    <w:rsid w:val="02D74B40"/>
    <w:rsid w:val="13037AA5"/>
    <w:rsid w:val="15073D56"/>
    <w:rsid w:val="1E0045AB"/>
    <w:rsid w:val="23942037"/>
    <w:rsid w:val="25874F15"/>
    <w:rsid w:val="276E3C53"/>
    <w:rsid w:val="2C2422F5"/>
    <w:rsid w:val="33E43C6F"/>
    <w:rsid w:val="343212B6"/>
    <w:rsid w:val="3A2B03FE"/>
    <w:rsid w:val="442D1187"/>
    <w:rsid w:val="548366D0"/>
    <w:rsid w:val="5598662B"/>
    <w:rsid w:val="58EC3447"/>
    <w:rsid w:val="607E751E"/>
    <w:rsid w:val="638123AC"/>
    <w:rsid w:val="743D52CE"/>
    <w:rsid w:val="7B6A5977"/>
    <w:rsid w:val="7C12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next w:val="1"/>
    <w:qFormat/>
    <w:uiPriority w:val="0"/>
    <w:pPr>
      <w:spacing w:after="120"/>
      <w:ind w:firstLine="420" w:firstLineChars="100"/>
    </w:pPr>
    <w:rPr>
      <w:rFonts w:ascii="Times New Roman" w:hAnsi="Times New Roman" w:eastAsia="宋体" w:cs="Times New Roman"/>
    </w:rPr>
  </w:style>
  <w:style w:type="paragraph" w:styleId="3">
    <w:name w:val="Body Text"/>
    <w:basedOn w:val="1"/>
    <w:next w:val="4"/>
    <w:unhideWhenUsed/>
    <w:qFormat/>
    <w:uiPriority w:val="99"/>
  </w:style>
  <w:style w:type="paragraph" w:styleId="4">
    <w:name w:val="toc 5"/>
    <w:basedOn w:val="1"/>
    <w:next w:val="1"/>
    <w:unhideWhenUsed/>
    <w:qFormat/>
    <w:uiPriority w:val="39"/>
    <w:pPr>
      <w:ind w:left="1680" w:leftChars="8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rPr>
      <w:sz w:val="24"/>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NormalCharacter"/>
    <w:autoRedefine/>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2712</Words>
  <Characters>2828</Characters>
  <Lines>0</Lines>
  <Paragraphs>0</Paragraphs>
  <TotalTime>10</TotalTime>
  <ScaleCrop>false</ScaleCrop>
  <LinksUpToDate>false</LinksUpToDate>
  <CharactersWithSpaces>2908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2023-03-27T08:43:00Z</dcterms:created>
  <dc:creator>hhhhh</dc:creator>
  <cp:lastModifiedBy>Administrator</cp:lastModifiedBy>
  <cp:lastPrinted>2023-03-29T07:56:00Z</cp:lastPrinted>
  <dcterms:modified xsi:type="dcterms:W3CDTF">2025-06-05T10:07:27Z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681C06BF160D4C77BFBBD1D0992B1FD0_13</vt:lpwstr>
  </property>
  <property fmtid="{D5CDD505-2E9C-101B-9397-08002B2CF9AE}" pid="4" name="KSOTemplateDocerSaveRecord">
    <vt:lpwstr>eyJoZGlkIjoiMTk0MTAxY2YyM2E0MDdlZWZjNzU3MDUyMDM2ZmE1YjUiLCJ1c2VySWQiOiIyNTgwNTY5MTIifQ==</vt:lpwstr>
  </property>
</Properties>
</file>