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6FBE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项目支出绩效自评报告</w:t>
      </w:r>
    </w:p>
    <w:p w14:paraId="2DFFF5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FFE01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一、项目基本情况</w:t>
      </w:r>
    </w:p>
    <w:p w14:paraId="1D2727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（一）项目概况</w:t>
      </w:r>
    </w:p>
    <w:p w14:paraId="686009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1.项目决策背景</w:t>
      </w:r>
    </w:p>
    <w:p w14:paraId="2BC8B92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由县级财政预算安排，用于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eastAsia="zh-CN"/>
        </w:rPr>
        <w:t>学校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eastAsia="zh-CN"/>
        </w:rPr>
        <w:t>专项经费是保持学校正常运转的重要一环、对教育教学、管理学校等方面带来积极贡献，为提升学校教育质量，改善学校环境，优化学校系统等有很大效益。</w:t>
      </w:r>
    </w:p>
    <w:p w14:paraId="0CBA7DD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2.项目主要内容</w:t>
      </w:r>
    </w:p>
    <w:p w14:paraId="2F3A194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项目总体目标：拨职业中专-教育业务费。</w:t>
      </w:r>
    </w:p>
    <w:p w14:paraId="55F7401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3.项目组织管理机构</w:t>
      </w:r>
    </w:p>
    <w:p w14:paraId="411377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项目组织管理机构为：江华瑶族自治县职业中专学校。</w:t>
      </w:r>
    </w:p>
    <w:p w14:paraId="4159D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（二）预算资金使用管理情况</w:t>
      </w:r>
    </w:p>
    <w:p w14:paraId="7394F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Toc108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1.预算资金安排及管理情况</w:t>
      </w:r>
      <w:bookmarkEnd w:id="0"/>
    </w:p>
    <w:p w14:paraId="453383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（1）资金来源及拨付流程</w:t>
      </w:r>
    </w:p>
    <w:p w14:paraId="45990D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该项目资金主要来源是一般公共预算拨款；资金审报由学校申请，教育局审核，上级批复，形成专款专用，县财政局通过国库集中支付系统直接支付。</w:t>
      </w:r>
    </w:p>
    <w:p w14:paraId="14DAC69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（2）资金到位情况</w:t>
      </w:r>
    </w:p>
    <w:p w14:paraId="30E6FED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资金由市财政通过国库集中支付系统及时下达到财政局。</w:t>
      </w:r>
    </w:p>
    <w:p w14:paraId="34DD5A2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（2）资金使用情况</w:t>
      </w:r>
      <w:bookmarkStart w:id="1" w:name="OLE_LINK2"/>
    </w:p>
    <w:bookmarkEnd w:id="1"/>
    <w:p w14:paraId="01FECDC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项目年初预算0万元，全年预算0万元，实际执行999.93万元，预算执行率0%，实际完成项目目标。</w:t>
      </w:r>
    </w:p>
    <w:p w14:paraId="10101B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（3）资金管理制度及执行情况</w:t>
      </w:r>
    </w:p>
    <w:p w14:paraId="20DED6F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" w:name="OLE_LINK4"/>
      <w:bookmarkStart w:id="3" w:name="OLE_LINK3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专款专用：严禁挪用专项经费；经费使用情况需要定期公示，接受师生、家长和社会监督；确保资金效益最大化。</w:t>
      </w:r>
      <w:bookmarkEnd w:id="2"/>
    </w:p>
    <w:bookmarkEnd w:id="3"/>
    <w:p w14:paraId="74D4B7B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.项目组织实施管理情况</w:t>
      </w:r>
    </w:p>
    <w:p w14:paraId="74A872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4" w:name="OLE_LINK5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严格按照相应的业务管理制度，规范各项经费的开支；资金使用规范，符合各项法规和财务管理议纪有关专项资金管理办法的规定；资金的拨付有完成的审批程序和手续；不存在截留、挤占、挪用、虚列支出等情况；保障会计核算准确、财务资料完成。</w:t>
      </w:r>
      <w:bookmarkEnd w:id="4"/>
    </w:p>
    <w:p w14:paraId="0497F95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（三）预算绩效目标情况</w:t>
      </w:r>
    </w:p>
    <w:p w14:paraId="3451422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1.绩效目标</w:t>
      </w:r>
    </w:p>
    <w:p w14:paraId="24DC404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确保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专项经费</w:t>
      </w: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资金，能够有效保障学校正常运转。</w:t>
      </w:r>
    </w:p>
    <w:p w14:paraId="1B61AC1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2.绩效指标</w:t>
      </w:r>
    </w:p>
    <w:p w14:paraId="01D75E1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产出指标设置项目项目绩效目标达标率、各项工作进度及质量；效益指标设置教学运转经费保障率、提升教学水平，提高教育能力；满意度指标设置社会公众或服务对象满意度；成本指标设置成本预算。</w:t>
      </w:r>
    </w:p>
    <w:p w14:paraId="5EE495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二、绩效评价工作情况</w:t>
      </w:r>
    </w:p>
    <w:p w14:paraId="4420B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（一）绩效评价目的</w:t>
      </w:r>
    </w:p>
    <w:p w14:paraId="2A387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5" w:name="OLE_LINK6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绩效评价目的</w:t>
      </w:r>
      <w:bookmarkEnd w:id="5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为贯彻落实全面实施预算绩效管理，将绩效理念和方法深度融入预算编制、执行、监督全过程，实现预算和绩效管理一体化，不断提高财政资金使用效益。</w:t>
      </w:r>
    </w:p>
    <w:p w14:paraId="2D66EA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6" w:name="_Toc11844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（二）被评价单位、绩效评价范围与时段</w:t>
      </w:r>
      <w:bookmarkEnd w:id="6"/>
    </w:p>
    <w:p w14:paraId="4947F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被评价单位：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江华瑶族自治县职业中专学校；评价范围：项目时间范围、项目内容范围；时段：2024年全年。</w:t>
      </w:r>
    </w:p>
    <w:p w14:paraId="50F165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7" w:name="_Toc31835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</w:t>
      </w:r>
      <w:bookmarkStart w:id="8" w:name="OLE_LINK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绩效评价原则、评价指标体系、评价方法</w:t>
      </w:r>
      <w:bookmarkEnd w:id="7"/>
      <w:bookmarkEnd w:id="8"/>
    </w:p>
    <w:p w14:paraId="0C150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原则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：科学性原则、客观公正原则、系统全面原则、使用导向原则、动态调整原则；</w:t>
      </w:r>
    </w:p>
    <w:p w14:paraId="3B4BE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评价指标体系：</w:t>
      </w:r>
    </w:p>
    <w:p w14:paraId="53F64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tbl>
      <w:tblPr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6"/>
        <w:gridCol w:w="3196"/>
        <w:gridCol w:w="2338"/>
      </w:tblGrid>
      <w:tr w14:paraId="02264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61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50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33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2D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</w:tr>
      <w:tr w14:paraId="72BE2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DB1E0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F241C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43B81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04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37A25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6700F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97E81A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FFD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EE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F33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EBD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学生考察合格率</w:t>
            </w:r>
          </w:p>
        </w:tc>
      </w:tr>
      <w:tr w14:paraId="1C3F3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E7CC5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51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10B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"各项工作进度及质量 "</w:t>
            </w:r>
          </w:p>
        </w:tc>
      </w:tr>
      <w:tr w14:paraId="63F1E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C4BCF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129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B6F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课程完成率</w:t>
            </w:r>
          </w:p>
        </w:tc>
      </w:tr>
      <w:tr w14:paraId="5760A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23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8F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7D6760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B8E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CA09D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88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98F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保障学校正常运转 </w:t>
            </w:r>
          </w:p>
        </w:tc>
      </w:tr>
      <w:tr w14:paraId="753F3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BC790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CD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AC1397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895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779D7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928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DFC136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94F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9F1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F39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122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</w:t>
            </w:r>
          </w:p>
        </w:tc>
      </w:tr>
      <w:tr w14:paraId="2AC8A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548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C35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C8B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"预算完成率 "</w:t>
            </w:r>
          </w:p>
        </w:tc>
      </w:tr>
      <w:tr w14:paraId="11144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4052E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E20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C45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按照上级相关文件要求执行</w:t>
            </w:r>
          </w:p>
        </w:tc>
      </w:tr>
      <w:tr w14:paraId="6BC9F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3C71E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EC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59F4A6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BD25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31F7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评价方法：</w:t>
      </w:r>
      <w:bookmarkStart w:id="9" w:name="OLE_LINK7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成立机构（组件项目评价小组，明确小组成员职责）、问卷调查法（面向教师发放满意度调查问卷、抽取30%学生进行使用体验调查）、制定标准（指定项目评价的标准和指标。</w:t>
      </w:r>
      <w:bookmarkEnd w:id="9"/>
    </w:p>
    <w:p w14:paraId="41427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0" w:name="_Toc7615"/>
      <w:bookmarkStart w:id="11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三、主要绩效及评价结论</w:t>
      </w:r>
      <w:bookmarkEnd w:id="10"/>
      <w:bookmarkEnd w:id="11"/>
    </w:p>
    <w:p w14:paraId="11989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（一）社会效益</w:t>
      </w:r>
    </w:p>
    <w:p w14:paraId="105B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促进教育公平、提升教学水平，提高教育能力。</w:t>
      </w:r>
    </w:p>
    <w:p w14:paraId="47853E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（二）生态效益</w:t>
      </w:r>
    </w:p>
    <w:p w14:paraId="5DB68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减少资源浪费，促进可持续教育。</w:t>
      </w:r>
    </w:p>
    <w:p w14:paraId="545A3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（三）可持续影响</w:t>
      </w:r>
    </w:p>
    <w:p w14:paraId="7FBCE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优化经费管理机制，为长期教育发展提供保障。</w:t>
      </w:r>
    </w:p>
    <w:p w14:paraId="2A044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（四）满意度情况</w:t>
      </w:r>
    </w:p>
    <w:p w14:paraId="1132D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师生及家长满意度高达90%，校园环境的改善，教学质量的提高。</w:t>
      </w:r>
    </w:p>
    <w:p w14:paraId="0823CC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（五）评价结论</w:t>
      </w:r>
    </w:p>
    <w:p w14:paraId="2EDA7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我校本着实事求是原则，按照既定的评价指标和评价方法，从产出、效益、满意度、成本四方面对专项经费项目进行绩效评价，最终确定绩效评价得分90分，等级为优秀。</w:t>
      </w:r>
    </w:p>
    <w:p w14:paraId="035DE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2" w:name="_Toc16332"/>
      <w:bookmarkStart w:id="13" w:name="_Toc275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四、绩效评价指标分析</w:t>
      </w:r>
      <w:bookmarkEnd w:id="12"/>
      <w:bookmarkEnd w:id="13"/>
    </w:p>
    <w:p w14:paraId="7A328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4" w:name="_Toc1767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(一)项目决策情况</w:t>
      </w:r>
      <w:bookmarkEnd w:id="14"/>
    </w:p>
    <w:p w14:paraId="74FBA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 w14:paraId="165D9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5" w:name="_Toc2841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(二)项目过程情况</w:t>
      </w:r>
      <w:bookmarkEnd w:id="15"/>
    </w:p>
    <w:p w14:paraId="4065E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6" w:name="_Toc1014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1.资金管理</w:t>
      </w:r>
      <w:bookmarkEnd w:id="16"/>
    </w:p>
    <w:p w14:paraId="7323895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项目资金主要来源于政府财政拨款，经过严格的预算和审批流程，确保资金足额、及时到位。建立健全的资金使用监督机制，加强对项目资金使用情况的监督和检查，防止资金挪用和浪费。</w:t>
      </w:r>
    </w:p>
    <w:p w14:paraId="60853D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bookmarkStart w:id="17" w:name="_Toc12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2.项目实施</w:t>
      </w:r>
      <w:bookmarkEnd w:id="17"/>
      <w:bookmarkStart w:id="18" w:name="_Toc6604"/>
    </w:p>
    <w:p w14:paraId="6715F70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项目调整方面，我们根据项目实施过程中的实际情况和需要，及时对项目进行了必要的调整。这些调整包括调整项目实施方案、优化项目预算、增加或调整项目内容等，以确保项目能够更好地满足实际需求。</w:t>
      </w:r>
    </w:p>
    <w:p w14:paraId="508915A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(三)项目产出情况</w:t>
      </w:r>
      <w:bookmarkEnd w:id="18"/>
    </w:p>
    <w:p w14:paraId="43C4C1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9" w:name="_Toc2074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1.产出数量</w:t>
      </w:r>
      <w:bookmarkEnd w:id="19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：专项经费发放率100%；</w:t>
      </w:r>
    </w:p>
    <w:p w14:paraId="5C61A9B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0" w:name="_Toc537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2.产出质量</w:t>
      </w:r>
      <w:bookmarkEnd w:id="20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：各项工作进度及质量100%；</w:t>
      </w:r>
    </w:p>
    <w:p w14:paraId="230FC2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1" w:name="_Toc25948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3.产出成本</w:t>
      </w:r>
      <w:bookmarkEnd w:id="21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：专项经费预算999.93万元，实际完成项目目标；</w:t>
      </w:r>
    </w:p>
    <w:p w14:paraId="21C7A2C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2" w:name="_Toc21477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4.产出时效</w:t>
      </w:r>
      <w:bookmarkEnd w:id="22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：促进教育教学不断发展。</w:t>
      </w:r>
    </w:p>
    <w:p w14:paraId="768B2F7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3" w:name="_Toc3072"/>
      <w:bookmarkStart w:id="24" w:name="_Toc12690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(四)项目效益情况</w:t>
      </w:r>
      <w:bookmarkEnd w:id="23"/>
      <w:bookmarkEnd w:id="24"/>
    </w:p>
    <w:p w14:paraId="452C7A7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江华瑶族自治县职业中专学校教育专项经费项目：保障学校正常运转、提高学校就学率等。发挥了领导办实事和公共财政应有的绩效作用。</w:t>
      </w:r>
    </w:p>
    <w:p w14:paraId="3C2BA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5" w:name="_Toc390096931"/>
      <w:bookmarkStart w:id="26" w:name="_Toc390267055"/>
      <w:bookmarkStart w:id="27" w:name="_Toc12414"/>
      <w:bookmarkStart w:id="28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五、项目主要经验、存在的问题</w:t>
      </w:r>
      <w:bookmarkEnd w:id="25"/>
      <w:bookmarkEnd w:id="2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及建议</w:t>
      </w:r>
      <w:bookmarkEnd w:id="27"/>
      <w:bookmarkEnd w:id="28"/>
    </w:p>
    <w:p w14:paraId="7E158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9" w:name="_Toc23434"/>
      <w:bookmarkStart w:id="30" w:name="_Toc5316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（一）项目主要经验</w:t>
      </w:r>
      <w:bookmarkEnd w:id="2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及做法</w:t>
      </w:r>
      <w:bookmarkEnd w:id="30"/>
    </w:p>
    <w:p w14:paraId="5D0BE90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（1）加强政策学习，提高思想认识。认真学习财务相关法规、制度，提高对全面管理的能力和重视程度，增强财务人员持家过日子的意识。</w:t>
      </w:r>
    </w:p>
    <w:p w14:paraId="761A0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2）规范账务处理，提高财务信息质量。严格按照《会计法》、《事业单位会计制度》、《事业单位财务规则》等规定执行财务核算，并结合实际情况，完整、准确地披露相关信息，尽可能地做到支出与计划管理相衔接。</w:t>
      </w:r>
    </w:p>
    <w:p w14:paraId="7B45D2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1" w:name="_Toc2597"/>
      <w:bookmarkStart w:id="32" w:name="_Toc6772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（二）存在的问题</w:t>
      </w:r>
      <w:bookmarkEnd w:id="31"/>
      <w:bookmarkEnd w:id="32"/>
      <w:bookmarkStart w:id="35" w:name="_GoBack"/>
      <w:bookmarkEnd w:id="35"/>
    </w:p>
    <w:p w14:paraId="23D5E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1、预算透明度不足：预算制定过程缺乏社会监督，公众难以理解专业术语（如“功能分类”“经济分类”）。预算绩效管理结果应用不足：绩效评价结果未有效用于次年预算调整，低效项目仍持续获得资金。</w:t>
      </w:r>
    </w:p>
    <w:p w14:paraId="39B43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2、一是预算执行不够均衡。目前，预算支出执行进度不均衡，项目支出安排不够准确，部分项目前期准备不够充分；二是部分财政专项资金的使用效益不高。在支出规模扩大、保障范围拓展的情况下，监管力量不足，造成资金使用的效益较低。</w:t>
      </w:r>
    </w:p>
    <w:p w14:paraId="4BDCAE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3" w:name="_Toc16271"/>
      <w:bookmarkStart w:id="34" w:name="_Toc29278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（三）有关建议</w:t>
      </w:r>
      <w:bookmarkEnd w:id="33"/>
      <w:bookmarkEnd w:id="34"/>
    </w:p>
    <w:p w14:paraId="5145E2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制定项目支出，各单位因工作规划、工作实际等需要，每年项目并非“一成不变”或各项目之间“有所侧重”，财政部门应该根据具体实际，在控制项目资金总金额不变的情况下，给予单位一定的“自由裁量权”，提高项目预算的精细化、实用化程度。</w:t>
      </w:r>
    </w:p>
    <w:p w14:paraId="3E6AB378"/>
    <w:sectPr>
      <w:footerReference r:id="rId3" w:type="default"/>
      <w:pgSz w:w="11906" w:h="16838"/>
      <w:pgMar w:top="2098" w:right="1803" w:bottom="1984" w:left="1587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87CC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03006D">
                          <w:pPr>
                            <w:pStyle w:val="3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03006D">
                    <w:pPr>
                      <w:pStyle w:val="3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NDEzZmI1MGQ4MTNmMjEyYTdkZTM2MzE0NzhhZDYifQ=="/>
    <w:docVar w:name="KSO_WPS_MARK_KEY" w:val="58fc722b-81c0-4689-8f06-058e108d70ee"/>
  </w:docVars>
  <w:rsids>
    <w:rsidRoot w:val="00000000"/>
    <w:rsid w:val="05DA3626"/>
    <w:rsid w:val="15755664"/>
    <w:rsid w:val="1B1708C7"/>
    <w:rsid w:val="25665261"/>
    <w:rsid w:val="27526D22"/>
    <w:rsid w:val="2A353257"/>
    <w:rsid w:val="2D3E34AE"/>
    <w:rsid w:val="52B45A11"/>
    <w:rsid w:val="77C132D8"/>
    <w:rsid w:val="78E6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character" w:customStyle="1" w:styleId="8">
    <w:name w:val="font3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9">
    <w:name w:val="font1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2849</Words>
  <Characters>2971</Characters>
  <Lines>0</Lines>
  <Paragraphs>0</Paragraphs>
  <TotalTime>4</TotalTime>
  <ScaleCrop>false</ScaleCrop>
  <LinksUpToDate>false</LinksUpToDate>
  <CharactersWithSpaces>2989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2025-02-17T08:53:00Z</dcterms:created>
  <dc:creator>Administrator</dc:creator>
  <cp:lastModifiedBy>赵奕雯</cp:lastModifiedBy>
  <dcterms:modified xsi:type="dcterms:W3CDTF">2025-05-28T04:03:16Z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eyJoZGlkIjoiMjBmNDEzZmI1MGQ4MTNmMjEyYTdkZTM2MzE0NzhhZDYiLCJ1c2VySWQiOiIxMTMwNDQ4NzU0In0=</vt:lpwstr>
  </property>
  <property fmtid="{D5CDD505-2E9C-101B-9397-08002B2CF9AE}" pid="4" name="ICV">
    <vt:lpwstr>727097A6A05647B9A2AC6A0A56E6A72C_12</vt:lpwstr>
  </property>
</Properties>
</file>