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C5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9" w:lineRule="auto"/>
        <w:ind w:left="2279" w:right="0" w:hanging="2279" w:hangingChars="500"/>
        <w:textAlignment w:val="auto"/>
        <w:rPr>
          <w:rFonts w:hint="eastAsia" w:ascii="原版宋体" w:hAnsi="原版宋体" w:eastAsia="楷体_GB2312"/>
          <w:lang w:eastAsia="zh-CN"/>
        </w:rPr>
      </w:pPr>
      <w:r>
        <w:rPr>
          <w:rFonts w:hint="eastAsia" w:ascii="宋体" w:hAnsi="宋体" w:eastAsia="宋体" w:cs="宋体"/>
          <w:b/>
          <w:bCs/>
          <w:spacing w:val="2"/>
          <w:sz w:val="45"/>
          <w:szCs w:val="45"/>
          <w:lang w:val="en-US" w:eastAsia="zh-CN"/>
        </w:rPr>
        <w:t>江华瑶族自治县</w:t>
      </w:r>
      <w:r>
        <w:rPr>
          <w:rFonts w:ascii="宋体" w:hAnsi="宋体" w:eastAsia="宋体" w:cs="宋体"/>
          <w:b/>
          <w:bCs/>
          <w:spacing w:val="2"/>
          <w:sz w:val="45"/>
          <w:szCs w:val="45"/>
        </w:rPr>
        <w:t>2024年度</w:t>
      </w:r>
      <w:r>
        <w:rPr>
          <w:rFonts w:hint="eastAsia" w:ascii="原版宋体" w:hAnsi="原版宋体" w:eastAsiaTheme="minorEastAsia"/>
          <w:b/>
          <w:bCs/>
          <w:color w:val="auto"/>
          <w:sz w:val="44"/>
          <w:szCs w:val="44"/>
          <w:lang w:eastAsia="zh-CN"/>
        </w:rPr>
        <w:t>“两癌”免费检查</w:t>
      </w:r>
      <w:r>
        <w:rPr>
          <w:rFonts w:hint="eastAsia" w:ascii="宋体" w:hAnsi="宋体" w:eastAsia="宋体" w:cs="宋体"/>
          <w:b/>
          <w:bCs/>
          <w:spacing w:val="2"/>
          <w:sz w:val="45"/>
          <w:szCs w:val="45"/>
        </w:rPr>
        <w:t>项目</w:t>
      </w:r>
      <w:r>
        <w:rPr>
          <w:rFonts w:ascii="宋体" w:hAnsi="宋体" w:eastAsia="宋体" w:cs="宋体"/>
          <w:b/>
          <w:bCs/>
          <w:spacing w:val="-11"/>
          <w:sz w:val="45"/>
          <w:szCs w:val="45"/>
        </w:rPr>
        <w:t>绩效评价自评报告</w:t>
      </w:r>
    </w:p>
    <w:p w14:paraId="29E290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 w:bidi="en-US"/>
        </w:rPr>
        <w:t>一、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项目概况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。</w:t>
      </w:r>
    </w:p>
    <w:p w14:paraId="2F237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3" w:firstLineChars="200"/>
        <w:jc w:val="left"/>
        <w:textAlignment w:val="auto"/>
        <w:rPr>
          <w:rFonts w:hint="eastAsia" w:ascii="楷体" w:hAnsi="楷体" w:eastAsia="楷体" w:cs="楷体"/>
          <w:b/>
          <w:bCs/>
          <w:spacing w:val="2"/>
          <w:sz w:val="32"/>
          <w:szCs w:val="32"/>
          <w:lang w:val="en-US" w:eastAsia="zh-CN"/>
        </w:rPr>
      </w:pPr>
      <w:bookmarkStart w:id="0" w:name="bookmark16"/>
      <w:r>
        <w:rPr>
          <w:rFonts w:hint="eastAsia" w:ascii="楷体" w:hAnsi="楷体" w:eastAsia="楷体" w:cs="楷体"/>
          <w:b/>
          <w:bCs/>
          <w:sz w:val="32"/>
          <w:szCs w:val="32"/>
        </w:rPr>
        <w:t>（</w:t>
      </w:r>
      <w:bookmarkEnd w:id="0"/>
      <w:r>
        <w:rPr>
          <w:rFonts w:hint="eastAsia" w:ascii="楷体" w:hAnsi="楷体" w:eastAsia="楷体" w:cs="楷体"/>
          <w:b/>
          <w:bCs/>
          <w:sz w:val="32"/>
          <w:szCs w:val="32"/>
        </w:rPr>
        <w:t>一）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/>
          <w:bCs/>
          <w:spacing w:val="2"/>
          <w:sz w:val="32"/>
          <w:szCs w:val="32"/>
          <w:lang w:val="en-US" w:eastAsia="zh-CN"/>
        </w:rPr>
        <w:t>两癌”免费</w:t>
      </w:r>
      <w:r>
        <w:rPr>
          <w:rFonts w:hint="eastAsia" w:ascii="楷体" w:hAnsi="楷体" w:eastAsia="楷体" w:cs="楷体"/>
          <w:b/>
          <w:bCs/>
          <w:spacing w:val="2"/>
          <w:sz w:val="32"/>
          <w:szCs w:val="32"/>
        </w:rPr>
        <w:t>项目</w:t>
      </w:r>
      <w:r>
        <w:rPr>
          <w:rFonts w:hint="eastAsia" w:ascii="楷体" w:hAnsi="楷体" w:eastAsia="楷体" w:cs="楷体"/>
          <w:b/>
          <w:bCs/>
          <w:spacing w:val="2"/>
          <w:sz w:val="32"/>
          <w:szCs w:val="32"/>
          <w:lang w:val="en-US" w:eastAsia="zh-CN"/>
        </w:rPr>
        <w:t>基本情况</w:t>
      </w:r>
    </w:p>
    <w:p w14:paraId="4168A46D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两癌”免费检查是根据《202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湖南省</w:t>
      </w:r>
      <w:r>
        <w:rPr>
          <w:rFonts w:hint="eastAsia" w:ascii="仿宋" w:hAnsi="仿宋" w:eastAsia="仿宋" w:cs="仿宋"/>
          <w:sz w:val="32"/>
          <w:szCs w:val="32"/>
        </w:rPr>
        <w:t>农村适龄和城镇低保适龄妇女“两癌”免费检查实施方案》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号文件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为未参加过“两癌”免费检查且具有江华户籍的35-64岁农村常住和城镇低保女性人口提供免费的宫颈癌和乳腺癌筛查，宫颈癌采用妇科检查、阴道分泌物检查、HPV初筛，并对HPV阳性进行分型检测，高危型HPV阳性进行宫颈细胞学检查（TCT检查），HPV16、18型阳性以及TCT阳性对象进行阴道镜、病理检查的方法。乳腺癌采用临床乳腺检查、乳腺彩色超声检查、阳性人群乳腺X线检查。经费来源执行</w:t>
      </w:r>
      <w:r>
        <w:rPr>
          <w:rFonts w:hint="eastAsia" w:ascii="仿宋" w:hAnsi="仿宋" w:eastAsia="仿宋" w:cs="仿宋"/>
          <w:sz w:val="32"/>
          <w:szCs w:val="32"/>
        </w:rPr>
        <w:t>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湖南省</w:t>
      </w:r>
      <w:r>
        <w:rPr>
          <w:rFonts w:hint="eastAsia" w:ascii="仿宋" w:hAnsi="仿宋" w:eastAsia="仿宋" w:cs="仿宋"/>
          <w:sz w:val="32"/>
          <w:szCs w:val="32"/>
        </w:rPr>
        <w:t>农村适龄和城镇低保适龄妇女“两癌”免费检查实施方案》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文件精神。</w:t>
      </w:r>
    </w:p>
    <w:p w14:paraId="7AD7EE16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资金基本情况</w:t>
      </w:r>
    </w:p>
    <w:p w14:paraId="7A2E6DF0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经费来源执行</w:t>
      </w:r>
      <w:r>
        <w:rPr>
          <w:rFonts w:hint="eastAsia" w:ascii="仿宋" w:hAnsi="仿宋" w:eastAsia="仿宋" w:cs="仿宋"/>
          <w:sz w:val="32"/>
          <w:szCs w:val="32"/>
        </w:rPr>
        <w:t>《202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湖南省</w:t>
      </w:r>
      <w:r>
        <w:rPr>
          <w:rFonts w:hint="eastAsia" w:ascii="仿宋" w:hAnsi="仿宋" w:eastAsia="仿宋" w:cs="仿宋"/>
          <w:sz w:val="32"/>
          <w:szCs w:val="32"/>
        </w:rPr>
        <w:t>农村适龄和城镇低保适龄妇女“两癌”免费检查实施方案》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（202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号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文件精神，宫颈癌检查费用60元/人,乳腺癌检查费用80元/人。中央财政安排部分“两癌”检查专项资金，剩余部分省财政负担50%，县区财政据实结算剩余资金，安排项目检查经费和必要的工作经费。</w:t>
      </w:r>
    </w:p>
    <w:p w14:paraId="79F74D4C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资金绩效目标</w:t>
      </w:r>
    </w:p>
    <w:p w14:paraId="0C442B69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</w:t>
      </w:r>
      <w:r>
        <w:rPr>
          <w:rFonts w:hint="eastAsia" w:ascii="仿宋" w:hAnsi="仿宋" w:eastAsia="仿宋" w:cs="仿宋"/>
          <w:sz w:val="32"/>
          <w:szCs w:val="32"/>
        </w:rPr>
        <w:t>00名35-64岁适龄妇女提供免费两癌筛查，提升“两癌”早诊早治率和农村妇女“两癌”防治知识知晓率。需资金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121.8</w:t>
      </w:r>
      <w:r>
        <w:rPr>
          <w:rFonts w:hint="eastAsia" w:ascii="仿宋" w:hAnsi="仿宋" w:eastAsia="仿宋" w:cs="仿宋"/>
          <w:sz w:val="32"/>
          <w:szCs w:val="32"/>
        </w:rPr>
        <w:t>万元。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其中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中央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和省级财政拨付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60.9万元，县级财政拨付60.9万元，合计资金到位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21.8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万元，资金到位率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100.00%，支出121.8万元，资金使用率100%。</w:t>
      </w:r>
    </w:p>
    <w:p w14:paraId="188732DF">
      <w:pPr>
        <w:pStyle w:val="11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资金使用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及管理情况</w:t>
      </w:r>
    </w:p>
    <w:p w14:paraId="0B208243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财务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部门从制度、规范、资金到账、项目支出票据、工作台账、任务指标完成情况等多方面进行自评，</w:t>
      </w:r>
      <w:r>
        <w:rPr>
          <w:rFonts w:hint="eastAsia" w:ascii="仿宋" w:hAnsi="仿宋" w:eastAsia="仿宋" w:cs="仿宋"/>
          <w:sz w:val="32"/>
          <w:szCs w:val="32"/>
        </w:rPr>
        <w:t>管理规范、内控制度有效，项目资金实行专款专用，两癌筛查经费支出没有超出财政预算，保障了该项目各项工作的顺利实施。</w:t>
      </w:r>
    </w:p>
    <w:p w14:paraId="19BCBA21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项目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资金组织实施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情况</w:t>
      </w:r>
    </w:p>
    <w:p w14:paraId="6FD78A04">
      <w:pPr>
        <w:spacing w:line="600" w:lineRule="exact"/>
        <w:ind w:firstLine="640" w:firstLineChars="200"/>
        <w:jc w:val="left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对数据上报的真实性、准确性，项目资金到位凭证、支出凭证等进行复核，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数据真实、准确、支出有依据，</w:t>
      </w:r>
      <w:r>
        <w:rPr>
          <w:rFonts w:hint="eastAsia" w:ascii="仿宋" w:hAnsi="仿宋" w:eastAsia="仿宋" w:cs="仿宋"/>
          <w:sz w:val="32"/>
          <w:szCs w:val="32"/>
        </w:rPr>
        <w:t>接受上级部门检查及监督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，未发现挪用及超支现象。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bidi="ar"/>
        </w:rPr>
        <w:t>领导重视，工作有序开展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eastAsia="zh-CN" w:bidi="ar"/>
        </w:rPr>
        <w:t>。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县妇联、县卫健局联合下</w:t>
      </w:r>
      <w:r>
        <w:rPr>
          <w:rFonts w:hint="eastAsia" w:ascii="仿宋" w:hAnsi="仿宋" w:eastAsia="仿宋" w:cs="仿宋"/>
          <w:spacing w:val="0"/>
          <w:w w:val="100"/>
          <w:kern w:val="0"/>
          <w:sz w:val="32"/>
          <w:szCs w:val="32"/>
          <w:lang w:bidi="ar"/>
        </w:rPr>
        <w:t>发了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《关于开展202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年农村适龄妇女和城镇低保适龄妇女“两癌”</w:t>
      </w:r>
      <w:r>
        <w:rPr>
          <w:rFonts w:hint="eastAsia" w:ascii="仿宋" w:hAnsi="仿宋" w:eastAsia="仿宋" w:cs="仿宋"/>
          <w:bCs/>
          <w:color w:val="000000"/>
          <w:spacing w:val="0"/>
          <w:w w:val="100"/>
          <w:sz w:val="32"/>
          <w:szCs w:val="32"/>
        </w:rPr>
        <w:t>免费检查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的通知》（江妇字〔202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〕），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  <w:lang w:eastAsia="zh-CN"/>
        </w:rPr>
        <w:t>将</w:t>
      </w:r>
      <w:r>
        <w:rPr>
          <w:rFonts w:hint="eastAsia" w:ascii="仿宋" w:hAnsi="仿宋" w:eastAsia="仿宋" w:cs="仿宋"/>
          <w:spacing w:val="0"/>
          <w:w w:val="100"/>
          <w:sz w:val="32"/>
          <w:szCs w:val="32"/>
        </w:rPr>
        <w:t>两癌筛查任务数下发到各乡镇政府，明确专人负责县、乡</w:t>
      </w:r>
      <w:r>
        <w:rPr>
          <w:rFonts w:hint="eastAsia" w:ascii="仿宋" w:hAnsi="仿宋" w:eastAsia="仿宋" w:cs="仿宋"/>
          <w:sz w:val="32"/>
          <w:szCs w:val="32"/>
        </w:rPr>
        <w:t>、村三级网络的组织及实施，按时间节点，有序推进项目工作。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县妇幼保健院组建了优秀的团队，安排专门的检查诊室，配齐配全设施、设备，开通绿色通道，为妇女提供一站式服务。</w:t>
      </w:r>
    </w:p>
    <w:p w14:paraId="332F97BD">
      <w:pPr>
        <w:pStyle w:val="11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预算支出绩效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情况</w:t>
      </w:r>
    </w:p>
    <w:p w14:paraId="3BD545B9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 w:right="0" w:rightChars="0"/>
        <w:textAlignment w:val="auto"/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产出分析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。</w:t>
      </w:r>
      <w:bookmarkStart w:id="1" w:name="bookmark21"/>
    </w:p>
    <w:p w14:paraId="5F3DA98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baseline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0"/>
          <w:kern w:val="0"/>
          <w:sz w:val="32"/>
          <w:szCs w:val="32"/>
        </w:rPr>
        <w:t>全面提高疾病早诊早治，提高妇女健康意识和健康水平</w:t>
      </w:r>
      <w:r>
        <w:rPr>
          <w:rFonts w:hint="eastAsia" w:ascii="仿宋" w:hAnsi="仿宋" w:eastAsia="仿宋" w:cs="仿宋"/>
          <w:color w:val="000000"/>
          <w:spacing w:val="0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pacing w:val="0"/>
          <w:kern w:val="0"/>
          <w:sz w:val="32"/>
          <w:szCs w:val="32"/>
          <w:lang w:val="en-US" w:eastAsia="zh-CN"/>
        </w:rPr>
        <w:t>全年完成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两癌免费检查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8703</w:t>
      </w:r>
      <w:r>
        <w:rPr>
          <w:rFonts w:hint="eastAsia" w:ascii="仿宋" w:hAnsi="仿宋" w:eastAsia="仿宋" w:cs="仿宋"/>
          <w:sz w:val="32"/>
          <w:szCs w:val="32"/>
        </w:rPr>
        <w:t>人，完成率10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0.03</w:t>
      </w:r>
      <w:r>
        <w:rPr>
          <w:rFonts w:hint="eastAsia" w:ascii="仿宋" w:hAnsi="仿宋" w:eastAsia="仿宋" w:cs="仿宋"/>
          <w:sz w:val="32"/>
          <w:szCs w:val="32"/>
        </w:rPr>
        <w:t>%。发现宫颈低级别病变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215</w:t>
      </w:r>
      <w:r>
        <w:rPr>
          <w:rFonts w:hint="eastAsia" w:ascii="仿宋" w:hAnsi="仿宋" w:eastAsia="仿宋" w:cs="仿宋"/>
          <w:sz w:val="32"/>
          <w:szCs w:val="32"/>
        </w:rPr>
        <w:t>人，高级别病变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 w:cs="仿宋"/>
          <w:sz w:val="32"/>
          <w:szCs w:val="32"/>
        </w:rPr>
        <w:t>人，宫颈癌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人，早期诊断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62</w:t>
      </w:r>
      <w:r>
        <w:rPr>
          <w:rFonts w:hint="eastAsia" w:ascii="仿宋" w:hAnsi="仿宋" w:eastAsia="仿宋" w:cs="仿宋"/>
          <w:sz w:val="32"/>
          <w:szCs w:val="32"/>
        </w:rPr>
        <w:t>人，早期诊断率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95.38</w:t>
      </w:r>
      <w:r>
        <w:rPr>
          <w:rFonts w:hint="eastAsia" w:ascii="仿宋" w:hAnsi="仿宋" w:eastAsia="仿宋" w:cs="仿宋"/>
          <w:sz w:val="32"/>
          <w:szCs w:val="32"/>
        </w:rPr>
        <w:t>%。发现乳腺癌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人,其中早期诊断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人，早期诊断率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55.56</w:t>
      </w:r>
      <w:r>
        <w:rPr>
          <w:rFonts w:hint="eastAsia" w:ascii="仿宋" w:hAnsi="仿宋" w:eastAsia="仿宋" w:cs="仿宋"/>
          <w:sz w:val="32"/>
          <w:szCs w:val="32"/>
        </w:rPr>
        <w:t>%。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随访治疗率达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100%。</w:t>
      </w:r>
    </w:p>
    <w:bookmarkEnd w:id="1"/>
    <w:p w14:paraId="7048FE5E">
      <w:pPr>
        <w:pStyle w:val="11"/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有效性分析。</w:t>
      </w:r>
    </w:p>
    <w:p w14:paraId="6E2FC364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任务指标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完成率10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0.03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%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宫颈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早期诊断率9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5.38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%。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乳腺</w:t>
      </w:r>
      <w:r>
        <w:rPr>
          <w:rFonts w:hint="eastAsia" w:ascii="仿宋" w:hAnsi="仿宋" w:eastAsia="仿宋" w:cs="仿宋"/>
          <w:sz w:val="32"/>
          <w:szCs w:val="32"/>
        </w:rPr>
        <w:t>早期诊断率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55.56</w:t>
      </w:r>
      <w:r>
        <w:rPr>
          <w:rFonts w:hint="eastAsia" w:ascii="仿宋" w:hAnsi="仿宋" w:eastAsia="仿宋" w:cs="仿宋"/>
          <w:sz w:val="32"/>
          <w:szCs w:val="32"/>
        </w:rPr>
        <w:t>%。</w:t>
      </w:r>
      <w:r>
        <w:rPr>
          <w:rFonts w:hint="eastAsia" w:ascii="仿宋" w:hAnsi="仿宋" w:eastAsia="仿宋" w:cs="仿宋"/>
          <w:kern w:val="0"/>
          <w:sz w:val="32"/>
          <w:szCs w:val="32"/>
        </w:rPr>
        <w:t>患病妇女得到了及时的治疗，</w:t>
      </w:r>
      <w:r>
        <w:rPr>
          <w:rFonts w:hint="eastAsia" w:ascii="仿宋" w:hAnsi="仿宋" w:eastAsia="仿宋" w:cs="仿宋"/>
          <w:bCs/>
          <w:sz w:val="32"/>
          <w:szCs w:val="32"/>
        </w:rPr>
        <w:t>减少了患病家庭的经济负担，提高了妇女的健康意识及健康水平</w:t>
      </w:r>
      <w:r>
        <w:rPr>
          <w:rFonts w:hint="eastAsia" w:ascii="仿宋" w:hAnsi="仿宋" w:eastAsia="仿宋" w:cs="仿宋"/>
          <w:kern w:val="0"/>
          <w:sz w:val="32"/>
          <w:szCs w:val="32"/>
        </w:rPr>
        <w:t>。</w:t>
      </w:r>
    </w:p>
    <w:p w14:paraId="56E0D343"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3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社会性分析。</w:t>
      </w:r>
    </w:p>
    <w:p w14:paraId="1DE7EA29">
      <w:pPr>
        <w:pStyle w:val="11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疾病早诊早治，降低治疗费用，</w:t>
      </w:r>
      <w:r>
        <w:rPr>
          <w:rFonts w:hint="eastAsia" w:ascii="仿宋" w:hAnsi="仿宋" w:eastAsia="仿宋" w:cs="仿宋"/>
          <w:bCs/>
          <w:sz w:val="32"/>
          <w:szCs w:val="32"/>
        </w:rPr>
        <w:t>减少了患病家庭的经济负担，提高了妇女的健康意识及健康水平，有利于</w:t>
      </w:r>
      <w:r>
        <w:rPr>
          <w:rFonts w:hint="eastAsia" w:ascii="仿宋" w:hAnsi="仿宋" w:eastAsia="仿宋" w:cs="仿宋"/>
          <w:kern w:val="0"/>
          <w:sz w:val="32"/>
          <w:szCs w:val="32"/>
        </w:rPr>
        <w:t>促进公共卫生服务均等化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,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患者</w:t>
      </w:r>
      <w:r>
        <w:rPr>
          <w:rFonts w:hint="eastAsia" w:ascii="仿宋" w:hAnsi="仿宋" w:eastAsia="仿宋" w:cs="仿宋"/>
          <w:kern w:val="0"/>
          <w:sz w:val="32"/>
          <w:szCs w:val="32"/>
        </w:rPr>
        <w:t>满意度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达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98</w:t>
      </w:r>
      <w:r>
        <w:rPr>
          <w:rFonts w:hint="eastAsia" w:ascii="仿宋" w:hAnsi="仿宋" w:eastAsia="仿宋" w:cs="仿宋"/>
          <w:kern w:val="0"/>
          <w:sz w:val="32"/>
          <w:szCs w:val="32"/>
        </w:rPr>
        <w:t>%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 w14:paraId="796FEBB3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主要的经验及做法、存在的问题及原因分析</w:t>
      </w:r>
    </w:p>
    <w:p w14:paraId="532A9E18">
      <w:pPr>
        <w:pStyle w:val="11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一</w:t>
      </w:r>
      <w:r>
        <w:rPr>
          <w:rFonts w:hint="eastAsia" w:ascii="楷体" w:hAnsi="楷体" w:eastAsia="楷体" w:cs="楷体"/>
          <w:b/>
          <w:bCs/>
          <w:sz w:val="32"/>
          <w:szCs w:val="32"/>
          <w:lang w:eastAsia="zh-CN"/>
        </w:rPr>
        <w:t>）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>主要经验及做法</w:t>
      </w:r>
    </w:p>
    <w:p w14:paraId="5FF5FE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1.领导高度重视，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县、乡、村三级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全覆盖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，均有专人负责宣传、组织及实施。具体实施单位县妇幼保健院严格把好质量关，确保检查质量达到上级要求。</w:t>
      </w:r>
    </w:p>
    <w:p w14:paraId="49753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2.县妇幼保健院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设立两癌门诊，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组建优秀团队，选派业务骨干到省、市级进修、培训，投入先进的设施设备，对前来筛查服务对象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开通绿色通道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减少对象等待时间，提高群众满意度。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明确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专人负责阳性对象随访管理工作，确保妇女及时得到进一步检查及治疗。</w:t>
      </w:r>
    </w:p>
    <w:p w14:paraId="6F0330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3.充分运用“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江华瑶族自治县妇幼健康一体化信息平台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”妇女保健功能模块结果查询功能，让服务对象能在第一时间掌握检查结果，提高早诊断、早治疗及群众满意度。</w:t>
      </w:r>
    </w:p>
    <w:p w14:paraId="5009DFA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4.严格遵循信息保密原则，精心策划并制作检查结果报告单，及时将结果通过乡镇发放到服务对象手中，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同时加大投入，</w:t>
      </w:r>
      <w:r>
        <w:rPr>
          <w:rStyle w:val="13"/>
          <w:rFonts w:hint="eastAsia" w:ascii="仿宋" w:hAnsi="仿宋" w:eastAsia="仿宋" w:cs="仿宋"/>
          <w:sz w:val="32"/>
          <w:szCs w:val="32"/>
        </w:rPr>
        <w:t>以“互联网+妇幼健康”为载体建设“</w:t>
      </w:r>
      <w:r>
        <w:rPr>
          <w:rFonts w:hint="eastAsia" w:ascii="仿宋" w:hAnsi="仿宋" w:eastAsia="仿宋" w:cs="仿宋"/>
          <w:sz w:val="32"/>
          <w:szCs w:val="32"/>
        </w:rPr>
        <w:t>江华瑶族自治县妇幼健康一体化信息平台</w:t>
      </w:r>
      <w:r>
        <w:rPr>
          <w:rStyle w:val="13"/>
          <w:rFonts w:hint="eastAsia" w:ascii="仿宋" w:hAnsi="仿宋" w:eastAsia="仿宋" w:cs="仿宋"/>
          <w:sz w:val="32"/>
          <w:szCs w:val="32"/>
        </w:rPr>
        <w:t>”，设置了独立的功能模块及手机客户端，让服务对象能在结果出具第一时间通过微信公众号查询检查结果，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让她们知晓结果的同时，提高患病人群的早诊断、早治疗，提高项目知晓率及社会效应。</w:t>
      </w:r>
    </w:p>
    <w:p w14:paraId="081D4074"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480" w:leftChars="200" w:firstLine="0" w:firstLineChars="0"/>
        <w:textAlignment w:val="auto"/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 w:bidi="zh-TW"/>
        </w:rPr>
      </w:pPr>
      <w:r>
        <w:rPr>
          <w:rFonts w:hint="eastAsia" w:ascii="楷体" w:hAnsi="楷体" w:eastAsia="楷体" w:cs="楷体"/>
          <w:b/>
          <w:bCs/>
          <w:sz w:val="32"/>
          <w:szCs w:val="32"/>
        </w:rPr>
        <w:t>存在的困难、问题</w:t>
      </w: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及</w:t>
      </w:r>
      <w:r>
        <w:rPr>
          <w:rFonts w:hint="eastAsia" w:ascii="楷体" w:hAnsi="楷体" w:eastAsia="楷体" w:cs="楷体"/>
          <w:b/>
          <w:bCs/>
          <w:color w:val="000000"/>
          <w:sz w:val="32"/>
          <w:szCs w:val="32"/>
          <w:lang w:val="en-US" w:eastAsia="zh-CN" w:bidi="zh-TW"/>
        </w:rPr>
        <w:t>原因分析</w:t>
      </w:r>
    </w:p>
    <w:p w14:paraId="72E485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妇女流动性大，电话更换频繁，部分外出务工对象随访难度大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检查及治疗欠及时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。</w:t>
      </w:r>
    </w:p>
    <w:p w14:paraId="4F0E5390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559" w:firstLineChars="200"/>
        <w:jc w:val="both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pacing w:val="-21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spacing w:val="-21"/>
          <w:sz w:val="32"/>
          <w:szCs w:val="32"/>
        </w:rPr>
        <w:t>、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工作建议</w:t>
      </w:r>
    </w:p>
    <w:p w14:paraId="2FB3937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2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预拨部分经费。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检查经费拨付较晚，不利于项目工作推进。两癌筛查工作从一月份开始，上半年已完成大部分筛查工作，但省级经费一般要6-7月份才到位，导致上半年筛查费用由单位垫付或欠款中，单位经费压力大。</w:t>
      </w:r>
    </w:p>
    <w:p w14:paraId="17C45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9" w:lineRule="auto"/>
        <w:ind w:left="2279" w:right="0" w:hanging="1600" w:hangingChars="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</w:t>
      </w:r>
    </w:p>
    <w:p w14:paraId="60D53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0B1D875-BDF0-4F65-A0BA-C459DF275EE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11150BC-4F34-485E-AE79-33AB16497F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原版宋体">
    <w:altName w:val="宋体"/>
    <w:panose1 w:val="02010600030101010101"/>
    <w:charset w:val="00"/>
    <w:family w:val="auto"/>
    <w:pitch w:val="default"/>
    <w:sig w:usb0="00000000" w:usb1="00000000" w:usb2="00000000" w:usb3="00000000" w:csb0="00040001" w:csb1="00000000"/>
    <w:embedRegular r:id="rId3" w:fontKey="{737D1F2D-D439-471F-8952-1FD6F4192FD9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34B86D6B-D607-495E-B2AC-E72405FDC0C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EE092E23-BE07-4EAD-AB75-F093A8864F2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F7C10D64-11DF-4BA4-814E-960DD997B54D}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A3D2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5C986B"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>3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4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5C986B"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>3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4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1DC9D"/>
    <w:multiLevelType w:val="singleLevel"/>
    <w:tmpl w:val="8101DC9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C687B74"/>
    <w:multiLevelType w:val="singleLevel"/>
    <w:tmpl w:val="9C687B7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FBDBE88"/>
    <w:multiLevelType w:val="singleLevel"/>
    <w:tmpl w:val="EFBDBE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68C6788"/>
    <w:multiLevelType w:val="singleLevel"/>
    <w:tmpl w:val="068C678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9D56C38"/>
    <w:multiLevelType w:val="singleLevel"/>
    <w:tmpl w:val="39D56C3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3255D"/>
    <w:rsid w:val="02A82458"/>
    <w:rsid w:val="05B13636"/>
    <w:rsid w:val="071579E5"/>
    <w:rsid w:val="0A2B78A0"/>
    <w:rsid w:val="0A682426"/>
    <w:rsid w:val="140317D6"/>
    <w:rsid w:val="1495298C"/>
    <w:rsid w:val="17E646EE"/>
    <w:rsid w:val="1EB646D3"/>
    <w:rsid w:val="21E65208"/>
    <w:rsid w:val="25607CAC"/>
    <w:rsid w:val="2A9767DF"/>
    <w:rsid w:val="2BF273ED"/>
    <w:rsid w:val="2CCB2770"/>
    <w:rsid w:val="2E2D574C"/>
    <w:rsid w:val="2FB72273"/>
    <w:rsid w:val="30FA3624"/>
    <w:rsid w:val="347D611A"/>
    <w:rsid w:val="35246EA5"/>
    <w:rsid w:val="358931C8"/>
    <w:rsid w:val="381C36B0"/>
    <w:rsid w:val="3E3A6CB8"/>
    <w:rsid w:val="41F83508"/>
    <w:rsid w:val="4773124B"/>
    <w:rsid w:val="482A6B8E"/>
    <w:rsid w:val="4A701660"/>
    <w:rsid w:val="4AF7024B"/>
    <w:rsid w:val="4C1658C0"/>
    <w:rsid w:val="4FA941C2"/>
    <w:rsid w:val="4FFD5C00"/>
    <w:rsid w:val="528B738A"/>
    <w:rsid w:val="55CD3692"/>
    <w:rsid w:val="56867BCF"/>
    <w:rsid w:val="58115850"/>
    <w:rsid w:val="5AF34ABD"/>
    <w:rsid w:val="5BD87046"/>
    <w:rsid w:val="63001D56"/>
    <w:rsid w:val="68242759"/>
    <w:rsid w:val="6C5953D2"/>
    <w:rsid w:val="6F90296F"/>
    <w:rsid w:val="7049013E"/>
    <w:rsid w:val="716B13F9"/>
    <w:rsid w:val="71B273C4"/>
    <w:rsid w:val="72875460"/>
    <w:rsid w:val="72F82177"/>
    <w:rsid w:val="767856CA"/>
    <w:rsid w:val="78FD52E9"/>
    <w:rsid w:val="7DE973F8"/>
    <w:rsid w:val="7E1E7645"/>
    <w:rsid w:val="7F58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"/>
    <w:basedOn w:val="1"/>
    <w:qFormat/>
    <w:uiPriority w:val="99"/>
    <w:pPr>
      <w:snapToGrid w:val="0"/>
      <w:spacing w:line="360" w:lineRule="auto"/>
      <w:ind w:firstLine="420" w:firstLineChars="100"/>
    </w:pPr>
    <w:rPr>
      <w:sz w:val="28"/>
      <w:szCs w:val="20"/>
    </w:rPr>
  </w:style>
  <w:style w:type="paragraph" w:styleId="3">
    <w:name w:val="Normal Indent"/>
    <w:qFormat/>
    <w:uiPriority w:val="0"/>
    <w:pPr>
      <w:widowControl w:val="0"/>
      <w:ind w:firstLine="420" w:firstLineChars="20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4">
    <w:name w:val="index 5"/>
    <w:basedOn w:val="1"/>
    <w:next w:val="1"/>
    <w:unhideWhenUsed/>
    <w:qFormat/>
    <w:uiPriority w:val="99"/>
    <w:pPr>
      <w:ind w:left="1680"/>
    </w:pPr>
    <w:rPr>
      <w:rFonts w:ascii="Calibri" w:hAnsi="Calibri" w:eastAsia="微软雅黑" w:cs="宋体"/>
      <w:szCs w:val="24"/>
    </w:rPr>
  </w:style>
  <w:style w:type="paragraph" w:styleId="5">
    <w:name w:val="Block Text"/>
    <w:basedOn w:val="1"/>
    <w:qFormat/>
    <w:uiPriority w:val="0"/>
    <w:pPr>
      <w:spacing w:after="120" w:afterLines="0" w:afterAutospacing="0"/>
      <w:ind w:left="1440" w:leftChars="700" w:rightChars="7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0">
    <w:name w:val="Other|1"/>
    <w:basedOn w:val="1"/>
    <w:qFormat/>
    <w:uiPriority w:val="0"/>
    <w:pPr>
      <w:ind w:left="140"/>
    </w:pPr>
    <w:rPr>
      <w:rFonts w:ascii="宋体" w:hAnsi="宋体" w:eastAsia="宋体" w:cs="宋体"/>
      <w:sz w:val="18"/>
      <w:szCs w:val="18"/>
      <w:lang w:val="zh-TW" w:eastAsia="zh-TW" w:bidi="zh-TW"/>
    </w:rPr>
  </w:style>
  <w:style w:type="paragraph" w:customStyle="1" w:styleId="11">
    <w:name w:val="Body text|1"/>
    <w:basedOn w:val="1"/>
    <w:qFormat/>
    <w:uiPriority w:val="0"/>
    <w:pPr>
      <w:spacing w:line="408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2">
    <w:name w:val="Body text|4"/>
    <w:basedOn w:val="1"/>
    <w:qFormat/>
    <w:uiPriority w:val="0"/>
    <w:pPr>
      <w:spacing w:after="60"/>
      <w:jc w:val="center"/>
    </w:pPr>
    <w:rPr>
      <w:rFonts w:ascii="宋体" w:hAnsi="宋体" w:eastAsia="宋体" w:cs="宋体"/>
      <w:lang w:val="zh-TW" w:eastAsia="zh-TW" w:bidi="zh-TW"/>
    </w:rPr>
  </w:style>
  <w:style w:type="character" w:customStyle="1" w:styleId="13">
    <w:name w:val="NormalCharacter"/>
    <w:semiHidden/>
    <w:qFormat/>
    <w:uiPriority w:val="0"/>
  </w:style>
  <w:style w:type="character" w:customStyle="1" w:styleId="14">
    <w:name w:val="font11"/>
    <w:basedOn w:val="9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">
    <w:name w:val="font01"/>
    <w:basedOn w:val="9"/>
    <w:qFormat/>
    <w:uiPriority w:val="0"/>
    <w:rPr>
      <w:rFonts w:ascii="Arial" w:hAnsi="Arial" w:cs="Arial"/>
      <w:color w:val="000000"/>
      <w:sz w:val="21"/>
      <w:szCs w:val="21"/>
      <w:u w:val="none"/>
    </w:rPr>
  </w:style>
  <w:style w:type="paragraph" w:customStyle="1" w:styleId="16">
    <w:name w:val="Table caption|1"/>
    <w:basedOn w:val="1"/>
    <w:qFormat/>
    <w:uiPriority w:val="0"/>
    <w:pPr>
      <w:spacing w:line="197" w:lineRule="exact"/>
      <w:ind w:firstLine="340"/>
    </w:pPr>
    <w:rPr>
      <w:rFonts w:ascii="宋体" w:hAnsi="宋体" w:eastAsia="宋体" w:cs="宋体"/>
      <w:color w:val="242C3C"/>
      <w:sz w:val="15"/>
      <w:szCs w:val="15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1615</Words>
  <Characters>1709</Characters>
  <Lines>0</Lines>
  <Paragraphs>0</Paragraphs>
  <TotalTime>3</TotalTime>
  <ScaleCrop>false</ScaleCrop>
  <LinksUpToDate>false</LinksUpToDate>
  <CharactersWithSpaces>1719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2025-03-03T13:27:00Z</dcterms:created>
  <dc:creator>86137</dc:creator>
  <cp:lastModifiedBy>豆豆糖</cp:lastModifiedBy>
  <dcterms:modified xsi:type="dcterms:W3CDTF">2025-04-20T06:02:27Z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eyJoZGlkIjoiODgxMTkyNTk0M2VjNjRjZjY0OTVmZTIzYjVmMTQxMmMiLCJ1c2VySWQiOiI0MDMwMzAxMzIifQ==</vt:lpwstr>
  </property>
  <property fmtid="{D5CDD505-2E9C-101B-9397-08002B2CF9AE}" pid="4" name="ICV">
    <vt:lpwstr>39A2590A3C9746B9A7565FC5C5DA0AC6_12</vt:lpwstr>
  </property>
</Properties>
</file>