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09" w:lineRule="auto"/>
        <w:ind w:left="2279" w:right="0" w:hanging="2279" w:hangingChars="500"/>
        <w:textAlignment w:val="auto"/>
        <w:rPr>
          <w:rFonts w:hint="eastAsia" w:ascii="原版宋体" w:hAnsi="原版宋体" w:eastAsia="楷体_GB2312"/>
          <w:lang w:eastAsia="zh-CN"/>
        </w:rPr>
      </w:pPr>
      <w:r>
        <w:rPr>
          <w:rFonts w:hint="eastAsia" w:ascii="宋体" w:hAnsi="宋体" w:eastAsia="宋体" w:cs="宋体"/>
          <w:b/>
          <w:bCs/>
          <w:spacing w:val="2"/>
          <w:sz w:val="45"/>
          <w:szCs w:val="45"/>
          <w:lang w:val="en-US" w:eastAsia="zh-CN"/>
        </w:rPr>
        <w:t>江华瑶族自治县</w:t>
      </w:r>
      <w:r>
        <w:rPr>
          <w:rFonts w:ascii="宋体" w:hAnsi="宋体" w:eastAsia="宋体" w:cs="宋体"/>
          <w:b/>
          <w:bCs/>
          <w:spacing w:val="2"/>
          <w:sz w:val="45"/>
          <w:szCs w:val="45"/>
        </w:rPr>
        <w:t>2024年度</w:t>
      </w:r>
      <w:r>
        <w:rPr>
          <w:rFonts w:hint="eastAsia" w:ascii="宋体" w:hAnsi="宋体" w:eastAsia="宋体" w:cs="宋体"/>
          <w:b/>
          <w:bCs/>
          <w:spacing w:val="2"/>
          <w:sz w:val="45"/>
          <w:szCs w:val="45"/>
          <w:lang w:eastAsia="zh-CN"/>
        </w:rPr>
        <w:t>降</w:t>
      </w:r>
      <w:r>
        <w:rPr>
          <w:rFonts w:hint="eastAsia" w:ascii="宋体" w:hAnsi="宋体" w:eastAsia="宋体" w:cs="宋体"/>
          <w:b/>
          <w:bCs/>
          <w:spacing w:val="2"/>
          <w:sz w:val="45"/>
          <w:szCs w:val="45"/>
          <w:lang w:val="en-US" w:eastAsia="zh-CN"/>
        </w:rPr>
        <w:t>消</w:t>
      </w:r>
      <w:r>
        <w:rPr>
          <w:rFonts w:hint="eastAsia" w:ascii="宋体" w:hAnsi="宋体" w:eastAsia="宋体" w:cs="宋体"/>
          <w:b/>
          <w:bCs/>
          <w:spacing w:val="2"/>
          <w:sz w:val="45"/>
          <w:szCs w:val="45"/>
        </w:rPr>
        <w:t>项目</w:t>
      </w:r>
      <w:r>
        <w:rPr>
          <w:rFonts w:ascii="宋体" w:hAnsi="宋体" w:eastAsia="宋体" w:cs="宋体"/>
          <w:b/>
          <w:bCs/>
          <w:spacing w:val="-11"/>
          <w:sz w:val="45"/>
          <w:szCs w:val="45"/>
        </w:rPr>
        <w:t>绩效评价自评报告</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left"/>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val="en-US" w:eastAsia="zh-CN" w:bidi="en-US"/>
        </w:rPr>
        <w:t>一、</w:t>
      </w:r>
      <w:r>
        <w:rPr>
          <w:rFonts w:hint="eastAsia" w:ascii="黑体" w:hAnsi="黑体" w:eastAsia="黑体" w:cs="黑体"/>
          <w:b/>
          <w:bCs/>
          <w:sz w:val="32"/>
          <w:szCs w:val="32"/>
        </w:rPr>
        <w:t>项目概况</w:t>
      </w:r>
      <w:r>
        <w:rPr>
          <w:rFonts w:hint="eastAsia" w:ascii="黑体" w:hAnsi="黑体" w:eastAsia="黑体" w:cs="黑体"/>
          <w:b/>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left"/>
        <w:textAlignment w:val="auto"/>
        <w:rPr>
          <w:rFonts w:hint="eastAsia" w:ascii="楷体" w:hAnsi="楷体" w:eastAsia="楷体" w:cs="楷体"/>
          <w:b/>
          <w:bCs/>
          <w:sz w:val="32"/>
          <w:szCs w:val="32"/>
          <w:lang w:val="en-US" w:eastAsia="zh-CN"/>
        </w:rPr>
      </w:pPr>
      <w:bookmarkStart w:id="0" w:name="bookmark16"/>
      <w:r>
        <w:rPr>
          <w:rFonts w:hint="eastAsia" w:ascii="楷体" w:hAnsi="楷体" w:eastAsia="楷体" w:cs="楷体"/>
          <w:b/>
          <w:bCs/>
          <w:sz w:val="32"/>
          <w:szCs w:val="32"/>
        </w:rPr>
        <w:t>（</w:t>
      </w:r>
      <w:bookmarkEnd w:id="0"/>
      <w:r>
        <w:rPr>
          <w:rFonts w:hint="eastAsia" w:ascii="楷体" w:hAnsi="楷体" w:eastAsia="楷体" w:cs="楷体"/>
          <w:b/>
          <w:bCs/>
          <w:sz w:val="32"/>
          <w:szCs w:val="32"/>
        </w:rPr>
        <w:t>一）</w:t>
      </w:r>
      <w:r>
        <w:rPr>
          <w:rFonts w:hint="eastAsia" w:ascii="楷体" w:hAnsi="楷体" w:eastAsia="楷体" w:cs="楷体"/>
          <w:b/>
          <w:bCs/>
          <w:spacing w:val="2"/>
          <w:sz w:val="32"/>
          <w:szCs w:val="32"/>
          <w:lang w:eastAsia="zh-CN"/>
        </w:rPr>
        <w:t>降效项目</w:t>
      </w:r>
      <w:r>
        <w:rPr>
          <w:rFonts w:hint="eastAsia" w:ascii="楷体" w:hAnsi="楷体" w:eastAsia="楷体" w:cs="楷体"/>
          <w:b/>
          <w:bCs/>
          <w:spacing w:val="2"/>
          <w:sz w:val="32"/>
          <w:szCs w:val="32"/>
          <w:lang w:val="en-US" w:eastAsia="zh-CN"/>
        </w:rPr>
        <w:t>基本情况</w:t>
      </w:r>
    </w:p>
    <w:p>
      <w:pPr>
        <w:keepNext w:val="0"/>
        <w:keepLines w:val="0"/>
        <w:pageBreakBefore w:val="0"/>
        <w:kinsoku/>
        <w:wordWrap/>
        <w:overflowPunct/>
        <w:topLinePunct w:val="0"/>
        <w:autoSpaceDE/>
        <w:autoSpaceDN/>
        <w:bidi w:val="0"/>
        <w:adjustRightInd w:val="0"/>
        <w:snapToGrid w:val="0"/>
        <w:spacing w:line="520" w:lineRule="exact"/>
        <w:ind w:firstLine="640" w:firstLineChars="200"/>
        <w:contextualSpacing/>
        <w:jc w:val="left"/>
        <w:textAlignment w:val="auto"/>
        <w:rPr>
          <w:rFonts w:hint="eastAsia" w:ascii="仿宋" w:hAnsi="仿宋" w:eastAsia="仿宋" w:cs="仿宋"/>
          <w:color w:val="000000" w:themeColor="text1"/>
          <w:sz w:val="32"/>
          <w:szCs w:val="32"/>
          <w:lang w:val="zh-TW" w:eastAsia="zh-TW" w:bidi="zh-TW"/>
          <w14:textFill>
            <w14:solidFill>
              <w14:schemeClr w14:val="tx1"/>
            </w14:solidFill>
          </w14:textFill>
        </w:rPr>
      </w:pPr>
      <w:r>
        <w:rPr>
          <w:rFonts w:hint="eastAsia" w:ascii="仿宋" w:hAnsi="仿宋" w:eastAsia="仿宋" w:cs="仿宋"/>
          <w:color w:val="000000" w:themeColor="text1"/>
          <w:sz w:val="32"/>
          <w:szCs w:val="32"/>
          <w:lang w:val="en-US" w:eastAsia="zh-CN" w:bidi="zh-TW"/>
          <w14:textFill>
            <w14:solidFill>
              <w14:schemeClr w14:val="tx1"/>
            </w14:solidFill>
          </w14:textFill>
        </w:rPr>
        <w:t>为确保</w:t>
      </w:r>
      <w:r>
        <w:rPr>
          <w:rFonts w:hint="eastAsia" w:ascii="仿宋" w:hAnsi="仿宋" w:eastAsia="仿宋" w:cs="仿宋"/>
          <w:b w:val="0"/>
          <w:bCs w:val="0"/>
          <w:color w:val="000000" w:themeColor="text1"/>
          <w:kern w:val="0"/>
          <w:sz w:val="32"/>
          <w:szCs w:val="32"/>
          <w:lang w:val="en-US" w:eastAsia="zh-CN"/>
          <w14:textFill>
            <w14:solidFill>
              <w14:schemeClr w14:val="tx1"/>
            </w14:solidFill>
          </w14:textFill>
        </w:rPr>
        <w:t>为贯彻全省“降消”项目及妇幼卫生管理工作会议精神，</w:t>
      </w:r>
      <w:r>
        <w:rPr>
          <w:rFonts w:hint="eastAsia" w:ascii="仿宋" w:hAnsi="仿宋" w:eastAsia="仿宋" w:cs="仿宋"/>
          <w:b w:val="0"/>
          <w:bCs w:val="0"/>
          <w:color w:val="000000" w:themeColor="text1"/>
          <w:kern w:val="0"/>
          <w:sz w:val="32"/>
          <w:szCs w:val="32"/>
          <w:lang w:eastAsia="zh-CN"/>
          <w14:textFill>
            <w14:solidFill>
              <w14:schemeClr w14:val="tx1"/>
            </w14:solidFill>
          </w14:textFill>
        </w:rPr>
        <w:t>现将我县</w:t>
      </w:r>
      <w:r>
        <w:rPr>
          <w:rFonts w:hint="eastAsia" w:ascii="仿宋" w:hAnsi="仿宋" w:eastAsia="仿宋" w:cs="仿宋"/>
          <w:b w:val="0"/>
          <w:bCs w:val="0"/>
          <w:color w:val="000000" w:themeColor="text1"/>
          <w:kern w:val="0"/>
          <w:sz w:val="32"/>
          <w:szCs w:val="32"/>
          <w:lang w:val="en-US" w:eastAsia="zh-CN"/>
          <w14:textFill>
            <w14:solidFill>
              <w14:schemeClr w14:val="tx1"/>
            </w14:solidFill>
          </w14:textFill>
        </w:rPr>
        <w:t>降效项目</w:t>
      </w:r>
      <w:r>
        <w:rPr>
          <w:rFonts w:hint="eastAsia" w:ascii="仿宋" w:hAnsi="仿宋" w:eastAsia="仿宋" w:cs="仿宋"/>
          <w:color w:val="000000" w:themeColor="text1"/>
          <w:sz w:val="32"/>
          <w:szCs w:val="32"/>
          <w14:textFill>
            <w14:solidFill>
              <w14:schemeClr w14:val="tx1"/>
            </w14:solidFill>
          </w14:textFill>
        </w:rPr>
        <w:t>专项资金进行了绩效</w:t>
      </w:r>
      <w:r>
        <w:rPr>
          <w:rFonts w:hint="eastAsia" w:ascii="仿宋" w:hAnsi="仿宋" w:eastAsia="仿宋" w:cs="仿宋"/>
          <w:color w:val="000000" w:themeColor="text1"/>
          <w:sz w:val="32"/>
          <w:szCs w:val="32"/>
          <w:lang w:eastAsia="zh-CN"/>
          <w14:textFill>
            <w14:solidFill>
              <w14:schemeClr w14:val="tx1"/>
            </w14:solidFill>
          </w14:textFill>
        </w:rPr>
        <w:t>运行监控</w:t>
      </w:r>
      <w:r>
        <w:rPr>
          <w:rFonts w:hint="eastAsia" w:ascii="仿宋" w:hAnsi="仿宋" w:eastAsia="仿宋" w:cs="仿宋"/>
          <w:color w:val="000000" w:themeColor="text1"/>
          <w:sz w:val="32"/>
          <w:szCs w:val="32"/>
          <w14:textFill>
            <w14:solidFill>
              <w14:schemeClr w14:val="tx1"/>
            </w14:solidFill>
          </w14:textFill>
        </w:rPr>
        <w:t>评价，现将评价情况及结果报告如下</w:t>
      </w:r>
      <w:r>
        <w:rPr>
          <w:rFonts w:hint="eastAsia" w:ascii="仿宋" w:hAnsi="仿宋" w:eastAsia="仿宋" w:cs="仿宋"/>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本县区收到江财预指〔2024〕0004号县级投入降消专项资金10万元。</w:t>
      </w:r>
    </w:p>
    <w:p>
      <w:pPr>
        <w:pStyle w:val="11"/>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val="en-US" w:eastAsia="zh-CN"/>
        </w:rPr>
        <w:t>资金基本情况</w:t>
      </w:r>
    </w:p>
    <w:p>
      <w:pPr>
        <w:pStyle w:val="11"/>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color w:val="000000"/>
          <w:sz w:val="32"/>
          <w:szCs w:val="32"/>
          <w:lang w:val="en-US" w:eastAsia="zh-CN" w:bidi="zh-TW"/>
        </w:rPr>
        <w:t>2024年项目资金</w:t>
      </w:r>
      <w:r>
        <w:rPr>
          <w:rFonts w:hint="eastAsia" w:ascii="仿宋" w:hAnsi="仿宋" w:eastAsia="仿宋" w:cs="仿宋"/>
          <w:color w:val="000000"/>
          <w:sz w:val="32"/>
          <w:szCs w:val="32"/>
          <w:lang w:val="en-US" w:eastAsia="en-US" w:bidi="zh-TW"/>
        </w:rPr>
        <w:t>预算</w:t>
      </w:r>
      <w:r>
        <w:rPr>
          <w:rFonts w:hint="eastAsia" w:ascii="仿宋" w:hAnsi="仿宋" w:eastAsia="仿宋" w:cs="仿宋"/>
          <w:color w:val="000000"/>
          <w:sz w:val="32"/>
          <w:szCs w:val="32"/>
          <w:lang w:val="en-US" w:eastAsia="zh-CN" w:bidi="zh-TW"/>
        </w:rPr>
        <w:t>10万元。其中</w:t>
      </w:r>
      <w:r>
        <w:rPr>
          <w:rFonts w:hint="eastAsia" w:ascii="仿宋" w:hAnsi="仿宋" w:eastAsia="仿宋" w:cs="仿宋"/>
          <w:color w:val="000000"/>
          <w:sz w:val="32"/>
          <w:szCs w:val="32"/>
          <w:lang w:val="en-US" w:eastAsia="en-US" w:bidi="zh-TW"/>
        </w:rPr>
        <w:t>江财预指〔2024〕0004号（10万元），资金到位</w:t>
      </w:r>
      <w:r>
        <w:rPr>
          <w:rFonts w:hint="eastAsia" w:ascii="仿宋" w:hAnsi="仿宋" w:eastAsia="仿宋" w:cs="仿宋"/>
          <w:color w:val="000000"/>
          <w:sz w:val="32"/>
          <w:szCs w:val="32"/>
          <w:lang w:val="en-US" w:eastAsia="zh-CN" w:bidi="zh-TW"/>
        </w:rPr>
        <w:t>10万元、100%执行到位。</w:t>
      </w:r>
      <w:r>
        <w:rPr>
          <w:rFonts w:hint="eastAsia" w:ascii="仿宋" w:hAnsi="仿宋" w:eastAsia="仿宋" w:cs="仿宋"/>
          <w:color w:val="000000"/>
          <w:sz w:val="32"/>
          <w:szCs w:val="32"/>
          <w:lang w:val="en-US" w:eastAsia="en-US" w:bidi="zh-TW"/>
        </w:rPr>
        <w:t>项目资金实行专款专用，</w:t>
      </w:r>
      <w:r>
        <w:rPr>
          <w:rFonts w:hint="eastAsia" w:ascii="仿宋" w:hAnsi="仿宋" w:eastAsia="仿宋" w:cs="仿宋"/>
          <w:b w:val="0"/>
          <w:bCs w:val="0"/>
          <w:color w:val="000000" w:themeColor="text1"/>
          <w:kern w:val="0"/>
          <w:sz w:val="32"/>
          <w:szCs w:val="32"/>
          <w:lang w:val="en-US" w:eastAsia="zh-CN"/>
          <w14:textFill>
            <w14:solidFill>
              <w14:schemeClr w14:val="tx1"/>
            </w14:solidFill>
          </w14:textFill>
        </w:rPr>
        <w:t>降消</w:t>
      </w:r>
      <w:r>
        <w:rPr>
          <w:rFonts w:hint="eastAsia" w:ascii="仿宋" w:hAnsi="仿宋" w:eastAsia="仿宋" w:cs="仿宋"/>
          <w:color w:val="000000"/>
          <w:sz w:val="32"/>
          <w:szCs w:val="32"/>
          <w:lang w:val="en-US" w:eastAsia="zh-CN" w:bidi="zh-TW"/>
        </w:rPr>
        <w:t>项目</w:t>
      </w:r>
      <w:r>
        <w:rPr>
          <w:rFonts w:hint="eastAsia" w:ascii="仿宋" w:hAnsi="仿宋" w:eastAsia="仿宋" w:cs="仿宋"/>
          <w:color w:val="000000"/>
          <w:sz w:val="32"/>
          <w:szCs w:val="32"/>
          <w:lang w:val="en-US" w:eastAsia="en-US" w:bidi="zh-TW"/>
        </w:rPr>
        <w:t>经费支出没有超出财政预算，保障了该项目各项工作的顺利实施。</w:t>
      </w:r>
    </w:p>
    <w:p>
      <w:pPr>
        <w:pStyle w:val="11"/>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val="en-US" w:eastAsia="zh-CN"/>
        </w:rPr>
        <w:t>资金绩效目标</w:t>
      </w:r>
    </w:p>
    <w:p>
      <w:pPr>
        <w:pStyle w:val="11"/>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color w:val="000000"/>
          <w:sz w:val="32"/>
          <w:szCs w:val="32"/>
          <w:lang w:val="en-US" w:eastAsia="zh-CN" w:bidi="zh-TW"/>
        </w:rPr>
        <w:t>2024年全县</w:t>
      </w:r>
      <w:r>
        <w:rPr>
          <w:rFonts w:hint="eastAsia" w:ascii="仿宋" w:hAnsi="仿宋" w:eastAsia="仿宋" w:cs="仿宋"/>
          <w:b w:val="0"/>
          <w:bCs w:val="0"/>
          <w:color w:val="auto"/>
          <w:kern w:val="2"/>
          <w:sz w:val="32"/>
          <w:szCs w:val="32"/>
          <w:lang w:val="en-US" w:eastAsia="zh-CN" w:bidi="ar-SA"/>
        </w:rPr>
        <w:t>全县辖区产妇数3249人，辖区活产3274人，早孕建册3232人，早孕建册率99.48%，产后访视3239人，产后访视率98.93% ，系统管理3217人，系统管理率98.26%。无孕产妇死亡。</w:t>
      </w:r>
      <w:r>
        <w:rPr>
          <w:rFonts w:hint="eastAsia" w:ascii="仿宋" w:hAnsi="仿宋" w:eastAsia="仿宋" w:cs="仿宋"/>
          <w:color w:val="000000"/>
          <w:sz w:val="32"/>
          <w:szCs w:val="32"/>
          <w:lang w:val="en-US" w:eastAsia="en-US" w:bidi="zh-TW"/>
        </w:rPr>
        <w:t>预算</w:t>
      </w:r>
      <w:r>
        <w:rPr>
          <w:rFonts w:hint="eastAsia" w:ascii="仿宋" w:hAnsi="仿宋" w:eastAsia="仿宋" w:cs="仿宋"/>
          <w:color w:val="000000"/>
          <w:sz w:val="32"/>
          <w:szCs w:val="32"/>
          <w:lang w:val="en-US" w:eastAsia="zh-CN" w:bidi="zh-TW"/>
        </w:rPr>
        <w:t>12万元。其中收到县级</w:t>
      </w:r>
      <w:r>
        <w:rPr>
          <w:rFonts w:hint="eastAsia" w:ascii="仿宋" w:hAnsi="仿宋" w:eastAsia="仿宋" w:cs="仿宋"/>
          <w:b w:val="0"/>
          <w:bCs w:val="0"/>
          <w:color w:val="000000" w:themeColor="text1"/>
          <w:kern w:val="0"/>
          <w:sz w:val="32"/>
          <w:szCs w:val="32"/>
          <w:lang w:val="en-US" w:eastAsia="zh-CN"/>
          <w14:textFill>
            <w14:solidFill>
              <w14:schemeClr w14:val="tx1"/>
            </w14:solidFill>
          </w14:textFill>
        </w:rPr>
        <w:t>降消</w:t>
      </w:r>
      <w:r>
        <w:rPr>
          <w:rFonts w:hint="eastAsia" w:ascii="仿宋" w:hAnsi="仿宋" w:eastAsia="仿宋" w:cs="仿宋"/>
          <w:color w:val="000000"/>
          <w:sz w:val="32"/>
          <w:szCs w:val="32"/>
          <w:lang w:val="en-US" w:eastAsia="zh-CN" w:bidi="zh-TW"/>
        </w:rPr>
        <w:t>项目资金10万元</w:t>
      </w:r>
      <w:r>
        <w:rPr>
          <w:rFonts w:hint="eastAsia" w:ascii="仿宋" w:hAnsi="仿宋" w:eastAsia="仿宋" w:cs="仿宋"/>
          <w:color w:val="000000"/>
          <w:sz w:val="32"/>
          <w:szCs w:val="32"/>
          <w:lang w:val="en-US" w:eastAsia="en-US" w:bidi="zh-TW"/>
        </w:rPr>
        <w:t>，资金到位</w:t>
      </w:r>
      <w:r>
        <w:rPr>
          <w:rFonts w:hint="eastAsia" w:ascii="仿宋" w:hAnsi="仿宋" w:eastAsia="仿宋" w:cs="仿宋"/>
          <w:color w:val="000000"/>
          <w:sz w:val="32"/>
          <w:szCs w:val="32"/>
          <w:lang w:val="en-US" w:eastAsia="zh-CN" w:bidi="zh-TW"/>
        </w:rPr>
        <w:t>10万元、100%执行到位。</w:t>
      </w:r>
    </w:p>
    <w:p>
      <w:pPr>
        <w:pStyle w:val="11"/>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黑体" w:hAnsi="黑体" w:eastAsia="黑体" w:cs="黑体"/>
          <w:b/>
          <w:bCs/>
          <w:sz w:val="32"/>
          <w:szCs w:val="32"/>
        </w:rPr>
      </w:pPr>
      <w:bookmarkStart w:id="1" w:name="bookmark18"/>
      <w:r>
        <w:rPr>
          <w:rFonts w:hint="eastAsia" w:ascii="黑体" w:hAnsi="黑体" w:eastAsia="黑体" w:cs="黑体"/>
          <w:b/>
          <w:bCs/>
          <w:sz w:val="32"/>
          <w:szCs w:val="32"/>
        </w:rPr>
        <w:t>二</w:t>
      </w:r>
      <w:bookmarkEnd w:id="1"/>
      <w:r>
        <w:rPr>
          <w:rFonts w:hint="eastAsia" w:ascii="黑体" w:hAnsi="黑体" w:eastAsia="黑体" w:cs="黑体"/>
          <w:b/>
          <w:bCs/>
          <w:sz w:val="32"/>
          <w:szCs w:val="32"/>
        </w:rPr>
        <w:t>、项目</w:t>
      </w:r>
      <w:r>
        <w:rPr>
          <w:rFonts w:hint="eastAsia" w:ascii="黑体" w:hAnsi="黑体" w:eastAsia="黑体" w:cs="黑体"/>
          <w:b/>
          <w:bCs/>
          <w:sz w:val="32"/>
          <w:szCs w:val="32"/>
          <w:lang w:val="en-US" w:eastAsia="zh-CN"/>
        </w:rPr>
        <w:t>资金使用</w:t>
      </w:r>
      <w:r>
        <w:rPr>
          <w:rFonts w:hint="eastAsia" w:ascii="黑体" w:hAnsi="黑体" w:eastAsia="黑体" w:cs="黑体"/>
          <w:b/>
          <w:bCs/>
          <w:sz w:val="32"/>
          <w:szCs w:val="32"/>
        </w:rPr>
        <w:t>及管理情况</w:t>
      </w:r>
    </w:p>
    <w:p>
      <w:pPr>
        <w:pStyle w:val="11"/>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sz w:val="32"/>
          <w:szCs w:val="32"/>
          <w:lang w:val="en-US" w:eastAsia="zh-CN" w:bidi="zh-TW"/>
        </w:rPr>
        <w:t>为做好全省2024年</w:t>
      </w:r>
      <w:r>
        <w:rPr>
          <w:rFonts w:hint="eastAsia" w:ascii="仿宋" w:hAnsi="仿宋" w:eastAsia="仿宋" w:cs="仿宋"/>
          <w:b w:val="0"/>
          <w:bCs w:val="0"/>
          <w:color w:val="000000" w:themeColor="text1"/>
          <w:kern w:val="0"/>
          <w:sz w:val="32"/>
          <w:szCs w:val="32"/>
          <w:lang w:val="en-US" w:eastAsia="zh-CN"/>
          <w14:textFill>
            <w14:solidFill>
              <w14:schemeClr w14:val="tx1"/>
            </w14:solidFill>
          </w14:textFill>
        </w:rPr>
        <w:t>降消</w:t>
      </w:r>
      <w:r>
        <w:rPr>
          <w:rFonts w:hint="eastAsia" w:ascii="仿宋" w:hAnsi="仿宋" w:eastAsia="仿宋" w:cs="仿宋"/>
          <w:color w:val="000000"/>
          <w:sz w:val="32"/>
          <w:szCs w:val="32"/>
          <w:lang w:val="en-US" w:eastAsia="zh-CN" w:bidi="zh-TW"/>
        </w:rPr>
        <w:t>项目，</w:t>
      </w:r>
      <w:r>
        <w:rPr>
          <w:rFonts w:hint="eastAsia" w:ascii="仿宋" w:hAnsi="仿宋" w:eastAsia="仿宋" w:cs="仿宋"/>
          <w:color w:val="000000"/>
          <w:sz w:val="32"/>
          <w:szCs w:val="32"/>
          <w:lang w:val="en-US" w:eastAsia="en-US" w:bidi="zh-TW"/>
        </w:rPr>
        <w:t>预算</w:t>
      </w:r>
      <w:r>
        <w:rPr>
          <w:rFonts w:hint="eastAsia" w:ascii="仿宋" w:hAnsi="仿宋" w:eastAsia="仿宋" w:cs="仿宋"/>
          <w:color w:val="000000"/>
          <w:sz w:val="32"/>
          <w:szCs w:val="32"/>
          <w:lang w:val="en-US" w:eastAsia="zh-CN" w:bidi="zh-TW"/>
        </w:rPr>
        <w:t>10万元。收到县级</w:t>
      </w:r>
      <w:r>
        <w:rPr>
          <w:rFonts w:hint="eastAsia" w:ascii="仿宋" w:hAnsi="仿宋" w:eastAsia="仿宋" w:cs="仿宋"/>
          <w:b w:val="0"/>
          <w:bCs w:val="0"/>
          <w:color w:val="000000" w:themeColor="text1"/>
          <w:kern w:val="0"/>
          <w:sz w:val="32"/>
          <w:szCs w:val="32"/>
          <w:lang w:val="en-US" w:eastAsia="zh-CN"/>
          <w14:textFill>
            <w14:solidFill>
              <w14:schemeClr w14:val="tx1"/>
            </w14:solidFill>
          </w14:textFill>
        </w:rPr>
        <w:t>降消</w:t>
      </w:r>
      <w:bookmarkStart w:id="5" w:name="_GoBack"/>
      <w:bookmarkEnd w:id="5"/>
      <w:r>
        <w:rPr>
          <w:rFonts w:hint="eastAsia" w:ascii="仿宋" w:hAnsi="仿宋" w:eastAsia="仿宋" w:cs="仿宋"/>
          <w:color w:val="000000"/>
          <w:sz w:val="32"/>
          <w:szCs w:val="32"/>
          <w:lang w:val="en-US" w:eastAsia="en-US" w:bidi="zh-TW"/>
        </w:rPr>
        <w:t>项目</w:t>
      </w:r>
      <w:r>
        <w:rPr>
          <w:rFonts w:hint="eastAsia" w:ascii="仿宋" w:hAnsi="仿宋" w:eastAsia="仿宋" w:cs="仿宋"/>
          <w:color w:val="000000"/>
          <w:sz w:val="32"/>
          <w:szCs w:val="32"/>
          <w:lang w:val="en-US" w:eastAsia="zh-CN" w:bidi="zh-TW"/>
        </w:rPr>
        <w:t>资金10万元</w:t>
      </w:r>
      <w:r>
        <w:rPr>
          <w:rFonts w:hint="eastAsia" w:ascii="仿宋" w:hAnsi="仿宋" w:eastAsia="仿宋" w:cs="仿宋"/>
          <w:color w:val="000000"/>
          <w:sz w:val="32"/>
          <w:szCs w:val="32"/>
          <w:lang w:val="en-US" w:eastAsia="en-US" w:bidi="zh-TW"/>
        </w:rPr>
        <w:t>，资金到位</w:t>
      </w:r>
      <w:r>
        <w:rPr>
          <w:rFonts w:hint="eastAsia" w:ascii="仿宋" w:hAnsi="仿宋" w:eastAsia="仿宋" w:cs="仿宋"/>
          <w:color w:val="000000"/>
          <w:sz w:val="32"/>
          <w:szCs w:val="32"/>
          <w:lang w:val="en-US" w:eastAsia="zh-CN" w:bidi="zh-TW"/>
        </w:rPr>
        <w:t>10万元、全部资金用于控制孕产妇死亡和0-6岁儿童健康管理工作，</w:t>
      </w:r>
      <w:r>
        <w:rPr>
          <w:rFonts w:hint="eastAsia" w:ascii="仿宋" w:hAnsi="仿宋" w:eastAsia="仿宋" w:cs="仿宋"/>
          <w:sz w:val="32"/>
          <w:szCs w:val="32"/>
          <w:lang w:val="en-US" w:eastAsia="zh-CN"/>
        </w:rPr>
        <w:t>我院承担全县免费接诊</w:t>
      </w:r>
      <w:r>
        <w:rPr>
          <w:rFonts w:hint="eastAsia" w:ascii="仿宋" w:hAnsi="仿宋" w:eastAsia="仿宋" w:cs="仿宋"/>
          <w:sz w:val="32"/>
          <w:szCs w:val="32"/>
          <w:lang w:eastAsia="zh-CN"/>
        </w:rPr>
        <w:t>车辆燃油费，免费接送产妇住院分娩、孕产妇及新生儿死亡评审</w:t>
      </w:r>
      <w:r>
        <w:rPr>
          <w:rFonts w:hint="eastAsia" w:ascii="仿宋" w:hAnsi="仿宋" w:eastAsia="仿宋" w:cs="仿宋"/>
          <w:sz w:val="32"/>
          <w:szCs w:val="32"/>
          <w:lang w:val="en-US" w:eastAsia="zh-CN"/>
        </w:rPr>
        <w:t>、对于贫困孕产妇、岭东片或偏远山区的孕妇免费提供待产条件、高危孕产妇入户面访等工作</w:t>
      </w:r>
      <w:r>
        <w:rPr>
          <w:rFonts w:hint="eastAsia" w:ascii="仿宋" w:hAnsi="仿宋" w:eastAsia="仿宋" w:cs="仿宋"/>
          <w:sz w:val="32"/>
          <w:szCs w:val="32"/>
        </w:rPr>
        <w:t>，每项支出均有证明人</w:t>
      </w:r>
      <w:r>
        <w:rPr>
          <w:rFonts w:hint="eastAsia" w:ascii="仿宋" w:hAnsi="仿宋" w:eastAsia="仿宋" w:cs="仿宋"/>
          <w:color w:val="000000"/>
          <w:sz w:val="32"/>
          <w:szCs w:val="32"/>
          <w:lang w:val="en-US" w:eastAsia="zh-CN" w:bidi="zh-TW"/>
        </w:rPr>
        <w:t>母婴安全工作等开出，100%执行到位</w:t>
      </w:r>
      <w:r>
        <w:rPr>
          <w:rFonts w:hint="eastAsia" w:ascii="仿宋" w:hAnsi="仿宋" w:eastAsia="仿宋" w:cs="仿宋"/>
          <w:color w:val="auto"/>
          <w:sz w:val="32"/>
          <w:szCs w:val="32"/>
          <w:lang w:eastAsia="zh-CN"/>
        </w:rPr>
        <w:t>。通过项目实施，</w:t>
      </w:r>
      <w:r>
        <w:rPr>
          <w:rFonts w:hint="eastAsia" w:ascii="仿宋" w:hAnsi="仿宋" w:eastAsia="仿宋" w:cs="仿宋"/>
          <w:color w:val="000000"/>
          <w:sz w:val="32"/>
          <w:szCs w:val="32"/>
          <w:lang w:val="en-US" w:eastAsia="zh-CN"/>
        </w:rPr>
        <w:t>使全县孕产妇及0-6岁儿童健康管理不断提高，群众获得规范、安全、适宜的规范服务，有效保障母婴安全</w:t>
      </w:r>
      <w:r>
        <w:rPr>
          <w:rFonts w:hint="eastAsia" w:ascii="仿宋" w:hAnsi="仿宋" w:eastAsia="仿宋" w:cs="仿宋"/>
          <w:color w:val="auto"/>
          <w:sz w:val="32"/>
          <w:szCs w:val="32"/>
          <w:lang w:eastAsia="zh-CN"/>
        </w:rPr>
        <w:t>。</w:t>
      </w:r>
    </w:p>
    <w:p>
      <w:pPr>
        <w:pStyle w:val="11"/>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val="en-US" w:eastAsia="zh-CN"/>
        </w:rPr>
        <w:t>资金组织实施</w:t>
      </w:r>
      <w:r>
        <w:rPr>
          <w:rFonts w:hint="eastAsia" w:ascii="黑体" w:hAnsi="黑体" w:eastAsia="黑体" w:cs="黑体"/>
          <w:b w:val="0"/>
          <w:bCs w:val="0"/>
          <w:sz w:val="32"/>
          <w:szCs w:val="32"/>
        </w:rPr>
        <w:t>情况</w:t>
      </w:r>
    </w:p>
    <w:p>
      <w:pPr>
        <w:pStyle w:val="11"/>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仿宋" w:hAnsi="仿宋" w:eastAsia="仿宋" w:cs="仿宋"/>
          <w:sz w:val="32"/>
          <w:szCs w:val="32"/>
        </w:rPr>
      </w:pPr>
      <w:r>
        <w:rPr>
          <w:rFonts w:hint="eastAsia" w:ascii="仿宋" w:hAnsi="仿宋" w:eastAsia="仿宋" w:cs="仿宋"/>
          <w:color w:val="000000"/>
          <w:sz w:val="32"/>
          <w:szCs w:val="32"/>
          <w:lang w:val="en-US" w:eastAsia="zh-CN" w:bidi="zh-TW"/>
        </w:rPr>
        <w:t>财务部门从制度、规范、资金到账、项目支出票据、工作台账、任务指标完成情况等多方面进行自评，管理规范、内控制度有效，项目资金实行专款专用。降效项目经费支出没有超出财政预算，保障了该项目各项工作的顺利实施。对数据上报的真实性、准确性，项目资金到位凭证、支出凭证等进行复核，数据真实、准确、支出有依据，接受上级部门检查及监督，未发现挪用及超支现象。</w:t>
      </w:r>
    </w:p>
    <w:p>
      <w:pPr>
        <w:pStyle w:val="11"/>
        <w:keepNext w:val="0"/>
        <w:keepLines w:val="0"/>
        <w:pageBreakBefore w:val="0"/>
        <w:widowControl w:val="0"/>
        <w:numPr>
          <w:ilvl w:val="0"/>
          <w:numId w:val="2"/>
        </w:numPr>
        <w:kinsoku/>
        <w:wordWrap/>
        <w:overflowPunct/>
        <w:topLinePunct w:val="0"/>
        <w:autoSpaceDE/>
        <w:autoSpaceDN/>
        <w:bidi w:val="0"/>
        <w:adjustRightInd/>
        <w:spacing w:line="600" w:lineRule="exact"/>
        <w:ind w:left="0" w:leftChars="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预算支出绩效</w:t>
      </w:r>
      <w:r>
        <w:rPr>
          <w:rFonts w:hint="eastAsia" w:ascii="黑体" w:hAnsi="黑体" w:eastAsia="黑体" w:cs="黑体"/>
          <w:b w:val="0"/>
          <w:bCs w:val="0"/>
          <w:sz w:val="32"/>
          <w:szCs w:val="32"/>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textAlignment w:val="auto"/>
        <w:rPr>
          <w:rFonts w:hint="eastAsia" w:ascii="楷体" w:hAnsi="楷体" w:eastAsia="楷体" w:cs="楷体"/>
          <w:b/>
          <w:bCs/>
          <w:color w:val="000000"/>
          <w:sz w:val="32"/>
          <w:szCs w:val="32"/>
          <w:lang w:val="en-US" w:eastAsia="zh-CN" w:bidi="zh-TW"/>
        </w:rPr>
      </w:pPr>
      <w:bookmarkStart w:id="2" w:name="bookmark20"/>
      <w:r>
        <w:rPr>
          <w:rFonts w:hint="eastAsia" w:ascii="楷体" w:hAnsi="楷体" w:eastAsia="楷体" w:cs="楷体"/>
          <w:b/>
          <w:bCs/>
          <w:sz w:val="32"/>
          <w:szCs w:val="32"/>
        </w:rPr>
        <w:t>（</w:t>
      </w:r>
      <w:bookmarkEnd w:id="2"/>
      <w:r>
        <w:rPr>
          <w:rFonts w:hint="eastAsia" w:ascii="楷体" w:hAnsi="楷体" w:eastAsia="楷体" w:cs="楷体"/>
          <w:b/>
          <w:bCs/>
          <w:sz w:val="32"/>
          <w:szCs w:val="32"/>
        </w:rPr>
        <w:t>一）产出分析</w:t>
      </w:r>
      <w:r>
        <w:rPr>
          <w:rFonts w:hint="eastAsia" w:ascii="楷体" w:hAnsi="楷体" w:eastAsia="楷体" w:cs="楷体"/>
          <w:b/>
          <w:bCs/>
          <w:sz w:val="32"/>
          <w:szCs w:val="32"/>
          <w:lang w:eastAsia="zh-CN"/>
        </w:rPr>
        <w:t>。</w:t>
      </w:r>
      <w:bookmarkStart w:id="3" w:name="bookmark21"/>
    </w:p>
    <w:p>
      <w:pPr>
        <w:pStyle w:val="11"/>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color w:val="auto"/>
          <w:sz w:val="32"/>
          <w:szCs w:val="32"/>
          <w:lang w:val="en-US" w:eastAsia="zh-CN" w:bidi="zh-TW"/>
        </w:rPr>
      </w:pPr>
      <w:r>
        <w:rPr>
          <w:rFonts w:hint="eastAsia" w:ascii="仿宋" w:hAnsi="仿宋" w:eastAsia="仿宋" w:cs="仿宋"/>
          <w:b w:val="0"/>
          <w:bCs w:val="0"/>
          <w:color w:val="auto"/>
          <w:kern w:val="2"/>
          <w:sz w:val="32"/>
          <w:szCs w:val="32"/>
          <w:lang w:val="en-US" w:eastAsia="zh-CN" w:bidi="ar-SA"/>
        </w:rPr>
        <w:t>全县辖区产妇数3249人，辖区活产3274人，早孕建册3232人，早孕建册率99.48%，产后访视3239人，产后访视率98.93% ，系统管理3217人，系统管理率98.26%。无孕产妇死亡</w:t>
      </w:r>
      <w:r>
        <w:rPr>
          <w:rFonts w:hint="eastAsia" w:ascii="仿宋" w:hAnsi="仿宋" w:eastAsia="仿宋" w:cs="仿宋"/>
          <w:color w:val="auto"/>
          <w:sz w:val="32"/>
          <w:szCs w:val="32"/>
          <w:lang w:val="en-US" w:eastAsia="zh-CN" w:bidi="zh-TW"/>
        </w:rPr>
        <w:t>。</w:t>
      </w:r>
    </w:p>
    <w:bookmarkEnd w:id="3"/>
    <w:p>
      <w:pPr>
        <w:pStyle w:val="11"/>
        <w:keepNext w:val="0"/>
        <w:keepLines w:val="0"/>
        <w:pageBreakBefore w:val="0"/>
        <w:widowControl w:val="0"/>
        <w:numPr>
          <w:ilvl w:val="0"/>
          <w:numId w:val="3"/>
        </w:numPr>
        <w:kinsoku/>
        <w:wordWrap/>
        <w:overflowPunct/>
        <w:topLinePunct w:val="0"/>
        <w:autoSpaceDE/>
        <w:autoSpaceDN/>
        <w:bidi w:val="0"/>
        <w:adjustRightInd/>
        <w:spacing w:line="600" w:lineRule="exact"/>
        <w:ind w:left="0" w:leftChars="0" w:firstLine="643" w:firstLineChars="200"/>
        <w:jc w:val="both"/>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有效性分析。</w:t>
      </w:r>
    </w:p>
    <w:p>
      <w:pPr>
        <w:pStyle w:val="11"/>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b w:val="0"/>
          <w:bCs w:val="0"/>
          <w:color w:val="auto"/>
          <w:kern w:val="2"/>
          <w:sz w:val="32"/>
          <w:szCs w:val="32"/>
          <w:lang w:val="en-US" w:eastAsia="zh-CN" w:bidi="ar-SA"/>
        </w:rPr>
        <w:t>1.全县辖区产妇数3249人，辖区活产3274人，早孕建册3232人，早孕建册率99.48%，产后访视3239人，产后访视率98.93% ，系统管理3217人，系统管理率98.26%。无孕产妇死亡。</w:t>
      </w:r>
      <w:r>
        <w:rPr>
          <w:rFonts w:hint="eastAsia" w:ascii="仿宋" w:hAnsi="仿宋" w:eastAsia="仿宋" w:cs="仿宋"/>
          <w:color w:val="auto"/>
          <w:sz w:val="32"/>
          <w:szCs w:val="32"/>
          <w:lang w:eastAsia="zh-CN"/>
        </w:rPr>
        <w:t>通过项目实施，</w:t>
      </w:r>
      <w:r>
        <w:rPr>
          <w:rFonts w:hint="eastAsia" w:ascii="仿宋" w:hAnsi="仿宋" w:eastAsia="仿宋" w:cs="仿宋"/>
          <w:color w:val="000000"/>
          <w:sz w:val="32"/>
          <w:szCs w:val="32"/>
          <w:lang w:val="en-US" w:eastAsia="zh-CN"/>
        </w:rPr>
        <w:t>有效提高全县孕产妇及0-5岁孕妇健康管理工作，使广大群众意识增强。有效保障母婴安全</w:t>
      </w:r>
      <w:r>
        <w:rPr>
          <w:rFonts w:hint="eastAsia" w:ascii="仿宋" w:hAnsi="仿宋" w:eastAsia="仿宋" w:cs="仿宋"/>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20" w:lineRule="exact"/>
        <w:ind w:left="0" w:leftChars="0" w:rightChars="0" w:firstLine="640" w:firstLineChars="200"/>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lang w:val="en-US" w:eastAsia="zh-CN"/>
        </w:rPr>
        <w:t>2.</w:t>
      </w:r>
      <w:r>
        <w:rPr>
          <w:rFonts w:hint="eastAsia" w:ascii="仿宋" w:hAnsi="仿宋" w:eastAsia="仿宋" w:cs="仿宋"/>
          <w:color w:val="000000"/>
          <w:sz w:val="32"/>
          <w:szCs w:val="32"/>
          <w:lang w:eastAsia="zh-CN"/>
        </w:rPr>
        <w:t>新生儿破伤风的发生率为</w:t>
      </w:r>
      <w:r>
        <w:rPr>
          <w:rFonts w:hint="eastAsia" w:ascii="仿宋" w:hAnsi="仿宋" w:eastAsia="仿宋" w:cs="仿宋"/>
          <w:color w:val="000000"/>
          <w:sz w:val="32"/>
          <w:szCs w:val="32"/>
          <w:lang w:val="en-US" w:eastAsia="zh-CN"/>
        </w:rPr>
        <w:t>0。</w:t>
      </w:r>
    </w:p>
    <w:p>
      <w:pPr>
        <w:pStyle w:val="11"/>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000000"/>
          <w:sz w:val="32"/>
          <w:szCs w:val="32"/>
          <w:lang w:val="en-US" w:eastAsia="zh-CN"/>
        </w:rPr>
        <w:t>3.高危孕产妇管理情况：</w:t>
      </w:r>
      <w:r>
        <w:rPr>
          <w:rFonts w:hint="eastAsia" w:ascii="仿宋" w:hAnsi="仿宋" w:eastAsia="仿宋" w:cs="仿宋"/>
          <w:color w:val="auto"/>
          <w:kern w:val="2"/>
          <w:sz w:val="32"/>
          <w:szCs w:val="32"/>
          <w:highlight w:val="none"/>
          <w:lang w:val="en-US" w:eastAsia="zh-CN" w:bidi="ar-SA"/>
        </w:rPr>
        <w:t>全县辖区产妇数2266人，分娩高危孕产妇管理1636例，高危产妇占比72.20%。</w:t>
      </w: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社会性分析。</w:t>
      </w:r>
    </w:p>
    <w:p>
      <w:pPr>
        <w:pStyle w:val="11"/>
        <w:keepNext w:val="0"/>
        <w:keepLines w:val="0"/>
        <w:pageBreakBefore w:val="0"/>
        <w:widowControl w:val="0"/>
        <w:kinsoku/>
        <w:wordWrap/>
        <w:overflowPunct/>
        <w:topLinePunct w:val="0"/>
        <w:autoSpaceDE/>
        <w:autoSpaceDN/>
        <w:bidi w:val="0"/>
        <w:adjustRightInd/>
        <w:spacing w:line="600" w:lineRule="exact"/>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bidi="zh-TW"/>
        </w:rPr>
        <w:t>通过规范化孕产妇和0-6岁儿童健康管理服务，</w:t>
      </w:r>
      <w:r>
        <w:rPr>
          <w:rFonts w:hint="eastAsia" w:ascii="仿宋" w:hAnsi="仿宋" w:eastAsia="仿宋" w:cs="仿宋"/>
          <w:color w:val="000000"/>
          <w:sz w:val="32"/>
          <w:szCs w:val="32"/>
          <w:lang w:val="en-US" w:eastAsia="zh-CN"/>
        </w:rPr>
        <w:t>广大群众意识增强。有效保障母婴安全</w:t>
      </w:r>
      <w:r>
        <w:rPr>
          <w:rFonts w:hint="eastAsia" w:ascii="仿宋" w:hAnsi="仿宋" w:eastAsia="仿宋" w:cs="仿宋"/>
          <w:color w:val="auto"/>
          <w:sz w:val="32"/>
          <w:szCs w:val="32"/>
          <w:lang w:eastAsia="zh-CN"/>
        </w:rPr>
        <w:t>。</w:t>
      </w:r>
    </w:p>
    <w:p>
      <w:pPr>
        <w:pStyle w:val="11"/>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黑体" w:hAnsi="黑体" w:eastAsia="黑体" w:cs="黑体"/>
          <w:b/>
          <w:bCs/>
          <w:color w:val="auto"/>
          <w:sz w:val="32"/>
          <w:szCs w:val="32"/>
          <w:lang w:val="en-US"/>
        </w:rPr>
      </w:pPr>
      <w:r>
        <w:rPr>
          <w:rFonts w:hint="eastAsia" w:ascii="黑体" w:hAnsi="黑体" w:eastAsia="黑体" w:cs="黑体"/>
          <w:b/>
          <w:bCs/>
          <w:color w:val="auto"/>
          <w:sz w:val="32"/>
          <w:szCs w:val="32"/>
          <w:lang w:val="en-US" w:eastAsia="zh-CN"/>
        </w:rPr>
        <w:t>五</w:t>
      </w:r>
      <w:r>
        <w:rPr>
          <w:rFonts w:hint="eastAsia" w:ascii="黑体" w:hAnsi="黑体" w:eastAsia="黑体" w:cs="黑体"/>
          <w:b/>
          <w:bCs/>
          <w:color w:val="auto"/>
          <w:sz w:val="32"/>
          <w:szCs w:val="32"/>
          <w:lang w:eastAsia="zh-CN"/>
        </w:rPr>
        <w:t>、</w:t>
      </w:r>
      <w:r>
        <w:rPr>
          <w:rFonts w:hint="eastAsia" w:ascii="黑体" w:hAnsi="黑体" w:eastAsia="黑体" w:cs="黑体"/>
          <w:b/>
          <w:bCs/>
          <w:color w:val="auto"/>
          <w:sz w:val="32"/>
          <w:szCs w:val="32"/>
          <w:lang w:val="en-US" w:eastAsia="zh-CN"/>
        </w:rPr>
        <w:t>主要的经验及做法、存在的问题及原因分析</w:t>
      </w:r>
    </w:p>
    <w:p>
      <w:pPr>
        <w:pStyle w:val="11"/>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rPr>
        <w:t>主要经验及做法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sz w:val="32"/>
          <w:szCs w:val="32"/>
          <w:lang w:val="en-US" w:eastAsia="zh-CN" w:bidi="zh-TW"/>
        </w:rPr>
      </w:pPr>
      <w:r>
        <w:rPr>
          <w:rFonts w:hint="eastAsia" w:ascii="仿宋" w:hAnsi="仿宋" w:eastAsia="仿宋" w:cs="仿宋"/>
          <w:color w:val="000000"/>
          <w:sz w:val="32"/>
          <w:szCs w:val="32"/>
          <w:lang w:val="en-US" w:eastAsia="zh-CN" w:bidi="zh-TW"/>
        </w:rPr>
        <w:t>1.领导高度重视，具体实施单位县妇幼保健院负责宣传、组织及实施，各县级医院、乡镇中心医院等复负责孕产妇-0-6岁孕产妇健康管理，</w:t>
      </w:r>
      <w:r>
        <w:rPr>
          <w:rFonts w:hint="eastAsia" w:ascii="仿宋" w:hAnsi="仿宋" w:eastAsia="仿宋" w:cs="仿宋"/>
          <w:b w:val="0"/>
          <w:bCs w:val="0"/>
          <w:color w:val="000000"/>
          <w:sz w:val="32"/>
          <w:szCs w:val="32"/>
          <w:lang w:val="en-US" w:eastAsia="zh-CN"/>
        </w:rPr>
        <w:t>各医疗机构严格落实《妊娠风险评估与管理工作规范》要求，及时上报高危孕产妇，全面掌握高危孕产妇动态，对重点高危孕产妇根据高危情况进行个体化指导。加强高危风险筛查和动态评估能力，不断更新知识，提高救治能力</w:t>
      </w:r>
      <w:r>
        <w:rPr>
          <w:rFonts w:hint="eastAsia" w:ascii="仿宋" w:hAnsi="仿宋" w:eastAsia="仿宋" w:cs="仿宋"/>
          <w:color w:val="000000"/>
          <w:sz w:val="32"/>
          <w:szCs w:val="32"/>
          <w:lang w:val="en-US" w:eastAsia="zh-CN" w:bidi="zh-TW"/>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color w:val="000000"/>
          <w:sz w:val="32"/>
          <w:szCs w:val="32"/>
          <w:lang w:val="en-US" w:eastAsia="zh-CN" w:bidi="zh-TW"/>
        </w:rPr>
      </w:pPr>
      <w:r>
        <w:rPr>
          <w:rFonts w:hint="eastAsia" w:ascii="仿宋" w:hAnsi="仿宋" w:eastAsia="仿宋" w:cs="仿宋"/>
          <w:color w:val="000000"/>
          <w:sz w:val="32"/>
          <w:szCs w:val="32"/>
          <w:lang w:val="en-US" w:eastAsia="zh-CN" w:bidi="zh-TW"/>
        </w:rPr>
        <w:t>2.县妇幼保健院定期组织对项目实施单位人员培训、工作督导、业务指导，组建优秀团队，选派业务骨干到省、市级进修、培训，确保服务对象及时得到便捷服务及优质医疗服务。</w:t>
      </w:r>
    </w:p>
    <w:p>
      <w:pPr>
        <w:pStyle w:val="2"/>
        <w:keepNext w:val="0"/>
        <w:keepLines w:val="0"/>
        <w:pageBreakBefore w:val="0"/>
        <w:widowControl w:val="0"/>
        <w:kinsoku/>
        <w:wordWrap/>
        <w:overflowPunct/>
        <w:topLinePunct w:val="0"/>
        <w:autoSpaceDE/>
        <w:autoSpaceDN/>
        <w:bidi w:val="0"/>
        <w:adjustRightInd/>
        <w:snapToGrid/>
        <w:spacing w:after="0" w:line="520" w:lineRule="exact"/>
        <w:ind w:left="0" w:leftChars="0" w:rightChars="0" w:firstLine="640" w:firstLineChars="200"/>
        <w:textAlignment w:val="auto"/>
        <w:rPr>
          <w:rFonts w:hint="eastAsia" w:ascii="仿宋" w:hAnsi="仿宋" w:eastAsia="仿宋" w:cs="仿宋"/>
          <w:b w:val="0"/>
          <w:bCs w:val="0"/>
          <w:color w:val="auto"/>
          <w:kern w:val="0"/>
          <w:sz w:val="32"/>
          <w:szCs w:val="32"/>
          <w:lang w:val="en-US" w:eastAsia="zh-CN"/>
        </w:rPr>
      </w:pPr>
      <w:r>
        <w:rPr>
          <w:rFonts w:hint="eastAsia" w:ascii="仿宋" w:hAnsi="仿宋" w:eastAsia="仿宋" w:cs="仿宋"/>
          <w:b w:val="0"/>
          <w:bCs w:val="0"/>
          <w:color w:val="auto"/>
          <w:kern w:val="0"/>
          <w:sz w:val="32"/>
          <w:szCs w:val="32"/>
          <w:lang w:val="en-US" w:eastAsia="zh-CN"/>
        </w:rPr>
        <w:t>3.加强产科质量控制，筑牢母婴安全防线。规范孕产妇孕产妇转诊、救治、落实每季度至少一次产科急救演练，强化多学科合作。严格落实好高危孕产妇专案管理，高危分级管理及诊疗，充分利用好危重孕产妇评审及新生儿死亡评审效果改进工作。</w:t>
      </w:r>
    </w:p>
    <w:p>
      <w:pPr>
        <w:pStyle w:val="2"/>
        <w:keepNext w:val="0"/>
        <w:keepLines w:val="0"/>
        <w:pageBreakBefore w:val="0"/>
        <w:widowControl w:val="0"/>
        <w:kinsoku/>
        <w:wordWrap/>
        <w:overflowPunct/>
        <w:topLinePunct w:val="0"/>
        <w:autoSpaceDE/>
        <w:autoSpaceDN/>
        <w:bidi w:val="0"/>
        <w:adjustRightInd/>
        <w:snapToGrid/>
        <w:spacing w:after="0" w:line="520" w:lineRule="exact"/>
        <w:ind w:left="0" w:leftChars="0" w:rightChars="0" w:firstLine="640" w:firstLineChars="200"/>
        <w:textAlignment w:val="auto"/>
        <w:rPr>
          <w:rFonts w:hint="eastAsia"/>
          <w:sz w:val="32"/>
          <w:szCs w:val="32"/>
          <w:lang w:val="en-US" w:eastAsia="zh-CN"/>
        </w:rPr>
      </w:pPr>
      <w:r>
        <w:rPr>
          <w:rFonts w:hint="eastAsia" w:ascii="仿宋" w:hAnsi="仿宋" w:eastAsia="仿宋" w:cs="仿宋"/>
          <w:b w:val="0"/>
          <w:bCs w:val="0"/>
          <w:color w:val="auto"/>
          <w:kern w:val="0"/>
          <w:sz w:val="32"/>
          <w:szCs w:val="32"/>
          <w:lang w:val="en-US" w:eastAsia="zh-CN"/>
        </w:rPr>
        <w:t>4.持续开展产科门诊建设。强化医疗机构母婴安全管理办公室高危孕产妇管理及就诊工作职责和作用。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sz w:val="32"/>
          <w:szCs w:val="32"/>
          <w:lang w:val="en-US" w:eastAsia="zh-CN"/>
        </w:rPr>
      </w:pPr>
      <w:bookmarkStart w:id="4" w:name="bookmark26"/>
      <w:r>
        <w:rPr>
          <w:rFonts w:hint="eastAsia" w:ascii="楷体" w:hAnsi="楷体" w:eastAsia="楷体" w:cs="楷体"/>
          <w:b/>
          <w:bCs/>
          <w:sz w:val="32"/>
          <w:szCs w:val="32"/>
        </w:rPr>
        <w:t>（</w:t>
      </w:r>
      <w:bookmarkEnd w:id="4"/>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存在的困难、问题</w:t>
      </w:r>
      <w:r>
        <w:rPr>
          <w:rFonts w:hint="eastAsia" w:ascii="楷体" w:hAnsi="楷体" w:eastAsia="楷体" w:cs="楷体"/>
          <w:b/>
          <w:bCs/>
          <w:sz w:val="32"/>
          <w:szCs w:val="32"/>
          <w:lang w:val="en-US" w:eastAsia="zh-CN"/>
        </w:rPr>
        <w:t>及</w:t>
      </w:r>
      <w:r>
        <w:rPr>
          <w:rFonts w:hint="eastAsia" w:ascii="楷体" w:hAnsi="楷体" w:eastAsia="楷体" w:cs="楷体"/>
          <w:b/>
          <w:bCs/>
          <w:color w:val="000000"/>
          <w:sz w:val="32"/>
          <w:szCs w:val="32"/>
          <w:lang w:val="en-US" w:eastAsia="zh-CN" w:bidi="zh-TW"/>
        </w:rPr>
        <w:t>原因分析</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1.孕产妇流动性大，管理难度大。</w:t>
      </w:r>
    </w:p>
    <w:p>
      <w:pPr>
        <w:pStyle w:val="2"/>
        <w:keepNext w:val="0"/>
        <w:keepLines w:val="0"/>
        <w:pageBreakBefore w:val="0"/>
        <w:widowControl w:val="0"/>
        <w:kinsoku/>
        <w:wordWrap/>
        <w:overflowPunct/>
        <w:topLinePunct w:val="0"/>
        <w:autoSpaceDE/>
        <w:autoSpaceDN/>
        <w:bidi w:val="0"/>
        <w:adjustRightInd/>
        <w:snapToGrid/>
        <w:spacing w:after="0" w:line="520" w:lineRule="exact"/>
        <w:ind w:left="0" w:leftChars="0" w:rightChars="0"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2.部分乡镇妇保专干对孕产妇信息掌握不清楚，管理不到位。</w:t>
      </w:r>
    </w:p>
    <w:p>
      <w:pPr>
        <w:pStyle w:val="2"/>
        <w:keepNext w:val="0"/>
        <w:keepLines w:val="0"/>
        <w:pageBreakBefore w:val="0"/>
        <w:widowControl w:val="0"/>
        <w:kinsoku/>
        <w:wordWrap/>
        <w:overflowPunct/>
        <w:topLinePunct w:val="0"/>
        <w:autoSpaceDE/>
        <w:autoSpaceDN/>
        <w:bidi w:val="0"/>
        <w:adjustRightInd/>
        <w:snapToGrid/>
        <w:spacing w:after="0" w:line="520" w:lineRule="exact"/>
        <w:ind w:left="0" w:leftChars="0" w:rightChars="0"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3.乡镇妇保专干更换较快，对孕期保健指导能力不足。</w:t>
      </w:r>
    </w:p>
    <w:p>
      <w:pPr>
        <w:pStyle w:val="11"/>
        <w:keepNext w:val="0"/>
        <w:keepLines w:val="0"/>
        <w:pageBreakBefore w:val="0"/>
        <w:widowControl w:val="0"/>
        <w:kinsoku/>
        <w:wordWrap/>
        <w:overflowPunct/>
        <w:topLinePunct w:val="0"/>
        <w:autoSpaceDE/>
        <w:autoSpaceDN/>
        <w:bidi w:val="0"/>
        <w:adjustRightInd/>
        <w:spacing w:line="600" w:lineRule="exact"/>
        <w:ind w:firstLine="559" w:firstLineChars="200"/>
        <w:jc w:val="both"/>
        <w:textAlignment w:val="auto"/>
        <w:rPr>
          <w:rFonts w:hint="eastAsia" w:ascii="黑体" w:hAnsi="黑体" w:eastAsia="黑体" w:cs="黑体"/>
          <w:b/>
          <w:bCs/>
          <w:sz w:val="32"/>
          <w:szCs w:val="32"/>
        </w:rPr>
      </w:pPr>
      <w:r>
        <w:rPr>
          <w:rFonts w:hint="eastAsia" w:ascii="黑体" w:hAnsi="黑体" w:eastAsia="黑体" w:cs="黑体"/>
          <w:b/>
          <w:bCs/>
          <w:spacing w:val="-21"/>
          <w:sz w:val="32"/>
          <w:szCs w:val="32"/>
          <w:lang w:val="en-US" w:eastAsia="zh-CN"/>
        </w:rPr>
        <w:t>六</w:t>
      </w:r>
      <w:r>
        <w:rPr>
          <w:rFonts w:hint="eastAsia" w:ascii="黑体" w:hAnsi="黑体" w:eastAsia="黑体" w:cs="黑体"/>
          <w:b/>
          <w:bCs/>
          <w:spacing w:val="-21"/>
          <w:sz w:val="32"/>
          <w:szCs w:val="32"/>
        </w:rPr>
        <w:t>、</w:t>
      </w:r>
      <w:r>
        <w:rPr>
          <w:rFonts w:hint="eastAsia" w:ascii="黑体" w:hAnsi="黑体" w:eastAsia="黑体" w:cs="黑体"/>
          <w:b/>
          <w:bCs/>
          <w:sz w:val="32"/>
          <w:szCs w:val="32"/>
        </w:rPr>
        <w:t>工作建议</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b w:val="0"/>
          <w:bCs w:val="0"/>
          <w:sz w:val="32"/>
          <w:szCs w:val="32"/>
          <w:lang w:val="en-US" w:eastAsia="zh-CN"/>
        </w:rPr>
        <w:t>1.</w:t>
      </w:r>
      <w:r>
        <w:rPr>
          <w:rFonts w:hint="eastAsia" w:ascii="仿宋" w:hAnsi="仿宋" w:eastAsia="仿宋" w:cs="仿宋"/>
          <w:b w:val="0"/>
          <w:bCs w:val="0"/>
          <w:sz w:val="32"/>
          <w:szCs w:val="32"/>
        </w:rPr>
        <w:t>加强产科技能培训，</w:t>
      </w:r>
      <w:r>
        <w:rPr>
          <w:rFonts w:hint="eastAsia" w:ascii="仿宋" w:hAnsi="仿宋" w:eastAsia="仿宋" w:cs="仿宋"/>
          <w:b w:val="0"/>
          <w:bCs w:val="0"/>
          <w:sz w:val="32"/>
          <w:szCs w:val="32"/>
          <w:lang w:eastAsia="zh-CN"/>
        </w:rPr>
        <w:t>建议市级</w:t>
      </w:r>
      <w:r>
        <w:rPr>
          <w:rFonts w:hint="eastAsia" w:ascii="仿宋" w:hAnsi="仿宋" w:eastAsia="仿宋" w:cs="仿宋"/>
          <w:b w:val="0"/>
          <w:bCs w:val="0"/>
          <w:sz w:val="32"/>
          <w:szCs w:val="32"/>
        </w:rPr>
        <w:t>组织</w:t>
      </w:r>
      <w:r>
        <w:rPr>
          <w:rFonts w:hint="eastAsia" w:ascii="仿宋" w:hAnsi="仿宋" w:eastAsia="仿宋" w:cs="仿宋"/>
          <w:b w:val="0"/>
          <w:bCs w:val="0"/>
          <w:sz w:val="32"/>
          <w:szCs w:val="32"/>
          <w:lang w:eastAsia="zh-CN"/>
        </w:rPr>
        <w:t>各</w:t>
      </w:r>
      <w:r>
        <w:rPr>
          <w:rFonts w:hint="eastAsia" w:ascii="仿宋" w:hAnsi="仿宋" w:eastAsia="仿宋" w:cs="仿宋"/>
          <w:b w:val="0"/>
          <w:bCs w:val="0"/>
          <w:sz w:val="32"/>
          <w:szCs w:val="32"/>
        </w:rPr>
        <w:t>助产机构进行急救技能培训，规范产科技能处理规范及流程，提高综合</w:t>
      </w:r>
      <w:r>
        <w:rPr>
          <w:rFonts w:hint="eastAsia" w:ascii="仿宋" w:hAnsi="仿宋" w:eastAsia="仿宋" w:cs="仿宋"/>
          <w:b w:val="0"/>
          <w:bCs w:val="0"/>
          <w:sz w:val="32"/>
          <w:szCs w:val="32"/>
          <w:lang w:eastAsia="zh-CN"/>
        </w:rPr>
        <w:t>救治</w:t>
      </w:r>
      <w:r>
        <w:rPr>
          <w:rFonts w:hint="eastAsia" w:ascii="仿宋" w:hAnsi="仿宋" w:eastAsia="仿宋" w:cs="仿宋"/>
          <w:b w:val="0"/>
          <w:bCs w:val="0"/>
          <w:sz w:val="32"/>
          <w:szCs w:val="32"/>
        </w:rPr>
        <w:t>水平。</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val="en-US" w:eastAsia="zh-CN"/>
        </w:rPr>
        <w:t>2.</w:t>
      </w:r>
      <w:r>
        <w:rPr>
          <w:rFonts w:hint="eastAsia" w:ascii="仿宋" w:hAnsi="仿宋" w:eastAsia="仿宋" w:cs="仿宋"/>
          <w:b w:val="0"/>
          <w:bCs w:val="0"/>
          <w:sz w:val="32"/>
          <w:szCs w:val="32"/>
        </w:rPr>
        <w:t>重视和规范孕产期保健，规范孕产期保健内容，充分利用三级网络进行信息互通互享</w:t>
      </w:r>
      <w:r>
        <w:rPr>
          <w:rFonts w:hint="eastAsia" w:ascii="仿宋" w:hAnsi="仿宋" w:eastAsia="仿宋" w:cs="仿宋"/>
          <w:b w:val="0"/>
          <w:bCs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520" w:lineRule="exact"/>
        <w:ind w:left="0" w:leftChars="0" w:rightChars="0" w:firstLine="640" w:firstLineChars="200"/>
        <w:textAlignment w:val="auto"/>
        <w:outlineLvl w:val="9"/>
        <w:rPr>
          <w:sz w:val="32"/>
          <w:szCs w:val="32"/>
        </w:rPr>
      </w:pPr>
      <w:r>
        <w:rPr>
          <w:rFonts w:hint="eastAsia" w:ascii="仿宋" w:hAnsi="仿宋" w:eastAsia="仿宋" w:cs="仿宋"/>
          <w:b w:val="0"/>
          <w:bCs w:val="0"/>
          <w:color w:val="000000"/>
          <w:sz w:val="32"/>
          <w:szCs w:val="32"/>
          <w:lang w:val="en-US" w:eastAsia="zh-CN"/>
        </w:rPr>
        <w:t>3.各医疗机构严格落实《妊娠风险评估与管理工作规范》要求，及时上报高危孕产妇，全面掌握高危孕产妇动态，对重点高危孕产妇根据高危情况进行个体化指导。加强高危风险筛查和动态评估能力，不断更新知识，提高救治能力。</w:t>
      </w:r>
    </w:p>
    <w:p>
      <w:pPr>
        <w:keepNext w:val="0"/>
        <w:keepLines w:val="0"/>
        <w:pageBreakBefore w:val="0"/>
        <w:widowControl w:val="0"/>
        <w:kinsoku/>
        <w:wordWrap/>
        <w:overflowPunct/>
        <w:topLinePunct w:val="0"/>
        <w:autoSpaceDE/>
        <w:autoSpaceDN/>
        <w:bidi w:val="0"/>
        <w:adjustRightInd/>
        <w:spacing w:before="31" w:line="600" w:lineRule="exact"/>
        <w:textAlignment w:val="auto"/>
        <w:outlineLvl w:val="6"/>
        <w:rPr>
          <w:rFonts w:hint="eastAsia" w:ascii="仿宋" w:hAnsi="仿宋" w:eastAsia="仿宋" w:cs="仿宋"/>
          <w:b w:val="0"/>
          <w:bCs w:val="0"/>
          <w:sz w:val="32"/>
          <w:szCs w:val="32"/>
        </w:rPr>
      </w:pPr>
    </w:p>
    <w:p>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E1D26C-AEAA-4A32-ABF6-3C77CC8F59C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5479795-8E3D-417A-BC84-31D3841E3BF7}"/>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原版宋体">
    <w:altName w:val="宋体"/>
    <w:panose1 w:val="02010600030101010101"/>
    <w:charset w:val="00"/>
    <w:family w:val="auto"/>
    <w:pitch w:val="default"/>
    <w:sig w:usb0="00000000" w:usb1="00000000" w:usb2="00000000" w:usb3="00000000" w:csb0="00040001" w:csb1="00000000"/>
    <w:embedRegular r:id="rId3" w:fontKey="{592C757F-F0E3-4340-8972-163DE3F483FB}"/>
  </w:font>
  <w:font w:name="楷体_GB2312">
    <w:panose1 w:val="02010609030101010101"/>
    <w:charset w:val="86"/>
    <w:family w:val="modern"/>
    <w:pitch w:val="default"/>
    <w:sig w:usb0="00000001" w:usb1="080E0000" w:usb2="00000000" w:usb3="00000000" w:csb0="00040000" w:csb1="00000000"/>
    <w:embedRegular r:id="rId4" w:fontKey="{E2AFE1A3-47CE-4696-A573-F7D30F43F81B}"/>
  </w:font>
  <w:font w:name="楷体">
    <w:panose1 w:val="02010609060101010101"/>
    <w:charset w:val="86"/>
    <w:family w:val="auto"/>
    <w:pitch w:val="default"/>
    <w:sig w:usb0="800002BF" w:usb1="38CF7CFA" w:usb2="00000016" w:usb3="00000000" w:csb0="00040001" w:csb1="00000000"/>
    <w:embedRegular r:id="rId5" w:fontKey="{FD614F2A-15C8-4D80-8C83-AA8D35222F3E}"/>
  </w:font>
  <w:font w:name="仿宋">
    <w:panose1 w:val="02010609060101010101"/>
    <w:charset w:val="86"/>
    <w:family w:val="auto"/>
    <w:pitch w:val="default"/>
    <w:sig w:usb0="800002BF" w:usb1="38CF7CFA" w:usb2="00000016" w:usb3="00000000" w:csb0="00040001" w:csb1="00000000"/>
    <w:embedRegular r:id="rId6" w:fontKey="{B6CC4893-D818-40EA-9CC0-5256BF1C54A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3</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pPr>
                      <w:pStyle w:val="5"/>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3</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687B74"/>
    <w:multiLevelType w:val="singleLevel"/>
    <w:tmpl w:val="9C687B74"/>
    <w:lvl w:ilvl="0" w:tentative="0">
      <w:start w:val="3"/>
      <w:numFmt w:val="chineseCounting"/>
      <w:suff w:val="nothing"/>
      <w:lvlText w:val="%1、"/>
      <w:lvlJc w:val="left"/>
      <w:rPr>
        <w:rFonts w:hint="eastAsia"/>
      </w:rPr>
    </w:lvl>
  </w:abstractNum>
  <w:abstractNum w:abstractNumId="1">
    <w:nsid w:val="EFBDBE88"/>
    <w:multiLevelType w:val="singleLevel"/>
    <w:tmpl w:val="EFBDBE88"/>
    <w:lvl w:ilvl="0" w:tentative="0">
      <w:start w:val="2"/>
      <w:numFmt w:val="chineseCounting"/>
      <w:suff w:val="nothing"/>
      <w:lvlText w:val="（%1）"/>
      <w:lvlJc w:val="left"/>
      <w:rPr>
        <w:rFonts w:hint="eastAsia"/>
      </w:rPr>
    </w:lvl>
  </w:abstractNum>
  <w:abstractNum w:abstractNumId="2">
    <w:nsid w:val="068C6788"/>
    <w:multiLevelType w:val="singleLevel"/>
    <w:tmpl w:val="068C6788"/>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E1MzA3NWUwNjQwYTkxNTc4MmQ0NWZkOTExYmMxNDAifQ=="/>
    <w:docVar w:name="KSO_WPS_MARK_KEY" w:val="d1c3be86-389b-40e0-aa76-31a3cde66236"/>
  </w:docVars>
  <w:rsids>
    <w:rsidRoot w:val="00000000"/>
    <w:rsid w:val="0293255D"/>
    <w:rsid w:val="02A82458"/>
    <w:rsid w:val="05B13636"/>
    <w:rsid w:val="071579E5"/>
    <w:rsid w:val="0A2B78A0"/>
    <w:rsid w:val="0A682426"/>
    <w:rsid w:val="0C5D37CE"/>
    <w:rsid w:val="140317D6"/>
    <w:rsid w:val="1495298C"/>
    <w:rsid w:val="17E646EE"/>
    <w:rsid w:val="1EB646D3"/>
    <w:rsid w:val="21E41743"/>
    <w:rsid w:val="21E65208"/>
    <w:rsid w:val="25607CAC"/>
    <w:rsid w:val="2A9767DF"/>
    <w:rsid w:val="2BF273ED"/>
    <w:rsid w:val="2CCB2770"/>
    <w:rsid w:val="2E2D574C"/>
    <w:rsid w:val="2FB72273"/>
    <w:rsid w:val="30FA3624"/>
    <w:rsid w:val="347D611A"/>
    <w:rsid w:val="358931C8"/>
    <w:rsid w:val="381C36B0"/>
    <w:rsid w:val="3E3A6CB8"/>
    <w:rsid w:val="41F83508"/>
    <w:rsid w:val="4773124B"/>
    <w:rsid w:val="482A6B8E"/>
    <w:rsid w:val="4A701660"/>
    <w:rsid w:val="4AF7024B"/>
    <w:rsid w:val="4C1658C0"/>
    <w:rsid w:val="4FA941C2"/>
    <w:rsid w:val="4FFD5C00"/>
    <w:rsid w:val="528B738A"/>
    <w:rsid w:val="55CD3692"/>
    <w:rsid w:val="56867BCF"/>
    <w:rsid w:val="58115850"/>
    <w:rsid w:val="5AF34ABD"/>
    <w:rsid w:val="5BD87046"/>
    <w:rsid w:val="5E14003B"/>
    <w:rsid w:val="63001D56"/>
    <w:rsid w:val="68242759"/>
    <w:rsid w:val="6C5953D2"/>
    <w:rsid w:val="6F90296F"/>
    <w:rsid w:val="7049013E"/>
    <w:rsid w:val="716B13F9"/>
    <w:rsid w:val="71B273C4"/>
    <w:rsid w:val="72875460"/>
    <w:rsid w:val="72F82177"/>
    <w:rsid w:val="767856CA"/>
    <w:rsid w:val="78FD52E9"/>
    <w:rsid w:val="7DE973F8"/>
    <w:rsid w:val="7E1E7645"/>
    <w:rsid w:val="7F580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afterLines="0" w:afterAutospacing="0"/>
      <w:ind w:left="1440" w:leftChars="700" w:rightChars="700"/>
    </w:pPr>
  </w:style>
  <w:style w:type="paragraph" w:styleId="3">
    <w:name w:val="Normal Indent"/>
    <w:qFormat/>
    <w:uiPriority w:val="0"/>
    <w:pPr>
      <w:widowControl w:val="0"/>
      <w:ind w:firstLine="420" w:firstLineChars="200"/>
      <w:jc w:val="both"/>
    </w:pPr>
    <w:rPr>
      <w:rFonts w:ascii="Calibri" w:hAnsi="Calibri" w:eastAsia="仿宋_GB2312" w:cs="Times New Roman"/>
      <w:kern w:val="2"/>
      <w:sz w:val="32"/>
      <w:szCs w:val="24"/>
      <w:lang w:val="en-US" w:eastAsia="zh-CN" w:bidi="ar-SA"/>
    </w:rPr>
  </w:style>
  <w:style w:type="paragraph" w:styleId="4">
    <w:name w:val="index 5"/>
    <w:basedOn w:val="1"/>
    <w:next w:val="1"/>
    <w:unhideWhenUsed/>
    <w:qFormat/>
    <w:uiPriority w:val="99"/>
    <w:pPr>
      <w:ind w:left="1680"/>
    </w:pPr>
    <w:rPr>
      <w:rFonts w:ascii="Calibri" w:hAnsi="Calibri" w:eastAsia="微软雅黑" w:cs="宋体"/>
      <w:szCs w:val="24"/>
    </w:rPr>
  </w:style>
  <w:style w:type="paragraph" w:styleId="5">
    <w:name w:val="footer"/>
    <w:basedOn w:val="1"/>
    <w:unhideWhenUsed/>
    <w:qFormat/>
    <w:uiPriority w:val="99"/>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BodyText1I"/>
    <w:basedOn w:val="1"/>
    <w:qFormat/>
    <w:uiPriority w:val="99"/>
    <w:pPr>
      <w:snapToGrid w:val="0"/>
      <w:spacing w:line="360" w:lineRule="auto"/>
      <w:ind w:firstLine="420" w:firstLineChars="100"/>
    </w:pPr>
    <w:rPr>
      <w:sz w:val="28"/>
      <w:szCs w:val="20"/>
    </w:rPr>
  </w:style>
  <w:style w:type="paragraph" w:customStyle="1" w:styleId="10">
    <w:name w:val="Other|1"/>
    <w:basedOn w:val="1"/>
    <w:qFormat/>
    <w:uiPriority w:val="0"/>
    <w:pPr>
      <w:ind w:left="140"/>
    </w:pPr>
    <w:rPr>
      <w:rFonts w:ascii="宋体" w:hAnsi="宋体" w:eastAsia="宋体" w:cs="宋体"/>
      <w:sz w:val="18"/>
      <w:szCs w:val="18"/>
      <w:lang w:val="zh-TW" w:eastAsia="zh-TW" w:bidi="zh-TW"/>
    </w:rPr>
  </w:style>
  <w:style w:type="paragraph" w:customStyle="1" w:styleId="11">
    <w:name w:val="Body text|1"/>
    <w:basedOn w:val="1"/>
    <w:qFormat/>
    <w:uiPriority w:val="0"/>
    <w:pPr>
      <w:spacing w:line="408" w:lineRule="auto"/>
      <w:ind w:firstLine="400"/>
    </w:pPr>
    <w:rPr>
      <w:rFonts w:ascii="宋体" w:hAnsi="宋体" w:eastAsia="宋体" w:cs="宋体"/>
      <w:sz w:val="28"/>
      <w:szCs w:val="28"/>
      <w:lang w:val="zh-TW" w:eastAsia="zh-TW" w:bidi="zh-TW"/>
    </w:rPr>
  </w:style>
  <w:style w:type="paragraph" w:customStyle="1" w:styleId="12">
    <w:name w:val="Body text|4"/>
    <w:basedOn w:val="1"/>
    <w:qFormat/>
    <w:uiPriority w:val="0"/>
    <w:pPr>
      <w:spacing w:after="60"/>
      <w:jc w:val="center"/>
    </w:pPr>
    <w:rPr>
      <w:rFonts w:ascii="宋体" w:hAnsi="宋体" w:eastAsia="宋体" w:cs="宋体"/>
      <w:lang w:val="zh-TW" w:eastAsia="zh-TW" w:bidi="zh-TW"/>
    </w:rPr>
  </w:style>
  <w:style w:type="character" w:customStyle="1" w:styleId="13">
    <w:name w:val="NormalCharacter"/>
    <w:semiHidden/>
    <w:qFormat/>
    <w:uiPriority w:val="0"/>
  </w:style>
  <w:style w:type="character" w:customStyle="1" w:styleId="14">
    <w:name w:val="font11"/>
    <w:basedOn w:val="8"/>
    <w:qFormat/>
    <w:uiPriority w:val="0"/>
    <w:rPr>
      <w:rFonts w:hint="eastAsia" w:ascii="宋体" w:hAnsi="宋体" w:eastAsia="宋体" w:cs="宋体"/>
      <w:color w:val="000000"/>
      <w:sz w:val="21"/>
      <w:szCs w:val="21"/>
      <w:u w:val="none"/>
    </w:rPr>
  </w:style>
  <w:style w:type="character" w:customStyle="1" w:styleId="15">
    <w:name w:val="font01"/>
    <w:basedOn w:val="8"/>
    <w:qFormat/>
    <w:uiPriority w:val="0"/>
    <w:rPr>
      <w:rFonts w:ascii="Arial" w:hAnsi="Arial" w:cs="Arial"/>
      <w:color w:val="000000"/>
      <w:sz w:val="21"/>
      <w:szCs w:val="21"/>
      <w:u w:val="none"/>
    </w:rPr>
  </w:style>
  <w:style w:type="paragraph" w:customStyle="1" w:styleId="16">
    <w:name w:val="Table caption|1"/>
    <w:basedOn w:val="1"/>
    <w:qFormat/>
    <w:uiPriority w:val="0"/>
    <w:pPr>
      <w:spacing w:line="197" w:lineRule="exact"/>
      <w:ind w:firstLine="340"/>
    </w:pPr>
    <w:rPr>
      <w:rFonts w:ascii="宋体" w:hAnsi="宋体" w:eastAsia="宋体" w:cs="宋体"/>
      <w:color w:val="242C3C"/>
      <w:sz w:val="15"/>
      <w:szCs w:val="15"/>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1769</Words>
  <Characters>1937</Characters>
  <Lines>0</Lines>
  <Paragraphs>0</Paragraphs>
  <TotalTime>1</TotalTime>
  <ScaleCrop>false</ScaleCrop>
  <LinksUpToDate>false</LinksUpToDate>
  <CharactersWithSpaces>1948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2025-03-03T13:27:00Z</dcterms:created>
  <dc:creator>86137</dc:creator>
  <cp:lastModifiedBy>微信用户</cp:lastModifiedBy>
  <dcterms:modified xsi:type="dcterms:W3CDTF">2025-04-17T05:39:03Z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eyJoZGlkIjoiZThkYzkxMTNkMTZhNDZjNGZiNGY0Y2ZmMzQ3ZjRiNmYiLCJ1c2VySWQiOiIyNzAwMjQ2NjcifQ==</vt:lpwstr>
  </property>
  <property fmtid="{D5CDD505-2E9C-101B-9397-08002B2CF9AE}" pid="4" name="ICV">
    <vt:lpwstr>39A2590A3C9746B9A7565FC5C5DA0AC6_12</vt:lpwstr>
  </property>
</Properties>
</file>