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default" w:ascii="Times New Roman" w:hAnsi="Times New Roman" w:eastAsia="仿宋_GB2312" w:cs="Times New Roman"/>
          <w:b/>
          <w:bCs/>
          <w:sz w:val="36"/>
          <w:szCs w:val="36"/>
          <w:lang w:eastAsia="zh-CN"/>
        </w:rPr>
      </w:pPr>
      <w:r>
        <w:rPr>
          <w:rFonts w:hint="default" w:ascii="Times New Roman" w:hAnsi="Times New Roman" w:eastAsia="仿宋_GB2312" w:cs="Times New Roman"/>
          <w:b/>
          <w:bCs/>
          <w:sz w:val="36"/>
          <w:szCs w:val="36"/>
          <w:lang w:eastAsia="zh-CN"/>
        </w:rPr>
        <w:t>202</w:t>
      </w:r>
      <w:r>
        <w:rPr>
          <w:rFonts w:hint="default" w:ascii="Times New Roman" w:hAnsi="Times New Roman" w:eastAsia="仿宋_GB2312" w:cs="Times New Roman"/>
          <w:b/>
          <w:bCs/>
          <w:sz w:val="36"/>
          <w:szCs w:val="36"/>
          <w:lang w:val="en-US" w:eastAsia="zh-CN"/>
        </w:rPr>
        <w:t>4</w:t>
      </w:r>
      <w:r>
        <w:rPr>
          <w:rFonts w:hint="default" w:ascii="Times New Roman" w:hAnsi="Times New Roman" w:eastAsia="仿宋_GB2312" w:cs="Times New Roman"/>
          <w:b/>
          <w:bCs/>
          <w:sz w:val="36"/>
          <w:szCs w:val="36"/>
          <w:lang w:eastAsia="zh-CN"/>
        </w:rPr>
        <w:t>年</w:t>
      </w:r>
      <w:r>
        <w:rPr>
          <w:rFonts w:hint="default" w:ascii="Times New Roman" w:hAnsi="Times New Roman" w:eastAsia="仿宋_GB2312" w:cs="Times New Roman"/>
          <w:b/>
          <w:bCs/>
          <w:sz w:val="36"/>
          <w:szCs w:val="36"/>
          <w:lang w:val="en-US" w:eastAsia="zh-CN"/>
        </w:rPr>
        <w:t>财政农业保险</w:t>
      </w:r>
      <w:r>
        <w:rPr>
          <w:rFonts w:hint="default" w:ascii="Times New Roman" w:hAnsi="Times New Roman" w:eastAsia="仿宋_GB2312" w:cs="Times New Roman"/>
          <w:b/>
          <w:bCs/>
          <w:sz w:val="36"/>
          <w:szCs w:val="36"/>
          <w:lang w:eastAsia="zh-CN"/>
        </w:rPr>
        <w:t>绩效</w:t>
      </w:r>
      <w:r>
        <w:rPr>
          <w:rFonts w:hint="eastAsia" w:ascii="Times New Roman" w:hAnsi="Times New Roman" w:eastAsia="仿宋_GB2312" w:cs="Times New Roman"/>
          <w:b/>
          <w:bCs/>
          <w:sz w:val="36"/>
          <w:szCs w:val="36"/>
          <w:lang w:eastAsia="zh-CN"/>
        </w:rPr>
        <w:t>自评</w:t>
      </w:r>
      <w:r>
        <w:rPr>
          <w:rFonts w:hint="default" w:ascii="Times New Roman" w:hAnsi="Times New Roman" w:eastAsia="仿宋_GB2312" w:cs="Times New Roman"/>
          <w:b/>
          <w:bCs/>
          <w:sz w:val="36"/>
          <w:szCs w:val="36"/>
          <w:lang w:eastAsia="zh-CN"/>
        </w:rPr>
        <w:t>报告</w:t>
      </w:r>
    </w:p>
    <w:p>
      <w:pPr>
        <w:jc w:val="center"/>
        <w:rPr>
          <w:rFonts w:hint="default" w:ascii="Times New Roman" w:hAnsi="Times New Roman" w:eastAsia="方正小标宋简体" w:cs="Times New Roman"/>
          <w:sz w:val="36"/>
          <w:szCs w:val="36"/>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江华瑶族自治县</w:t>
      </w:r>
      <w:r>
        <w:rPr>
          <w:rFonts w:hint="default" w:ascii="Times New Roman" w:hAnsi="Times New Roman" w:eastAsia="仿宋_GB2312" w:cs="Times New Roman"/>
          <w:sz w:val="32"/>
          <w:szCs w:val="32"/>
        </w:rPr>
        <w:t>财政局《关于开展202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预算支出绩效运行监控工作的通知》精神和“谁支出谁负责”的原则，我局及时进行布置，并组织我局财务、有关业务股室人员对我局专项资金的预算执行进度和绩效目标实现进度开展监督和控制，现将运行监控情况报告如下：</w:t>
      </w:r>
    </w:p>
    <w:p>
      <w:pPr>
        <w:keepNext w:val="0"/>
        <w:keepLines w:val="0"/>
        <w:pageBreakBefore w:val="0"/>
        <w:numPr>
          <w:ilvl w:val="0"/>
          <w:numId w:val="1"/>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项目支出基本情况</w:t>
      </w:r>
    </w:p>
    <w:p>
      <w:pPr>
        <w:pStyle w:val="2"/>
        <w:numPr>
          <w:ilvl w:val="0"/>
          <w:numId w:val="1"/>
        </w:numPr>
        <w:rPr>
          <w:rFonts w:hint="default"/>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根据湖南省财政厅关于提前下达2024年中央财政农业保险保费补贴资金的通知（湘财预【2023】421号）（水稻、油菜、玉米、大豆中央补贴）文件精神，</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年度县财政局安排我局</w:t>
      </w:r>
      <w:r>
        <w:rPr>
          <w:rFonts w:hint="default" w:ascii="Times New Roman" w:hAnsi="Times New Roman" w:eastAsia="仿宋_GB2312" w:cs="Times New Roman"/>
          <w:sz w:val="32"/>
          <w:szCs w:val="32"/>
        </w:rPr>
        <w:t>中央财政农业保险保费补贴资金</w:t>
      </w:r>
      <w:r>
        <w:rPr>
          <w:rFonts w:hint="default" w:ascii="Times New Roman" w:hAnsi="Times New Roman" w:eastAsia="仿宋_GB2312" w:cs="Times New Roman"/>
          <w:sz w:val="32"/>
          <w:szCs w:val="32"/>
          <w:lang w:val="en-US" w:eastAsia="zh-CN"/>
        </w:rPr>
        <w:t>784.44万元</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项目根据各乡镇申报，对3家具有农业保险业务经营资质的保险公司发放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290.17万元，分别是：中国平安财产保险股份有限公司永州中心支公司，32193.23元；中华联合财产保险股份有限公司永州中心支公司，715230元；中国人民财产保险股份有限公司永州市分公司，2154248.46元。项目的开展为全县</w:t>
      </w:r>
      <w:r>
        <w:rPr>
          <w:rFonts w:hint="default" w:ascii="Times New Roman" w:hAnsi="Times New Roman" w:eastAsia="仿宋_GB2312" w:cs="Times New Roman"/>
          <w:sz w:val="32"/>
          <w:szCs w:val="32"/>
        </w:rPr>
        <w:t>水稻、油菜、玉米、大豆</w:t>
      </w:r>
      <w:r>
        <w:rPr>
          <w:rFonts w:hint="default" w:ascii="Times New Roman" w:hAnsi="Times New Roman" w:eastAsia="仿宋_GB2312" w:cs="Times New Roman"/>
          <w:sz w:val="32"/>
          <w:szCs w:val="32"/>
          <w:lang w:val="en-US" w:eastAsia="zh-CN"/>
        </w:rPr>
        <w:t>农业生产提供保障，并减少农业灾害损失，促进生产集约化。</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二、绩效开展情况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default" w:ascii="Times New Roman" w:hAnsi="Times New Roman" w:eastAsia="仿宋_GB2312" w:cs="Times New Roman"/>
          <w:sz w:val="32"/>
          <w:szCs w:val="32"/>
          <w:lang w:eastAsia="zh-CN"/>
        </w:rPr>
        <w:t>农业农村</w:t>
      </w:r>
      <w:r>
        <w:rPr>
          <w:rFonts w:hint="default" w:ascii="Times New Roman" w:hAnsi="Times New Roman" w:eastAsia="仿宋_GB2312" w:cs="Times New Roman"/>
          <w:sz w:val="32"/>
          <w:szCs w:val="32"/>
        </w:rPr>
        <w:t>局财务股明确绩效任务分工、工作步骤、审核重点及工作要求，协调组织相关业务股室对各自承担的项目支出开展预算绩效运行监控工作，按照“谁支出</w:t>
      </w:r>
      <w:bookmarkStart w:id="0" w:name="_GoBack"/>
      <w:bookmarkEnd w:id="0"/>
      <w:r>
        <w:rPr>
          <w:rFonts w:hint="default" w:ascii="Times New Roman" w:hAnsi="Times New Roman" w:eastAsia="仿宋_GB2312" w:cs="Times New Roman"/>
          <w:sz w:val="32"/>
          <w:szCs w:val="32"/>
        </w:rPr>
        <w:t>，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三、绩效情况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（一）项目支出预算执行情况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按照年初预算绩效目标设定，截</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月30日，</w:t>
      </w:r>
      <w:r>
        <w:rPr>
          <w:rFonts w:hint="default" w:ascii="Times New Roman" w:hAnsi="Times New Roman" w:eastAsia="仿宋_GB2312" w:cs="Times New Roman"/>
          <w:sz w:val="32"/>
          <w:szCs w:val="32"/>
          <w:lang w:eastAsia="zh-CN"/>
        </w:rPr>
        <w:t>我局</w:t>
      </w:r>
      <w:r>
        <w:rPr>
          <w:rFonts w:hint="default" w:ascii="Times New Roman" w:hAnsi="Times New Roman" w:eastAsia="仿宋_GB2312" w:cs="Times New Roman"/>
          <w:sz w:val="32"/>
          <w:szCs w:val="32"/>
        </w:rPr>
        <w:t>中央财政农业保险保费补贴资金支</w:t>
      </w:r>
      <w:r>
        <w:rPr>
          <w:rFonts w:hint="default" w:ascii="Times New Roman" w:hAnsi="Times New Roman" w:eastAsia="仿宋_GB2312" w:cs="Times New Roman"/>
          <w:sz w:val="32"/>
          <w:szCs w:val="32"/>
          <w:highlight w:val="none"/>
        </w:rPr>
        <w:t>出</w:t>
      </w:r>
      <w:r>
        <w:rPr>
          <w:rFonts w:hint="default" w:ascii="Times New Roman" w:hAnsi="Times New Roman" w:eastAsia="仿宋_GB2312" w:cs="Times New Roman"/>
          <w:sz w:val="32"/>
          <w:szCs w:val="32"/>
          <w:highlight w:val="none"/>
          <w:lang w:val="en-US" w:eastAsia="zh-CN"/>
        </w:rPr>
        <w:t>290.17</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rPr>
        <w:t>，资金支出进度</w:t>
      </w:r>
      <w:r>
        <w:rPr>
          <w:rFonts w:hint="default" w:ascii="Times New Roman" w:hAnsi="Times New Roman" w:eastAsia="仿宋_GB2312" w:cs="Times New Roman"/>
          <w:sz w:val="32"/>
          <w:szCs w:val="32"/>
          <w:lang w:val="en-US" w:eastAsia="zh-CN"/>
        </w:rPr>
        <w:t>37</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（二）项目支出绩效目标完成情况</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105" w:afterAutospacing="0" w:line="540" w:lineRule="exact"/>
        <w:ind w:right="0" w:rightChars="0" w:firstLine="640" w:firstLineChars="200"/>
        <w:jc w:val="left"/>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val="en-US" w:eastAsia="zh-CN"/>
        </w:rPr>
        <w:t>我局2024年</w:t>
      </w:r>
      <w:r>
        <w:rPr>
          <w:rFonts w:hint="default" w:ascii="Times New Roman" w:hAnsi="Times New Roman" w:eastAsia="仿宋_GB2312" w:cs="Times New Roman"/>
          <w:sz w:val="32"/>
          <w:szCs w:val="32"/>
          <w:highlight w:val="none"/>
        </w:rPr>
        <w:t>中央财政农业保险保费补贴</w:t>
      </w:r>
      <w:r>
        <w:rPr>
          <w:rFonts w:hint="default" w:ascii="Times New Roman" w:hAnsi="Times New Roman" w:eastAsia="仿宋_GB2312" w:cs="Times New Roman"/>
          <w:sz w:val="32"/>
          <w:szCs w:val="32"/>
          <w:highlight w:val="none"/>
          <w:lang w:eastAsia="zh-CN"/>
        </w:rPr>
        <w:t>项目绩效</w:t>
      </w:r>
      <w:r>
        <w:rPr>
          <w:rFonts w:hint="default" w:ascii="Times New Roman" w:hAnsi="Times New Roman" w:eastAsia="仿宋_GB2312" w:cs="Times New Roman"/>
          <w:sz w:val="32"/>
          <w:szCs w:val="32"/>
          <w:lang w:eastAsia="zh-CN"/>
        </w:rPr>
        <w:t>目标完成：</w:t>
      </w:r>
      <w:r>
        <w:rPr>
          <w:rFonts w:hint="default" w:ascii="Times New Roman" w:hAnsi="Times New Roman" w:eastAsia="仿宋_GB2312" w:cs="Times New Roman"/>
          <w:sz w:val="32"/>
          <w:szCs w:val="32"/>
          <w:lang w:val="en-US" w:eastAsia="zh-CN"/>
        </w:rPr>
        <w:t>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290.17万元，分别为中国平安财产保险股份有限公司永州中心支公司32193.23元，中华联合财产保险股份有限公司永州中心支公司715230元，中国人民财产保险股份有限公司永州市分公司2154248.46元</w:t>
      </w:r>
      <w:r>
        <w:rPr>
          <w:rFonts w:hint="default" w:ascii="Times New Roman" w:hAnsi="Times New Roman" w:eastAsia="仿宋_GB2312" w:cs="Times New Roman"/>
          <w:color w:val="000000"/>
          <w:kern w:val="0"/>
          <w:sz w:val="32"/>
          <w:szCs w:val="32"/>
          <w:shd w:val="clear" w:color="auto" w:fill="FFFFFF"/>
          <w:lang w:val="en-US" w:eastAsia="zh-CN"/>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四、存在问题及其原因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auto"/>
          <w:spacing w:val="0"/>
          <w:sz w:val="32"/>
          <w:szCs w:val="32"/>
          <w:shd w:val="clear" w:color="auto" w:fill="FFFFFF"/>
          <w:lang w:eastAsia="zh-CN"/>
        </w:rPr>
        <w:t>项目正常执行，在实施和运行过程中未发现问题，</w:t>
      </w:r>
      <w:r>
        <w:rPr>
          <w:rFonts w:hint="default" w:ascii="Times New Roman" w:hAnsi="Times New Roman" w:eastAsia="仿宋_GB2312" w:cs="Times New Roman"/>
          <w:sz w:val="32"/>
          <w:szCs w:val="32"/>
        </w:rPr>
        <w:t>未出现偏离绩效目标的情况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i w:val="0"/>
          <w:caps w:val="0"/>
          <w:color w:val="auto"/>
          <w:spacing w:val="0"/>
          <w:sz w:val="32"/>
          <w:szCs w:val="32"/>
          <w:shd w:val="clear" w:color="auto" w:fill="FFFFFF"/>
          <w:lang w:eastAsia="zh-CN"/>
        </w:rPr>
        <w:t>在后续的工作开展中，严格按照实施方案执行项目，做到认真负责，与行业部门共同加强监管，</w:t>
      </w:r>
      <w:r>
        <w:rPr>
          <w:rFonts w:hint="default" w:ascii="Times New Roman" w:hAnsi="Times New Roman" w:eastAsia="仿宋_GB2312" w:cs="Times New Roman"/>
          <w:i w:val="0"/>
          <w:caps w:val="0"/>
          <w:color w:val="auto"/>
          <w:spacing w:val="0"/>
          <w:sz w:val="32"/>
          <w:szCs w:val="32"/>
          <w:shd w:val="clear" w:color="auto" w:fill="FFFFFF"/>
          <w:lang w:val="en-US" w:eastAsia="zh-CN"/>
        </w:rPr>
        <w:t>确保资产得到有效使用。</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江华瑶族自治县农业农村</w:t>
      </w:r>
      <w:r>
        <w:rPr>
          <w:rFonts w:hint="default" w:ascii="Times New Roman" w:hAnsi="Times New Roman" w:eastAsia="仿宋_GB2312" w:cs="Times New Roman"/>
          <w:sz w:val="32"/>
          <w:szCs w:val="32"/>
        </w:rPr>
        <w:t>局</w:t>
      </w:r>
    </w:p>
    <w:p>
      <w:pPr>
        <w:keepNext w:val="0"/>
        <w:keepLines w:val="0"/>
        <w:pageBreakBefore w:val="0"/>
        <w:kinsoku/>
        <w:wordWrap/>
        <w:overflowPunct/>
        <w:topLinePunct w:val="0"/>
        <w:autoSpaceDE/>
        <w:autoSpaceDN/>
        <w:bidi w:val="0"/>
        <w:adjustRightInd/>
        <w:snapToGrid/>
        <w:spacing w:line="54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94751"/>
    <w:multiLevelType w:val="singleLevel"/>
    <w:tmpl w:val="6889475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NDkzZWY3ZWVlMmI3NjFiY2UzNjNmMjhmZGNmMTcifQ=="/>
  </w:docVars>
  <w:rsids>
    <w:rsidRoot w:val="00000000"/>
    <w:rsid w:val="040C3F8D"/>
    <w:rsid w:val="0C895D43"/>
    <w:rsid w:val="115A45A7"/>
    <w:rsid w:val="19B8576E"/>
    <w:rsid w:val="27AD0D41"/>
    <w:rsid w:val="27FF6A4F"/>
    <w:rsid w:val="2F5E78CC"/>
    <w:rsid w:val="31280191"/>
    <w:rsid w:val="38F13BDA"/>
    <w:rsid w:val="49A109A4"/>
    <w:rsid w:val="4B8E37BD"/>
    <w:rsid w:val="5AA65364"/>
    <w:rsid w:val="5D717182"/>
    <w:rsid w:val="624535B2"/>
    <w:rsid w:val="75BB2563"/>
    <w:rsid w:val="771D53B5"/>
    <w:rsid w:val="7FE355DF"/>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ind w:left="420" w:leftChars="200"/>
    </w:pPr>
    <w:rPr>
      <w:rFonts w:ascii="Times New Roman" w:hAnsi="Times New Roman"/>
      <w:szCs w:val="21"/>
    </w:rPr>
  </w:style>
  <w:style w:type="paragraph" w:styleId="4">
    <w:name w:val="Normal Indent"/>
    <w:basedOn w:val="1"/>
    <w:qFormat/>
    <w:uiPriority w:val="0"/>
    <w:pPr>
      <w:ind w:firstLine="420" w:firstLineChars="200"/>
    </w:pPr>
    <w:rPr>
      <w:rFonts w:ascii="Calibri" w:hAnsi="Calibri" w:eastAsia="仿宋"/>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986</Words>
  <Characters>1076</Characters>
  <Lines>0</Lines>
  <Paragraphs>0</Paragraphs>
  <TotalTime>40</TotalTime>
  <ScaleCrop>false</ScaleCrop>
  <LinksUpToDate>false</LinksUpToDate>
  <CharactersWithSpaces>1104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2025-05-15T03:26:02Z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A1EB91D82FBD4CA398A17238DFF645D7_13</vt:lpwstr>
  </property>
</Properties>
</file>