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DA1A0">
      <w:pPr>
        <w:spacing w:line="560" w:lineRule="exact"/>
        <w:jc w:val="center"/>
        <w:rPr>
          <w:rFonts w:hint="eastAsia" w:ascii="仿宋_GB2312" w:eastAsia="仿宋_GB2312"/>
          <w:sz w:val="32"/>
          <w:szCs w:val="32"/>
        </w:rPr>
      </w:pPr>
    </w:p>
    <w:p w14:paraId="5307C448">
      <w:pPr>
        <w:spacing w:line="560" w:lineRule="exact"/>
        <w:jc w:val="center"/>
        <w:rPr>
          <w:rFonts w:hint="eastAsia" w:ascii="仿宋_GB2312" w:eastAsia="仿宋_GB2312"/>
          <w:sz w:val="32"/>
          <w:szCs w:val="32"/>
        </w:rPr>
      </w:pPr>
    </w:p>
    <w:p w14:paraId="63C3880A">
      <w:pPr>
        <w:spacing w:line="560" w:lineRule="exact"/>
        <w:jc w:val="center"/>
        <w:rPr>
          <w:rFonts w:hint="eastAsia"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2024年度种业安全监管项目绩效自评报告</w:t>
      </w:r>
    </w:p>
    <w:p w14:paraId="15597571">
      <w:pPr>
        <w:spacing w:line="560" w:lineRule="exact"/>
        <w:jc w:val="center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种业畜牧渔业农机管理股</w:t>
      </w:r>
    </w:p>
    <w:p w14:paraId="5375C431">
      <w:pPr>
        <w:spacing w:line="560" w:lineRule="exact"/>
        <w:jc w:val="center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hAnsi="宋体" w:eastAsia="楷体_GB2312" w:cs="宋体"/>
          <w:b/>
          <w:sz w:val="32"/>
          <w:szCs w:val="32"/>
        </w:rPr>
        <w:t>（</w:t>
      </w:r>
      <w:r>
        <w:rPr>
          <w:rFonts w:hint="eastAsia" w:ascii="楷体_GB2312" w:eastAsia="楷体_GB2312"/>
          <w:b/>
          <w:sz w:val="32"/>
          <w:szCs w:val="32"/>
        </w:rPr>
        <w:t>2025</w:t>
      </w:r>
      <w:r>
        <w:rPr>
          <w:rFonts w:hint="eastAsia" w:ascii="楷体_GB2312" w:hAnsi="宋体" w:eastAsia="楷体_GB2312" w:cs="宋体"/>
          <w:b/>
          <w:sz w:val="32"/>
          <w:szCs w:val="32"/>
        </w:rPr>
        <w:t>年</w:t>
      </w:r>
      <w:r>
        <w:rPr>
          <w:rFonts w:hint="eastAsia" w:ascii="楷体_GB2312" w:eastAsia="楷体_GB2312"/>
          <w:b/>
          <w:sz w:val="32"/>
          <w:szCs w:val="32"/>
        </w:rPr>
        <w:t>4</w:t>
      </w:r>
      <w:r>
        <w:rPr>
          <w:rFonts w:hint="eastAsia" w:ascii="楷体_GB2312" w:hAnsi="宋体" w:eastAsia="楷体_GB2312" w:cs="宋体"/>
          <w:b/>
          <w:sz w:val="32"/>
          <w:szCs w:val="32"/>
        </w:rPr>
        <w:t>月</w:t>
      </w: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楷体_GB2312" w:eastAsia="楷体_GB2312"/>
          <w:b/>
          <w:sz w:val="32"/>
          <w:szCs w:val="32"/>
        </w:rPr>
        <w:t>1</w:t>
      </w:r>
      <w:r>
        <w:rPr>
          <w:rFonts w:hint="eastAsia" w:ascii="楷体_GB2312" w:hAnsi="宋体" w:eastAsia="楷体_GB2312" w:cs="宋体"/>
          <w:b/>
          <w:sz w:val="32"/>
          <w:szCs w:val="32"/>
        </w:rPr>
        <w:t>日）</w:t>
      </w:r>
    </w:p>
    <w:p w14:paraId="489E2AC0">
      <w:pPr>
        <w:spacing w:line="560" w:lineRule="exact"/>
        <w:jc w:val="center"/>
        <w:rPr>
          <w:rFonts w:hint="eastAsia" w:ascii="仿宋_GB2312" w:eastAsia="仿宋_GB2312"/>
          <w:sz w:val="32"/>
          <w:szCs w:val="32"/>
        </w:rPr>
      </w:pPr>
    </w:p>
    <w:p w14:paraId="493EEF6E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一、绩效目标分解下达情况</w:t>
      </w:r>
    </w:p>
    <w:p w14:paraId="1D946CA0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湖南省财政厅《关于2024年部分省级现代农业农村发展专项资金的通知》(湘财农指〔2024〕42号）和湖南省农业厅《关于下达2024年部分省级现代农业农村发展专项资金的通知》（湘农发〔2024〕68号），2024年下达江华瑶族自治县农作物种业安全监管资金6.5万元。</w:t>
      </w:r>
    </w:p>
    <w:p w14:paraId="6C5E3C2F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二、绩效目标完成情况分析</w:t>
      </w:r>
    </w:p>
    <w:p w14:paraId="656D72CB">
      <w:pPr>
        <w:spacing w:line="56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（一）资金投入情况分析。</w:t>
      </w:r>
      <w:r>
        <w:rPr>
          <w:rFonts w:hint="eastAsia" w:ascii="仿宋_GB2312" w:eastAsia="仿宋_GB2312"/>
          <w:sz w:val="32"/>
          <w:szCs w:val="32"/>
        </w:rPr>
        <w:t xml:space="preserve"> 用于江华瑶族自治县农作物种业市场安全监管，主要是全县种业销售市场和生产基地监管，印制发放种子种苗宣传资料，新品种（组合）展示示范推广，种子新技术推广，处理种子投诉等相关费用 。</w:t>
      </w:r>
    </w:p>
    <w:p w14:paraId="31B9C76A">
      <w:pPr>
        <w:spacing w:line="56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（二）总体绩效目标、绩效指标完成情况分析。</w:t>
      </w:r>
      <w:r>
        <w:rPr>
          <w:rFonts w:hint="eastAsia" w:ascii="仿宋_GB2312" w:eastAsia="仿宋_GB2312"/>
          <w:sz w:val="32"/>
          <w:szCs w:val="32"/>
        </w:rPr>
        <w:t>农作物种业安全监管项目资金的使用严格遵守</w:t>
      </w:r>
      <w:r>
        <w:rPr>
          <w:rFonts w:hint="eastAsia" w:ascii="仿宋_GB2312" w:hAnsi="Arial" w:eastAsia="仿宋_GB2312" w:cs="Arial"/>
          <w:sz w:val="32"/>
          <w:szCs w:val="32"/>
        </w:rPr>
        <w:t>“</w:t>
      </w:r>
      <w:r>
        <w:rPr>
          <w:rFonts w:hint="eastAsia" w:ascii="仿宋_GB2312" w:eastAsia="仿宋_GB2312"/>
          <w:sz w:val="32"/>
          <w:szCs w:val="32"/>
        </w:rPr>
        <w:t>收支两条线</w:t>
      </w:r>
      <w:r>
        <w:rPr>
          <w:rFonts w:hint="eastAsia" w:ascii="仿宋_GB2312" w:hAnsi="Arial" w:eastAsia="仿宋_GB2312" w:cs="Arial"/>
          <w:sz w:val="32"/>
          <w:szCs w:val="32"/>
        </w:rPr>
        <w:t>”</w:t>
      </w:r>
      <w:r>
        <w:rPr>
          <w:rFonts w:hint="eastAsia" w:ascii="仿宋_GB2312" w:eastAsia="仿宋_GB2312"/>
          <w:sz w:val="32"/>
          <w:szCs w:val="32"/>
        </w:rPr>
        <w:t>管理，坚持</w:t>
      </w:r>
      <w:r>
        <w:rPr>
          <w:rFonts w:hint="eastAsia" w:ascii="仿宋_GB2312" w:hAnsi="Arial" w:eastAsia="仿宋_GB2312" w:cs="Arial"/>
          <w:sz w:val="32"/>
          <w:szCs w:val="32"/>
        </w:rPr>
        <w:t>“</w:t>
      </w:r>
      <w:r>
        <w:rPr>
          <w:rFonts w:hint="eastAsia" w:ascii="仿宋_GB2312" w:eastAsia="仿宋_GB2312"/>
          <w:sz w:val="32"/>
          <w:szCs w:val="32"/>
        </w:rPr>
        <w:t>量入为出和专款专用</w:t>
      </w:r>
      <w:r>
        <w:rPr>
          <w:rFonts w:hint="eastAsia" w:ascii="仿宋_GB2312" w:hAnsi="Arial" w:eastAsia="仿宋_GB2312" w:cs="Arial"/>
          <w:sz w:val="32"/>
          <w:szCs w:val="32"/>
        </w:rPr>
        <w:t>”</w:t>
      </w:r>
      <w:r>
        <w:rPr>
          <w:rFonts w:hint="eastAsia" w:ascii="仿宋_GB2312" w:eastAsia="仿宋_GB2312"/>
          <w:sz w:val="32"/>
          <w:szCs w:val="32"/>
        </w:rPr>
        <w:t>。开展了春、秋两季种子专项监管行动和3次制种基地专项检查。对全县的种子经销门店进行了全面检查，抽取种子样品34个，其中水稻26个，玉米3个，油菜5个。开展水稻、花生新品种展示示范各1个，展示示范水稻品种16个花生品种6个。在水稻制种苗期、花期、成熟期对各基地进行专项检查，在苗期进行快速转基因测试亲本26个。及时处理种子投诉和纠纷，无重大种子质量事件。项目资金到位及时，并做到专款专用，增强了种业监管力度，为全县种业市场稳定发展、确保种子供应和种子质量安全、提高种业工作人员地位发挥了重要作用，绩效产出指标、效益指标达到了项目预期目的。</w:t>
      </w:r>
    </w:p>
    <w:p w14:paraId="2391E2F7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三、偏离绩效目标的原因和下一步改进措施</w:t>
      </w:r>
    </w:p>
    <w:p w14:paraId="7D3CDB91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总体目标和绩效指标全部完成。</w:t>
      </w:r>
    </w:p>
    <w:p w14:paraId="12D27CCB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因我县地貌多为山区丘陵，村镇较为分散，水域宽广，交通不甚方便。工作人员少，监管难度较大，用车不方便，有时很难在较短的时间内达到监管要求。改进措施：建议财政增加项目资金，股室增加工作人员。</w:t>
      </w:r>
    </w:p>
    <w:p w14:paraId="515AED3F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四、绩效自评结果拟应用和公开情况</w:t>
      </w:r>
    </w:p>
    <w:p w14:paraId="2FC01C94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绩效自评结果为来年监管提供经验，并将纳入单位对相关股室工作开展的考核范围，未达到预期效果的年终绩效视情况处理，评价结果将在网站进行公开公示。</w:t>
      </w:r>
    </w:p>
    <w:p w14:paraId="56E9FBFE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五、其它需要说明的问题</w:t>
      </w:r>
    </w:p>
    <w:p w14:paraId="09AC6DCD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sectPr>
      <w:footerReference r:id="rId3" w:type="default"/>
      <w:pgSz w:w="11906" w:h="16838"/>
      <w:pgMar w:top="1418" w:right="1588" w:bottom="141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4F526A9F-EF1D-40F9-BE58-D39F395716C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E18A44D-77EC-468A-BD0E-7F515381529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A63F1F72-3DC6-4805-AB4A-D1CE57C5937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A321539-5930-4663-B37F-6BE68BD5EFE3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5" w:fontKey="{EF8068E5-B99E-40E8-BDEA-79759255A12A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E58DD5D7-3835-4370-B9D1-4D631212FA0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eastAsia"/>
      </w:rPr>
      <w:id w:val="1481481"/>
      <w:docPartObj>
        <w:docPartGallery w:val="autotext"/>
      </w:docPartObj>
    </w:sdtPr>
    <w:sdtEndPr>
      <w:rPr>
        <w:rFonts w:hint="eastAsia"/>
      </w:rPr>
    </w:sdtEndPr>
    <w:sdtContent>
      <w:p w14:paraId="3CC70FA1">
        <w:pPr>
          <w:jc w:val="center"/>
        </w:pP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 PAGE   \* MERGEFORMAT </w:instrText>
        </w:r>
        <w:r>
          <w:rPr>
            <w:rFonts w:hint="eastAsia"/>
          </w:rPr>
          <w:fldChar w:fldCharType="separate"/>
        </w:r>
        <w:r>
          <w:t>1</w:t>
        </w:r>
        <w:r>
          <w:rPr>
            <w:rFonts w:hint="eastAsia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65A6"/>
    <w:rsid w:val="000238C2"/>
    <w:rsid w:val="00125822"/>
    <w:rsid w:val="001D3229"/>
    <w:rsid w:val="00214179"/>
    <w:rsid w:val="0028410B"/>
    <w:rsid w:val="003465A6"/>
    <w:rsid w:val="00887C56"/>
    <w:rsid w:val="00D27FE3"/>
    <w:rsid w:val="00D83DBE"/>
    <w:rsid w:val="00FA446D"/>
    <w:rsid w:val="08126163"/>
    <w:rsid w:val="7909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99"/>
    <w:pPr>
      <w:widowControl/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spacing w:line="560" w:lineRule="exact"/>
      <w:jc w:val="center"/>
      <w:textAlignment w:val="baseline"/>
    </w:pPr>
    <w:rPr>
      <w:rFonts w:ascii="宋体" w:hAnsi="宋体" w:eastAsia="宋体" w:cs="Arial"/>
      <w:snapToGrid w:val="0"/>
      <w:color w:val="000000"/>
      <w:kern w:val="0"/>
      <w:szCs w:val="21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99"/>
    <w:rPr>
      <w:rFonts w:ascii="宋体" w:hAnsi="宋体" w:eastAsia="宋体" w:cs="Arial"/>
      <w:snapToGrid w:val="0"/>
      <w:color w:val="000000"/>
      <w:kern w:val="0"/>
      <w:szCs w:val="21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825</Words>
  <Characters>855</Characters>
  <Lines>6</Lines>
  <Paragraphs>1</Paragraphs>
  <TotalTime>11</TotalTime>
  <ScaleCrop>false</ScaleCrop>
  <LinksUpToDate>false</LinksUpToDate>
  <CharactersWithSpaces>857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2025-04-11T07:00:00Z</dcterms:created>
  <dc:creator>Administrator</dc:creator>
  <cp:lastModifiedBy>WPS_1652064135</cp:lastModifiedBy>
  <dcterms:modified xsi:type="dcterms:W3CDTF">2025-04-21T07:09:48Z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eyJoZGlkIjoiNDMyNzkwNzZlMTRiYzE0YzA1NzE4MDVhYTlkMTMyMmEiLCJ1c2VySWQiOiIxMzY3ODQzNzU4In0=</vt:lpwstr>
  </property>
  <property fmtid="{D5CDD505-2E9C-101B-9397-08002B2CF9AE}" pid="3" name="KSOProductBuildVer">
    <vt:lpwstr>2052-12.1.0.20784</vt:lpwstr>
  </property>
  <property fmtid="{D5CDD505-2E9C-101B-9397-08002B2CF9AE}" pid="4" name="ICV">
    <vt:lpwstr>C5858DF6C72E4058A303647823EBFD64_12</vt:lpwstr>
  </property>
</Properties>
</file>