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F09763">
      <w:pPr>
        <w:rPr>
          <w:rFonts w:hint="eastAsia" w:ascii="Times New Roman" w:hAnsi="Times New Roman" w:eastAsia="黑体" w:cs="Times New Roman"/>
          <w:sz w:val="32"/>
          <w:szCs w:val="32"/>
          <w:lang w:val="en-US" w:eastAsia="zh-CN"/>
        </w:rPr>
      </w:pPr>
      <w:bookmarkStart w:id="0" w:name="_GoBack"/>
      <w:bookmarkEnd w:id="0"/>
      <w:r>
        <w:rPr>
          <w:rFonts w:hint="default" w:ascii="Times New Roman" w:hAnsi="Times New Roman" w:eastAsia="黑体" w:cs="Times New Roman"/>
          <w:sz w:val="32"/>
          <w:szCs w:val="32"/>
        </w:rPr>
        <w:t>附件</w:t>
      </w:r>
      <w:r>
        <w:rPr>
          <w:rFonts w:hint="eastAsia" w:ascii="Times New Roman" w:hAnsi="Times New Roman" w:eastAsia="黑体" w:cs="Times New Roman"/>
          <w:sz w:val="32"/>
          <w:szCs w:val="32"/>
          <w:lang w:val="en-US" w:eastAsia="zh-CN"/>
        </w:rPr>
        <w:t>3</w:t>
      </w:r>
    </w:p>
    <w:p w14:paraId="31E48C9A">
      <w:pPr>
        <w:spacing w:line="600" w:lineRule="exact"/>
        <w:rPr>
          <w:rFonts w:hint="default" w:ascii="Times New Roman" w:hAnsi="Times New Roman" w:eastAsia="黑体" w:cs="Times New Roman"/>
          <w:sz w:val="32"/>
          <w:szCs w:val="32"/>
        </w:rPr>
      </w:pPr>
    </w:p>
    <w:p w14:paraId="40246457">
      <w:pPr>
        <w:spacing w:line="600" w:lineRule="exact"/>
        <w:rPr>
          <w:rFonts w:hint="default" w:ascii="Times New Roman" w:hAnsi="Times New Roman" w:eastAsia="黑体" w:cs="Times New Roman"/>
          <w:sz w:val="32"/>
          <w:szCs w:val="32"/>
        </w:rPr>
      </w:pPr>
    </w:p>
    <w:p w14:paraId="6B9335B2">
      <w:pPr>
        <w:pStyle w:val="10"/>
        <w:rPr>
          <w:rFonts w:hint="default"/>
        </w:rPr>
      </w:pPr>
    </w:p>
    <w:p w14:paraId="45C7F726">
      <w:pPr>
        <w:spacing w:line="600" w:lineRule="exact"/>
        <w:rPr>
          <w:rFonts w:hint="default" w:ascii="Times New Roman" w:hAnsi="Times New Roman" w:eastAsia="黑体" w:cs="Times New Roman"/>
          <w:sz w:val="32"/>
          <w:szCs w:val="32"/>
        </w:rPr>
      </w:pPr>
    </w:p>
    <w:p w14:paraId="495D0C52">
      <w:pPr>
        <w:spacing w:line="600" w:lineRule="exact"/>
        <w:rPr>
          <w:rFonts w:hint="default" w:ascii="Times New Roman" w:hAnsi="Times New Roman" w:eastAsia="黑体" w:cs="Times New Roman"/>
          <w:sz w:val="32"/>
          <w:szCs w:val="32"/>
        </w:rPr>
      </w:pPr>
    </w:p>
    <w:p w14:paraId="29295C0D">
      <w:pPr>
        <w:jc w:val="center"/>
        <w:rPr>
          <w:rFonts w:hint="default" w:ascii="Times New Roman" w:hAnsi="Times New Roman" w:eastAsia="方正小标宋_GBK" w:cs="Times New Roman"/>
          <w:sz w:val="52"/>
          <w:szCs w:val="52"/>
        </w:rPr>
      </w:pPr>
      <w:r>
        <w:rPr>
          <w:rFonts w:hint="default" w:ascii="Times New Roman" w:hAnsi="Times New Roman" w:eastAsia="方正小标宋_GBK" w:cs="Times New Roman"/>
          <w:sz w:val="52"/>
          <w:szCs w:val="52"/>
        </w:rPr>
        <w:t>202</w:t>
      </w:r>
      <w:r>
        <w:rPr>
          <w:rFonts w:hint="eastAsia" w:ascii="Times New Roman" w:hAnsi="Times New Roman" w:eastAsia="方正小标宋_GBK" w:cs="Times New Roman"/>
          <w:sz w:val="52"/>
          <w:szCs w:val="52"/>
          <w:lang w:val="en-US" w:eastAsia="zh-CN"/>
        </w:rPr>
        <w:t>4</w:t>
      </w:r>
      <w:r>
        <w:rPr>
          <w:rFonts w:hint="default" w:ascii="Times New Roman" w:hAnsi="Times New Roman" w:eastAsia="方正小标宋_GBK" w:cs="Times New Roman"/>
          <w:sz w:val="52"/>
          <w:szCs w:val="52"/>
        </w:rPr>
        <w:t>年度</w:t>
      </w:r>
      <w:r>
        <w:rPr>
          <w:rFonts w:hint="eastAsia" w:ascii="Times New Roman" w:hAnsi="Times New Roman" w:eastAsia="方正小标宋_GBK" w:cs="Times New Roman"/>
          <w:sz w:val="52"/>
          <w:szCs w:val="52"/>
          <w:lang w:eastAsia="zh-CN"/>
        </w:rPr>
        <w:t>江华国有林场</w:t>
      </w:r>
      <w:r>
        <w:rPr>
          <w:rFonts w:hint="default" w:ascii="Times New Roman" w:hAnsi="Times New Roman" w:eastAsia="方正小标宋_GBK" w:cs="Times New Roman"/>
          <w:sz w:val="52"/>
          <w:szCs w:val="52"/>
        </w:rPr>
        <w:t>省级财政</w:t>
      </w:r>
    </w:p>
    <w:p w14:paraId="655A354B">
      <w:pPr>
        <w:jc w:val="center"/>
        <w:rPr>
          <w:rFonts w:hint="default" w:ascii="Times New Roman" w:hAnsi="Times New Roman" w:eastAsia="方正小标宋_GBK" w:cs="Times New Roman"/>
          <w:sz w:val="52"/>
          <w:szCs w:val="52"/>
        </w:rPr>
      </w:pPr>
      <w:r>
        <w:rPr>
          <w:rFonts w:hint="default" w:ascii="Times New Roman" w:hAnsi="Times New Roman" w:eastAsia="方正小标宋_GBK" w:cs="Times New Roman"/>
          <w:sz w:val="52"/>
          <w:szCs w:val="52"/>
        </w:rPr>
        <w:t>专项资金绩效自评报告</w:t>
      </w:r>
    </w:p>
    <w:p w14:paraId="467634EE">
      <w:pPr>
        <w:jc w:val="center"/>
        <w:rPr>
          <w:rFonts w:hint="default" w:ascii="Times New Roman" w:hAnsi="Times New Roman" w:eastAsia="黑体" w:cs="Times New Roman"/>
          <w:sz w:val="32"/>
          <w:szCs w:val="32"/>
        </w:rPr>
      </w:pPr>
    </w:p>
    <w:p w14:paraId="04E6A6D1">
      <w:pPr>
        <w:jc w:val="center"/>
        <w:rPr>
          <w:rFonts w:hint="default" w:ascii="Times New Roman" w:hAnsi="Times New Roman" w:eastAsia="黑体" w:cs="Times New Roman"/>
          <w:sz w:val="32"/>
          <w:szCs w:val="32"/>
        </w:rPr>
      </w:pPr>
    </w:p>
    <w:p w14:paraId="3770F53C">
      <w:pPr>
        <w:jc w:val="center"/>
        <w:rPr>
          <w:rFonts w:hint="default" w:ascii="Times New Roman" w:hAnsi="Times New Roman" w:eastAsia="黑体" w:cs="Times New Roman"/>
          <w:sz w:val="32"/>
          <w:szCs w:val="32"/>
        </w:rPr>
      </w:pPr>
    </w:p>
    <w:p w14:paraId="70D385D3">
      <w:pPr>
        <w:jc w:val="center"/>
        <w:rPr>
          <w:rFonts w:hint="default" w:ascii="Times New Roman" w:hAnsi="Times New Roman" w:eastAsia="黑体" w:cs="Times New Roman"/>
          <w:sz w:val="32"/>
          <w:szCs w:val="32"/>
        </w:rPr>
      </w:pPr>
    </w:p>
    <w:p w14:paraId="6AE166AE">
      <w:pPr>
        <w:pStyle w:val="10"/>
        <w:rPr>
          <w:rFonts w:hint="default" w:ascii="Times New Roman" w:hAnsi="Times New Roman" w:eastAsia="黑体" w:cs="Times New Roman"/>
          <w:sz w:val="32"/>
          <w:szCs w:val="32"/>
        </w:rPr>
      </w:pPr>
    </w:p>
    <w:p w14:paraId="6C46676E">
      <w:pPr>
        <w:pStyle w:val="11"/>
        <w:rPr>
          <w:rFonts w:hint="default"/>
        </w:rPr>
      </w:pPr>
    </w:p>
    <w:p w14:paraId="513A5628">
      <w:pPr>
        <w:jc w:val="center"/>
        <w:rPr>
          <w:rFonts w:hint="default" w:ascii="Times New Roman" w:hAnsi="Times New Roman" w:eastAsia="黑体" w:cs="Times New Roman"/>
          <w:sz w:val="32"/>
          <w:szCs w:val="32"/>
        </w:rPr>
      </w:pPr>
    </w:p>
    <w:p w14:paraId="19F0E561">
      <w:pPr>
        <w:jc w:val="center"/>
        <w:rPr>
          <w:rFonts w:hint="default" w:ascii="Times New Roman" w:hAnsi="Times New Roman" w:eastAsia="黑体" w:cs="Times New Roman"/>
          <w:sz w:val="32"/>
          <w:szCs w:val="32"/>
        </w:rPr>
      </w:pPr>
    </w:p>
    <w:p w14:paraId="356FA6D9">
      <w:pPr>
        <w:jc w:val="center"/>
        <w:rPr>
          <w:rFonts w:hint="default" w:ascii="Times New Roman" w:hAnsi="Times New Roman" w:eastAsia="黑体" w:cs="Times New Roman"/>
          <w:sz w:val="32"/>
          <w:szCs w:val="32"/>
        </w:rPr>
      </w:pPr>
    </w:p>
    <w:p w14:paraId="0B178B60">
      <w:pPr>
        <w:spacing w:line="600" w:lineRule="exact"/>
        <w:ind w:firstLine="1920" w:firstLineChars="600"/>
        <w:rPr>
          <w:rFonts w:hint="eastAsia" w:ascii="Times New Roman" w:hAnsi="Times New Roman" w:eastAsia="仿宋_GB2312" w:cs="Times New Roman"/>
          <w:sz w:val="32"/>
          <w:szCs w:val="32"/>
          <w:u w:val="single"/>
          <w:lang w:eastAsia="zh-CN"/>
        </w:rPr>
      </w:pPr>
      <w:r>
        <w:rPr>
          <w:rFonts w:hint="default" w:ascii="Times New Roman" w:hAnsi="Times New Roman" w:eastAsia="仿宋_GB2312" w:cs="Times New Roman"/>
          <w:sz w:val="32"/>
          <w:szCs w:val="32"/>
        </w:rPr>
        <w:t>部门（单位）名称：</w:t>
      </w:r>
      <w:r>
        <w:rPr>
          <w:rFonts w:hint="eastAsia" w:ascii="Times New Roman" w:hAnsi="Times New Roman" w:eastAsia="仿宋_GB2312" w:cs="Times New Roman"/>
          <w:sz w:val="32"/>
          <w:szCs w:val="32"/>
          <w:u w:val="single"/>
          <w:lang w:eastAsia="zh-CN"/>
        </w:rPr>
        <w:t>江华国有林场</w:t>
      </w:r>
    </w:p>
    <w:p w14:paraId="4C68B2C4">
      <w:pPr>
        <w:spacing w:line="600" w:lineRule="exact"/>
        <w:ind w:firstLine="3200" w:firstLineChars="1000"/>
        <w:rPr>
          <w:rFonts w:hint="default" w:ascii="Times New Roman" w:hAnsi="Times New Roman" w:eastAsia="楷体_GB2312" w:cs="Times New Roman"/>
          <w:sz w:val="32"/>
          <w:szCs w:val="32"/>
        </w:rPr>
      </w:pPr>
      <w:r>
        <w:rPr>
          <w:rFonts w:hint="eastAsia" w:ascii="Times New Roman" w:hAnsi="Times New Roman" w:eastAsia="楷体_GB2312" w:cs="Times New Roman"/>
          <w:sz w:val="32"/>
          <w:szCs w:val="32"/>
          <w:lang w:val="en-US" w:eastAsia="zh-CN"/>
        </w:rPr>
        <w:t>2025</w:t>
      </w:r>
      <w:r>
        <w:rPr>
          <w:rFonts w:hint="default" w:ascii="Times New Roman" w:hAnsi="Times New Roman" w:eastAsia="楷体_GB2312" w:cs="Times New Roman"/>
          <w:sz w:val="32"/>
          <w:szCs w:val="32"/>
        </w:rPr>
        <w:t>年</w:t>
      </w:r>
      <w:r>
        <w:rPr>
          <w:rFonts w:hint="eastAsia" w:ascii="Times New Roman" w:hAnsi="Times New Roman" w:eastAsia="楷体_GB2312" w:cs="Times New Roman"/>
          <w:sz w:val="32"/>
          <w:szCs w:val="32"/>
          <w:lang w:val="en-US" w:eastAsia="zh-CN"/>
        </w:rPr>
        <w:t>3</w:t>
      </w:r>
      <w:r>
        <w:rPr>
          <w:rFonts w:hint="default" w:ascii="Times New Roman" w:hAnsi="Times New Roman" w:eastAsia="楷体_GB2312" w:cs="Times New Roman"/>
          <w:sz w:val="32"/>
          <w:szCs w:val="32"/>
        </w:rPr>
        <w:t>月</w:t>
      </w:r>
      <w:r>
        <w:rPr>
          <w:rFonts w:hint="eastAsia" w:ascii="Times New Roman" w:hAnsi="Times New Roman" w:eastAsia="楷体_GB2312" w:cs="Times New Roman"/>
          <w:sz w:val="32"/>
          <w:szCs w:val="32"/>
          <w:lang w:val="en-US" w:eastAsia="zh-CN"/>
        </w:rPr>
        <w:t>25</w:t>
      </w:r>
      <w:r>
        <w:rPr>
          <w:rFonts w:hint="default" w:ascii="Times New Roman" w:hAnsi="Times New Roman" w:eastAsia="楷体_GB2312" w:cs="Times New Roman"/>
          <w:sz w:val="32"/>
          <w:szCs w:val="32"/>
        </w:rPr>
        <w:t>日</w:t>
      </w:r>
    </w:p>
    <w:p w14:paraId="10AB2EA3">
      <w:pPr>
        <w:jc w:val="center"/>
        <w:rPr>
          <w:rFonts w:hint="default" w:ascii="Times New Roman" w:hAnsi="Times New Roman" w:eastAsia="黑体" w:cs="Times New Roman"/>
          <w:sz w:val="32"/>
          <w:szCs w:val="32"/>
        </w:rPr>
      </w:pPr>
    </w:p>
    <w:p w14:paraId="4FEEB423">
      <w:pPr>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br w:type="page"/>
      </w:r>
    </w:p>
    <w:p w14:paraId="050154DB">
      <w:pPr>
        <w:jc w:val="center"/>
        <w:rPr>
          <w:rFonts w:hint="eastAsia"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202</w:t>
      </w:r>
      <w:r>
        <w:rPr>
          <w:rFonts w:hint="eastAsia" w:ascii="方正小标宋_GBK" w:hAnsi="方正小标宋_GBK" w:eastAsia="方正小标宋_GBK" w:cs="方正小标宋_GBK"/>
          <w:sz w:val="36"/>
          <w:szCs w:val="36"/>
          <w:lang w:val="en-US" w:eastAsia="zh-CN"/>
        </w:rPr>
        <w:t>4</w:t>
      </w:r>
      <w:r>
        <w:rPr>
          <w:rFonts w:hint="eastAsia" w:ascii="方正小标宋_GBK" w:hAnsi="方正小标宋_GBK" w:eastAsia="方正小标宋_GBK" w:cs="方正小标宋_GBK"/>
          <w:sz w:val="36"/>
          <w:szCs w:val="36"/>
        </w:rPr>
        <w:t>年度</w:t>
      </w:r>
      <w:r>
        <w:rPr>
          <w:rFonts w:hint="eastAsia" w:ascii="方正小标宋_GBK" w:hAnsi="方正小标宋_GBK" w:eastAsia="方正小标宋_GBK" w:cs="方正小标宋_GBK"/>
          <w:color w:val="000000"/>
          <w:sz w:val="36"/>
          <w:szCs w:val="36"/>
          <w:lang w:eastAsia="zh-CN"/>
        </w:rPr>
        <w:t>江华国有林场</w:t>
      </w:r>
      <w:r>
        <w:rPr>
          <w:rFonts w:hint="eastAsia" w:ascii="方正小标宋_GBK" w:hAnsi="方正小标宋_GBK" w:eastAsia="方正小标宋_GBK" w:cs="方正小标宋_GBK"/>
          <w:sz w:val="36"/>
          <w:szCs w:val="36"/>
        </w:rPr>
        <w:t>省级财政</w:t>
      </w:r>
    </w:p>
    <w:p w14:paraId="259610C2">
      <w:pPr>
        <w:jc w:val="center"/>
        <w:rPr>
          <w:rFonts w:hint="eastAsia"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专项资金绩效自评报告</w:t>
      </w:r>
    </w:p>
    <w:p w14:paraId="6315C19F">
      <w:pPr>
        <w:ind w:firstLine="640" w:firstLineChars="200"/>
        <w:rPr>
          <w:rFonts w:hint="default" w:ascii="Times New Roman" w:hAnsi="Times New Roman" w:eastAsia="黑体" w:cs="Times New Roman"/>
          <w:sz w:val="32"/>
          <w:szCs w:val="32"/>
        </w:rPr>
      </w:pPr>
    </w:p>
    <w:p w14:paraId="3C6B55E9">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一、预算支出概况</w:t>
      </w:r>
    </w:p>
    <w:p w14:paraId="19960DB4">
      <w:pPr>
        <w:adjustRightInd w:val="0"/>
        <w:snapToGrid w:val="0"/>
        <w:spacing w:line="600" w:lineRule="exact"/>
        <w:ind w:firstLine="640" w:firstLineChars="200"/>
        <w:rPr>
          <w:rFonts w:hint="eastAsia" w:ascii="仿宋" w:hAnsi="仿宋" w:eastAsia="仿宋" w:cs="仿宋"/>
          <w:spacing w:val="6"/>
          <w:sz w:val="32"/>
          <w:szCs w:val="32"/>
          <w:lang w:eastAsia="zh-CN"/>
        </w:rPr>
      </w:pPr>
      <w:r>
        <w:rPr>
          <w:rFonts w:hint="eastAsia" w:ascii="Times New Roman" w:hAnsi="Times New Roman" w:eastAsia="方正仿宋_GB2312" w:cs="Times New Roman"/>
          <w:color w:val="auto"/>
          <w:kern w:val="0"/>
          <w:sz w:val="32"/>
          <w:szCs w:val="32"/>
          <w:lang w:val="en-US" w:eastAsia="zh-CN" w:bidi="ar"/>
        </w:rPr>
        <w:t>（</w:t>
      </w:r>
      <w:r>
        <w:rPr>
          <w:rFonts w:hint="default" w:ascii="Times New Roman" w:hAnsi="Times New Roman" w:eastAsia="方正仿宋_GB2312" w:cs="Times New Roman"/>
          <w:color w:val="auto"/>
          <w:kern w:val="0"/>
          <w:sz w:val="32"/>
          <w:szCs w:val="32"/>
          <w:lang w:val="en-US" w:eastAsia="zh-CN" w:bidi="ar"/>
        </w:rPr>
        <w:t>一）项目实施单位基本情况</w:t>
      </w:r>
    </w:p>
    <w:p w14:paraId="24398227">
      <w:pPr>
        <w:pStyle w:val="9"/>
        <w:keepNext w:val="0"/>
        <w:keepLines w:val="0"/>
        <w:pageBreakBefore w:val="0"/>
        <w:widowControl w:val="0"/>
        <w:kinsoku/>
        <w:wordWrap/>
        <w:overflowPunct w:val="0"/>
        <w:topLinePunct/>
        <w:autoSpaceDE/>
        <w:autoSpaceDN/>
        <w:bidi w:val="0"/>
        <w:adjustRightInd/>
        <w:snapToGrid/>
        <w:spacing w:before="0" w:beforeLines="0" w:beforeAutospacing="0" w:after="0" w:afterLines="0" w:line="580" w:lineRule="exact"/>
        <w:ind w:left="0" w:leftChars="0" w:right="0" w:rightChars="0" w:firstLine="640" w:firstLineChars="200"/>
        <w:jc w:val="both"/>
        <w:textAlignment w:val="auto"/>
        <w:outlineLvl w:val="9"/>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eastAsia="zh-CN"/>
        </w:rPr>
        <w:t>江华瑶族自治县江华国有林场</w:t>
      </w:r>
      <w:r>
        <w:rPr>
          <w:rFonts w:hint="eastAsia" w:ascii="仿宋" w:hAnsi="仿宋" w:eastAsia="仿宋" w:cs="仿宋"/>
          <w:b w:val="0"/>
          <w:bCs w:val="0"/>
          <w:sz w:val="32"/>
          <w:szCs w:val="32"/>
        </w:rPr>
        <w:t>始建于1954年，</w:t>
      </w:r>
      <w:r>
        <w:rPr>
          <w:rFonts w:hint="eastAsia" w:ascii="仿宋" w:hAnsi="仿宋" w:eastAsia="仿宋" w:cs="仿宋"/>
          <w:b w:val="0"/>
          <w:bCs w:val="0"/>
          <w:spacing w:val="20"/>
          <w:sz w:val="32"/>
          <w:szCs w:val="32"/>
        </w:rPr>
        <w:t>是湖南省最早建立的七</w:t>
      </w:r>
      <w:r>
        <w:rPr>
          <w:rFonts w:hint="eastAsia" w:ascii="仿宋" w:hAnsi="仿宋" w:eastAsia="仿宋" w:cs="仿宋"/>
          <w:b w:val="0"/>
          <w:bCs w:val="0"/>
          <w:spacing w:val="8"/>
          <w:sz w:val="32"/>
          <w:szCs w:val="32"/>
        </w:rPr>
        <w:t>大国营林场之一</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自2015年国有林场改革后正式隶属于江华瑶族自治县政府管理，为公益一类正处级事业单位。</w:t>
      </w:r>
    </w:p>
    <w:p w14:paraId="16AC494C">
      <w:pPr>
        <w:pStyle w:val="9"/>
        <w:keepNext w:val="0"/>
        <w:keepLines w:val="0"/>
        <w:pageBreakBefore w:val="0"/>
        <w:widowControl w:val="0"/>
        <w:kinsoku/>
        <w:wordWrap/>
        <w:overflowPunct w:val="0"/>
        <w:topLinePunct/>
        <w:autoSpaceDE/>
        <w:autoSpaceDN/>
        <w:bidi w:val="0"/>
        <w:adjustRightInd/>
        <w:snapToGrid/>
        <w:spacing w:before="0" w:beforeLines="0" w:beforeAutospacing="0" w:after="0" w:afterLines="0" w:line="580" w:lineRule="exact"/>
        <w:ind w:left="0" w:leftChars="0" w:right="0" w:rightChars="0" w:firstLine="640" w:firstLineChars="200"/>
        <w:jc w:val="both"/>
        <w:textAlignment w:val="auto"/>
        <w:outlineLvl w:val="9"/>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目前林场机构设置为：场总部设政工科、纪委（监察）、工会、劳动社保科、综治维稳（森林管护）办、企业管理科、营林科、森工（销售）科、财务科、办公室等10个科（委、室），下辖码市、麻江、水口、涛圩、务江五个分场及华林公司、木材公司等。全场现有在职职工846人，离退休人员1684人。在岗职工248人（大专学历以上人数177人）。专业技术人员158人，其中专业技术人员46人，具有中高级林业技术职称人员6人。</w:t>
      </w:r>
    </w:p>
    <w:p w14:paraId="38E7AF68">
      <w:pPr>
        <w:pStyle w:val="9"/>
        <w:keepNext w:val="0"/>
        <w:keepLines w:val="0"/>
        <w:pageBreakBefore w:val="0"/>
        <w:widowControl w:val="0"/>
        <w:kinsoku/>
        <w:wordWrap/>
        <w:overflowPunct w:val="0"/>
        <w:topLinePunct/>
        <w:autoSpaceDE/>
        <w:autoSpaceDN/>
        <w:bidi w:val="0"/>
        <w:adjustRightInd/>
        <w:snapToGrid/>
        <w:spacing w:before="0" w:beforeLines="0" w:beforeAutospacing="0" w:after="0" w:afterLines="0" w:line="580" w:lineRule="exact"/>
        <w:ind w:left="0" w:leftChars="0" w:right="0" w:rightChars="0" w:firstLine="640" w:firstLineChars="200"/>
        <w:jc w:val="both"/>
        <w:textAlignment w:val="auto"/>
        <w:outlineLvl w:val="9"/>
        <w:rPr>
          <w:rFonts w:hint="default" w:ascii="仿宋" w:hAnsi="仿宋" w:eastAsia="仿宋" w:cs="仿宋"/>
          <w:b w:val="0"/>
          <w:bCs w:val="0"/>
          <w:sz w:val="32"/>
          <w:szCs w:val="32"/>
          <w:lang w:val="en-US" w:eastAsia="zh-CN"/>
        </w:rPr>
      </w:pPr>
      <w:r>
        <w:rPr>
          <w:rFonts w:hint="eastAsia" w:ascii="仿宋" w:hAnsi="仿宋" w:eastAsia="仿宋" w:cs="仿宋"/>
          <w:b w:val="0"/>
          <w:bCs w:val="0"/>
          <w:sz w:val="32"/>
          <w:szCs w:val="32"/>
          <w:lang w:eastAsia="zh-CN"/>
        </w:rPr>
        <w:t>全场经营总面积</w:t>
      </w:r>
      <w:r>
        <w:rPr>
          <w:rFonts w:hint="eastAsia" w:ascii="仿宋" w:hAnsi="仿宋" w:eastAsia="仿宋" w:cs="仿宋"/>
          <w:b w:val="0"/>
          <w:bCs w:val="0"/>
          <w:sz w:val="32"/>
          <w:szCs w:val="32"/>
          <w:lang w:val="en-US" w:eastAsia="zh-CN"/>
        </w:rPr>
        <w:t>36.8万亩，其中林业用地面积36.5万亩，生态公益林面积24.2万亩。森林覆盖率95%。全场森林蓄积量257万立方米，其中：幼龄林蓄积量10.9万立方米，中龄林蓄积量104.7万立方米，近熟林蓄积量31.8万立方米，成过熟林蓄积量109.6万立方米。</w:t>
      </w:r>
    </w:p>
    <w:p w14:paraId="013BC02D">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rtl w:val="0"/>
          <w:lang w:val="en-US" w:eastAsia="zh-CN" w:bidi="ar"/>
        </w:rPr>
      </w:pPr>
      <w:r>
        <w:rPr>
          <w:rFonts w:hint="eastAsia" w:ascii="Times New Roman" w:hAnsi="Times New Roman" w:eastAsia="方正仿宋_GB2312" w:cs="Times New Roman"/>
          <w:color w:val="auto"/>
          <w:kern w:val="0"/>
          <w:sz w:val="32"/>
          <w:szCs w:val="32"/>
          <w:rtl w:val="0"/>
          <w:lang w:val="en-US" w:eastAsia="zh-CN" w:bidi="ar"/>
        </w:rPr>
        <w:t>（二）</w:t>
      </w:r>
      <w:r>
        <w:rPr>
          <w:rFonts w:hint="default" w:ascii="Times New Roman" w:hAnsi="Times New Roman" w:eastAsia="方正仿宋_GB2312" w:cs="Times New Roman"/>
          <w:color w:val="auto"/>
          <w:kern w:val="0"/>
          <w:sz w:val="32"/>
          <w:szCs w:val="32"/>
          <w:rtl w:val="0"/>
          <w:lang w:val="en-US" w:eastAsia="zh-CN" w:bidi="ar"/>
        </w:rPr>
        <w:t>预算资金基本情况</w:t>
      </w:r>
    </w:p>
    <w:p w14:paraId="7BC41831">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rtl w:val="0"/>
          <w:lang w:val="en-US" w:eastAsia="zh-CN" w:bidi="ar"/>
        </w:rPr>
        <w:t>2024年省财政下达我单位林业生态保护修复及发展专项资金678万元。其中：森林可持续经营补偿资金638万元、</w:t>
      </w:r>
      <w:r>
        <w:rPr>
          <w:rFonts w:hint="eastAsia" w:ascii="Times New Roman" w:hAnsi="Times New Roman" w:eastAsia="方正仿宋_GB2312" w:cs="Times New Roman"/>
          <w:color w:val="auto"/>
          <w:kern w:val="0"/>
          <w:sz w:val="32"/>
          <w:szCs w:val="32"/>
          <w:lang w:val="en-US" w:eastAsia="zh-CN" w:bidi="ar"/>
        </w:rPr>
        <w:t>林木种苗繁育资金10万元、管护站点建设资金30万元。</w:t>
      </w:r>
    </w:p>
    <w:p w14:paraId="6B2069CA">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default" w:ascii="Times New Roman" w:hAnsi="Times New Roman" w:eastAsia="方正仿宋_GB2312" w:cs="Times New Roman"/>
          <w:color w:val="auto"/>
          <w:kern w:val="0"/>
          <w:sz w:val="32"/>
          <w:szCs w:val="32"/>
          <w:lang w:val="en-US" w:eastAsia="zh-CN" w:bidi="ar"/>
        </w:rPr>
        <w:t>（三）预算资金绩效目标</w:t>
      </w:r>
    </w:p>
    <w:p w14:paraId="2BE0CE7F">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rtl w:val="0"/>
          <w:lang w:val="en-US" w:eastAsia="zh-CN" w:bidi="ar"/>
        </w:rPr>
        <w:t>森林可持续经营</w:t>
      </w:r>
      <w:r>
        <w:rPr>
          <w:rFonts w:hint="eastAsia" w:ascii="Times New Roman" w:hAnsi="Times New Roman" w:eastAsia="方正仿宋_GB2312" w:cs="Times New Roman"/>
          <w:color w:val="auto"/>
          <w:kern w:val="0"/>
          <w:sz w:val="32"/>
          <w:szCs w:val="32"/>
          <w:lang w:val="en-US" w:eastAsia="zh-CN" w:bidi="ar"/>
        </w:rPr>
        <w:t>项目总规模1549.00公顷，其中幼龄林改培617.40公顷，中龄林改培712.60公顷，低效林改培219.00公顷；</w:t>
      </w:r>
      <w:r>
        <w:rPr>
          <w:rFonts w:hint="eastAsia" w:ascii="Times New Roman" w:hAnsi="Times New Roman" w:eastAsia="方正仿宋_GB2312" w:cs="Times New Roman"/>
          <w:color w:val="auto"/>
          <w:kern w:val="0"/>
          <w:sz w:val="32"/>
          <w:szCs w:val="32"/>
          <w:rtl w:val="0"/>
          <w:lang w:val="en-US" w:eastAsia="zh-CN" w:bidi="ar"/>
        </w:rPr>
        <w:t>木荷母树林建设221亩；完成水口分场屋贝口</w:t>
      </w:r>
      <w:r>
        <w:rPr>
          <w:rFonts w:hint="eastAsia" w:ascii="Times New Roman" w:hAnsi="Times New Roman" w:eastAsia="方正仿宋_GB2312" w:cs="Times New Roman"/>
          <w:color w:val="auto"/>
          <w:kern w:val="0"/>
          <w:sz w:val="32"/>
          <w:szCs w:val="32"/>
          <w:lang w:val="en-US" w:eastAsia="zh-CN" w:bidi="ar"/>
        </w:rPr>
        <w:t>管护站点建设。</w:t>
      </w:r>
    </w:p>
    <w:p w14:paraId="70FCEE81">
      <w:pPr>
        <w:tabs>
          <w:tab w:val="left" w:pos="7078"/>
        </w:tabs>
        <w:adjustRightInd w:val="0"/>
        <w:snapToGrid w:val="0"/>
        <w:spacing w:line="600" w:lineRule="exact"/>
        <w:ind w:firstLine="640" w:firstLineChars="200"/>
        <w:rPr>
          <w:rFonts w:hint="eastAsia" w:eastAsia="黑体"/>
          <w:sz w:val="32"/>
          <w:szCs w:val="32"/>
          <w:lang w:eastAsia="zh-CN"/>
        </w:rPr>
      </w:pPr>
      <w:r>
        <w:rPr>
          <w:rFonts w:eastAsia="黑体"/>
          <w:sz w:val="32"/>
          <w:szCs w:val="32"/>
        </w:rPr>
        <w:t>二、预算资金使用及管理情况</w:t>
      </w:r>
      <w:r>
        <w:rPr>
          <w:rFonts w:hint="eastAsia" w:eastAsia="黑体"/>
          <w:sz w:val="32"/>
          <w:szCs w:val="32"/>
          <w:lang w:eastAsia="zh-CN"/>
        </w:rPr>
        <w:tab/>
      </w:r>
    </w:p>
    <w:p w14:paraId="512DFE70">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default" w:ascii="Times New Roman" w:hAnsi="Times New Roman" w:eastAsia="方正仿宋_GB2312" w:cs="Times New Roman"/>
          <w:color w:val="auto"/>
          <w:kern w:val="0"/>
          <w:sz w:val="32"/>
          <w:szCs w:val="32"/>
          <w:lang w:val="en-US" w:eastAsia="zh-CN" w:bidi="ar"/>
        </w:rPr>
        <w:t>（一）预算资金及自筹资金的安排</w:t>
      </w:r>
      <w:r>
        <w:rPr>
          <w:rFonts w:hint="eastAsia" w:ascii="Times New Roman" w:hAnsi="Times New Roman" w:eastAsia="方正仿宋_GB2312" w:cs="Times New Roman"/>
          <w:color w:val="auto"/>
          <w:kern w:val="0"/>
          <w:sz w:val="32"/>
          <w:szCs w:val="32"/>
          <w:lang w:val="en-US" w:eastAsia="zh-CN" w:bidi="ar"/>
        </w:rPr>
        <w:t>及</w:t>
      </w:r>
      <w:r>
        <w:rPr>
          <w:rFonts w:hint="default" w:ascii="Times New Roman" w:hAnsi="Times New Roman" w:eastAsia="方正仿宋_GB2312" w:cs="Times New Roman"/>
          <w:color w:val="auto"/>
          <w:kern w:val="0"/>
          <w:sz w:val="32"/>
          <w:szCs w:val="32"/>
          <w:lang w:val="en-US" w:eastAsia="zh-CN" w:bidi="ar"/>
        </w:rPr>
        <w:t>总投入</w:t>
      </w:r>
    </w:p>
    <w:p w14:paraId="4226B952">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（1）2024省级</w:t>
      </w:r>
      <w:r>
        <w:rPr>
          <w:rFonts w:hint="eastAsia" w:ascii="Times New Roman" w:hAnsi="Times New Roman" w:eastAsia="方正仿宋_GB2312" w:cs="Times New Roman"/>
          <w:color w:val="auto"/>
          <w:kern w:val="0"/>
          <w:sz w:val="32"/>
          <w:szCs w:val="32"/>
          <w:rtl w:val="0"/>
          <w:lang w:val="en-US" w:eastAsia="zh-CN" w:bidi="ar"/>
        </w:rPr>
        <w:t>森林可持续经营补偿资金638万元</w:t>
      </w:r>
      <w:r>
        <w:rPr>
          <w:rFonts w:hint="eastAsia" w:ascii="Times New Roman" w:hAnsi="Times New Roman" w:eastAsia="方正仿宋_GB2312" w:cs="Times New Roman"/>
          <w:color w:val="auto"/>
          <w:kern w:val="0"/>
          <w:sz w:val="32"/>
          <w:szCs w:val="32"/>
          <w:lang w:val="en-US" w:eastAsia="zh-CN" w:bidi="ar"/>
        </w:rPr>
        <w:t>（湘财资环指〔2024〕55号）</w:t>
      </w:r>
    </w:p>
    <w:p w14:paraId="7C8500CB">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（2）2024年省级林木种苗繁育资金10万元（湘财资环指[2024]3号）</w:t>
      </w:r>
    </w:p>
    <w:p w14:paraId="47C1207C">
      <w:pPr>
        <w:adjustRightInd w:val="0"/>
        <w:snapToGrid w:val="0"/>
        <w:spacing w:line="600" w:lineRule="exact"/>
        <w:ind w:firstLine="640" w:firstLineChars="200"/>
        <w:rPr>
          <w:rFonts w:hint="default"/>
          <w:lang w:val="en-US" w:eastAsia="zh-CN"/>
        </w:rPr>
      </w:pPr>
      <w:r>
        <w:rPr>
          <w:rFonts w:hint="eastAsia" w:ascii="Times New Roman" w:hAnsi="Times New Roman" w:eastAsia="方正仿宋_GB2312" w:cs="Times New Roman"/>
          <w:color w:val="auto"/>
          <w:kern w:val="0"/>
          <w:sz w:val="32"/>
          <w:szCs w:val="32"/>
          <w:lang w:val="en-US" w:eastAsia="zh-CN" w:bidi="ar"/>
        </w:rPr>
        <w:t>（4）2024年省级管护站点建设资金30万元（湘财资环指[2024]3号）</w:t>
      </w:r>
    </w:p>
    <w:p w14:paraId="7479BABB">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default" w:ascii="Times New Roman" w:hAnsi="Times New Roman" w:eastAsia="方正仿宋_GB2312" w:cs="Times New Roman"/>
          <w:color w:val="auto"/>
          <w:kern w:val="0"/>
          <w:sz w:val="32"/>
          <w:szCs w:val="32"/>
          <w:lang w:val="en-US" w:eastAsia="zh-CN" w:bidi="ar"/>
        </w:rPr>
        <w:t>（二）预算资金实际</w:t>
      </w:r>
      <w:r>
        <w:rPr>
          <w:rFonts w:hint="eastAsia" w:ascii="Times New Roman" w:hAnsi="Times New Roman" w:eastAsia="方正仿宋_GB2312" w:cs="Times New Roman"/>
          <w:color w:val="auto"/>
          <w:kern w:val="0"/>
          <w:sz w:val="32"/>
          <w:szCs w:val="32"/>
          <w:lang w:val="en-US" w:eastAsia="zh-CN" w:bidi="ar"/>
        </w:rPr>
        <w:t>完成</w:t>
      </w:r>
      <w:r>
        <w:rPr>
          <w:rFonts w:hint="default" w:ascii="Times New Roman" w:hAnsi="Times New Roman" w:eastAsia="方正仿宋_GB2312" w:cs="Times New Roman"/>
          <w:color w:val="auto"/>
          <w:kern w:val="0"/>
          <w:sz w:val="32"/>
          <w:szCs w:val="32"/>
          <w:lang w:val="en-US" w:eastAsia="zh-CN" w:bidi="ar"/>
        </w:rPr>
        <w:t>情况</w:t>
      </w:r>
    </w:p>
    <w:p w14:paraId="675C0515">
      <w:pPr>
        <w:adjustRightInd w:val="0"/>
        <w:snapToGrid w:val="0"/>
        <w:spacing w:line="600" w:lineRule="exact"/>
        <w:ind w:firstLine="640" w:firstLineChars="200"/>
        <w:rPr>
          <w:rFonts w:hint="default"/>
          <w:lang w:val="en-US" w:eastAsia="zh-CN"/>
        </w:rPr>
      </w:pPr>
      <w:r>
        <w:rPr>
          <w:rFonts w:hint="eastAsia" w:ascii="仿宋" w:hAnsi="仿宋" w:eastAsia="仿宋" w:cs="仿宋"/>
          <w:b w:val="0"/>
          <w:bCs w:val="0"/>
          <w:sz w:val="32"/>
          <w:szCs w:val="32"/>
          <w:lang w:eastAsia="zh-CN"/>
        </w:rPr>
        <w:t>江华国有林场</w:t>
      </w:r>
      <w:r>
        <w:rPr>
          <w:rFonts w:hint="eastAsia" w:ascii="Times New Roman" w:hAnsi="Times New Roman" w:eastAsia="方正仿宋_GB2312" w:cs="Times New Roman"/>
          <w:color w:val="auto"/>
          <w:kern w:val="0"/>
          <w:sz w:val="32"/>
          <w:szCs w:val="32"/>
          <w:lang w:val="en-US" w:eastAsia="zh-CN" w:bidi="ar"/>
        </w:rPr>
        <w:t>2024年省级财政专项资金678万元均已到位。</w:t>
      </w:r>
      <w:r>
        <w:rPr>
          <w:rFonts w:hint="eastAsia" w:ascii="仿宋" w:hAnsi="仿宋" w:eastAsia="仿宋" w:cs="仿宋"/>
          <w:b w:val="0"/>
          <w:bCs w:val="0"/>
          <w:sz w:val="32"/>
          <w:szCs w:val="32"/>
          <w:lang w:eastAsia="zh-CN"/>
        </w:rPr>
        <w:t>江华国有林场</w:t>
      </w:r>
      <w:r>
        <w:rPr>
          <w:rFonts w:hint="eastAsia" w:ascii="Times New Roman" w:hAnsi="Times New Roman" w:eastAsia="方正仿宋_GB2312" w:cs="Times New Roman"/>
          <w:color w:val="auto"/>
          <w:kern w:val="0"/>
          <w:sz w:val="32"/>
          <w:szCs w:val="32"/>
          <w:lang w:val="en-US" w:eastAsia="zh-CN" w:bidi="ar"/>
        </w:rPr>
        <w:t>2024年省级财政专项资金实际完成数合计617.47万元。其中：（1）2024省级</w:t>
      </w:r>
      <w:r>
        <w:rPr>
          <w:rFonts w:hint="eastAsia" w:ascii="Times New Roman" w:hAnsi="Times New Roman" w:eastAsia="方正仿宋_GB2312" w:cs="Times New Roman"/>
          <w:color w:val="auto"/>
          <w:kern w:val="0"/>
          <w:sz w:val="32"/>
          <w:szCs w:val="32"/>
          <w:rtl w:val="0"/>
          <w:lang w:val="en-US" w:eastAsia="zh-CN" w:bidi="ar"/>
        </w:rPr>
        <w:t>森林可持续经营补偿资金574万元；</w:t>
      </w:r>
      <w:r>
        <w:rPr>
          <w:rFonts w:hint="eastAsia" w:ascii="Times New Roman" w:hAnsi="Times New Roman" w:eastAsia="方正仿宋_GB2312" w:cs="Times New Roman"/>
          <w:color w:val="auto"/>
          <w:kern w:val="0"/>
          <w:sz w:val="32"/>
          <w:szCs w:val="32"/>
          <w:lang w:val="en-US" w:eastAsia="zh-CN" w:bidi="ar"/>
        </w:rPr>
        <w:t>（2）2024年省级林木种苗繁育资金12.39万元；（3）2024年省级管护站点建设资金31.08万元。</w:t>
      </w:r>
    </w:p>
    <w:p w14:paraId="1EEA73DD">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（三）</w:t>
      </w:r>
      <w:r>
        <w:rPr>
          <w:rFonts w:hint="default" w:ascii="Times New Roman" w:hAnsi="Times New Roman" w:eastAsia="方正仿宋_GB2312" w:cs="Times New Roman"/>
          <w:color w:val="auto"/>
          <w:kern w:val="0"/>
          <w:sz w:val="32"/>
          <w:szCs w:val="32"/>
          <w:lang w:val="en-US" w:eastAsia="zh-CN" w:bidi="ar"/>
        </w:rPr>
        <w:t>预算资金管理情况</w:t>
      </w:r>
    </w:p>
    <w:p w14:paraId="2C054B7D">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eastAsia" w:ascii="仿宋" w:hAnsi="仿宋" w:eastAsia="仿宋" w:cs="仿宋"/>
          <w:b w:val="0"/>
          <w:bCs w:val="0"/>
          <w:sz w:val="32"/>
          <w:szCs w:val="32"/>
          <w:lang w:eastAsia="zh-CN"/>
        </w:rPr>
        <w:t>江华国有林场</w:t>
      </w:r>
      <w:r>
        <w:rPr>
          <w:rFonts w:hint="eastAsia" w:ascii="Times New Roman" w:hAnsi="Times New Roman" w:eastAsia="方正仿宋_GB2312" w:cs="Times New Roman"/>
          <w:color w:val="auto"/>
          <w:kern w:val="0"/>
          <w:sz w:val="32"/>
          <w:szCs w:val="32"/>
          <w:lang w:val="en-US" w:eastAsia="zh-CN" w:bidi="ar"/>
        </w:rPr>
        <w:t>严格按照相关文件要求，在资金申报过程中做到层层把关，保证公平、公正，没有出现多头申报、虚报冒领、套取资金等违反规定的行为。在资金管理使用上，我们切实做到“严管林、慎用钱、质为先”，严格按照项目资金管理的有关规定，强化项目实施过程中的资金监管工作，确保项目资金安全运行。</w:t>
      </w:r>
    </w:p>
    <w:p w14:paraId="1DDCC43A">
      <w:pPr>
        <w:numPr>
          <w:ilvl w:val="0"/>
          <w:numId w:val="0"/>
        </w:numPr>
        <w:adjustRightInd w:val="0"/>
        <w:snapToGrid w:val="0"/>
        <w:spacing w:line="600" w:lineRule="exact"/>
        <w:ind w:firstLine="640" w:firstLineChars="200"/>
        <w:rPr>
          <w:rFonts w:eastAsia="黑体"/>
          <w:sz w:val="32"/>
          <w:szCs w:val="32"/>
        </w:rPr>
      </w:pPr>
      <w:r>
        <w:rPr>
          <w:rFonts w:eastAsia="黑体"/>
          <w:sz w:val="32"/>
          <w:szCs w:val="32"/>
        </w:rPr>
        <w:t>三、预算支出组织实施情况</w:t>
      </w:r>
    </w:p>
    <w:p w14:paraId="7FBBE48E">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default" w:ascii="Times New Roman" w:hAnsi="Times New Roman" w:eastAsia="方正仿宋_GB2312" w:cs="Times New Roman"/>
          <w:color w:val="auto"/>
          <w:kern w:val="0"/>
          <w:sz w:val="32"/>
          <w:szCs w:val="32"/>
          <w:lang w:val="en-US" w:eastAsia="zh-CN" w:bidi="ar"/>
        </w:rPr>
        <w:t>（</w:t>
      </w:r>
      <w:r>
        <w:rPr>
          <w:rFonts w:hint="default" w:ascii="Times New Roman" w:hAnsi="Times New Roman" w:eastAsia="方正仿宋_GB2312" w:cs="Times New Roman"/>
          <w:color w:val="auto"/>
          <w:kern w:val="0"/>
          <w:sz w:val="32"/>
          <w:szCs w:val="32"/>
          <w:lang w:val="en-US" w:eastAsia="zh-CN" w:bidi="ar"/>
        </w:rPr>
        <w:t>一）资金使用管理情况</w:t>
      </w:r>
    </w:p>
    <w:p w14:paraId="05360CF0">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所有资金严格按照</w:t>
      </w:r>
      <w:r>
        <w:rPr>
          <w:rFonts w:hint="eastAsia" w:ascii="仿宋" w:hAnsi="仿宋" w:eastAsia="仿宋" w:cs="仿宋"/>
          <w:i w:val="0"/>
          <w:caps w:val="0"/>
          <w:color w:val="333333"/>
          <w:spacing w:val="0"/>
          <w:sz w:val="32"/>
          <w:szCs w:val="32"/>
          <w:shd w:val="clear" w:color="auto" w:fill="FFFFFF"/>
        </w:rPr>
        <w:t>《中华人民共和国预算法》</w:t>
      </w:r>
      <w:r>
        <w:rPr>
          <w:rFonts w:hint="eastAsia" w:ascii="仿宋" w:hAnsi="仿宋" w:eastAsia="仿宋" w:cs="仿宋"/>
          <w:i w:val="0"/>
          <w:caps w:val="0"/>
          <w:color w:val="333333"/>
          <w:spacing w:val="0"/>
          <w:sz w:val="32"/>
          <w:szCs w:val="32"/>
          <w:shd w:val="clear" w:color="auto" w:fill="FFFFFF"/>
          <w:lang w:eastAsia="zh-CN"/>
        </w:rPr>
        <w:t>、</w:t>
      </w:r>
      <w:r>
        <w:rPr>
          <w:rFonts w:hint="eastAsia" w:ascii="Times New Roman" w:hAnsi="Times New Roman" w:eastAsia="方正仿宋_GB2312" w:cs="Times New Roman"/>
          <w:color w:val="auto"/>
          <w:kern w:val="0"/>
          <w:sz w:val="32"/>
          <w:szCs w:val="32"/>
          <w:lang w:val="en-US" w:eastAsia="zh-CN" w:bidi="ar"/>
        </w:rPr>
        <w:t>《财政部、国家林业局关于印发&lt;林业改革发展管理办法&gt;的通知》（财农〔2016〕196号）及《财政部国家林业局关于印发&lt;中央财政林业补助管理办法&gt;的通知》（财农〔2014〕9号）文件精神有关规定执行，实行分账核算，专款专用。严格</w:t>
      </w:r>
      <w:r>
        <w:rPr>
          <w:rFonts w:hint="eastAsia" w:ascii="Times New Roman" w:hAnsi="Times New Roman" w:eastAsia="方正仿宋_GB2312" w:cs="Times New Roman"/>
          <w:color w:val="auto"/>
          <w:kern w:val="0"/>
          <w:sz w:val="32"/>
          <w:szCs w:val="32"/>
          <w:lang w:val="en-US" w:eastAsia="zh-CN" w:bidi="ar"/>
        </w:rPr>
        <w:t>专项</w:t>
      </w:r>
      <w:r>
        <w:rPr>
          <w:rFonts w:hint="eastAsia" w:ascii="Times New Roman" w:hAnsi="Times New Roman" w:eastAsia="方正仿宋_GB2312" w:cs="Times New Roman"/>
          <w:color w:val="auto"/>
          <w:kern w:val="0"/>
          <w:sz w:val="32"/>
          <w:szCs w:val="32"/>
          <w:lang w:val="en-US" w:eastAsia="zh-CN" w:bidi="ar"/>
        </w:rPr>
        <w:t>资金运行制度，严禁截留、挤占、挪用补贴资金，确保资金安全高效地发挥投资效益。对违反专项资金使用规定，截留、挪用或造成资金损失的单位或个人，依照《财政违法行为处罚处分条例》（国务院令第427号）以及有关法律、行政法规的规定处理。</w:t>
      </w:r>
    </w:p>
    <w:p w14:paraId="4DB1C316">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（二）</w:t>
      </w:r>
      <w:r>
        <w:rPr>
          <w:rFonts w:hint="default" w:ascii="Times New Roman" w:hAnsi="Times New Roman" w:eastAsia="方正仿宋_GB2312" w:cs="Times New Roman"/>
          <w:color w:val="auto"/>
          <w:kern w:val="0"/>
          <w:sz w:val="32"/>
          <w:szCs w:val="32"/>
          <w:lang w:val="en-US" w:eastAsia="zh-CN" w:bidi="ar"/>
        </w:rPr>
        <w:t>项目组织实施情况</w:t>
      </w:r>
    </w:p>
    <w:p w14:paraId="7F5F6AE5">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为确保项目的顺利实施，保证工程质量和进度</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对项目进行公开招标，进一步优化压实资金预算，提高资金利用率。</w:t>
      </w:r>
      <w:r>
        <w:rPr>
          <w:rFonts w:hint="eastAsia" w:ascii="仿宋" w:hAnsi="仿宋" w:eastAsia="仿宋" w:cs="仿宋"/>
          <w:sz w:val="32"/>
          <w:szCs w:val="32"/>
        </w:rPr>
        <w:t>严格落实投资计划执行和项目实施监管的主体责任，安排专人进行严格监管，严格按批复组织建设，及时准确上报进度数据和信息，努力做到</w:t>
      </w:r>
      <w:r>
        <w:rPr>
          <w:rFonts w:hint="eastAsia" w:ascii="仿宋" w:hAnsi="仿宋" w:eastAsia="仿宋" w:cs="仿宋"/>
          <w:sz w:val="32"/>
          <w:szCs w:val="32"/>
          <w:lang w:eastAsia="zh-CN"/>
        </w:rPr>
        <w:t>有</w:t>
      </w:r>
      <w:r>
        <w:rPr>
          <w:rFonts w:hint="eastAsia" w:ascii="仿宋" w:hAnsi="仿宋" w:eastAsia="仿宋" w:cs="仿宋"/>
          <w:sz w:val="32"/>
          <w:szCs w:val="32"/>
        </w:rPr>
        <w:t>问题早发现、早解决，确保</w:t>
      </w:r>
      <w:r>
        <w:rPr>
          <w:rFonts w:hint="eastAsia" w:ascii="仿宋" w:hAnsi="仿宋" w:eastAsia="仿宋" w:cs="仿宋"/>
          <w:sz w:val="32"/>
          <w:szCs w:val="32"/>
          <w:lang w:val="en-US" w:eastAsia="zh-CN"/>
        </w:rPr>
        <w:t>专</w:t>
      </w:r>
      <w:r>
        <w:rPr>
          <w:rFonts w:hint="eastAsia" w:ascii="仿宋" w:hAnsi="仿宋" w:eastAsia="仿宋" w:cs="仿宋"/>
          <w:sz w:val="32"/>
          <w:szCs w:val="32"/>
        </w:rPr>
        <w:t>项资金投资效益。</w:t>
      </w:r>
      <w:r>
        <w:rPr>
          <w:rFonts w:hint="eastAsia" w:ascii="仿宋" w:hAnsi="仿宋" w:eastAsia="仿宋" w:cs="仿宋"/>
          <w:sz w:val="32"/>
          <w:szCs w:val="32"/>
          <w:lang w:val="en-US" w:eastAsia="zh-CN"/>
        </w:rPr>
        <w:t>完成生态保护修复方面（</w:t>
      </w:r>
      <w:r>
        <w:rPr>
          <w:rFonts w:hint="eastAsia" w:ascii="仿宋" w:hAnsi="仿宋" w:eastAsia="仿宋" w:cs="仿宋"/>
          <w:sz w:val="32"/>
          <w:szCs w:val="32"/>
        </w:rPr>
        <w:t>森林可持续经营</w:t>
      </w:r>
      <w:r>
        <w:rPr>
          <w:rFonts w:hint="eastAsia" w:ascii="仿宋" w:hAnsi="仿宋" w:eastAsia="仿宋" w:cs="仿宋"/>
          <w:sz w:val="32"/>
          <w:szCs w:val="32"/>
          <w:lang w:eastAsia="zh-CN"/>
        </w:rPr>
        <w:t>）</w:t>
      </w:r>
      <w:r>
        <w:rPr>
          <w:rFonts w:hint="eastAsia" w:ascii="仿宋" w:hAnsi="仿宋" w:eastAsia="仿宋" w:cs="仿宋"/>
          <w:sz w:val="32"/>
          <w:szCs w:val="32"/>
        </w:rPr>
        <w:t>面积</w:t>
      </w:r>
      <w:r>
        <w:rPr>
          <w:rFonts w:hint="eastAsia" w:ascii="仿宋" w:hAnsi="仿宋" w:eastAsia="仿宋" w:cs="仿宋"/>
          <w:sz w:val="32"/>
          <w:szCs w:val="32"/>
          <w:lang w:val="en-US" w:eastAsia="zh-CN"/>
        </w:rPr>
        <w:t>2.32万亩，其中幼龄林改培0.93万亩，中龄林改培1.06万亩，低效林改培0.33万亩，项目正在结算中</w:t>
      </w:r>
      <w:r>
        <w:rPr>
          <w:rFonts w:hint="eastAsia" w:ascii="仿宋" w:hAnsi="仿宋" w:eastAsia="仿宋" w:cs="仿宋"/>
          <w:sz w:val="32"/>
          <w:szCs w:val="32"/>
          <w:lang w:eastAsia="zh-CN"/>
        </w:rPr>
        <w:t>。</w:t>
      </w:r>
    </w:p>
    <w:p w14:paraId="6AE2EBC3">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四、预算支出绩效情况</w:t>
      </w:r>
    </w:p>
    <w:p w14:paraId="3202BF3A">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default" w:ascii="Times New Roman" w:hAnsi="Times New Roman" w:eastAsia="方正仿宋_GB2312" w:cs="Times New Roman"/>
          <w:color w:val="auto"/>
          <w:kern w:val="0"/>
          <w:sz w:val="32"/>
          <w:szCs w:val="32"/>
          <w:lang w:val="en-US" w:eastAsia="zh-CN" w:bidi="ar"/>
        </w:rPr>
        <w:t>（一）预算支出决策情况</w:t>
      </w:r>
    </w:p>
    <w:p w14:paraId="6EA905F5">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rtl w:val="0"/>
          <w:lang w:val="en-US" w:eastAsia="zh-CN" w:bidi="ar"/>
        </w:rPr>
      </w:pPr>
      <w:r>
        <w:rPr>
          <w:rFonts w:hint="eastAsia" w:ascii="Times New Roman" w:hAnsi="Times New Roman" w:eastAsia="方正仿宋_GB2312" w:cs="Times New Roman"/>
          <w:color w:val="auto"/>
          <w:kern w:val="0"/>
          <w:sz w:val="32"/>
          <w:szCs w:val="32"/>
          <w:rtl w:val="0"/>
          <w:lang w:val="en-US" w:eastAsia="zh-CN" w:bidi="ar"/>
        </w:rPr>
        <w:t>森林可持续经营</w:t>
      </w:r>
      <w:r>
        <w:rPr>
          <w:rFonts w:hint="eastAsia" w:ascii="Times New Roman" w:hAnsi="Times New Roman" w:eastAsia="方正仿宋_GB2312" w:cs="Times New Roman"/>
          <w:color w:val="auto"/>
          <w:kern w:val="0"/>
          <w:sz w:val="32"/>
          <w:szCs w:val="32"/>
          <w:lang w:val="en-US" w:eastAsia="zh-CN" w:bidi="ar"/>
        </w:rPr>
        <w:t>项目总规模1549.00公顷，其中幼龄林改培617.40公顷，中龄林改培712.60公顷，低效林改培219.00公顷；</w:t>
      </w:r>
      <w:r>
        <w:rPr>
          <w:rFonts w:hint="eastAsia" w:ascii="Times New Roman" w:hAnsi="Times New Roman" w:eastAsia="方正仿宋_GB2312" w:cs="Times New Roman"/>
          <w:color w:val="auto"/>
          <w:kern w:val="0"/>
          <w:sz w:val="32"/>
          <w:szCs w:val="32"/>
          <w:rtl w:val="0"/>
          <w:lang w:val="en-US" w:eastAsia="zh-CN" w:bidi="ar"/>
        </w:rPr>
        <w:t>木荷母树林建设221亩；</w:t>
      </w:r>
      <w:r>
        <w:rPr>
          <w:rFonts w:hint="eastAsia" w:ascii="Times New Roman" w:hAnsi="Times New Roman" w:eastAsia="方正仿宋_GB2312" w:cs="Times New Roman"/>
          <w:color w:val="auto"/>
          <w:kern w:val="0"/>
          <w:sz w:val="32"/>
          <w:szCs w:val="32"/>
          <w:lang w:val="en-US" w:eastAsia="zh-CN" w:bidi="ar"/>
        </w:rPr>
        <w:t>管护站点建设一个。</w:t>
      </w:r>
    </w:p>
    <w:p w14:paraId="3029AC91">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rtl w:val="0"/>
          <w:lang w:val="en-US" w:eastAsia="zh-CN" w:bidi="ar"/>
        </w:rPr>
      </w:pPr>
      <w:r>
        <w:rPr>
          <w:rFonts w:hint="eastAsia" w:ascii="Times New Roman" w:hAnsi="Times New Roman" w:eastAsia="方正仿宋_GB2312" w:cs="Times New Roman"/>
          <w:color w:val="auto"/>
          <w:kern w:val="0"/>
          <w:sz w:val="32"/>
          <w:szCs w:val="32"/>
          <w:rtl w:val="0"/>
          <w:lang w:val="en-US" w:eastAsia="zh-CN" w:bidi="ar"/>
        </w:rPr>
        <w:t>（二）</w:t>
      </w:r>
      <w:r>
        <w:rPr>
          <w:rFonts w:hint="default" w:ascii="Times New Roman" w:hAnsi="Times New Roman" w:eastAsia="方正仿宋_GB2312" w:cs="Times New Roman"/>
          <w:color w:val="auto"/>
          <w:kern w:val="0"/>
          <w:sz w:val="32"/>
          <w:szCs w:val="32"/>
          <w:rtl w:val="0"/>
          <w:lang w:val="en-US" w:eastAsia="zh-CN" w:bidi="ar"/>
        </w:rPr>
        <w:t>预算支出过程情况</w:t>
      </w:r>
    </w:p>
    <w:p w14:paraId="43046A93">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rtl w:val="0"/>
          <w:lang w:val="en-US" w:eastAsia="zh-CN" w:bidi="ar"/>
        </w:rPr>
      </w:pPr>
      <w:r>
        <w:rPr>
          <w:rFonts w:hint="eastAsia" w:ascii="Times New Roman" w:hAnsi="Times New Roman" w:eastAsia="方正仿宋_GB2312" w:cs="Times New Roman"/>
          <w:color w:val="auto"/>
          <w:kern w:val="0"/>
          <w:sz w:val="32"/>
          <w:szCs w:val="32"/>
          <w:rtl w:val="0"/>
          <w:lang w:val="en-US" w:eastAsia="zh-CN" w:bidi="ar"/>
        </w:rPr>
        <w:t>（1）完成生态保护修复面积2.32万亩；</w:t>
      </w:r>
    </w:p>
    <w:p w14:paraId="154AEA15">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rtl w:val="0"/>
          <w:lang w:val="en-US" w:eastAsia="zh-CN" w:bidi="ar"/>
        </w:rPr>
      </w:pPr>
      <w:r>
        <w:rPr>
          <w:rFonts w:hint="eastAsia" w:ascii="Times New Roman" w:hAnsi="Times New Roman" w:eastAsia="方正仿宋_GB2312" w:cs="Times New Roman"/>
          <w:color w:val="auto"/>
          <w:kern w:val="0"/>
          <w:sz w:val="32"/>
          <w:szCs w:val="32"/>
          <w:rtl w:val="0"/>
          <w:lang w:val="en-US" w:eastAsia="zh-CN" w:bidi="ar"/>
        </w:rPr>
        <w:t>（2）完成木荷母树林建设221亩；</w:t>
      </w:r>
    </w:p>
    <w:p w14:paraId="62BD93C5">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（3）完成水口分场屋贝口</w:t>
      </w:r>
      <w:r>
        <w:rPr>
          <w:rFonts w:hint="eastAsia" w:ascii="Times New Roman" w:hAnsi="Times New Roman" w:eastAsia="方正仿宋_GB2312" w:cs="Times New Roman"/>
          <w:color w:val="auto"/>
          <w:kern w:val="0"/>
          <w:sz w:val="32"/>
          <w:szCs w:val="32"/>
          <w:lang w:val="en-US" w:eastAsia="zh-CN" w:bidi="ar"/>
        </w:rPr>
        <w:t>管护站点建设。</w:t>
      </w:r>
    </w:p>
    <w:p w14:paraId="786088CE">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（三）</w:t>
      </w:r>
      <w:r>
        <w:rPr>
          <w:rFonts w:hint="default" w:ascii="Times New Roman" w:hAnsi="Times New Roman" w:eastAsia="方正仿宋_GB2312" w:cs="Times New Roman"/>
          <w:color w:val="auto"/>
          <w:kern w:val="0"/>
          <w:sz w:val="32"/>
          <w:szCs w:val="32"/>
          <w:lang w:val="en-US" w:eastAsia="zh-CN" w:bidi="ar"/>
        </w:rPr>
        <w:t>预算支出产出情况</w:t>
      </w:r>
    </w:p>
    <w:p w14:paraId="6FE1F54B">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（1）数</w:t>
      </w:r>
      <w:r>
        <w:rPr>
          <w:rFonts w:hint="eastAsia" w:ascii="Times New Roman" w:hAnsi="Times New Roman" w:eastAsia="方正仿宋_GB2312" w:cs="Times New Roman"/>
          <w:color w:val="auto"/>
          <w:kern w:val="0"/>
          <w:sz w:val="32"/>
          <w:szCs w:val="32"/>
          <w:lang w:val="en-US" w:eastAsia="zh-CN" w:bidi="ar"/>
        </w:rPr>
        <w:t>量指标：完成生态保护修复面积2.32万亩；</w:t>
      </w:r>
      <w:r>
        <w:rPr>
          <w:rFonts w:hint="eastAsia" w:ascii="Times New Roman" w:hAnsi="Times New Roman" w:eastAsia="方正仿宋_GB2312" w:cs="Times New Roman"/>
          <w:color w:val="auto"/>
          <w:kern w:val="0"/>
          <w:sz w:val="32"/>
          <w:szCs w:val="32"/>
          <w:rtl w:val="0"/>
          <w:lang w:val="en-US" w:eastAsia="zh-CN" w:bidi="ar"/>
        </w:rPr>
        <w:t>完成木荷母树林建设221亩；</w:t>
      </w:r>
      <w:r>
        <w:rPr>
          <w:rFonts w:hint="eastAsia" w:ascii="Times New Roman" w:hAnsi="Times New Roman" w:eastAsia="方正仿宋_GB2312" w:cs="Times New Roman"/>
          <w:color w:val="auto"/>
          <w:kern w:val="0"/>
          <w:sz w:val="32"/>
          <w:szCs w:val="32"/>
          <w:lang w:val="en-US" w:eastAsia="zh-CN" w:bidi="ar"/>
        </w:rPr>
        <w:t>完成水口分场屋贝口管护站点建设。</w:t>
      </w:r>
    </w:p>
    <w:p w14:paraId="67E28491">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（2）质量指标：2024年度改培完成面积合格率为100%、</w:t>
      </w:r>
      <w:r>
        <w:rPr>
          <w:rFonts w:hint="eastAsia" w:ascii="Times New Roman" w:hAnsi="Times New Roman" w:eastAsia="方正仿宋_GB2312" w:cs="Times New Roman"/>
          <w:color w:val="auto"/>
          <w:kern w:val="0"/>
          <w:sz w:val="32"/>
          <w:szCs w:val="32"/>
          <w:rtl w:val="0"/>
          <w:lang w:val="en-US" w:eastAsia="zh-CN" w:bidi="ar"/>
        </w:rPr>
        <w:t>木荷母树林建设</w:t>
      </w:r>
      <w:r>
        <w:rPr>
          <w:rFonts w:hint="eastAsia" w:ascii="Times New Roman" w:hAnsi="Times New Roman" w:eastAsia="方正仿宋_GB2312" w:cs="Times New Roman"/>
          <w:color w:val="auto"/>
          <w:kern w:val="0"/>
          <w:sz w:val="32"/>
          <w:szCs w:val="32"/>
          <w:lang w:val="en-US" w:eastAsia="zh-CN" w:bidi="ar"/>
        </w:rPr>
        <w:t>合格率为100%、</w:t>
      </w:r>
      <w:r>
        <w:rPr>
          <w:rFonts w:hint="eastAsia" w:ascii="Times New Roman" w:hAnsi="Times New Roman" w:eastAsia="方正仿宋_GB2312" w:cs="Times New Roman"/>
          <w:color w:val="auto"/>
          <w:kern w:val="0"/>
          <w:sz w:val="32"/>
          <w:szCs w:val="32"/>
          <w:lang w:val="en-US" w:eastAsia="zh-CN" w:bidi="ar"/>
        </w:rPr>
        <w:t>管护站点建设质量合格率为100%。</w:t>
      </w:r>
    </w:p>
    <w:p w14:paraId="61202DD7">
      <w:pPr>
        <w:numPr>
          <w:ilvl w:val="0"/>
          <w:numId w:val="0"/>
        </w:numPr>
        <w:tabs>
          <w:tab w:val="left" w:pos="1089"/>
        </w:tabs>
        <w:ind w:firstLine="640" w:firstLineChars="200"/>
        <w:rPr>
          <w:rFonts w:hint="eastAsia" w:ascii="仿宋" w:hAnsi="仿宋" w:eastAsia="仿宋" w:cs="仿宋"/>
          <w:b w:val="0"/>
          <w:bCs w:val="0"/>
          <w:sz w:val="32"/>
          <w:szCs w:val="32"/>
          <w:lang w:val="en-US" w:eastAsia="zh-CN"/>
        </w:rPr>
      </w:pPr>
      <w:r>
        <w:rPr>
          <w:rFonts w:hint="eastAsia" w:ascii="Times New Roman" w:hAnsi="Times New Roman" w:eastAsia="方正仿宋_GB2312" w:cs="Times New Roman"/>
          <w:color w:val="auto"/>
          <w:kern w:val="0"/>
          <w:sz w:val="32"/>
          <w:szCs w:val="32"/>
          <w:lang w:val="en-US" w:eastAsia="zh-CN" w:bidi="ar"/>
        </w:rPr>
        <w:t>（3）时效指标：</w:t>
      </w:r>
      <w:r>
        <w:rPr>
          <w:rFonts w:hint="eastAsia" w:ascii="仿宋" w:hAnsi="仿宋" w:eastAsia="仿宋" w:cs="仿宋"/>
          <w:sz w:val="32"/>
          <w:szCs w:val="32"/>
          <w:lang w:val="en-US" w:eastAsia="zh-CN"/>
        </w:rPr>
        <w:t>本年度内该项目按时完成目标任务，</w:t>
      </w:r>
      <w:r>
        <w:rPr>
          <w:rFonts w:hint="eastAsia" w:ascii="仿宋" w:hAnsi="仿宋" w:eastAsia="仿宋" w:cs="仿宋"/>
          <w:sz w:val="32"/>
          <w:szCs w:val="32"/>
        </w:rPr>
        <w:t>项目期内任务完成率</w:t>
      </w:r>
      <w:r>
        <w:rPr>
          <w:rFonts w:hint="eastAsia" w:ascii="仿宋" w:hAnsi="仿宋" w:eastAsia="仿宋" w:cs="仿宋"/>
          <w:sz w:val="32"/>
          <w:szCs w:val="32"/>
          <w:lang w:val="en-US" w:eastAsia="zh-CN"/>
        </w:rPr>
        <w:t>100%，补助兑现率达到100%。</w:t>
      </w:r>
    </w:p>
    <w:p w14:paraId="569734B0">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（四）</w:t>
      </w:r>
      <w:r>
        <w:rPr>
          <w:rFonts w:hint="default" w:ascii="Times New Roman" w:hAnsi="Times New Roman" w:eastAsia="方正仿宋_GB2312" w:cs="Times New Roman"/>
          <w:color w:val="auto"/>
          <w:kern w:val="0"/>
          <w:sz w:val="32"/>
          <w:szCs w:val="32"/>
          <w:lang w:val="en-US" w:eastAsia="zh-CN" w:bidi="ar"/>
        </w:rPr>
        <w:t>预算支出效益情况</w:t>
      </w:r>
    </w:p>
    <w:p w14:paraId="0ACB03D4">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（1）经济效益指标：通过专项补助资金的扶持，降低林农生产成本，提高林农造林积极性，增加林业生产者经济收入，有利于吸引农村富余劳动力参加林业生产，解决就业问题，为农村的安定稳定提供保障。</w:t>
      </w:r>
    </w:p>
    <w:p w14:paraId="4270668D">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（2）社会效益指标：林业生态保护恢复资金项目的实施促进了林场林业产业发展，提高了</w:t>
      </w:r>
      <w:r>
        <w:rPr>
          <w:rFonts w:hint="eastAsia" w:ascii="Times New Roman" w:hAnsi="Times New Roman" w:eastAsia="方正仿宋_GB2312" w:cs="Times New Roman"/>
          <w:color w:val="auto"/>
          <w:kern w:val="0"/>
          <w:sz w:val="32"/>
          <w:szCs w:val="32"/>
          <w:lang w:val="en-US" w:eastAsia="zh-CN" w:bidi="ar"/>
        </w:rPr>
        <w:t>林场</w:t>
      </w:r>
      <w:r>
        <w:rPr>
          <w:rFonts w:hint="eastAsia" w:ascii="Times New Roman" w:hAnsi="Times New Roman" w:eastAsia="方正仿宋_GB2312" w:cs="Times New Roman"/>
          <w:color w:val="auto"/>
          <w:kern w:val="0"/>
          <w:sz w:val="32"/>
          <w:szCs w:val="32"/>
          <w:lang w:val="en-US" w:eastAsia="zh-CN" w:bidi="ar"/>
        </w:rPr>
        <w:t>造林绿化和生态建设水平，增加了周边剩余劳动力的就业机会，同时解决职工和林农收入低、生活困难的问题，增加周边群众和国有林场职工的收入，改善周边群众与国有林场的关系，促进林区和谐稳定发展，省级森林可持续经营解决管护岗位30人，带动就业人220人。</w:t>
      </w:r>
    </w:p>
    <w:p w14:paraId="567E725F">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（3）生态效益指标：</w:t>
      </w:r>
      <w:r>
        <w:rPr>
          <w:rFonts w:hint="eastAsia" w:ascii="Times New Roman" w:hAnsi="Times New Roman" w:eastAsia="方正仿宋_GB2312" w:cs="Times New Roman"/>
          <w:color w:val="auto"/>
          <w:kern w:val="0"/>
          <w:sz w:val="32"/>
          <w:szCs w:val="32"/>
          <w:lang w:val="en-US" w:eastAsia="zh-CN" w:bidi="ar"/>
        </w:rPr>
        <w:t>林场</w:t>
      </w:r>
      <w:r>
        <w:rPr>
          <w:rFonts w:hint="eastAsia" w:ascii="Times New Roman" w:hAnsi="Times New Roman" w:eastAsia="方正仿宋_GB2312" w:cs="Times New Roman"/>
          <w:color w:val="auto"/>
          <w:kern w:val="0"/>
          <w:sz w:val="32"/>
          <w:szCs w:val="32"/>
          <w:lang w:val="en-US" w:eastAsia="zh-CN" w:bidi="ar"/>
        </w:rPr>
        <w:t>森林资源总量不断提升、森林质量不断提高，森林覆盖率和林地保有量有所增加，生态环境明显改善。绿水青山就是金山银山的理念进一步加强，为打造美丽中国奠定基础。</w:t>
      </w:r>
    </w:p>
    <w:p w14:paraId="4C209383">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4）可持续影响指标：林业生态保护恢复资金实施持续发挥生态作用显著，有助于强化管理区森林管护力度和管控范围，进一步提升群众生态保护意识，有效增强林区林业生态建设和林业产业的可持续发展，管护站点的建设有效改善基层职工生活居住环境。</w:t>
      </w:r>
    </w:p>
    <w:p w14:paraId="0BC48D35">
      <w:pPr>
        <w:numPr>
          <w:ilvl w:val="0"/>
          <w:numId w:val="1"/>
        </w:numPr>
        <w:adjustRightInd w:val="0"/>
        <w:snapToGrid w:val="0"/>
        <w:spacing w:line="600" w:lineRule="exact"/>
        <w:ind w:firstLine="640" w:firstLineChars="200"/>
        <w:rPr>
          <w:rFonts w:eastAsia="黑体"/>
          <w:sz w:val="32"/>
          <w:szCs w:val="32"/>
        </w:rPr>
      </w:pPr>
      <w:r>
        <w:rPr>
          <w:rFonts w:eastAsia="黑体"/>
          <w:sz w:val="32"/>
          <w:szCs w:val="32"/>
        </w:rPr>
        <w:t>主要经验做法、存在的问题及原因分析</w:t>
      </w:r>
    </w:p>
    <w:p w14:paraId="294ACCC0">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综合各项资金使用情况，我</w:t>
      </w:r>
      <w:r>
        <w:rPr>
          <w:rFonts w:hint="eastAsia" w:ascii="Times New Roman" w:hAnsi="Times New Roman" w:eastAsia="方正仿宋_GB2312" w:cs="Times New Roman"/>
          <w:color w:val="auto"/>
          <w:kern w:val="0"/>
          <w:sz w:val="32"/>
          <w:szCs w:val="32"/>
          <w:lang w:val="en-US" w:eastAsia="zh-CN" w:bidi="ar"/>
        </w:rPr>
        <w:t>场</w:t>
      </w:r>
      <w:r>
        <w:rPr>
          <w:rFonts w:hint="eastAsia" w:ascii="Times New Roman" w:hAnsi="Times New Roman" w:eastAsia="方正仿宋_GB2312" w:cs="Times New Roman"/>
          <w:color w:val="auto"/>
          <w:kern w:val="0"/>
          <w:sz w:val="32"/>
          <w:szCs w:val="32"/>
          <w:lang w:val="en-US" w:eastAsia="zh-CN" w:bidi="ar"/>
        </w:rPr>
        <w:t>基本是按财务管理、会计核算等制度执行，支出符合国家财经法规和财务管理制度规定以及有关专项资金的管理办法。资金拨付有完整的审批程序和手续，项目支出按规定经过评估论证，资金未存在截留、挤占、挪用、虚列支出等情况。个别项目资金下达稍迟和不到位，存在结算跨年度问题，需要加强资金衔接效率。</w:t>
      </w:r>
    </w:p>
    <w:p w14:paraId="77D698B3">
      <w:pPr>
        <w:numPr>
          <w:ilvl w:val="0"/>
          <w:numId w:val="1"/>
        </w:numPr>
        <w:adjustRightInd w:val="0"/>
        <w:snapToGrid w:val="0"/>
        <w:spacing w:line="600" w:lineRule="exact"/>
        <w:ind w:left="0" w:leftChars="0" w:firstLine="640" w:firstLineChars="200"/>
        <w:rPr>
          <w:rFonts w:eastAsia="黑体"/>
          <w:sz w:val="32"/>
          <w:szCs w:val="32"/>
        </w:rPr>
      </w:pPr>
      <w:r>
        <w:rPr>
          <w:rFonts w:eastAsia="黑体"/>
          <w:sz w:val="32"/>
          <w:szCs w:val="32"/>
        </w:rPr>
        <w:t>有关建议</w:t>
      </w:r>
    </w:p>
    <w:p w14:paraId="46F1C2CD">
      <w:pPr>
        <w:numPr>
          <w:ilvl w:val="0"/>
          <w:numId w:val="2"/>
        </w:num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严格履行国家财经法规和财务管理制度，加强对各项资金的使用和管理。希望上级多组织相关工作人员对</w:t>
      </w:r>
      <w:r>
        <w:rPr>
          <w:rFonts w:hint="eastAsia" w:ascii="Times New Roman" w:hAnsi="Times New Roman" w:eastAsia="方正仿宋_GB2312" w:cs="Times New Roman"/>
          <w:color w:val="auto"/>
          <w:kern w:val="0"/>
          <w:sz w:val="32"/>
          <w:szCs w:val="32"/>
          <w:lang w:val="en-US" w:eastAsia="zh-CN" w:bidi="ar"/>
        </w:rPr>
        <w:t>专项</w:t>
      </w:r>
      <w:r>
        <w:rPr>
          <w:rFonts w:hint="eastAsia" w:ascii="Times New Roman" w:hAnsi="Times New Roman" w:eastAsia="方正仿宋_GB2312" w:cs="Times New Roman"/>
          <w:color w:val="auto"/>
          <w:kern w:val="0"/>
          <w:sz w:val="32"/>
          <w:szCs w:val="32"/>
          <w:lang w:val="en-US" w:eastAsia="zh-CN" w:bidi="ar"/>
        </w:rPr>
        <w:t>资金支出和使用方面的培训，以能够更深更透彻合理的使用相关资金。</w:t>
      </w:r>
    </w:p>
    <w:p w14:paraId="4982CD44">
      <w:pPr>
        <w:pStyle w:val="3"/>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方正仿宋_GB2312" w:cs="Times New Roman"/>
          <w:color w:val="auto"/>
          <w:kern w:val="0"/>
          <w:sz w:val="32"/>
          <w:szCs w:val="32"/>
          <w:lang w:val="en-US" w:eastAsia="zh-CN" w:bidi="ar"/>
        </w:rPr>
      </w:pPr>
      <w:r>
        <w:rPr>
          <w:rFonts w:hint="eastAsia" w:ascii="仿宋" w:hAnsi="仿宋" w:eastAsia="仿宋" w:cs="仿宋"/>
          <w:sz w:val="32"/>
          <w:szCs w:val="32"/>
          <w:lang w:val="en-US" w:eastAsia="zh-CN"/>
        </w:rPr>
        <w:t>2、专项资金总额度偏少，我场大部分山场分布在江华县边远困难山区，线长面广，给森林管护、消防工作带来了极大困难。</w:t>
      </w:r>
      <w:r>
        <w:rPr>
          <w:rFonts w:hint="eastAsia" w:ascii="仿宋_GB2312" w:hAnsi="Arial" w:eastAsia="仿宋_GB2312" w:cs="Arial"/>
          <w:color w:val="000000"/>
          <w:sz w:val="32"/>
          <w:szCs w:val="32"/>
          <w:lang w:val="en-US" w:eastAsia="zh-CN"/>
        </w:rPr>
        <w:t>建议2025</w:t>
      </w:r>
      <w:r>
        <w:rPr>
          <w:rFonts w:hint="eastAsia" w:ascii="仿宋_GB2312" w:hAnsi="Arial" w:eastAsia="仿宋_GB2312" w:cs="Arial"/>
          <w:color w:val="000000"/>
          <w:sz w:val="32"/>
          <w:szCs w:val="32"/>
          <w:lang w:eastAsia="zh-CN"/>
        </w:rPr>
        <w:t>年</w:t>
      </w:r>
      <w:r>
        <w:rPr>
          <w:rFonts w:hint="eastAsia" w:ascii="仿宋_GB2312" w:hAnsi="Arial" w:eastAsia="仿宋_GB2312" w:cs="Arial"/>
          <w:color w:val="000000"/>
          <w:sz w:val="32"/>
          <w:szCs w:val="32"/>
          <w:lang w:val="en-US" w:eastAsia="zh-CN"/>
        </w:rPr>
        <w:t>度森林保护修复补偿项目资金给予江华国有林场相应倾斜，以</w:t>
      </w:r>
      <w:r>
        <w:rPr>
          <w:rFonts w:hint="eastAsia" w:ascii="仿宋_GB2312" w:hAnsi="仿宋_GB2312" w:eastAsia="仿宋_GB2312" w:cs="仿宋_GB2312"/>
          <w:sz w:val="32"/>
          <w:szCs w:val="32"/>
          <w:lang w:eastAsia="zh-CN"/>
        </w:rPr>
        <w:t>提高</w:t>
      </w:r>
      <w:r>
        <w:rPr>
          <w:rFonts w:hint="eastAsia" w:ascii="仿宋_GB2312" w:hAnsi="仿宋_GB2312" w:eastAsia="仿宋_GB2312" w:cs="仿宋_GB2312"/>
          <w:sz w:val="32"/>
          <w:szCs w:val="32"/>
          <w:lang w:val="en-US" w:eastAsia="zh-CN"/>
        </w:rPr>
        <w:t>管护能力、促进森林可持续经营、提升森林质量、保障民生底线、确保林场平稳运行</w:t>
      </w:r>
      <w:r>
        <w:rPr>
          <w:rFonts w:hint="eastAsia" w:ascii="仿宋" w:hAnsi="仿宋" w:eastAsia="仿宋" w:cs="仿宋"/>
          <w:sz w:val="32"/>
          <w:szCs w:val="32"/>
          <w:lang w:val="en-US" w:eastAsia="zh-CN"/>
        </w:rPr>
        <w:t>。</w:t>
      </w:r>
    </w:p>
    <w:p w14:paraId="69401AA6">
      <w:pPr>
        <w:numPr>
          <w:ilvl w:val="0"/>
          <w:numId w:val="1"/>
        </w:numPr>
        <w:adjustRightInd w:val="0"/>
        <w:snapToGrid w:val="0"/>
        <w:spacing w:line="600" w:lineRule="exact"/>
        <w:ind w:left="0" w:leftChars="0" w:firstLine="640" w:firstLineChars="200"/>
        <w:rPr>
          <w:rFonts w:eastAsia="黑体"/>
          <w:sz w:val="32"/>
          <w:szCs w:val="32"/>
        </w:rPr>
      </w:pPr>
      <w:r>
        <w:rPr>
          <w:rFonts w:eastAsia="黑体"/>
          <w:sz w:val="32"/>
          <w:szCs w:val="32"/>
        </w:rPr>
        <w:t>其他需要说明</w:t>
      </w:r>
    </w:p>
    <w:p w14:paraId="73AFA3DA">
      <w:pPr>
        <w:adjustRightInd w:val="0"/>
        <w:snapToGrid w:val="0"/>
        <w:spacing w:line="600" w:lineRule="exact"/>
        <w:ind w:firstLine="640" w:firstLineChars="200"/>
        <w:rPr>
          <w:rFonts w:hint="eastAsia"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无</w:t>
      </w:r>
    </w:p>
    <w:p w14:paraId="2774E646">
      <w:pPr>
        <w:numPr>
          <w:ilvl w:val="0"/>
          <w:numId w:val="0"/>
        </w:numPr>
        <w:adjustRightInd w:val="0"/>
        <w:snapToGrid w:val="0"/>
        <w:spacing w:line="600" w:lineRule="exact"/>
        <w:rPr>
          <w:rFonts w:hint="eastAsia" w:eastAsia="黑体"/>
          <w:sz w:val="32"/>
          <w:szCs w:val="32"/>
          <w:lang w:val="en-US" w:eastAsia="zh-CN"/>
        </w:rPr>
      </w:pPr>
    </w:p>
    <w:p w14:paraId="7ED78548">
      <w:pPr>
        <w:numPr>
          <w:ilvl w:val="0"/>
          <w:numId w:val="0"/>
        </w:numPr>
        <w:adjustRightInd w:val="0"/>
        <w:snapToGrid w:val="0"/>
        <w:spacing w:line="600" w:lineRule="exact"/>
        <w:ind w:firstLine="4480" w:firstLineChars="1400"/>
        <w:rPr>
          <w:rFonts w:hint="eastAsia" w:ascii="仿宋" w:hAnsi="仿宋" w:eastAsia="仿宋" w:cs="仿宋"/>
          <w:b w:val="0"/>
          <w:bCs w:val="0"/>
          <w:sz w:val="32"/>
          <w:szCs w:val="32"/>
          <w:lang w:eastAsia="zh-CN"/>
        </w:rPr>
      </w:pPr>
    </w:p>
    <w:p w14:paraId="7D8E6310">
      <w:pPr>
        <w:numPr>
          <w:ilvl w:val="0"/>
          <w:numId w:val="0"/>
        </w:numPr>
        <w:adjustRightInd w:val="0"/>
        <w:snapToGrid w:val="0"/>
        <w:spacing w:line="600" w:lineRule="exact"/>
        <w:ind w:firstLine="4480" w:firstLineChars="1400"/>
        <w:rPr>
          <w:rFonts w:hint="eastAsia" w:ascii="仿宋" w:hAnsi="仿宋" w:eastAsia="仿宋" w:cs="仿宋"/>
          <w:b w:val="0"/>
          <w:bCs w:val="0"/>
          <w:sz w:val="32"/>
          <w:szCs w:val="32"/>
          <w:lang w:eastAsia="zh-CN"/>
        </w:rPr>
      </w:pPr>
    </w:p>
    <w:p w14:paraId="72E8F4FE">
      <w:pPr>
        <w:numPr>
          <w:ilvl w:val="0"/>
          <w:numId w:val="0"/>
        </w:numPr>
        <w:adjustRightInd w:val="0"/>
        <w:snapToGrid w:val="0"/>
        <w:spacing w:line="600" w:lineRule="exact"/>
        <w:ind w:firstLine="4480" w:firstLineChars="1400"/>
        <w:rPr>
          <w:rFonts w:hint="eastAsia" w:eastAsia="黑体"/>
          <w:sz w:val="32"/>
          <w:szCs w:val="32"/>
          <w:lang w:val="en-US" w:eastAsia="zh-CN"/>
        </w:rPr>
      </w:pPr>
      <w:r>
        <w:rPr>
          <w:rFonts w:hint="eastAsia" w:ascii="仿宋" w:hAnsi="仿宋" w:eastAsia="仿宋" w:cs="仿宋"/>
          <w:b w:val="0"/>
          <w:bCs w:val="0"/>
          <w:sz w:val="32"/>
          <w:szCs w:val="32"/>
          <w:lang w:eastAsia="zh-CN"/>
        </w:rPr>
        <w:t>江华瑶族自治县江华国有林场</w:t>
      </w:r>
    </w:p>
    <w:p w14:paraId="2F30E282">
      <w:pPr>
        <w:adjustRightInd w:val="0"/>
        <w:snapToGrid w:val="0"/>
        <w:spacing w:line="600" w:lineRule="exact"/>
        <w:ind w:firstLine="640" w:firstLineChars="200"/>
        <w:rPr>
          <w:rFonts w:hint="default" w:ascii="Times New Roman" w:hAnsi="Times New Roman" w:eastAsia="方正仿宋_GB2312" w:cs="Times New Roman"/>
          <w:color w:val="auto"/>
          <w:kern w:val="0"/>
          <w:sz w:val="32"/>
          <w:szCs w:val="32"/>
          <w:lang w:val="en-US" w:eastAsia="zh-CN" w:bidi="ar"/>
        </w:rPr>
      </w:pPr>
      <w:r>
        <w:rPr>
          <w:rFonts w:hint="eastAsia" w:ascii="Times New Roman" w:hAnsi="Times New Roman" w:eastAsia="方正仿宋_GB2312" w:cs="Times New Roman"/>
          <w:color w:val="auto"/>
          <w:kern w:val="0"/>
          <w:sz w:val="32"/>
          <w:szCs w:val="32"/>
          <w:lang w:val="en-US" w:eastAsia="zh-CN" w:bidi="ar"/>
        </w:rPr>
        <w:t xml:space="preserve">                              2025年3月25日</w:t>
      </w:r>
    </w:p>
    <w:p w14:paraId="74CB11CA">
      <w:pPr>
        <w:numPr>
          <w:ilvl w:val="0"/>
          <w:numId w:val="0"/>
        </w:numPr>
        <w:adjustRightInd w:val="0"/>
        <w:snapToGrid w:val="0"/>
        <w:spacing w:line="600" w:lineRule="exact"/>
        <w:rPr>
          <w:rFonts w:hint="eastAsia" w:eastAsia="黑体"/>
          <w:sz w:val="32"/>
          <w:szCs w:val="32"/>
          <w:lang w:val="en-US" w:eastAsia="zh-CN"/>
        </w:rPr>
      </w:pPr>
    </w:p>
    <w:p w14:paraId="39366440">
      <w:pPr>
        <w:numPr>
          <w:ilvl w:val="0"/>
          <w:numId w:val="0"/>
        </w:numPr>
        <w:adjustRightInd w:val="0"/>
        <w:snapToGrid w:val="0"/>
        <w:spacing w:line="600" w:lineRule="exact"/>
        <w:rPr>
          <w:rFonts w:hint="eastAsia" w:eastAsia="黑体"/>
          <w:sz w:val="32"/>
          <w:szCs w:val="32"/>
          <w:lang w:val="en-US" w:eastAsia="zh-CN"/>
        </w:rPr>
      </w:pPr>
    </w:p>
    <w:p w14:paraId="1F02C1E0">
      <w:pPr>
        <w:numPr>
          <w:ilvl w:val="0"/>
          <w:numId w:val="0"/>
        </w:numPr>
        <w:adjustRightInd w:val="0"/>
        <w:snapToGrid w:val="0"/>
        <w:spacing w:line="600" w:lineRule="exact"/>
        <w:rPr>
          <w:rFonts w:hint="eastAsia" w:eastAsia="黑体"/>
          <w:sz w:val="32"/>
          <w:szCs w:val="32"/>
          <w:lang w:val="en-US" w:eastAsia="zh-CN"/>
        </w:rPr>
      </w:pPr>
    </w:p>
    <w:p w14:paraId="4CE7E87B">
      <w:pPr>
        <w:numPr>
          <w:ilvl w:val="0"/>
          <w:numId w:val="0"/>
        </w:numPr>
        <w:adjustRightInd w:val="0"/>
        <w:snapToGrid w:val="0"/>
        <w:spacing w:line="600" w:lineRule="exact"/>
        <w:rPr>
          <w:rFonts w:hint="eastAsia" w:eastAsia="黑体"/>
          <w:sz w:val="32"/>
          <w:szCs w:val="32"/>
          <w:lang w:val="en-US" w:eastAsia="zh-CN"/>
        </w:rPr>
        <w:sectPr>
          <w:footerReference r:id="rId3" w:type="default"/>
          <w:pgSz w:w="11905" w:h="16837"/>
          <w:pgMar w:top="1418" w:right="1474" w:bottom="1418" w:left="1588" w:header="720" w:footer="1304" w:gutter="0"/>
          <w:pgBorders>
            <w:top w:val="none" w:sz="0" w:space="0"/>
            <w:left w:val="none" w:sz="0" w:space="0"/>
            <w:bottom w:val="none" w:sz="0" w:space="0"/>
            <w:right w:val="none" w:sz="0" w:space="0"/>
          </w:pgBorders>
          <w:pgNumType w:fmt="decimal" w:start="1"/>
          <w:cols w:space="720" w:num="1"/>
          <w:docGrid w:linePitch="636" w:charSpace="20838"/>
        </w:sectPr>
      </w:pPr>
    </w:p>
    <w:p w14:paraId="46417A62">
      <w:pPr>
        <w:pStyle w:val="3"/>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2000000000000000000"/>
    <w:charset w:val="86"/>
    <w:family w:val="script"/>
    <w:pitch w:val="default"/>
    <w:sig w:usb0="00000001" w:usb1="08000000" w:usb2="00000000" w:usb3="00000000" w:csb0="00040000" w:csb1="00000000"/>
  </w:font>
  <w:font w:name="仿宋_GB2312">
    <w:altName w:val="仿宋"/>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1" w:usb1="080E0000" w:usb2="00000000" w:usb3="00000000" w:csb0="00040000" w:csb1="00000000"/>
  </w:font>
  <w:font w:name="方正仿宋_GB2312">
    <w:altName w:val="仿宋"/>
    <w:panose1 w:val="02000000000000000000"/>
    <w:charset w:val="86"/>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297120">
    <w:pPr>
      <w:pStyle w:val="6"/>
      <w:jc w:val="right"/>
      <w:rPr>
        <w:rFonts w:hint="eastAsia"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35E30FAA">
                          <w:pPr>
                            <w:pStyle w:val="6"/>
                            <w:jc w:val="right"/>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65 -</w:t>
                          </w:r>
                          <w:r>
                            <w:rPr>
                              <w:rFonts w:ascii="宋体" w:hAnsi="宋体"/>
                              <w:sz w:val="28"/>
                              <w:szCs w:val="28"/>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GhpgkvT&#10;AAAABQEAAA8AAAAAAAAAAQAgAAAAIgAAAGRycy9kb3ducmV2LnhtbFBLAQIUABQAAAAIAIdO4kC6&#10;ujjc7AEAANYDAAAOAAAAAAAAAAEAIAAAACIBAABkcnMvZTJvRG9jLnhtbFBLBQYAAAAABgAGAFkB&#10;AACABQAAAAA=&#10;">
              <v:fill on="f" focussize="0,0"/>
              <v:stroke on="f" weight="1.25pt"/>
              <v:imagedata o:title=""/>
              <o:lock v:ext="edit" aspectratio="f"/>
              <v:textbox inset="0mm,0mm,0mm,0mm" style="mso-fit-shape-to-text:t;">
                <w:txbxContent>
                  <w:p w14:paraId="35E30FAA">
                    <w:pPr>
                      <w:pStyle w:val="6"/>
                      <w:jc w:val="right"/>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65 -</w:t>
                    </w:r>
                    <w:r>
                      <w:rPr>
                        <w:rFonts w:ascii="宋体" w:hAnsi="宋体"/>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2F68EC"/>
    <w:multiLevelType w:val="singleLevel"/>
    <w:tmpl w:val="B32F68EC"/>
    <w:lvl w:ilvl="0" w:tentative="0">
      <w:start w:val="5"/>
      <w:numFmt w:val="chineseCounting"/>
      <w:suff w:val="nothing"/>
      <w:lvlText w:val="%1、"/>
      <w:lvlJc w:val="left"/>
      <w:rPr>
        <w:rFonts w:hint="eastAsia"/>
      </w:rPr>
    </w:lvl>
  </w:abstractNum>
  <w:abstractNum w:abstractNumId="1">
    <w:nsid w:val="06685E2F"/>
    <w:multiLevelType w:val="singleLevel"/>
    <w:tmpl w:val="06685E2F"/>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M3YmM3ZjFiN2MyOTUxNWU0NDcxNWRmZTE1M2JmYmUifQ=="/>
  </w:docVars>
  <w:rsids>
    <w:rsidRoot w:val="BF974774"/>
    <w:rsid w:val="001C048E"/>
    <w:rsid w:val="04643D0A"/>
    <w:rsid w:val="07807D0A"/>
    <w:rsid w:val="07B43062"/>
    <w:rsid w:val="09273A00"/>
    <w:rsid w:val="0A375EC4"/>
    <w:rsid w:val="11E01C72"/>
    <w:rsid w:val="1735574E"/>
    <w:rsid w:val="178266F1"/>
    <w:rsid w:val="18B135EE"/>
    <w:rsid w:val="1ADA0002"/>
    <w:rsid w:val="1C8431EB"/>
    <w:rsid w:val="1CEB6DC6"/>
    <w:rsid w:val="1D552053"/>
    <w:rsid w:val="20605D1D"/>
    <w:rsid w:val="21F172D5"/>
    <w:rsid w:val="21F93D33"/>
    <w:rsid w:val="25F4209D"/>
    <w:rsid w:val="2613738E"/>
    <w:rsid w:val="2BBF5FEE"/>
    <w:rsid w:val="2BE315B0"/>
    <w:rsid w:val="2CF6241F"/>
    <w:rsid w:val="2D796670"/>
    <w:rsid w:val="35965E97"/>
    <w:rsid w:val="372C6F3C"/>
    <w:rsid w:val="396C7089"/>
    <w:rsid w:val="39A84565"/>
    <w:rsid w:val="3B7FE201"/>
    <w:rsid w:val="3CD9DA44"/>
    <w:rsid w:val="3FC10734"/>
    <w:rsid w:val="40427815"/>
    <w:rsid w:val="41483F38"/>
    <w:rsid w:val="44EF4E2D"/>
    <w:rsid w:val="506614EF"/>
    <w:rsid w:val="511803B1"/>
    <w:rsid w:val="538C5F06"/>
    <w:rsid w:val="59FB5B93"/>
    <w:rsid w:val="5D772D45"/>
    <w:rsid w:val="5F4ED03F"/>
    <w:rsid w:val="5FFA069B"/>
    <w:rsid w:val="615E35D8"/>
    <w:rsid w:val="631D3F45"/>
    <w:rsid w:val="653D4D60"/>
    <w:rsid w:val="67002A3B"/>
    <w:rsid w:val="695503E5"/>
    <w:rsid w:val="6B7834E8"/>
    <w:rsid w:val="6BC71775"/>
    <w:rsid w:val="6D2A20ED"/>
    <w:rsid w:val="6D8C026B"/>
    <w:rsid w:val="6E766082"/>
    <w:rsid w:val="70183AC6"/>
    <w:rsid w:val="71D90A58"/>
    <w:rsid w:val="725F1036"/>
    <w:rsid w:val="72DEB9B3"/>
    <w:rsid w:val="75F39983"/>
    <w:rsid w:val="76830F93"/>
    <w:rsid w:val="76B10DD4"/>
    <w:rsid w:val="77B72625"/>
    <w:rsid w:val="7B3665D4"/>
    <w:rsid w:val="7E42492F"/>
    <w:rsid w:val="7FBEBC6A"/>
    <w:rsid w:val="7FDD03C3"/>
    <w:rsid w:val="B7D9CE59"/>
    <w:rsid w:val="BF974774"/>
    <w:rsid w:val="CE9F0659"/>
    <w:rsid w:val="F27E04D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13">
    <w:name w:val="Default Paragraph Font"/>
    <w:semiHidden/>
    <w:qFormat/>
    <w:uiPriority w:val="0"/>
  </w:style>
  <w:style w:type="table" w:default="1" w:styleId="12">
    <w:name w:val="Normal Table"/>
    <w:semiHidden/>
    <w:qFormat/>
    <w:uiPriority w:val="0"/>
    <w:tblPr>
      <w:tblStyle w:val="12"/>
      <w:tblCellMar>
        <w:top w:w="0" w:type="dxa"/>
        <w:left w:w="108" w:type="dxa"/>
        <w:bottom w:w="0" w:type="dxa"/>
        <w:right w:w="108" w:type="dxa"/>
      </w:tblCellMar>
    </w:tblPr>
  </w:style>
  <w:style w:type="paragraph" w:styleId="2">
    <w:name w:val="annotation text"/>
    <w:basedOn w:val="1"/>
    <w:semiHidden/>
    <w:qFormat/>
    <w:uiPriority w:val="0"/>
    <w:pPr>
      <w:jc w:val="left"/>
    </w:pPr>
  </w:style>
  <w:style w:type="paragraph" w:styleId="3">
    <w:name w:val="Body Text"/>
    <w:basedOn w:val="1"/>
    <w:qFormat/>
    <w:uiPriority w:val="0"/>
    <w:pPr>
      <w:spacing w:after="120"/>
    </w:pPr>
  </w:style>
  <w:style w:type="paragraph" w:styleId="4">
    <w:name w:val="Body Text Indent"/>
    <w:basedOn w:val="1"/>
    <w:next w:val="5"/>
    <w:qFormat/>
    <w:uiPriority w:val="0"/>
    <w:pPr>
      <w:ind w:left="2240" w:leftChars="400" w:hanging="1400" w:hangingChars="500"/>
    </w:pPr>
    <w:rPr>
      <w:sz w:val="28"/>
    </w:rPr>
  </w:style>
  <w:style w:type="paragraph" w:styleId="5">
    <w:name w:val="annotation subject"/>
    <w:basedOn w:val="2"/>
    <w:next w:val="1"/>
    <w:qFormat/>
    <w:uiPriority w:val="0"/>
    <w:rPr>
      <w:b/>
      <w:bCs/>
    </w:rPr>
  </w:style>
  <w:style w:type="paragraph" w:styleId="6">
    <w:name w:val="footer"/>
    <w:basedOn w:val="1"/>
    <w:qFormat/>
    <w:uiPriority w:val="99"/>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9">
    <w:name w:val="Body Text First Indent"/>
    <w:basedOn w:val="3"/>
    <w:qFormat/>
    <w:uiPriority w:val="0"/>
    <w:pPr>
      <w:spacing w:before="100" w:beforeLines="0" w:beforeAutospacing="1" w:after="0" w:afterLines="0"/>
      <w:ind w:firstLine="420" w:firstLineChars="100"/>
      <w:jc w:val="left"/>
    </w:pPr>
    <w:rPr>
      <w:b/>
      <w:bCs/>
      <w:sz w:val="32"/>
      <w:szCs w:val="32"/>
    </w:rPr>
  </w:style>
  <w:style w:type="paragraph" w:styleId="10">
    <w:name w:val="Body Text First Indent 2"/>
    <w:basedOn w:val="4"/>
    <w:next w:val="11"/>
    <w:qFormat/>
    <w:uiPriority w:val="0"/>
    <w:pPr>
      <w:ind w:firstLine="420" w:firstLineChars="200"/>
    </w:pPr>
  </w:style>
  <w:style w:type="paragraph" w:customStyle="1" w:styleId="11">
    <w:name w:val="正文1"/>
    <w:basedOn w:val="1"/>
    <w:qFormat/>
    <w:uiPriority w:val="0"/>
    <w:pPr>
      <w:spacing w:line="360" w:lineRule="auto"/>
      <w:ind w:firstLine="480" w:firstLineChars="200"/>
    </w:pPr>
    <w:rPr>
      <w:sz w:val="24"/>
    </w:rPr>
  </w:style>
  <w:style w:type="paragraph" w:styleId="14">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2662</Words>
  <Characters>2894</Characters>
  <Lines>0</Lines>
  <Paragraphs>0</Paragraphs>
  <TotalTime>16</TotalTime>
  <ScaleCrop>false</ScaleCrop>
  <LinksUpToDate>false</LinksUpToDate>
  <CharactersWithSpaces>2925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2023-02-24T09:24:00Z</dcterms:created>
  <dc:creator>xjkp</dc:creator>
  <cp:lastModifiedBy>WPS_1651658814</cp:lastModifiedBy>
  <dcterms:modified xsi:type="dcterms:W3CDTF">2025-04-25T02:30:36Z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E172A2A6191E4182BA3D681A31B5D59F_13</vt:lpwstr>
  </property>
  <property fmtid="{D5CDD505-2E9C-101B-9397-08002B2CF9AE}" pid="4" name="KSOTemplateDocerSaveRecord">
    <vt:lpwstr>eyJoZGlkIjoiZGI4YTI0OTkwN2JmYjE1YTMyYmU3MzM3MDk0ZTcwODgiLCJ1c2VySWQiOiIxMDM3NTk4MDI4In0=</vt:lpwstr>
  </property>
</Properties>
</file>