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FFB6EF">
      <w:pPr>
        <w:spacing w:before="71" w:line="224" w:lineRule="auto"/>
        <w:ind w:left="48"/>
        <w:rPr>
          <w:rFonts w:hint="default" w:ascii="方正黑体_GBK" w:hAnsi="方正黑体_GBK" w:eastAsia="方正黑体_GBK" w:cs="方正黑体_GBK"/>
          <w:b w:val="0"/>
          <w:bCs w:val="0"/>
          <w:spacing w:val="7"/>
          <w:sz w:val="22"/>
          <w:szCs w:val="22"/>
          <w:lang w:val="en-US" w:eastAsia="zh-CN"/>
        </w:rPr>
      </w:pPr>
      <w:r>
        <w:rPr>
          <w:rFonts w:hint="eastAsia" w:ascii="方正黑体_GBK" w:hAnsi="方正黑体_GBK" w:eastAsia="方正黑体_GBK" w:cs="方正黑体_GBK"/>
          <w:b w:val="0"/>
          <w:bCs w:val="0"/>
          <w:spacing w:val="7"/>
          <w:sz w:val="22"/>
          <w:szCs w:val="22"/>
        </w:rPr>
        <w:t>附件</w:t>
      </w:r>
      <w:r>
        <w:rPr>
          <w:rFonts w:hint="eastAsia" w:ascii="方正黑体_GBK" w:hAnsi="方正黑体_GBK" w:eastAsia="方正黑体_GBK" w:cs="方正黑体_GBK"/>
          <w:b w:val="0"/>
          <w:bCs w:val="0"/>
          <w:spacing w:val="7"/>
          <w:sz w:val="22"/>
          <w:szCs w:val="22"/>
          <w:lang w:val="en-US" w:eastAsia="zh-CN"/>
        </w:rPr>
        <w:t>1</w:t>
      </w:r>
    </w:p>
    <w:p w14:paraId="3CC0016C">
      <w:pPr>
        <w:spacing w:line="301" w:lineRule="auto"/>
        <w:rPr>
          <w:rFonts w:ascii="Arial"/>
          <w:sz w:val="21"/>
        </w:rPr>
      </w:pPr>
    </w:p>
    <w:p w14:paraId="26EF92AF">
      <w:pPr>
        <w:spacing w:line="301" w:lineRule="auto"/>
        <w:rPr>
          <w:rFonts w:ascii="Arial"/>
          <w:sz w:val="21"/>
        </w:rPr>
      </w:pPr>
    </w:p>
    <w:p w14:paraId="2EDDCA09">
      <w:pPr>
        <w:pStyle w:val="2"/>
        <w:spacing w:before="208" w:line="222" w:lineRule="auto"/>
        <w:jc w:val="center"/>
        <w:rPr>
          <w:rFonts w:hint="eastAsia" w:ascii="仿宋" w:hAnsi="仿宋" w:eastAsia="仿宋" w:cs="仿宋"/>
          <w:b/>
          <w:bCs/>
          <w:color w:val="auto"/>
          <w:spacing w:val="1"/>
          <w:sz w:val="44"/>
          <w:szCs w:val="44"/>
          <w:lang w:val="en-US" w:eastAsia="zh-CN"/>
        </w:rPr>
      </w:pPr>
      <w:r>
        <w:rPr>
          <w:rFonts w:hint="eastAsia" w:ascii="仿宋" w:hAnsi="仿宋" w:eastAsia="仿宋" w:cs="仿宋"/>
          <w:b/>
          <w:bCs/>
          <w:color w:val="auto"/>
          <w:spacing w:val="1"/>
          <w:sz w:val="44"/>
          <w:szCs w:val="44"/>
          <w:lang w:val="en-US" w:eastAsia="zh-CN"/>
        </w:rPr>
        <w:t>江华国有林场中央财政资金转移支付</w:t>
      </w:r>
    </w:p>
    <w:p w14:paraId="4654091F">
      <w:pPr>
        <w:pStyle w:val="2"/>
        <w:spacing w:before="208" w:line="222" w:lineRule="auto"/>
        <w:jc w:val="center"/>
        <w:rPr>
          <w:rFonts w:hint="eastAsia" w:ascii="仿宋" w:hAnsi="仿宋" w:eastAsia="仿宋" w:cs="仿宋"/>
          <w:b/>
          <w:bCs/>
          <w:color w:val="auto"/>
          <w:spacing w:val="1"/>
          <w:sz w:val="44"/>
          <w:szCs w:val="44"/>
          <w:lang w:val="en-US" w:eastAsia="zh-CN"/>
        </w:rPr>
      </w:pPr>
      <w:r>
        <w:rPr>
          <w:rFonts w:hint="eastAsia" w:ascii="仿宋" w:hAnsi="仿宋" w:eastAsia="仿宋" w:cs="仿宋"/>
          <w:b/>
          <w:bCs/>
          <w:color w:val="auto"/>
          <w:spacing w:val="1"/>
          <w:sz w:val="44"/>
          <w:szCs w:val="44"/>
          <w:lang w:val="en-US" w:eastAsia="zh-CN"/>
        </w:rPr>
        <w:t>2024年度绩效自评报告</w:t>
      </w:r>
    </w:p>
    <w:p w14:paraId="62780573">
      <w:pPr>
        <w:pStyle w:val="2"/>
        <w:spacing w:before="208" w:line="222" w:lineRule="auto"/>
        <w:jc w:val="center"/>
        <w:rPr>
          <w:rFonts w:hint="eastAsia" w:ascii="仿宋" w:hAnsi="仿宋" w:eastAsia="仿宋" w:cs="仿宋"/>
          <w:color w:val="auto"/>
          <w:sz w:val="32"/>
          <w:szCs w:val="32"/>
        </w:rPr>
      </w:pPr>
    </w:p>
    <w:p w14:paraId="7BAE3479">
      <w:pPr>
        <w:spacing w:line="570" w:lineRule="exact"/>
        <w:ind w:firstLine="707" w:firstLineChars="221"/>
        <w:rPr>
          <w:rFonts w:hint="eastAsia" w:ascii="仿宋" w:hAnsi="仿宋" w:eastAsia="仿宋" w:cs="仿宋"/>
          <w:kern w:val="0"/>
          <w:sz w:val="32"/>
          <w:szCs w:val="32"/>
        </w:rPr>
      </w:pPr>
      <w:r>
        <w:rPr>
          <w:rFonts w:hint="eastAsia" w:ascii="仿宋" w:hAnsi="仿宋" w:eastAsia="仿宋" w:cs="仿宋"/>
          <w:sz w:val="32"/>
          <w:szCs w:val="32"/>
        </w:rPr>
        <w:t>为进一步规范财政资金管理，强化财政支出绩效理念，切实提高财政资金使用效益，</w:t>
      </w:r>
      <w:r>
        <w:rPr>
          <w:rFonts w:hint="eastAsia" w:ascii="仿宋" w:hAnsi="仿宋" w:eastAsia="仿宋" w:cs="仿宋"/>
          <w:kern w:val="0"/>
          <w:sz w:val="32"/>
          <w:szCs w:val="32"/>
        </w:rPr>
        <w:t>根据湖南省林业局《关于做好</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度中央对地方林业专项转移支付预算执行情况绩效自评工作的通知》的文件精神，现将我</w:t>
      </w:r>
      <w:r>
        <w:rPr>
          <w:rFonts w:hint="eastAsia" w:ascii="仿宋" w:hAnsi="仿宋" w:eastAsia="仿宋" w:cs="仿宋"/>
          <w:kern w:val="0"/>
          <w:sz w:val="32"/>
          <w:szCs w:val="32"/>
          <w:lang w:val="en-US" w:eastAsia="zh-CN"/>
        </w:rPr>
        <w:t>场</w:t>
      </w:r>
      <w:r>
        <w:rPr>
          <w:rFonts w:hint="eastAsia" w:ascii="仿宋" w:hAnsi="仿宋" w:eastAsia="仿宋" w:cs="仿宋"/>
          <w:kern w:val="0"/>
          <w:sz w:val="32"/>
          <w:szCs w:val="32"/>
          <w:lang w:eastAsia="zh-CN"/>
        </w:rPr>
        <w:t>202</w:t>
      </w:r>
      <w:r>
        <w:rPr>
          <w:rFonts w:hint="eastAsia" w:ascii="仿宋" w:hAnsi="仿宋" w:eastAsia="仿宋" w:cs="仿宋"/>
          <w:kern w:val="0"/>
          <w:sz w:val="32"/>
          <w:szCs w:val="32"/>
          <w:lang w:val="en-US" w:eastAsia="zh-CN"/>
        </w:rPr>
        <w:t>4</w:t>
      </w:r>
      <w:r>
        <w:rPr>
          <w:rFonts w:hint="eastAsia" w:ascii="仿宋" w:hAnsi="仿宋" w:eastAsia="仿宋" w:cs="仿宋"/>
          <w:kern w:val="0"/>
          <w:sz w:val="32"/>
          <w:szCs w:val="32"/>
          <w:lang w:eastAsia="zh-CN"/>
        </w:rPr>
        <w:t>年</w:t>
      </w:r>
      <w:r>
        <w:rPr>
          <w:rFonts w:hint="eastAsia" w:ascii="仿宋" w:hAnsi="仿宋" w:eastAsia="仿宋" w:cs="仿宋"/>
          <w:kern w:val="0"/>
          <w:sz w:val="32"/>
          <w:szCs w:val="32"/>
        </w:rPr>
        <w:t>度中央</w:t>
      </w:r>
      <w:r>
        <w:rPr>
          <w:rFonts w:hint="eastAsia" w:ascii="仿宋" w:hAnsi="仿宋" w:eastAsia="仿宋" w:cs="仿宋"/>
          <w:kern w:val="0"/>
          <w:sz w:val="32"/>
          <w:szCs w:val="32"/>
          <w:lang w:val="en-US" w:eastAsia="zh-CN"/>
        </w:rPr>
        <w:t>财政资金</w:t>
      </w:r>
      <w:r>
        <w:rPr>
          <w:rFonts w:hint="eastAsia" w:ascii="仿宋" w:hAnsi="仿宋" w:eastAsia="仿宋" w:cs="仿宋"/>
          <w:kern w:val="0"/>
          <w:sz w:val="32"/>
          <w:szCs w:val="32"/>
        </w:rPr>
        <w:t>转移支付预算执行情况绩效目标工作评价如下：</w:t>
      </w:r>
    </w:p>
    <w:p w14:paraId="40CB2817">
      <w:pPr>
        <w:spacing w:line="570" w:lineRule="exact"/>
        <w:ind w:firstLine="710" w:firstLineChars="221"/>
        <w:rPr>
          <w:rFonts w:hint="eastAsia" w:ascii="仿宋" w:hAnsi="仿宋" w:eastAsia="仿宋" w:cs="仿宋"/>
          <w:kern w:val="0"/>
          <w:sz w:val="32"/>
          <w:szCs w:val="32"/>
          <w:lang w:val="en-US" w:eastAsia="zh-CN"/>
        </w:rPr>
      </w:pPr>
      <w:r>
        <w:rPr>
          <w:rFonts w:hint="eastAsia" w:ascii="仿宋" w:hAnsi="仿宋" w:eastAsia="仿宋" w:cs="仿宋"/>
          <w:b/>
          <w:bCs/>
          <w:kern w:val="0"/>
          <w:sz w:val="32"/>
          <w:szCs w:val="32"/>
          <w:lang w:val="en-US" w:eastAsia="zh-CN"/>
        </w:rPr>
        <w:t>一、</w:t>
      </w:r>
      <w:r>
        <w:rPr>
          <w:rFonts w:hint="eastAsia" w:ascii="仿宋" w:hAnsi="仿宋" w:eastAsia="仿宋" w:cs="仿宋"/>
          <w:b/>
          <w:bCs/>
          <w:color w:val="auto"/>
          <w:kern w:val="0"/>
          <w:sz w:val="32"/>
          <w:szCs w:val="32"/>
          <w:rtl w:val="0"/>
          <w:lang w:val="en-US" w:eastAsia="zh-CN" w:bidi="ar"/>
        </w:rPr>
        <w:t>2024年度中央财政资金转移支付林业草原生态保护恢复资金</w:t>
      </w:r>
    </w:p>
    <w:p w14:paraId="0B875B8C">
      <w:pPr>
        <w:spacing w:before="216" w:line="221" w:lineRule="auto"/>
        <w:ind w:left="839"/>
        <w:outlineLvl w:val="0"/>
        <w:rPr>
          <w:rFonts w:hint="eastAsia" w:ascii="仿宋" w:hAnsi="仿宋" w:eastAsia="仿宋" w:cs="仿宋"/>
          <w:b/>
          <w:bCs/>
          <w:sz w:val="32"/>
          <w:szCs w:val="32"/>
        </w:rPr>
      </w:pPr>
      <w:r>
        <w:rPr>
          <w:rFonts w:hint="eastAsia" w:ascii="仿宋" w:hAnsi="仿宋" w:eastAsia="仿宋" w:cs="仿宋"/>
          <w:b/>
          <w:bCs/>
          <w:spacing w:val="-8"/>
          <w:sz w:val="32"/>
          <w:szCs w:val="32"/>
          <w:lang w:eastAsia="zh-CN"/>
        </w:rPr>
        <w:t>（</w:t>
      </w:r>
      <w:r>
        <w:rPr>
          <w:rFonts w:hint="eastAsia" w:ascii="仿宋" w:hAnsi="仿宋" w:eastAsia="仿宋" w:cs="仿宋"/>
          <w:b/>
          <w:bCs/>
          <w:spacing w:val="-8"/>
          <w:sz w:val="32"/>
          <w:szCs w:val="32"/>
        </w:rPr>
        <w:t>一</w:t>
      </w:r>
      <w:r>
        <w:rPr>
          <w:rFonts w:hint="eastAsia" w:ascii="仿宋" w:hAnsi="仿宋" w:eastAsia="仿宋" w:cs="仿宋"/>
          <w:b/>
          <w:bCs/>
          <w:spacing w:val="-8"/>
          <w:sz w:val="32"/>
          <w:szCs w:val="32"/>
          <w:lang w:eastAsia="zh-CN"/>
        </w:rPr>
        <w:t>）</w:t>
      </w:r>
      <w:r>
        <w:rPr>
          <w:rFonts w:hint="eastAsia" w:ascii="仿宋" w:hAnsi="仿宋" w:eastAsia="仿宋" w:cs="仿宋"/>
          <w:b/>
          <w:bCs/>
          <w:spacing w:val="-8"/>
          <w:sz w:val="32"/>
          <w:szCs w:val="32"/>
        </w:rPr>
        <w:t>、绩效目标分解下达情况</w:t>
      </w:r>
    </w:p>
    <w:p w14:paraId="7E3F9005">
      <w:pPr>
        <w:adjustRightInd w:val="0"/>
        <w:snapToGrid w:val="0"/>
        <w:spacing w:line="600" w:lineRule="exact"/>
        <w:ind w:firstLine="640" w:firstLineChars="200"/>
        <w:rPr>
          <w:rFonts w:hint="eastAsia" w:ascii="仿宋" w:hAnsi="仿宋" w:eastAsia="仿宋" w:cs="仿宋"/>
          <w:color w:val="auto"/>
          <w:kern w:val="0"/>
          <w:sz w:val="32"/>
          <w:szCs w:val="32"/>
          <w:rtl w:val="0"/>
          <w:lang w:val="en-US" w:eastAsia="zh-CN" w:bidi="ar"/>
        </w:rPr>
      </w:pPr>
      <w:r>
        <w:rPr>
          <w:rFonts w:hint="eastAsia" w:ascii="仿宋" w:hAnsi="仿宋" w:eastAsia="仿宋" w:cs="仿宋"/>
          <w:color w:val="auto"/>
          <w:kern w:val="0"/>
          <w:sz w:val="32"/>
          <w:szCs w:val="32"/>
          <w:rtl w:val="0"/>
          <w:lang w:val="en-US" w:eastAsia="zh-CN" w:bidi="ar"/>
        </w:rPr>
        <w:t>2024年中央财政下达我场林业生态保护恢复资金980.03万元。其中：国有林保护修复补助资金142.03万元，全面停止天然林商业性采伐补助资金284万元，森林可持续经营补助资金554万元。</w:t>
      </w:r>
    </w:p>
    <w:p w14:paraId="6875E736">
      <w:pPr>
        <w:spacing w:before="29" w:line="221" w:lineRule="auto"/>
        <w:ind w:left="839"/>
        <w:outlineLvl w:val="0"/>
        <w:rPr>
          <w:rFonts w:hint="eastAsia" w:ascii="仿宋" w:hAnsi="仿宋" w:eastAsia="仿宋" w:cs="仿宋"/>
          <w:b/>
          <w:bCs/>
          <w:sz w:val="32"/>
          <w:szCs w:val="32"/>
        </w:rPr>
      </w:pPr>
      <w:r>
        <w:rPr>
          <w:rFonts w:hint="eastAsia" w:ascii="仿宋" w:hAnsi="仿宋" w:eastAsia="仿宋" w:cs="仿宋"/>
          <w:b/>
          <w:bCs/>
          <w:spacing w:val="-2"/>
          <w:sz w:val="32"/>
          <w:szCs w:val="32"/>
          <w:lang w:eastAsia="zh-CN"/>
        </w:rPr>
        <w:t>（</w:t>
      </w:r>
      <w:r>
        <w:rPr>
          <w:rFonts w:hint="eastAsia" w:ascii="仿宋" w:hAnsi="仿宋" w:eastAsia="仿宋" w:cs="仿宋"/>
          <w:b/>
          <w:bCs/>
          <w:spacing w:val="-2"/>
          <w:sz w:val="32"/>
          <w:szCs w:val="32"/>
        </w:rPr>
        <w:t>二</w:t>
      </w:r>
      <w:r>
        <w:rPr>
          <w:rFonts w:hint="eastAsia" w:ascii="仿宋" w:hAnsi="仿宋" w:eastAsia="仿宋" w:cs="仿宋"/>
          <w:b/>
          <w:bCs/>
          <w:spacing w:val="-2"/>
          <w:sz w:val="32"/>
          <w:szCs w:val="32"/>
          <w:lang w:eastAsia="zh-CN"/>
        </w:rPr>
        <w:t>）</w:t>
      </w:r>
      <w:r>
        <w:rPr>
          <w:rFonts w:hint="eastAsia" w:ascii="仿宋" w:hAnsi="仿宋" w:eastAsia="仿宋" w:cs="仿宋"/>
          <w:b/>
          <w:bCs/>
          <w:spacing w:val="-2"/>
          <w:sz w:val="32"/>
          <w:szCs w:val="32"/>
        </w:rPr>
        <w:t>、绩效情况分析</w:t>
      </w:r>
    </w:p>
    <w:p w14:paraId="7F8CFEB3">
      <w:pPr>
        <w:pStyle w:val="2"/>
        <w:spacing w:before="236" w:line="224" w:lineRule="auto"/>
        <w:ind w:firstLine="687" w:firstLineChars="200"/>
        <w:rPr>
          <w:rFonts w:hint="eastAsia" w:ascii="仿宋" w:hAnsi="仿宋" w:eastAsia="仿宋" w:cs="仿宋"/>
          <w:b w:val="0"/>
          <w:bCs w:val="0"/>
          <w:spacing w:val="10"/>
          <w:sz w:val="32"/>
          <w:szCs w:val="32"/>
        </w:rPr>
      </w:pPr>
      <w:r>
        <w:rPr>
          <w:rFonts w:hint="eastAsia" w:ascii="仿宋" w:hAnsi="仿宋" w:eastAsia="仿宋" w:cs="仿宋"/>
          <w:b/>
          <w:bCs/>
          <w:spacing w:val="11"/>
          <w:sz w:val="32"/>
          <w:szCs w:val="32"/>
          <w:lang w:val="en-US" w:eastAsia="zh-CN"/>
        </w:rPr>
        <w:t>1、</w:t>
      </w:r>
      <w:r>
        <w:rPr>
          <w:rFonts w:hint="eastAsia" w:ascii="仿宋" w:hAnsi="仿宋" w:eastAsia="仿宋" w:cs="仿宋"/>
          <w:b/>
          <w:bCs/>
          <w:spacing w:val="11"/>
          <w:sz w:val="32"/>
          <w:szCs w:val="32"/>
        </w:rPr>
        <w:t>资金投入情况分析。</w:t>
      </w:r>
    </w:p>
    <w:p w14:paraId="6E180DEB">
      <w:pPr>
        <w:pStyle w:val="2"/>
        <w:spacing w:before="236" w:line="224" w:lineRule="auto"/>
        <w:ind w:firstLine="660"/>
        <w:jc w:val="left"/>
        <w:rPr>
          <w:rFonts w:hint="eastAsia" w:ascii="仿宋" w:hAnsi="仿宋" w:eastAsia="仿宋" w:cs="仿宋"/>
          <w:b w:val="0"/>
          <w:bCs w:val="0"/>
          <w:spacing w:val="10"/>
          <w:sz w:val="32"/>
          <w:szCs w:val="32"/>
          <w:lang w:val="en-US" w:eastAsia="zh-CN"/>
        </w:rPr>
      </w:pPr>
      <w:r>
        <w:rPr>
          <w:rFonts w:hint="eastAsia" w:ascii="仿宋" w:hAnsi="仿宋" w:eastAsia="仿宋" w:cs="仿宋"/>
          <w:b w:val="0"/>
          <w:bCs w:val="0"/>
          <w:spacing w:val="10"/>
          <w:sz w:val="32"/>
          <w:szCs w:val="32"/>
          <w:lang w:val="en-US" w:eastAsia="zh-CN"/>
        </w:rPr>
        <w:t>（1）、2024年中央提前批国有林保护修复补助142.03</w:t>
      </w:r>
      <w:r>
        <w:rPr>
          <w:rFonts w:hint="eastAsia" w:ascii="仿宋" w:hAnsi="仿宋" w:eastAsia="仿宋" w:cs="仿宋"/>
          <w:color w:val="auto"/>
          <w:kern w:val="0"/>
          <w:sz w:val="32"/>
          <w:szCs w:val="32"/>
          <w:rtl w:val="0"/>
          <w:lang w:val="en-US" w:eastAsia="zh-CN" w:bidi="ar"/>
        </w:rPr>
        <w:t>万元</w:t>
      </w:r>
      <w:r>
        <w:rPr>
          <w:rFonts w:hint="eastAsia" w:ascii="仿宋" w:hAnsi="仿宋" w:eastAsia="仿宋" w:cs="仿宋"/>
          <w:b w:val="0"/>
          <w:bCs w:val="0"/>
          <w:spacing w:val="10"/>
          <w:sz w:val="32"/>
          <w:szCs w:val="32"/>
          <w:lang w:val="en-US" w:eastAsia="zh-CN"/>
        </w:rPr>
        <w:t>（湘财预[2023]402号）</w:t>
      </w:r>
    </w:p>
    <w:p w14:paraId="65FCABFA">
      <w:pPr>
        <w:pStyle w:val="2"/>
        <w:spacing w:before="236" w:line="224" w:lineRule="auto"/>
        <w:ind w:firstLine="660"/>
        <w:jc w:val="left"/>
        <w:rPr>
          <w:rFonts w:hint="eastAsia" w:ascii="仿宋" w:hAnsi="仿宋" w:eastAsia="仿宋" w:cs="仿宋"/>
          <w:b w:val="0"/>
          <w:bCs w:val="0"/>
          <w:spacing w:val="10"/>
          <w:sz w:val="32"/>
          <w:szCs w:val="32"/>
          <w:lang w:val="en-US" w:eastAsia="zh-CN"/>
        </w:rPr>
      </w:pPr>
      <w:r>
        <w:rPr>
          <w:rFonts w:hint="eastAsia" w:ascii="仿宋" w:hAnsi="仿宋" w:eastAsia="仿宋" w:cs="仿宋"/>
          <w:b w:val="0"/>
          <w:bCs w:val="0"/>
          <w:spacing w:val="10"/>
          <w:sz w:val="32"/>
          <w:szCs w:val="32"/>
          <w:lang w:val="en-US" w:eastAsia="zh-CN"/>
        </w:rPr>
        <w:t xml:space="preserve">（2）、2024年中央提前批全面停止天然林商业性采伐补助284万元（湘财预[2023]402号） </w:t>
      </w:r>
    </w:p>
    <w:p w14:paraId="336A3C87">
      <w:pPr>
        <w:pStyle w:val="2"/>
        <w:numPr>
          <w:ilvl w:val="0"/>
          <w:numId w:val="0"/>
        </w:numPr>
        <w:spacing w:before="236" w:line="224" w:lineRule="auto"/>
        <w:ind w:firstLine="660" w:firstLineChars="0"/>
        <w:jc w:val="left"/>
        <w:rPr>
          <w:rFonts w:hint="eastAsia" w:ascii="仿宋" w:hAnsi="仿宋" w:eastAsia="仿宋" w:cs="仿宋"/>
          <w:b w:val="0"/>
          <w:bCs w:val="0"/>
          <w:spacing w:val="10"/>
          <w:sz w:val="32"/>
          <w:szCs w:val="32"/>
          <w:lang w:val="en-US" w:eastAsia="zh-CN"/>
        </w:rPr>
      </w:pPr>
      <w:r>
        <w:rPr>
          <w:rFonts w:hint="eastAsia" w:ascii="仿宋" w:hAnsi="仿宋" w:eastAsia="仿宋" w:cs="仿宋"/>
          <w:b w:val="0"/>
          <w:bCs w:val="0"/>
          <w:snapToGrid w:val="0"/>
          <w:color w:val="000000"/>
          <w:spacing w:val="10"/>
          <w:kern w:val="0"/>
          <w:sz w:val="32"/>
          <w:szCs w:val="32"/>
          <w:lang w:val="en-US" w:eastAsia="zh-CN" w:bidi="ar-SA"/>
        </w:rPr>
        <w:t>（3）、</w:t>
      </w:r>
      <w:r>
        <w:rPr>
          <w:rFonts w:hint="eastAsia" w:ascii="仿宋" w:hAnsi="仿宋" w:eastAsia="仿宋" w:cs="仿宋"/>
          <w:b w:val="0"/>
          <w:bCs w:val="0"/>
          <w:spacing w:val="10"/>
          <w:sz w:val="32"/>
          <w:szCs w:val="32"/>
          <w:lang w:val="en-US" w:eastAsia="zh-CN"/>
        </w:rPr>
        <w:t>2024年中央林业草原生态保护恢复资金第四批森林可持续经营554万元 （湘财预2025-8号）</w:t>
      </w:r>
    </w:p>
    <w:p w14:paraId="452D3950">
      <w:pPr>
        <w:adjustRightInd w:val="0"/>
        <w:snapToGrid w:val="0"/>
        <w:spacing w:line="600" w:lineRule="exact"/>
        <w:ind w:firstLine="640" w:firstLineChars="200"/>
        <w:rPr>
          <w:rFonts w:hint="eastAsia" w:ascii="仿宋" w:hAnsi="仿宋" w:eastAsia="仿宋" w:cs="仿宋"/>
          <w:color w:val="auto"/>
          <w:kern w:val="0"/>
          <w:sz w:val="32"/>
          <w:szCs w:val="32"/>
          <w:lang w:val="en-US" w:eastAsia="zh-CN" w:bidi="ar"/>
        </w:rPr>
      </w:pPr>
      <w:r>
        <w:rPr>
          <w:rFonts w:hint="eastAsia" w:ascii="仿宋" w:hAnsi="仿宋" w:eastAsia="仿宋" w:cs="仿宋"/>
          <w:b w:val="0"/>
          <w:bCs w:val="0"/>
          <w:sz w:val="32"/>
          <w:szCs w:val="32"/>
          <w:lang w:eastAsia="zh-CN"/>
        </w:rPr>
        <w:t>江华国有林场</w:t>
      </w:r>
      <w:r>
        <w:rPr>
          <w:rFonts w:hint="eastAsia" w:ascii="仿宋" w:hAnsi="仿宋" w:eastAsia="仿宋" w:cs="仿宋"/>
          <w:color w:val="auto"/>
          <w:kern w:val="0"/>
          <w:sz w:val="32"/>
          <w:szCs w:val="32"/>
          <w:lang w:val="en-US" w:eastAsia="zh-CN" w:bidi="ar"/>
        </w:rPr>
        <w:t>2024年度中央财政</w:t>
      </w:r>
      <w:r>
        <w:rPr>
          <w:rFonts w:hint="eastAsia" w:ascii="仿宋" w:hAnsi="仿宋" w:eastAsia="仿宋" w:cs="仿宋"/>
          <w:color w:val="auto"/>
          <w:kern w:val="0"/>
          <w:sz w:val="32"/>
          <w:szCs w:val="32"/>
          <w:rtl w:val="0"/>
          <w:lang w:val="en-US" w:eastAsia="zh-CN" w:bidi="ar"/>
        </w:rPr>
        <w:t>林业生态保护恢复资金980.03万元</w:t>
      </w:r>
      <w:r>
        <w:rPr>
          <w:rFonts w:hint="eastAsia" w:ascii="仿宋" w:hAnsi="仿宋" w:eastAsia="仿宋" w:cs="仿宋"/>
          <w:color w:val="auto"/>
          <w:kern w:val="0"/>
          <w:sz w:val="32"/>
          <w:szCs w:val="32"/>
          <w:lang w:val="en-US" w:eastAsia="zh-CN" w:bidi="ar"/>
        </w:rPr>
        <w:t>均已到位。按项目年度</w:t>
      </w:r>
      <w:r>
        <w:rPr>
          <w:rFonts w:hint="eastAsia" w:ascii="仿宋" w:hAnsi="仿宋" w:eastAsia="仿宋" w:cs="仿宋"/>
          <w:color w:val="3D3D3D"/>
          <w:sz w:val="32"/>
          <w:szCs w:val="32"/>
          <w:lang w:val="en-US" w:eastAsia="zh-CN"/>
        </w:rPr>
        <w:t>作业设计</w:t>
      </w:r>
      <w:r>
        <w:rPr>
          <w:rFonts w:hint="eastAsia" w:ascii="仿宋" w:hAnsi="仿宋" w:eastAsia="仿宋" w:cs="仿宋"/>
          <w:color w:val="auto"/>
          <w:kern w:val="0"/>
          <w:sz w:val="32"/>
          <w:szCs w:val="32"/>
          <w:lang w:val="en-US" w:eastAsia="zh-CN" w:bidi="ar"/>
        </w:rPr>
        <w:t>完成支付980.03万元。</w:t>
      </w:r>
    </w:p>
    <w:p w14:paraId="338F8794">
      <w:pPr>
        <w:pStyle w:val="2"/>
        <w:numPr>
          <w:ilvl w:val="0"/>
          <w:numId w:val="0"/>
        </w:numPr>
        <w:spacing w:before="236" w:line="224" w:lineRule="auto"/>
        <w:ind w:firstLine="671" w:firstLineChars="200"/>
        <w:jc w:val="left"/>
        <w:rPr>
          <w:rFonts w:hint="eastAsia" w:ascii="仿宋" w:hAnsi="仿宋" w:eastAsia="仿宋" w:cs="仿宋"/>
          <w:b/>
          <w:bCs/>
          <w:spacing w:val="3"/>
          <w:sz w:val="32"/>
          <w:szCs w:val="32"/>
        </w:rPr>
      </w:pPr>
      <w:r>
        <w:rPr>
          <w:rFonts w:hint="eastAsia" w:ascii="仿宋" w:hAnsi="仿宋" w:eastAsia="仿宋" w:cs="仿宋"/>
          <w:b/>
          <w:bCs/>
          <w:spacing w:val="7"/>
          <w:sz w:val="32"/>
          <w:szCs w:val="32"/>
          <w:lang w:val="en-US" w:eastAsia="zh-CN"/>
        </w:rPr>
        <w:t>2、</w:t>
      </w:r>
      <w:r>
        <w:rPr>
          <w:rFonts w:hint="eastAsia" w:ascii="仿宋" w:hAnsi="仿宋" w:eastAsia="仿宋" w:cs="仿宋"/>
          <w:b/>
          <w:bCs/>
          <w:spacing w:val="7"/>
          <w:sz w:val="32"/>
          <w:szCs w:val="32"/>
        </w:rPr>
        <w:t>资金管理情况分析。</w:t>
      </w:r>
    </w:p>
    <w:p w14:paraId="74C0DE1F">
      <w:pPr>
        <w:adjustRightInd w:val="0"/>
        <w:snapToGrid w:val="0"/>
        <w:spacing w:line="600" w:lineRule="exact"/>
        <w:ind w:firstLine="640" w:firstLineChars="200"/>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所有资金严格按照</w:t>
      </w:r>
      <w:r>
        <w:rPr>
          <w:rFonts w:hint="eastAsia" w:ascii="仿宋" w:hAnsi="仿宋" w:eastAsia="仿宋" w:cs="仿宋"/>
          <w:i w:val="0"/>
          <w:caps w:val="0"/>
          <w:color w:val="333333"/>
          <w:spacing w:val="0"/>
          <w:sz w:val="32"/>
          <w:szCs w:val="32"/>
          <w:shd w:val="clear" w:color="auto" w:fill="FFFFFF"/>
        </w:rPr>
        <w:t>《中华人民共和国预算法》</w:t>
      </w:r>
      <w:r>
        <w:rPr>
          <w:rFonts w:hint="eastAsia" w:ascii="仿宋" w:hAnsi="仿宋" w:eastAsia="仿宋" w:cs="仿宋"/>
          <w:i w:val="0"/>
          <w:caps w:val="0"/>
          <w:color w:val="333333"/>
          <w:spacing w:val="0"/>
          <w:sz w:val="32"/>
          <w:szCs w:val="32"/>
          <w:shd w:val="clear" w:color="auto" w:fill="FFFFFF"/>
          <w:lang w:eastAsia="zh-CN"/>
        </w:rPr>
        <w:t>、</w:t>
      </w:r>
      <w:r>
        <w:rPr>
          <w:rFonts w:hint="eastAsia" w:ascii="仿宋" w:hAnsi="仿宋" w:eastAsia="仿宋" w:cs="仿宋"/>
          <w:color w:val="auto"/>
          <w:kern w:val="0"/>
          <w:sz w:val="32"/>
          <w:szCs w:val="32"/>
          <w:lang w:val="en-US" w:eastAsia="zh-CN" w:bidi="ar"/>
        </w:rPr>
        <w:t>《财政部、国家林业局关于印发&lt;林业保护恢复管理办法&gt;的通知》（财农〔2016〕196号）及《财政部国家林业局关于印发&lt;中央财政林业补助管理办法&gt;的通知》（财农〔2014〕9号）文件精神有关规定执行，实行分账核算，专款专用。严格专项资金运行制度，严禁截留、挤占、挪用补贴资金，确保资金安全高效地发挥投资效益。对违反专项资金使用规定，截留、挪用或造成资金损失的单位或个人，依照《财政违法行为处罚处分条例》（国务院令第427号）以及有关法律、行政法规的规定处理。</w:t>
      </w:r>
    </w:p>
    <w:p w14:paraId="52FEC1AA">
      <w:pPr>
        <w:pStyle w:val="2"/>
        <w:numPr>
          <w:ilvl w:val="0"/>
          <w:numId w:val="0"/>
        </w:numPr>
        <w:spacing w:before="214" w:line="290" w:lineRule="auto"/>
        <w:ind w:right="7" w:rightChars="0" w:firstLine="679" w:firstLineChars="200"/>
        <w:rPr>
          <w:rFonts w:hint="eastAsia" w:ascii="仿宋" w:hAnsi="仿宋" w:eastAsia="仿宋" w:cs="仿宋"/>
          <w:b/>
          <w:bCs/>
          <w:spacing w:val="9"/>
          <w:sz w:val="32"/>
          <w:szCs w:val="32"/>
        </w:rPr>
      </w:pPr>
      <w:r>
        <w:rPr>
          <w:rFonts w:hint="eastAsia" w:ascii="仿宋" w:hAnsi="仿宋" w:eastAsia="仿宋" w:cs="仿宋"/>
          <w:b/>
          <w:bCs/>
          <w:snapToGrid w:val="0"/>
          <w:color w:val="000000"/>
          <w:spacing w:val="9"/>
          <w:kern w:val="0"/>
          <w:sz w:val="32"/>
          <w:szCs w:val="32"/>
          <w:lang w:val="en-US" w:eastAsia="en-US" w:bidi="ar-SA"/>
        </w:rPr>
        <w:t>3、</w:t>
      </w:r>
      <w:r>
        <w:rPr>
          <w:rFonts w:hint="eastAsia" w:ascii="仿宋" w:hAnsi="仿宋" w:eastAsia="仿宋" w:cs="仿宋"/>
          <w:b/>
          <w:bCs/>
          <w:spacing w:val="8"/>
          <w:sz w:val="32"/>
          <w:szCs w:val="32"/>
        </w:rPr>
        <w:t>总体绩效目标完成情况分析。</w:t>
      </w:r>
    </w:p>
    <w:p w14:paraId="3A4E4D63">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pacing w:val="9"/>
          <w:sz w:val="32"/>
          <w:szCs w:val="32"/>
          <w:lang w:val="en-US" w:eastAsia="zh-CN"/>
        </w:rPr>
      </w:pPr>
      <w:r>
        <w:rPr>
          <w:rFonts w:hint="eastAsia" w:ascii="仿宋" w:hAnsi="仿宋" w:eastAsia="仿宋" w:cs="仿宋"/>
          <w:color w:val="3D3D3D"/>
          <w:sz w:val="32"/>
          <w:szCs w:val="32"/>
          <w:lang w:val="en-US" w:eastAsia="zh-CN"/>
        </w:rPr>
        <w:t>江华国有林场根据总体绩效目标可分为林业草原生态保护（天然林停伐）和生态保护修复（</w:t>
      </w:r>
      <w:r>
        <w:rPr>
          <w:rFonts w:hint="eastAsia" w:ascii="仿宋" w:hAnsi="仿宋" w:eastAsia="仿宋" w:cs="仿宋"/>
          <w:b w:val="0"/>
          <w:bCs w:val="0"/>
          <w:sz w:val="32"/>
          <w:szCs w:val="32"/>
        </w:rPr>
        <w:t>森林可持续经营</w:t>
      </w: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lang w:val="en-US" w:eastAsia="zh-CN"/>
        </w:rPr>
        <w:t>等两方面，</w:t>
      </w:r>
      <w:r>
        <w:rPr>
          <w:rFonts w:hint="eastAsia" w:ascii="仿宋" w:hAnsi="仿宋" w:eastAsia="仿宋" w:cs="仿宋"/>
          <w:color w:val="3D3D3D"/>
          <w:sz w:val="32"/>
          <w:szCs w:val="32"/>
          <w:lang w:val="en-US" w:eastAsia="zh-CN"/>
        </w:rPr>
        <w:t>总面积27.14万亩，其中生态保护方面（含停伐）面积24.82万亩、生态保护修复方面（森林可持续经营）2.32万亩；在天然林管护、生态林、天然林停伐等方面均按设定目标完成，并持续不断完善各项管护措施。在森林可持续经营方面，根据年度作业设计要求，均按设计措施进行施工并完成总任务量的85%以上。</w:t>
      </w:r>
    </w:p>
    <w:p w14:paraId="13C1CB97">
      <w:pPr>
        <w:widowControl w:val="0"/>
        <w:numPr>
          <w:ilvl w:val="0"/>
          <w:numId w:val="0"/>
        </w:numPr>
        <w:ind w:firstLine="667" w:firstLineChars="200"/>
        <w:jc w:val="both"/>
        <w:rPr>
          <w:rFonts w:hint="eastAsia" w:ascii="仿宋" w:hAnsi="仿宋" w:eastAsia="仿宋" w:cs="仿宋"/>
          <w:b w:val="0"/>
          <w:bCs w:val="0"/>
          <w:spacing w:val="6"/>
          <w:sz w:val="32"/>
          <w:szCs w:val="32"/>
        </w:rPr>
      </w:pPr>
      <w:r>
        <w:rPr>
          <w:rFonts w:hint="eastAsia" w:ascii="仿宋" w:hAnsi="仿宋" w:eastAsia="仿宋" w:cs="仿宋"/>
          <w:b/>
          <w:bCs/>
          <w:spacing w:val="6"/>
          <w:sz w:val="32"/>
          <w:szCs w:val="32"/>
          <w:lang w:val="en-US" w:eastAsia="zh-CN"/>
        </w:rPr>
        <w:t>4、</w:t>
      </w:r>
      <w:r>
        <w:rPr>
          <w:rFonts w:hint="eastAsia" w:ascii="仿宋" w:hAnsi="仿宋" w:eastAsia="仿宋" w:cs="仿宋"/>
          <w:b/>
          <w:bCs/>
          <w:spacing w:val="6"/>
          <w:sz w:val="32"/>
          <w:szCs w:val="32"/>
        </w:rPr>
        <w:t>绩效指标完成情况分析。</w:t>
      </w:r>
    </w:p>
    <w:p w14:paraId="7C416301">
      <w:pPr>
        <w:widowControl w:val="0"/>
        <w:numPr>
          <w:ilvl w:val="0"/>
          <w:numId w:val="0"/>
        </w:numPr>
        <w:ind w:firstLine="643" w:firstLineChars="200"/>
        <w:jc w:val="both"/>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数量指标</w:t>
      </w:r>
      <w:r>
        <w:rPr>
          <w:rFonts w:hint="eastAsia" w:ascii="仿宋" w:hAnsi="仿宋" w:eastAsia="仿宋" w:cs="仿宋"/>
          <w:b/>
          <w:bCs/>
          <w:sz w:val="32"/>
          <w:szCs w:val="32"/>
          <w:lang w:eastAsia="zh-CN"/>
        </w:rPr>
        <w:t>完成情况及分析。</w:t>
      </w:r>
    </w:p>
    <w:p w14:paraId="6FA60685">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color w:val="3D3D3D"/>
          <w:sz w:val="32"/>
          <w:szCs w:val="32"/>
          <w:lang w:val="en-US" w:eastAsia="zh-CN"/>
        </w:rPr>
      </w:pPr>
      <w:bookmarkStart w:id="0" w:name="OLE_LINK1"/>
      <w:r>
        <w:rPr>
          <w:rFonts w:hint="eastAsia" w:ascii="仿宋" w:hAnsi="仿宋" w:eastAsia="仿宋" w:cs="仿宋"/>
          <w:color w:val="3D3D3D"/>
          <w:sz w:val="32"/>
          <w:szCs w:val="32"/>
          <w:lang w:val="en-US" w:eastAsia="zh-CN"/>
        </w:rPr>
        <w:t>在林业草原生态保护方面（天然林停伐）总面积24.82万亩，其中天然商品林面积1.87万亩，均完成全年管护任务。</w:t>
      </w:r>
    </w:p>
    <w:p w14:paraId="740EEE8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color w:val="3D3D3D"/>
          <w:sz w:val="32"/>
          <w:szCs w:val="32"/>
          <w:lang w:val="en-US" w:eastAsia="zh-CN"/>
        </w:rPr>
        <w:t>在生态保护修复方面（</w:t>
      </w:r>
      <w:r>
        <w:rPr>
          <w:rFonts w:hint="eastAsia" w:ascii="仿宋" w:hAnsi="仿宋" w:eastAsia="仿宋" w:cs="仿宋"/>
          <w:b w:val="0"/>
          <w:bCs w:val="0"/>
          <w:sz w:val="32"/>
          <w:szCs w:val="32"/>
        </w:rPr>
        <w:t>森林可持续经营</w:t>
      </w:r>
      <w:r>
        <w:rPr>
          <w:rFonts w:hint="eastAsia" w:ascii="仿宋" w:hAnsi="仿宋" w:eastAsia="仿宋" w:cs="仿宋"/>
          <w:b w:val="0"/>
          <w:bCs w:val="0"/>
          <w:sz w:val="32"/>
          <w:szCs w:val="32"/>
          <w:lang w:eastAsia="zh-CN"/>
        </w:rPr>
        <w:t>）</w:t>
      </w:r>
      <w:r>
        <w:rPr>
          <w:rFonts w:hint="eastAsia" w:ascii="仿宋" w:hAnsi="仿宋" w:eastAsia="仿宋" w:cs="仿宋"/>
          <w:color w:val="3D3D3D"/>
          <w:sz w:val="32"/>
          <w:szCs w:val="32"/>
        </w:rPr>
        <w:t>面积</w:t>
      </w:r>
      <w:r>
        <w:rPr>
          <w:rFonts w:hint="eastAsia" w:ascii="仿宋" w:hAnsi="仿宋" w:eastAsia="仿宋" w:cs="仿宋"/>
          <w:color w:val="3D3D3D"/>
          <w:sz w:val="32"/>
          <w:szCs w:val="32"/>
          <w:lang w:val="en-US" w:eastAsia="zh-CN"/>
        </w:rPr>
        <w:t>2.32万亩，其中幼龄林改培0.93万亩，中龄林改培1.06万亩，低效林改培0.33万亩。现已完成总面积的85%以上，项目正在施工中</w:t>
      </w:r>
      <w:r>
        <w:rPr>
          <w:rFonts w:hint="eastAsia" w:ascii="仿宋" w:hAnsi="仿宋" w:eastAsia="仿宋" w:cs="仿宋"/>
          <w:color w:val="3D3D3D"/>
          <w:sz w:val="32"/>
          <w:szCs w:val="32"/>
          <w:lang w:eastAsia="zh-CN"/>
        </w:rPr>
        <w:t>。</w:t>
      </w:r>
    </w:p>
    <w:bookmarkEnd w:id="0"/>
    <w:p w14:paraId="632B65CB">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firstLine="643" w:firstLineChars="200"/>
        <w:textAlignment w:val="auto"/>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质量指标</w:t>
      </w:r>
      <w:r>
        <w:rPr>
          <w:rFonts w:hint="eastAsia" w:ascii="仿宋" w:hAnsi="仿宋" w:eastAsia="仿宋" w:cs="仿宋"/>
          <w:b/>
          <w:bCs/>
          <w:sz w:val="32"/>
          <w:szCs w:val="32"/>
          <w:lang w:eastAsia="zh-CN"/>
        </w:rPr>
        <w:t>完成情况及分析。</w:t>
      </w:r>
    </w:p>
    <w:p w14:paraId="385E0ED8">
      <w:pPr>
        <w:keepNext w:val="0"/>
        <w:keepLines w:val="0"/>
        <w:pageBreakBefore w:val="0"/>
        <w:numPr>
          <w:ilvl w:val="0"/>
          <w:numId w:val="0"/>
        </w:numPr>
        <w:tabs>
          <w:tab w:val="left" w:pos="1089"/>
        </w:tabs>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根据作业设计要求各项</w:t>
      </w:r>
      <w:r>
        <w:rPr>
          <w:rFonts w:hint="eastAsia" w:ascii="仿宋" w:hAnsi="仿宋" w:eastAsia="仿宋" w:cs="仿宋"/>
          <w:sz w:val="32"/>
          <w:szCs w:val="32"/>
        </w:rPr>
        <w:t>改培</w:t>
      </w:r>
      <w:r>
        <w:rPr>
          <w:rFonts w:hint="eastAsia" w:ascii="仿宋" w:hAnsi="仿宋" w:eastAsia="仿宋" w:cs="仿宋"/>
          <w:sz w:val="32"/>
          <w:szCs w:val="32"/>
          <w:lang w:val="en-US" w:eastAsia="zh-CN"/>
        </w:rPr>
        <w:t>措施</w:t>
      </w:r>
      <w:r>
        <w:rPr>
          <w:rFonts w:hint="eastAsia" w:ascii="仿宋" w:hAnsi="仿宋" w:eastAsia="仿宋" w:cs="仿宋"/>
          <w:sz w:val="32"/>
          <w:szCs w:val="32"/>
        </w:rPr>
        <w:t>完成合格率</w:t>
      </w:r>
      <w:r>
        <w:rPr>
          <w:rFonts w:hint="eastAsia" w:ascii="仿宋" w:hAnsi="仿宋" w:eastAsia="仿宋" w:cs="仿宋"/>
          <w:sz w:val="32"/>
          <w:szCs w:val="32"/>
          <w:lang w:val="en-US" w:eastAsia="zh-CN"/>
        </w:rPr>
        <w:t>100%</w:t>
      </w:r>
      <w:r>
        <w:rPr>
          <w:rFonts w:hint="eastAsia" w:ascii="仿宋" w:hAnsi="仿宋" w:eastAsia="仿宋" w:cs="仿宋"/>
          <w:color w:val="3D3D3D"/>
          <w:sz w:val="32"/>
          <w:szCs w:val="32"/>
        </w:rPr>
        <w:t>，森林资源状况得到了有效改善。</w:t>
      </w:r>
      <w:r>
        <w:rPr>
          <w:rFonts w:hint="eastAsia" w:ascii="仿宋" w:hAnsi="仿宋" w:eastAsia="仿宋" w:cs="仿宋"/>
          <w:sz w:val="32"/>
          <w:szCs w:val="32"/>
          <w:lang w:val="en-US" w:eastAsia="zh-CN"/>
        </w:rPr>
        <w:t xml:space="preserve">   </w:t>
      </w:r>
    </w:p>
    <w:p w14:paraId="53C1469A">
      <w:pPr>
        <w:keepNext w:val="0"/>
        <w:keepLines w:val="0"/>
        <w:pageBreakBefore w:val="0"/>
        <w:numPr>
          <w:ilvl w:val="0"/>
          <w:numId w:val="0"/>
        </w:numPr>
        <w:tabs>
          <w:tab w:val="left" w:pos="1089"/>
        </w:tabs>
        <w:kinsoku/>
        <w:wordWrap/>
        <w:overflowPunct/>
        <w:topLinePunct w:val="0"/>
        <w:autoSpaceDE/>
        <w:autoSpaceDN/>
        <w:bidi w:val="0"/>
        <w:adjustRightInd/>
        <w:snapToGrid/>
        <w:spacing w:line="600" w:lineRule="exact"/>
        <w:ind w:firstLine="643" w:firstLineChars="200"/>
        <w:textAlignment w:val="auto"/>
        <w:rPr>
          <w:rFonts w:hint="eastAsia" w:ascii="仿宋" w:hAnsi="仿宋" w:eastAsia="仿宋" w:cs="仿宋"/>
          <w:sz w:val="32"/>
          <w:szCs w:val="32"/>
          <w:lang w:val="en-US"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3</w:t>
      </w:r>
      <w:r>
        <w:rPr>
          <w:rFonts w:hint="eastAsia" w:ascii="仿宋" w:hAnsi="仿宋" w:eastAsia="仿宋" w:cs="仿宋"/>
          <w:b/>
          <w:bCs/>
          <w:sz w:val="32"/>
          <w:szCs w:val="32"/>
          <w:lang w:eastAsia="zh-CN"/>
        </w:rPr>
        <w:t>）</w:t>
      </w:r>
      <w:r>
        <w:rPr>
          <w:rFonts w:hint="eastAsia" w:ascii="仿宋" w:hAnsi="仿宋" w:eastAsia="仿宋" w:cs="仿宋"/>
          <w:b/>
          <w:bCs/>
          <w:sz w:val="32"/>
          <w:szCs w:val="32"/>
        </w:rPr>
        <w:t>时效指标完成</w:t>
      </w:r>
      <w:r>
        <w:rPr>
          <w:rFonts w:hint="eastAsia" w:ascii="仿宋" w:hAnsi="仿宋" w:eastAsia="仿宋" w:cs="仿宋"/>
          <w:b/>
          <w:bCs/>
          <w:sz w:val="32"/>
          <w:szCs w:val="32"/>
          <w:lang w:eastAsia="zh-CN"/>
        </w:rPr>
        <w:t>情况及分析</w:t>
      </w:r>
      <w:r>
        <w:rPr>
          <w:rFonts w:hint="eastAsia" w:ascii="仿宋" w:hAnsi="仿宋" w:eastAsia="仿宋" w:cs="仿宋"/>
          <w:b w:val="0"/>
          <w:bCs w:val="0"/>
          <w:sz w:val="32"/>
          <w:szCs w:val="32"/>
          <w:lang w:eastAsia="zh-CN"/>
        </w:rPr>
        <w:t>。</w:t>
      </w:r>
      <w:r>
        <w:rPr>
          <w:rFonts w:hint="eastAsia" w:ascii="仿宋" w:hAnsi="仿宋" w:eastAsia="仿宋" w:cs="仿宋"/>
          <w:sz w:val="32"/>
          <w:szCs w:val="32"/>
          <w:lang w:val="en-US" w:eastAsia="zh-CN"/>
        </w:rPr>
        <w:t xml:space="preserve"> </w:t>
      </w:r>
    </w:p>
    <w:p w14:paraId="458085AA">
      <w:pPr>
        <w:numPr>
          <w:ilvl w:val="0"/>
          <w:numId w:val="0"/>
        </w:numPr>
        <w:tabs>
          <w:tab w:val="left" w:pos="1089"/>
        </w:tabs>
        <w:ind w:firstLine="640" w:firstLineChars="200"/>
        <w:rPr>
          <w:rFonts w:hint="eastAsia" w:ascii="仿宋" w:hAnsi="仿宋" w:eastAsia="仿宋" w:cs="仿宋"/>
          <w:b w:val="0"/>
          <w:bCs w:val="0"/>
          <w:sz w:val="32"/>
          <w:szCs w:val="32"/>
          <w:lang w:val="en-US" w:eastAsia="zh-CN"/>
        </w:rPr>
      </w:pPr>
      <w:r>
        <w:rPr>
          <w:rFonts w:hint="eastAsia" w:ascii="仿宋" w:hAnsi="仿宋" w:eastAsia="仿宋" w:cs="仿宋"/>
          <w:sz w:val="32"/>
          <w:szCs w:val="32"/>
          <w:lang w:val="en-US" w:eastAsia="zh-CN"/>
        </w:rPr>
        <w:t>本年度内该项目按时完成目标任务，</w:t>
      </w:r>
      <w:r>
        <w:rPr>
          <w:rFonts w:hint="eastAsia" w:ascii="仿宋" w:hAnsi="仿宋" w:eastAsia="仿宋" w:cs="仿宋"/>
          <w:sz w:val="32"/>
          <w:szCs w:val="32"/>
        </w:rPr>
        <w:t>项目期内任务完成率</w:t>
      </w:r>
      <w:r>
        <w:rPr>
          <w:rFonts w:hint="eastAsia" w:ascii="仿宋" w:hAnsi="仿宋" w:eastAsia="仿宋" w:cs="仿宋"/>
          <w:sz w:val="32"/>
          <w:szCs w:val="32"/>
          <w:lang w:val="en-US" w:eastAsia="zh-CN"/>
        </w:rPr>
        <w:t>100%，补助兑现率达到100%。</w:t>
      </w:r>
    </w:p>
    <w:p w14:paraId="1BABB50B">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仿宋" w:hAnsi="仿宋" w:eastAsia="仿宋" w:cs="仿宋"/>
          <w:sz w:val="32"/>
          <w:szCs w:val="32"/>
          <w:lang w:val="en-US"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4）</w:t>
      </w:r>
      <w:r>
        <w:rPr>
          <w:rFonts w:hint="eastAsia" w:ascii="仿宋" w:hAnsi="仿宋" w:eastAsia="仿宋" w:cs="仿宋"/>
          <w:b/>
          <w:bCs/>
          <w:sz w:val="32"/>
          <w:szCs w:val="32"/>
        </w:rPr>
        <w:t>成本指标</w:t>
      </w:r>
      <w:r>
        <w:rPr>
          <w:rFonts w:hint="eastAsia" w:ascii="仿宋" w:hAnsi="仿宋" w:eastAsia="仿宋" w:cs="仿宋"/>
          <w:b/>
          <w:bCs/>
          <w:sz w:val="32"/>
          <w:szCs w:val="32"/>
          <w:lang w:eastAsia="zh-CN"/>
        </w:rPr>
        <w:t>完成情况及分析</w:t>
      </w:r>
      <w:r>
        <w:rPr>
          <w:rFonts w:hint="eastAsia" w:ascii="仿宋" w:hAnsi="仿宋" w:eastAsia="仿宋" w:cs="仿宋"/>
          <w:b w:val="0"/>
          <w:bCs w:val="0"/>
          <w:sz w:val="32"/>
          <w:szCs w:val="32"/>
          <w:lang w:eastAsia="zh-CN"/>
        </w:rPr>
        <w:t>。</w:t>
      </w:r>
      <w:r>
        <w:rPr>
          <w:rFonts w:hint="eastAsia" w:ascii="仿宋" w:hAnsi="仿宋" w:eastAsia="仿宋" w:cs="仿宋"/>
          <w:sz w:val="32"/>
          <w:szCs w:val="32"/>
          <w:lang w:val="en-US" w:eastAsia="zh-CN"/>
        </w:rPr>
        <w:t xml:space="preserve">  </w:t>
      </w:r>
    </w:p>
    <w:p w14:paraId="78CAA0CB">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kern w:val="0"/>
          <w:sz w:val="32"/>
          <w:szCs w:val="32"/>
          <w:lang w:val="en-US" w:eastAsia="zh-CN"/>
        </w:rPr>
        <w:t>严格按照</w:t>
      </w:r>
      <w:r>
        <w:rPr>
          <w:rFonts w:hint="eastAsia" w:ascii="仿宋" w:hAnsi="仿宋" w:eastAsia="仿宋" w:cs="仿宋"/>
          <w:kern w:val="0"/>
          <w:sz w:val="32"/>
          <w:szCs w:val="32"/>
        </w:rPr>
        <w:t>我</w:t>
      </w:r>
      <w:r>
        <w:rPr>
          <w:rFonts w:hint="eastAsia" w:ascii="仿宋" w:hAnsi="仿宋" w:eastAsia="仿宋" w:cs="仿宋"/>
          <w:kern w:val="0"/>
          <w:sz w:val="32"/>
          <w:szCs w:val="32"/>
          <w:lang w:eastAsia="zh-CN"/>
        </w:rPr>
        <w:t>场</w:t>
      </w:r>
      <w:r>
        <w:rPr>
          <w:rFonts w:hint="eastAsia" w:ascii="仿宋" w:hAnsi="仿宋" w:eastAsia="仿宋" w:cs="仿宋"/>
          <w:kern w:val="0"/>
          <w:sz w:val="32"/>
          <w:szCs w:val="32"/>
        </w:rPr>
        <w:t>20</w:t>
      </w:r>
      <w:r>
        <w:rPr>
          <w:rFonts w:hint="eastAsia" w:ascii="仿宋" w:hAnsi="仿宋" w:eastAsia="仿宋" w:cs="仿宋"/>
          <w:kern w:val="0"/>
          <w:sz w:val="32"/>
          <w:szCs w:val="32"/>
          <w:lang w:val="en-US" w:eastAsia="zh-CN"/>
        </w:rPr>
        <w:t>24</w:t>
      </w:r>
      <w:r>
        <w:rPr>
          <w:rFonts w:hint="eastAsia" w:ascii="仿宋" w:hAnsi="仿宋" w:eastAsia="仿宋" w:cs="仿宋"/>
          <w:kern w:val="0"/>
          <w:sz w:val="32"/>
          <w:szCs w:val="32"/>
        </w:rPr>
        <w:t>年度中央林业</w:t>
      </w:r>
      <w:r>
        <w:rPr>
          <w:rFonts w:hint="eastAsia" w:ascii="仿宋" w:hAnsi="仿宋" w:eastAsia="仿宋" w:cs="仿宋"/>
          <w:b w:val="0"/>
          <w:bCs w:val="0"/>
          <w:sz w:val="32"/>
          <w:szCs w:val="32"/>
        </w:rPr>
        <w:t>国家森林可持续经营重点试点</w:t>
      </w:r>
      <w:r>
        <w:rPr>
          <w:rFonts w:hint="eastAsia" w:ascii="仿宋" w:hAnsi="仿宋" w:eastAsia="仿宋" w:cs="仿宋"/>
          <w:color w:val="3D3D3D"/>
          <w:sz w:val="32"/>
          <w:szCs w:val="32"/>
        </w:rPr>
        <w:t>项目</w:t>
      </w:r>
      <w:r>
        <w:rPr>
          <w:rFonts w:hint="eastAsia" w:ascii="仿宋" w:hAnsi="仿宋" w:eastAsia="仿宋" w:cs="仿宋"/>
          <w:kern w:val="0"/>
          <w:sz w:val="32"/>
          <w:szCs w:val="32"/>
        </w:rPr>
        <w:t>补助预算</w:t>
      </w:r>
      <w:r>
        <w:rPr>
          <w:rFonts w:hint="eastAsia" w:ascii="仿宋" w:hAnsi="仿宋" w:eastAsia="仿宋" w:cs="仿宋"/>
          <w:kern w:val="0"/>
          <w:sz w:val="32"/>
          <w:szCs w:val="32"/>
          <w:lang w:val="en-US" w:eastAsia="zh-CN"/>
        </w:rPr>
        <w:t>执行，国家补贴资金使用率100%，</w:t>
      </w:r>
      <w:r>
        <w:rPr>
          <w:rFonts w:hint="eastAsia" w:ascii="仿宋" w:hAnsi="仿宋" w:eastAsia="仿宋" w:cs="仿宋"/>
          <w:sz w:val="32"/>
          <w:szCs w:val="32"/>
        </w:rPr>
        <w:t>实现目标任务</w:t>
      </w:r>
      <w:r>
        <w:rPr>
          <w:rFonts w:hint="eastAsia" w:ascii="仿宋" w:hAnsi="仿宋" w:eastAsia="仿宋" w:cs="仿宋"/>
          <w:sz w:val="32"/>
          <w:szCs w:val="32"/>
          <w:lang w:eastAsia="zh-CN"/>
        </w:rPr>
        <w:t>。</w:t>
      </w:r>
    </w:p>
    <w:p w14:paraId="146C795E">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5）</w:t>
      </w:r>
      <w:r>
        <w:rPr>
          <w:rFonts w:hint="eastAsia" w:ascii="仿宋" w:hAnsi="仿宋" w:eastAsia="仿宋" w:cs="仿宋"/>
          <w:b/>
          <w:bCs/>
          <w:sz w:val="32"/>
          <w:szCs w:val="32"/>
        </w:rPr>
        <w:t>生态效益指标</w:t>
      </w:r>
      <w:r>
        <w:rPr>
          <w:rFonts w:hint="eastAsia" w:ascii="仿宋" w:hAnsi="仿宋" w:eastAsia="仿宋" w:cs="仿宋"/>
          <w:b/>
          <w:bCs/>
          <w:sz w:val="32"/>
          <w:szCs w:val="32"/>
          <w:lang w:eastAsia="zh-CN"/>
        </w:rPr>
        <w:t>完成情况及分析。</w:t>
      </w:r>
    </w:p>
    <w:p w14:paraId="1E8C3FE8">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bCs/>
          <w:sz w:val="32"/>
          <w:szCs w:val="32"/>
        </w:rPr>
        <w:t>森林病虫害能及时发现救治。森林</w:t>
      </w:r>
      <w:r>
        <w:rPr>
          <w:rFonts w:hint="eastAsia" w:ascii="仿宋" w:hAnsi="仿宋" w:eastAsia="仿宋" w:cs="仿宋"/>
          <w:bCs/>
          <w:sz w:val="32"/>
          <w:szCs w:val="32"/>
          <w:lang w:val="en-US" w:eastAsia="zh-CN"/>
        </w:rPr>
        <w:t>固碳增碳</w:t>
      </w:r>
      <w:r>
        <w:rPr>
          <w:rFonts w:hint="eastAsia" w:ascii="仿宋" w:hAnsi="仿宋" w:eastAsia="仿宋" w:cs="仿宋"/>
          <w:bCs/>
          <w:sz w:val="32"/>
          <w:szCs w:val="32"/>
        </w:rPr>
        <w:t>能</w:t>
      </w:r>
      <w:r>
        <w:rPr>
          <w:rFonts w:hint="eastAsia" w:ascii="仿宋" w:hAnsi="仿宋" w:eastAsia="仿宋" w:cs="仿宋"/>
          <w:bCs/>
          <w:sz w:val="32"/>
          <w:szCs w:val="32"/>
          <w:lang w:val="en-US" w:eastAsia="zh-CN"/>
        </w:rPr>
        <w:t>力</w:t>
      </w:r>
      <w:r>
        <w:rPr>
          <w:rFonts w:hint="eastAsia" w:ascii="仿宋" w:hAnsi="仿宋" w:eastAsia="仿宋" w:cs="仿宋"/>
          <w:bCs/>
          <w:sz w:val="32"/>
          <w:szCs w:val="32"/>
        </w:rPr>
        <w:t>明显提高</w:t>
      </w:r>
    </w:p>
    <w:p w14:paraId="203C3E0B">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6）</w:t>
      </w:r>
      <w:r>
        <w:rPr>
          <w:rFonts w:hint="eastAsia" w:ascii="仿宋" w:hAnsi="仿宋" w:eastAsia="仿宋" w:cs="仿宋"/>
          <w:b/>
          <w:bCs/>
          <w:sz w:val="32"/>
          <w:szCs w:val="32"/>
        </w:rPr>
        <w:t>可持续影响指标</w:t>
      </w:r>
      <w:r>
        <w:rPr>
          <w:rFonts w:hint="eastAsia" w:ascii="仿宋" w:hAnsi="仿宋" w:eastAsia="仿宋" w:cs="仿宋"/>
          <w:b/>
          <w:bCs/>
          <w:sz w:val="32"/>
          <w:szCs w:val="32"/>
          <w:lang w:eastAsia="zh-CN"/>
        </w:rPr>
        <w:t>完成情况及分析。</w:t>
      </w:r>
    </w:p>
    <w:p w14:paraId="5CDBDE72">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仿宋"/>
          <w:bCs/>
          <w:sz w:val="32"/>
          <w:szCs w:val="32"/>
          <w:lang w:val="en-US" w:eastAsia="zh-CN"/>
        </w:rPr>
      </w:pPr>
      <w:r>
        <w:rPr>
          <w:rFonts w:hint="eastAsia" w:ascii="仿宋" w:hAnsi="仿宋" w:eastAsia="仿宋" w:cs="仿宋"/>
          <w:bCs/>
          <w:sz w:val="32"/>
          <w:szCs w:val="32"/>
        </w:rPr>
        <w:t>林种、树种结构得到了调整</w:t>
      </w:r>
      <w:r>
        <w:rPr>
          <w:rFonts w:hint="eastAsia" w:ascii="仿宋" w:hAnsi="仿宋" w:eastAsia="仿宋" w:cs="仿宋"/>
          <w:bCs/>
          <w:sz w:val="32"/>
          <w:szCs w:val="32"/>
          <w:lang w:eastAsia="zh-CN"/>
        </w:rPr>
        <w:t>，</w:t>
      </w:r>
      <w:r>
        <w:rPr>
          <w:rFonts w:hint="eastAsia" w:ascii="仿宋" w:hAnsi="仿宋" w:eastAsia="仿宋" w:cs="仿宋"/>
          <w:bCs/>
          <w:sz w:val="32"/>
          <w:szCs w:val="32"/>
          <w:lang w:val="en-US" w:eastAsia="zh-CN"/>
        </w:rPr>
        <w:t>优化了森林生态效果。</w:t>
      </w:r>
    </w:p>
    <w:p w14:paraId="5BDAC2CD">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firstLine="643" w:firstLineChars="200"/>
        <w:textAlignment w:val="auto"/>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7）</w:t>
      </w:r>
      <w:r>
        <w:rPr>
          <w:rFonts w:hint="eastAsia" w:ascii="仿宋" w:hAnsi="仿宋" w:eastAsia="仿宋" w:cs="仿宋"/>
          <w:b/>
          <w:bCs/>
          <w:sz w:val="32"/>
          <w:szCs w:val="32"/>
        </w:rPr>
        <w:t>服务对象满意度指标</w:t>
      </w:r>
      <w:r>
        <w:rPr>
          <w:rFonts w:hint="eastAsia" w:ascii="仿宋" w:hAnsi="仿宋" w:eastAsia="仿宋" w:cs="仿宋"/>
          <w:b/>
          <w:bCs/>
          <w:sz w:val="32"/>
          <w:szCs w:val="32"/>
          <w:lang w:eastAsia="zh-CN"/>
        </w:rPr>
        <w:t>完成情况及分析。</w:t>
      </w:r>
    </w:p>
    <w:p w14:paraId="451944C9">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firstLine="640" w:firstLineChars="200"/>
        <w:textAlignment w:val="auto"/>
        <w:rPr>
          <w:rFonts w:hint="eastAsia" w:ascii="仿宋" w:hAnsi="仿宋" w:eastAsia="仿宋" w:cs="仿宋"/>
          <w:b w:val="0"/>
          <w:bCs w:val="0"/>
          <w:sz w:val="32"/>
          <w:szCs w:val="32"/>
        </w:rPr>
      </w:pPr>
      <w:r>
        <w:rPr>
          <w:rFonts w:hint="eastAsia" w:ascii="仿宋" w:hAnsi="仿宋" w:eastAsia="仿宋" w:cs="仿宋"/>
          <w:i w:val="0"/>
          <w:caps w:val="0"/>
          <w:color w:val="333333"/>
          <w:spacing w:val="0"/>
          <w:sz w:val="32"/>
          <w:szCs w:val="32"/>
          <w:shd w:val="clear" w:color="auto" w:fill="FFFFFF"/>
        </w:rPr>
        <w:t>项目区群众对项目实施热情很高，通过调查，满意度达9</w:t>
      </w:r>
      <w:r>
        <w:rPr>
          <w:rFonts w:hint="eastAsia" w:ascii="仿宋" w:hAnsi="仿宋" w:eastAsia="仿宋" w:cs="仿宋"/>
          <w:i w:val="0"/>
          <w:caps w:val="0"/>
          <w:color w:val="333333"/>
          <w:spacing w:val="0"/>
          <w:sz w:val="32"/>
          <w:szCs w:val="32"/>
          <w:shd w:val="clear" w:color="auto" w:fill="FFFFFF"/>
          <w:lang w:val="en-US" w:eastAsia="zh-CN"/>
        </w:rPr>
        <w:t>0</w:t>
      </w:r>
      <w:r>
        <w:rPr>
          <w:rFonts w:hint="eastAsia" w:ascii="仿宋" w:hAnsi="仿宋" w:eastAsia="仿宋" w:cs="仿宋"/>
          <w:i w:val="0"/>
          <w:caps w:val="0"/>
          <w:color w:val="333333"/>
          <w:spacing w:val="0"/>
          <w:sz w:val="32"/>
          <w:szCs w:val="32"/>
          <w:shd w:val="clear" w:color="auto" w:fill="FFFFFF"/>
        </w:rPr>
        <w:t>%</w:t>
      </w:r>
      <w:r>
        <w:rPr>
          <w:rFonts w:hint="eastAsia" w:ascii="仿宋" w:hAnsi="仿宋" w:eastAsia="仿宋" w:cs="仿宋"/>
          <w:i w:val="0"/>
          <w:caps w:val="0"/>
          <w:color w:val="333333"/>
          <w:spacing w:val="0"/>
          <w:sz w:val="32"/>
          <w:szCs w:val="32"/>
          <w:shd w:val="clear" w:color="auto" w:fill="FFFFFF"/>
          <w:lang w:val="en-US" w:eastAsia="zh-CN"/>
        </w:rPr>
        <w:t>以上</w:t>
      </w:r>
      <w:r>
        <w:rPr>
          <w:rFonts w:hint="eastAsia" w:ascii="仿宋" w:hAnsi="仿宋" w:eastAsia="仿宋" w:cs="仿宋"/>
          <w:i w:val="0"/>
          <w:caps w:val="0"/>
          <w:color w:val="333333"/>
          <w:spacing w:val="0"/>
          <w:sz w:val="32"/>
          <w:szCs w:val="32"/>
          <w:shd w:val="clear" w:color="auto" w:fill="FFFFFF"/>
        </w:rPr>
        <w:t>。</w:t>
      </w:r>
    </w:p>
    <w:p w14:paraId="6C068917">
      <w:pPr>
        <w:numPr>
          <w:ilvl w:val="0"/>
          <w:numId w:val="0"/>
        </w:numPr>
        <w:spacing w:before="209" w:line="221" w:lineRule="auto"/>
        <w:ind w:left="839" w:leftChars="0"/>
        <w:outlineLvl w:val="0"/>
        <w:rPr>
          <w:rFonts w:hint="eastAsia" w:ascii="仿宋" w:hAnsi="仿宋" w:eastAsia="仿宋" w:cs="仿宋"/>
          <w:b/>
          <w:bCs/>
          <w:spacing w:val="-3"/>
          <w:sz w:val="32"/>
          <w:szCs w:val="32"/>
        </w:rPr>
      </w:pPr>
      <w:r>
        <w:rPr>
          <w:rFonts w:hint="eastAsia" w:ascii="仿宋" w:hAnsi="仿宋" w:eastAsia="仿宋" w:cs="仿宋"/>
          <w:b/>
          <w:bCs/>
          <w:snapToGrid w:val="0"/>
          <w:color w:val="000000"/>
          <w:spacing w:val="-3"/>
          <w:kern w:val="0"/>
          <w:sz w:val="32"/>
          <w:szCs w:val="32"/>
          <w:lang w:val="en-US" w:eastAsia="zh-CN" w:bidi="ar-SA"/>
        </w:rPr>
        <w:t>（</w:t>
      </w:r>
      <w:r>
        <w:rPr>
          <w:rFonts w:hint="eastAsia" w:ascii="仿宋" w:hAnsi="仿宋" w:eastAsia="仿宋" w:cs="仿宋"/>
          <w:b/>
          <w:bCs/>
          <w:snapToGrid w:val="0"/>
          <w:color w:val="000000"/>
          <w:spacing w:val="-3"/>
          <w:kern w:val="0"/>
          <w:sz w:val="32"/>
          <w:szCs w:val="32"/>
          <w:lang w:val="en-US" w:eastAsia="en-US" w:bidi="ar-SA"/>
        </w:rPr>
        <w:t>三</w:t>
      </w:r>
      <w:r>
        <w:rPr>
          <w:rFonts w:hint="eastAsia" w:ascii="仿宋" w:hAnsi="仿宋" w:eastAsia="仿宋" w:cs="仿宋"/>
          <w:b/>
          <w:bCs/>
          <w:snapToGrid w:val="0"/>
          <w:color w:val="000000"/>
          <w:spacing w:val="-3"/>
          <w:kern w:val="0"/>
          <w:sz w:val="32"/>
          <w:szCs w:val="32"/>
          <w:lang w:val="en-US" w:eastAsia="zh-CN" w:bidi="ar-SA"/>
        </w:rPr>
        <w:t>）</w:t>
      </w:r>
      <w:r>
        <w:rPr>
          <w:rFonts w:hint="eastAsia" w:ascii="仿宋" w:hAnsi="仿宋" w:eastAsia="仿宋" w:cs="仿宋"/>
          <w:b/>
          <w:bCs/>
          <w:snapToGrid w:val="0"/>
          <w:color w:val="000000"/>
          <w:spacing w:val="-3"/>
          <w:kern w:val="0"/>
          <w:sz w:val="32"/>
          <w:szCs w:val="32"/>
          <w:lang w:val="en-US" w:eastAsia="en-US" w:bidi="ar-SA"/>
        </w:rPr>
        <w:t>、</w:t>
      </w:r>
      <w:r>
        <w:rPr>
          <w:rFonts w:hint="eastAsia" w:ascii="仿宋" w:hAnsi="仿宋" w:eastAsia="仿宋" w:cs="仿宋"/>
          <w:b/>
          <w:bCs/>
          <w:spacing w:val="-3"/>
          <w:sz w:val="32"/>
          <w:szCs w:val="32"/>
        </w:rPr>
        <w:t>偏离绩效目标的原因和下一步改进措施</w:t>
      </w:r>
    </w:p>
    <w:p w14:paraId="6873699C">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209" w:line="360" w:lineRule="auto"/>
        <w:ind w:firstLine="640" w:firstLineChars="200"/>
        <w:textAlignment w:val="baseline"/>
        <w:outlineLvl w:val="0"/>
        <w:rPr>
          <w:rFonts w:hint="eastAsia" w:ascii="仿宋" w:hAnsi="仿宋" w:eastAsia="仿宋" w:cs="仿宋"/>
          <w:sz w:val="32"/>
          <w:szCs w:val="32"/>
        </w:rPr>
      </w:pPr>
      <w:r>
        <w:rPr>
          <w:rFonts w:hint="eastAsia" w:ascii="仿宋" w:hAnsi="仿宋" w:eastAsia="仿宋" w:cs="仿宋"/>
          <w:sz w:val="32"/>
          <w:szCs w:val="32"/>
        </w:rPr>
        <w:t>项目总体绩效目标完成情况良好，并达到了预期效果。</w:t>
      </w:r>
    </w:p>
    <w:p w14:paraId="44259165">
      <w:pPr>
        <w:keepNext w:val="0"/>
        <w:keepLines w:val="0"/>
        <w:pageBreakBefore w:val="0"/>
        <w:widowControl/>
        <w:numPr>
          <w:ilvl w:val="0"/>
          <w:numId w:val="0"/>
        </w:numPr>
        <w:shd w:val="clear" w:color="auto" w:fill="FFFFFF"/>
        <w:kinsoku w:val="0"/>
        <w:wordWrap/>
        <w:overflowPunct/>
        <w:topLinePunct w:val="0"/>
        <w:autoSpaceDE w:val="0"/>
        <w:autoSpaceDN w:val="0"/>
        <w:bidi w:val="0"/>
        <w:adjustRightInd w:val="0"/>
        <w:snapToGrid w:val="0"/>
        <w:spacing w:line="360" w:lineRule="auto"/>
        <w:ind w:left="839" w:leftChars="0" w:firstLine="0" w:firstLineChars="0"/>
        <w:textAlignment w:val="baseline"/>
        <w:rPr>
          <w:rFonts w:hint="eastAsia" w:ascii="仿宋" w:hAnsi="仿宋" w:eastAsia="仿宋" w:cs="仿宋"/>
          <w:b/>
          <w:bCs/>
          <w:spacing w:val="-6"/>
          <w:sz w:val="32"/>
          <w:szCs w:val="32"/>
        </w:rPr>
      </w:pPr>
      <w:r>
        <w:rPr>
          <w:rFonts w:hint="eastAsia" w:ascii="仿宋" w:hAnsi="仿宋" w:eastAsia="仿宋" w:cs="仿宋"/>
          <w:b/>
          <w:bCs/>
          <w:snapToGrid w:val="0"/>
          <w:color w:val="000000"/>
          <w:spacing w:val="-6"/>
          <w:kern w:val="0"/>
          <w:sz w:val="32"/>
          <w:szCs w:val="32"/>
          <w:lang w:val="en-US" w:eastAsia="zh-CN" w:bidi="ar-SA"/>
        </w:rPr>
        <w:t>（</w:t>
      </w:r>
      <w:r>
        <w:rPr>
          <w:rFonts w:hint="eastAsia" w:ascii="仿宋" w:hAnsi="仿宋" w:eastAsia="仿宋" w:cs="仿宋"/>
          <w:b/>
          <w:bCs/>
          <w:snapToGrid w:val="0"/>
          <w:color w:val="000000"/>
          <w:spacing w:val="-6"/>
          <w:kern w:val="0"/>
          <w:sz w:val="32"/>
          <w:szCs w:val="32"/>
          <w:lang w:val="en-US" w:eastAsia="en-US" w:bidi="ar-SA"/>
        </w:rPr>
        <w:t>四</w:t>
      </w:r>
      <w:r>
        <w:rPr>
          <w:rFonts w:hint="eastAsia" w:ascii="仿宋" w:hAnsi="仿宋" w:eastAsia="仿宋" w:cs="仿宋"/>
          <w:b/>
          <w:bCs/>
          <w:snapToGrid w:val="0"/>
          <w:color w:val="000000"/>
          <w:spacing w:val="-6"/>
          <w:kern w:val="0"/>
          <w:sz w:val="32"/>
          <w:szCs w:val="32"/>
          <w:lang w:val="en-US" w:eastAsia="zh-CN" w:bidi="ar-SA"/>
        </w:rPr>
        <w:t>）</w:t>
      </w:r>
      <w:r>
        <w:rPr>
          <w:rFonts w:hint="eastAsia" w:ascii="仿宋" w:hAnsi="仿宋" w:eastAsia="仿宋" w:cs="仿宋"/>
          <w:b/>
          <w:bCs/>
          <w:snapToGrid w:val="0"/>
          <w:color w:val="000000"/>
          <w:spacing w:val="-6"/>
          <w:kern w:val="0"/>
          <w:sz w:val="32"/>
          <w:szCs w:val="32"/>
          <w:lang w:val="en-US" w:eastAsia="en-US" w:bidi="ar-SA"/>
        </w:rPr>
        <w:t>、</w:t>
      </w:r>
      <w:r>
        <w:rPr>
          <w:rFonts w:hint="eastAsia" w:ascii="仿宋" w:hAnsi="仿宋" w:eastAsia="仿宋" w:cs="仿宋"/>
          <w:b/>
          <w:bCs/>
          <w:spacing w:val="-6"/>
          <w:sz w:val="32"/>
          <w:szCs w:val="32"/>
        </w:rPr>
        <w:t>绩效自评结果拟应用和公开情况</w:t>
      </w:r>
    </w:p>
    <w:p w14:paraId="2F8C642B">
      <w:pPr>
        <w:keepNext w:val="0"/>
        <w:keepLines w:val="0"/>
        <w:pageBreakBefore w:val="0"/>
        <w:widowControl/>
        <w:numPr>
          <w:ilvl w:val="0"/>
          <w:numId w:val="0"/>
        </w:numPr>
        <w:shd w:val="clear" w:color="auto" w:fill="FFFFFF"/>
        <w:kinsoku w:val="0"/>
        <w:wordWrap/>
        <w:overflowPunct/>
        <w:topLinePunct w:val="0"/>
        <w:autoSpaceDE w:val="0"/>
        <w:autoSpaceDN w:val="0"/>
        <w:bidi w:val="0"/>
        <w:adjustRightInd w:val="0"/>
        <w:snapToGrid w:val="0"/>
        <w:spacing w:line="360" w:lineRule="auto"/>
        <w:ind w:firstLine="640" w:firstLineChars="200"/>
        <w:textAlignment w:val="baseline"/>
        <w:rPr>
          <w:rFonts w:hint="eastAsia" w:ascii="仿宋" w:hAnsi="仿宋" w:eastAsia="仿宋" w:cs="仿宋"/>
          <w:sz w:val="32"/>
          <w:szCs w:val="32"/>
          <w:lang w:eastAsia="zh-CN"/>
        </w:rPr>
      </w:pPr>
      <w:r>
        <w:rPr>
          <w:rFonts w:hint="eastAsia" w:ascii="仿宋" w:hAnsi="仿宋" w:eastAsia="仿宋" w:cs="仿宋"/>
          <w:sz w:val="32"/>
          <w:szCs w:val="32"/>
        </w:rPr>
        <w:t>经过本次自评，</w:t>
      </w:r>
      <w:r>
        <w:rPr>
          <w:rFonts w:hint="eastAsia" w:ascii="仿宋" w:hAnsi="仿宋" w:eastAsia="仿宋" w:cs="仿宋"/>
          <w:sz w:val="32"/>
          <w:szCs w:val="32"/>
          <w:lang w:val="en-US" w:eastAsia="zh-CN"/>
        </w:rPr>
        <w:t>所有</w:t>
      </w:r>
      <w:r>
        <w:rPr>
          <w:rFonts w:hint="eastAsia" w:ascii="仿宋" w:hAnsi="仿宋" w:eastAsia="仿宋" w:cs="仿宋"/>
          <w:sz w:val="32"/>
          <w:szCs w:val="32"/>
        </w:rPr>
        <w:t>资金已做到专款专用，不存在截留挪用现象，各项目总体目标及各项绩效指标均已完成。自评结果的应用按照上级要求执行</w:t>
      </w:r>
      <w:r>
        <w:rPr>
          <w:rFonts w:hint="eastAsia" w:ascii="仿宋" w:hAnsi="仿宋" w:eastAsia="仿宋" w:cs="仿宋"/>
          <w:sz w:val="32"/>
          <w:szCs w:val="32"/>
          <w:lang w:eastAsia="zh-CN"/>
        </w:rPr>
        <w:t>。</w:t>
      </w:r>
    </w:p>
    <w:p w14:paraId="79CB516F">
      <w:pPr>
        <w:keepNext w:val="0"/>
        <w:keepLines w:val="0"/>
        <w:pageBreakBefore w:val="0"/>
        <w:widowControl/>
        <w:numPr>
          <w:ilvl w:val="0"/>
          <w:numId w:val="0"/>
        </w:numPr>
        <w:shd w:val="clear" w:color="auto" w:fill="FFFFFF"/>
        <w:kinsoku w:val="0"/>
        <w:wordWrap/>
        <w:overflowPunct/>
        <w:topLinePunct w:val="0"/>
        <w:autoSpaceDE w:val="0"/>
        <w:autoSpaceDN w:val="0"/>
        <w:bidi w:val="0"/>
        <w:adjustRightInd w:val="0"/>
        <w:snapToGrid w:val="0"/>
        <w:spacing w:line="360" w:lineRule="auto"/>
        <w:ind w:firstLine="623" w:firstLineChars="200"/>
        <w:textAlignment w:val="baseline"/>
        <w:rPr>
          <w:rFonts w:hint="eastAsia" w:ascii="仿宋" w:hAnsi="仿宋" w:eastAsia="仿宋" w:cs="仿宋"/>
          <w:b/>
          <w:bCs/>
          <w:sz w:val="32"/>
          <w:szCs w:val="32"/>
        </w:rPr>
      </w:pPr>
      <w:r>
        <w:rPr>
          <w:rFonts w:hint="eastAsia" w:ascii="仿宋" w:hAnsi="仿宋" w:eastAsia="仿宋" w:cs="仿宋"/>
          <w:b/>
          <w:bCs/>
          <w:spacing w:val="-5"/>
          <w:sz w:val="32"/>
          <w:szCs w:val="32"/>
          <w:lang w:eastAsia="zh-CN"/>
        </w:rPr>
        <w:t>（</w:t>
      </w:r>
      <w:r>
        <w:rPr>
          <w:rFonts w:hint="eastAsia" w:ascii="仿宋" w:hAnsi="仿宋" w:eastAsia="仿宋" w:cs="仿宋"/>
          <w:b/>
          <w:bCs/>
          <w:spacing w:val="-5"/>
          <w:sz w:val="32"/>
          <w:szCs w:val="32"/>
        </w:rPr>
        <w:t>五</w:t>
      </w:r>
      <w:r>
        <w:rPr>
          <w:rFonts w:hint="eastAsia" w:ascii="仿宋" w:hAnsi="仿宋" w:eastAsia="仿宋" w:cs="仿宋"/>
          <w:b/>
          <w:bCs/>
          <w:spacing w:val="-5"/>
          <w:sz w:val="32"/>
          <w:szCs w:val="32"/>
          <w:lang w:eastAsia="zh-CN"/>
        </w:rPr>
        <w:t>）</w:t>
      </w:r>
      <w:r>
        <w:rPr>
          <w:rFonts w:hint="eastAsia" w:ascii="仿宋" w:hAnsi="仿宋" w:eastAsia="仿宋" w:cs="仿宋"/>
          <w:b/>
          <w:bCs/>
          <w:spacing w:val="-5"/>
          <w:sz w:val="32"/>
          <w:szCs w:val="32"/>
        </w:rPr>
        <w:t>、其他需要说明的问题</w:t>
      </w:r>
    </w:p>
    <w:p w14:paraId="3EB8A54A">
      <w:pPr>
        <w:adjustRightInd w:val="0"/>
        <w:snapToGrid w:val="0"/>
        <w:spacing w:line="600" w:lineRule="exact"/>
        <w:ind w:firstLine="640" w:firstLineChars="200"/>
        <w:rPr>
          <w:rFonts w:hint="eastAsia" w:ascii="仿宋" w:hAnsi="仿宋" w:eastAsia="仿宋" w:cs="仿宋"/>
          <w:b w:val="0"/>
          <w:bCs w:val="0"/>
          <w:sz w:val="32"/>
          <w:szCs w:val="32"/>
        </w:rPr>
      </w:pPr>
      <w:r>
        <w:rPr>
          <w:rFonts w:hint="eastAsia" w:ascii="仿宋" w:hAnsi="仿宋" w:eastAsia="仿宋" w:cs="仿宋"/>
          <w:color w:val="auto"/>
          <w:kern w:val="0"/>
          <w:sz w:val="32"/>
          <w:szCs w:val="32"/>
          <w:lang w:val="en-US" w:eastAsia="zh-CN" w:bidi="ar"/>
        </w:rPr>
        <w:t>综合各项资金使用情况，我场基本是按财务管理、会计核算等制度执行，支出符合国家财经法规和财务管理制度规定以及有关专项资金的管理办法。资金拨付有完整的审批程序和手续，项目支出按规定经过评估论证，资金未存在截留、挤占、挪用、虚列支出等情况。2024年森林可持续经营项目资金2025年2月才下达，</w:t>
      </w:r>
      <w:r>
        <w:rPr>
          <w:rFonts w:hint="eastAsia" w:ascii="仿宋" w:hAnsi="仿宋" w:eastAsia="仿宋" w:cs="仿宋"/>
          <w:color w:val="3D3D3D"/>
          <w:sz w:val="32"/>
          <w:szCs w:val="32"/>
          <w:lang w:val="en-US" w:eastAsia="zh-CN"/>
        </w:rPr>
        <w:t>根据年度作业设计要求，目前按设计措施进行施工并完成总任务量的85%以上。</w:t>
      </w:r>
    </w:p>
    <w:p w14:paraId="0074D935">
      <w:pPr>
        <w:spacing w:before="205" w:line="224" w:lineRule="auto"/>
        <w:ind w:firstLine="623" w:firstLineChars="200"/>
        <w:outlineLvl w:val="0"/>
        <w:rPr>
          <w:rFonts w:hint="eastAsia" w:ascii="仿宋" w:hAnsi="仿宋" w:eastAsia="仿宋" w:cs="仿宋"/>
          <w:b/>
          <w:bCs/>
          <w:sz w:val="32"/>
          <w:szCs w:val="32"/>
        </w:rPr>
      </w:pPr>
      <w:r>
        <w:rPr>
          <w:rFonts w:hint="eastAsia" w:ascii="仿宋" w:hAnsi="仿宋" w:eastAsia="仿宋" w:cs="仿宋"/>
          <w:b/>
          <w:bCs/>
          <w:spacing w:val="-5"/>
          <w:sz w:val="32"/>
          <w:szCs w:val="32"/>
          <w:lang w:eastAsia="zh-CN"/>
        </w:rPr>
        <w:t>（</w:t>
      </w:r>
      <w:r>
        <w:rPr>
          <w:rFonts w:hint="eastAsia" w:ascii="仿宋" w:hAnsi="仿宋" w:eastAsia="仿宋" w:cs="仿宋"/>
          <w:b/>
          <w:bCs/>
          <w:spacing w:val="-5"/>
          <w:sz w:val="32"/>
          <w:szCs w:val="32"/>
        </w:rPr>
        <w:t>六</w:t>
      </w:r>
      <w:r>
        <w:rPr>
          <w:rFonts w:hint="eastAsia" w:ascii="仿宋" w:hAnsi="仿宋" w:eastAsia="仿宋" w:cs="仿宋"/>
          <w:b/>
          <w:bCs/>
          <w:spacing w:val="-5"/>
          <w:sz w:val="32"/>
          <w:szCs w:val="32"/>
          <w:lang w:eastAsia="zh-CN"/>
        </w:rPr>
        <w:t>）</w:t>
      </w:r>
      <w:r>
        <w:rPr>
          <w:rFonts w:hint="eastAsia" w:ascii="仿宋" w:hAnsi="仿宋" w:eastAsia="仿宋" w:cs="仿宋"/>
          <w:b/>
          <w:bCs/>
          <w:spacing w:val="-5"/>
          <w:sz w:val="32"/>
          <w:szCs w:val="32"/>
        </w:rPr>
        <w:t>、附件</w:t>
      </w:r>
    </w:p>
    <w:p w14:paraId="29B6A15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2024年度中央财政资金转移支付林业草原生态保护恢复资金及改革发展资金区域绩效自评表。</w:t>
      </w:r>
    </w:p>
    <w:p w14:paraId="75EC7DAC">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val="en-US" w:eastAsia="zh-CN"/>
        </w:rPr>
      </w:pPr>
      <w:r>
        <w:rPr>
          <w:rFonts w:hint="eastAsia" w:ascii="仿宋" w:hAnsi="仿宋" w:eastAsia="仿宋" w:cs="仿宋"/>
          <w:b/>
          <w:bCs/>
          <w:sz w:val="32"/>
          <w:szCs w:val="32"/>
          <w:rtl w:val="0"/>
          <w:lang w:val="en-US" w:eastAsia="zh-CN"/>
        </w:rPr>
        <w:t>二、2024年度中央财政资金转移支付林业草原改革发展资金</w:t>
      </w:r>
    </w:p>
    <w:p w14:paraId="248918B7">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eastAsia="zh-CN"/>
        </w:rPr>
        <w:t>（</w:t>
      </w:r>
      <w:r>
        <w:rPr>
          <w:rFonts w:hint="eastAsia" w:ascii="仿宋" w:hAnsi="仿宋" w:eastAsia="仿宋" w:cs="仿宋"/>
          <w:b/>
          <w:bCs/>
          <w:sz w:val="32"/>
          <w:szCs w:val="32"/>
        </w:rPr>
        <w:t>一</w:t>
      </w:r>
      <w:r>
        <w:rPr>
          <w:rFonts w:hint="eastAsia" w:ascii="仿宋" w:hAnsi="仿宋" w:eastAsia="仿宋" w:cs="仿宋"/>
          <w:b/>
          <w:bCs/>
          <w:sz w:val="32"/>
          <w:szCs w:val="32"/>
          <w:lang w:eastAsia="zh-CN"/>
        </w:rPr>
        <w:t>）</w:t>
      </w:r>
      <w:r>
        <w:rPr>
          <w:rFonts w:hint="eastAsia" w:ascii="仿宋" w:hAnsi="仿宋" w:eastAsia="仿宋" w:cs="仿宋"/>
          <w:b/>
          <w:bCs/>
          <w:sz w:val="32"/>
          <w:szCs w:val="32"/>
        </w:rPr>
        <w:t>绩效目标分解下达情况</w:t>
      </w:r>
    </w:p>
    <w:p w14:paraId="58B4D3A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rtl w:val="0"/>
          <w:lang w:val="en-US" w:eastAsia="zh-CN"/>
        </w:rPr>
      </w:pPr>
      <w:r>
        <w:rPr>
          <w:rFonts w:hint="eastAsia" w:ascii="仿宋" w:hAnsi="仿宋" w:eastAsia="仿宋" w:cs="仿宋"/>
          <w:sz w:val="32"/>
          <w:szCs w:val="32"/>
          <w:rtl w:val="0"/>
          <w:lang w:val="en-US" w:eastAsia="zh-CN"/>
        </w:rPr>
        <w:t>2024年中央财政下达我场林业</w:t>
      </w:r>
      <w:r>
        <w:rPr>
          <w:rFonts w:hint="eastAsia" w:ascii="仿宋" w:hAnsi="仿宋" w:eastAsia="仿宋" w:cs="仿宋"/>
          <w:sz w:val="32"/>
          <w:szCs w:val="32"/>
          <w:lang w:val="en-US" w:eastAsia="zh-CN"/>
        </w:rPr>
        <w:t>草原改革发展</w:t>
      </w:r>
      <w:r>
        <w:rPr>
          <w:rFonts w:hint="eastAsia" w:ascii="仿宋" w:hAnsi="仿宋" w:eastAsia="仿宋" w:cs="仿宋"/>
          <w:sz w:val="32"/>
          <w:szCs w:val="32"/>
          <w:rtl w:val="0"/>
          <w:lang w:val="en-US" w:eastAsia="zh-CN"/>
        </w:rPr>
        <w:t>资金（林木良种培育补助资金）162万元。</w:t>
      </w:r>
    </w:p>
    <w:p w14:paraId="1478281B">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eastAsia="zh-CN"/>
        </w:rPr>
        <w:t>（</w:t>
      </w:r>
      <w:r>
        <w:rPr>
          <w:rFonts w:hint="eastAsia" w:ascii="仿宋" w:hAnsi="仿宋" w:eastAsia="仿宋" w:cs="仿宋"/>
          <w:b/>
          <w:bCs/>
          <w:sz w:val="32"/>
          <w:szCs w:val="32"/>
        </w:rPr>
        <w:t>二</w:t>
      </w:r>
      <w:r>
        <w:rPr>
          <w:rFonts w:hint="eastAsia" w:ascii="仿宋" w:hAnsi="仿宋" w:eastAsia="仿宋" w:cs="仿宋"/>
          <w:b/>
          <w:bCs/>
          <w:sz w:val="32"/>
          <w:szCs w:val="32"/>
          <w:lang w:eastAsia="zh-CN"/>
        </w:rPr>
        <w:t>）</w:t>
      </w:r>
      <w:r>
        <w:rPr>
          <w:rFonts w:hint="eastAsia" w:ascii="仿宋" w:hAnsi="仿宋" w:eastAsia="仿宋" w:cs="仿宋"/>
          <w:b/>
          <w:bCs/>
          <w:sz w:val="32"/>
          <w:szCs w:val="32"/>
        </w:rPr>
        <w:t>绩效情况分析</w:t>
      </w:r>
    </w:p>
    <w:p w14:paraId="18EF26BC">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资金投入情况分析</w:t>
      </w:r>
    </w:p>
    <w:p w14:paraId="585D439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2024年中央财政提前批林木良种培育补助162</w:t>
      </w:r>
      <w:r>
        <w:rPr>
          <w:rFonts w:hint="eastAsia" w:ascii="仿宋" w:hAnsi="仿宋" w:eastAsia="仿宋" w:cs="仿宋"/>
          <w:sz w:val="32"/>
          <w:szCs w:val="32"/>
          <w:rtl w:val="0"/>
          <w:lang w:val="en-US" w:eastAsia="zh-CN"/>
        </w:rPr>
        <w:t>万元</w:t>
      </w:r>
      <w:r>
        <w:rPr>
          <w:rFonts w:hint="eastAsia" w:ascii="仿宋" w:hAnsi="仿宋" w:eastAsia="仿宋" w:cs="仿宋"/>
          <w:sz w:val="32"/>
          <w:szCs w:val="32"/>
          <w:lang w:val="en-US" w:eastAsia="zh-CN"/>
        </w:rPr>
        <w:t>（湘财预[2023]396号），江华县财政局于</w:t>
      </w:r>
      <w:r>
        <w:rPr>
          <w:rFonts w:hint="eastAsia" w:ascii="仿宋" w:hAnsi="仿宋" w:eastAsia="仿宋" w:cs="仿宋"/>
          <w:sz w:val="32"/>
          <w:szCs w:val="32"/>
        </w:rPr>
        <w:t>20</w:t>
      </w:r>
      <w:r>
        <w:rPr>
          <w:rFonts w:hint="eastAsia" w:ascii="仿宋" w:hAnsi="仿宋" w:eastAsia="仿宋" w:cs="仿宋"/>
          <w:sz w:val="32"/>
          <w:szCs w:val="32"/>
          <w:lang w:val="en-US" w:eastAsia="zh-CN"/>
        </w:rPr>
        <w:t>24</w:t>
      </w:r>
      <w:r>
        <w:rPr>
          <w:rFonts w:hint="eastAsia" w:ascii="仿宋" w:hAnsi="仿宋" w:eastAsia="仿宋" w:cs="仿宋"/>
          <w:sz w:val="32"/>
          <w:szCs w:val="32"/>
        </w:rPr>
        <w:t>年</w:t>
      </w:r>
      <w:r>
        <w:rPr>
          <w:rFonts w:hint="eastAsia" w:ascii="仿宋" w:hAnsi="仿宋" w:eastAsia="仿宋" w:cs="仿宋"/>
          <w:sz w:val="32"/>
          <w:szCs w:val="32"/>
          <w:lang w:val="en-US" w:eastAsia="zh-CN"/>
        </w:rPr>
        <w:t>2</w:t>
      </w:r>
      <w:r>
        <w:rPr>
          <w:rFonts w:hint="eastAsia" w:ascii="仿宋" w:hAnsi="仿宋" w:eastAsia="仿宋" w:cs="仿宋"/>
          <w:sz w:val="32"/>
          <w:szCs w:val="32"/>
        </w:rPr>
        <w:t>月拨付</w:t>
      </w:r>
      <w:r>
        <w:rPr>
          <w:rFonts w:hint="eastAsia" w:ascii="仿宋" w:hAnsi="仿宋" w:eastAsia="仿宋" w:cs="仿宋"/>
          <w:sz w:val="32"/>
          <w:szCs w:val="32"/>
          <w:lang w:val="en-US" w:eastAsia="zh-CN"/>
        </w:rPr>
        <w:t>至</w:t>
      </w:r>
      <w:r>
        <w:rPr>
          <w:rFonts w:hint="eastAsia" w:ascii="仿宋" w:hAnsi="仿宋" w:eastAsia="仿宋" w:cs="仿宋"/>
          <w:sz w:val="32"/>
          <w:szCs w:val="32"/>
        </w:rPr>
        <w:t>我场</w:t>
      </w:r>
      <w:r>
        <w:rPr>
          <w:rFonts w:hint="eastAsia" w:ascii="仿宋" w:hAnsi="仿宋" w:eastAsia="仿宋" w:cs="仿宋"/>
          <w:sz w:val="32"/>
          <w:szCs w:val="32"/>
          <w:lang w:eastAsia="zh-CN"/>
        </w:rPr>
        <w:t>，</w:t>
      </w:r>
      <w:r>
        <w:rPr>
          <w:rFonts w:hint="eastAsia" w:ascii="仿宋" w:hAnsi="仿宋" w:eastAsia="仿宋" w:cs="仿宋"/>
          <w:sz w:val="32"/>
          <w:szCs w:val="32"/>
        </w:rPr>
        <w:t>县林业</w:t>
      </w:r>
      <w:r>
        <w:rPr>
          <w:rFonts w:hint="eastAsia" w:ascii="仿宋" w:hAnsi="仿宋" w:eastAsia="仿宋" w:cs="仿宋"/>
          <w:sz w:val="32"/>
          <w:szCs w:val="32"/>
          <w:lang w:val="en-US" w:eastAsia="zh-CN"/>
        </w:rPr>
        <w:t>局</w:t>
      </w:r>
      <w:r>
        <w:rPr>
          <w:rFonts w:hint="eastAsia" w:ascii="仿宋" w:hAnsi="仿宋" w:eastAsia="仿宋" w:cs="仿宋"/>
          <w:sz w:val="32"/>
          <w:szCs w:val="32"/>
        </w:rPr>
        <w:t>、财政</w:t>
      </w:r>
      <w:r>
        <w:rPr>
          <w:rFonts w:hint="eastAsia" w:ascii="仿宋" w:hAnsi="仿宋" w:eastAsia="仿宋" w:cs="仿宋"/>
          <w:sz w:val="32"/>
          <w:szCs w:val="32"/>
          <w:lang w:val="en-US" w:eastAsia="zh-CN"/>
        </w:rPr>
        <w:t>局</w:t>
      </w:r>
      <w:r>
        <w:rPr>
          <w:rFonts w:hint="eastAsia" w:ascii="仿宋" w:hAnsi="仿宋" w:eastAsia="仿宋" w:cs="仿宋"/>
          <w:sz w:val="32"/>
          <w:szCs w:val="32"/>
        </w:rPr>
        <w:t>没有截留。我场分别</w:t>
      </w:r>
      <w:r>
        <w:rPr>
          <w:rFonts w:hint="eastAsia" w:ascii="仿宋" w:hAnsi="仿宋" w:eastAsia="仿宋" w:cs="仿宋"/>
          <w:sz w:val="32"/>
          <w:szCs w:val="32"/>
          <w:lang w:val="en-US" w:eastAsia="zh-CN"/>
        </w:rPr>
        <w:t>于5</w:t>
      </w:r>
      <w:r>
        <w:rPr>
          <w:rFonts w:hint="eastAsia" w:ascii="仿宋" w:hAnsi="仿宋" w:eastAsia="仿宋" w:cs="仿宋"/>
          <w:sz w:val="32"/>
          <w:szCs w:val="32"/>
        </w:rPr>
        <w:t>月</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7月</w:t>
      </w:r>
      <w:r>
        <w:rPr>
          <w:rFonts w:hint="eastAsia" w:ascii="仿宋" w:hAnsi="仿宋" w:eastAsia="仿宋" w:cs="仿宋"/>
          <w:sz w:val="32"/>
          <w:szCs w:val="32"/>
        </w:rPr>
        <w:t>将资金</w:t>
      </w:r>
      <w:r>
        <w:rPr>
          <w:rFonts w:hint="eastAsia" w:ascii="仿宋" w:hAnsi="仿宋" w:eastAsia="仿宋" w:cs="仿宋"/>
          <w:sz w:val="32"/>
          <w:szCs w:val="32"/>
          <w:lang w:val="en-US" w:eastAsia="zh-CN"/>
        </w:rPr>
        <w:t>按进度</w:t>
      </w:r>
      <w:r>
        <w:rPr>
          <w:rFonts w:hint="eastAsia" w:ascii="仿宋" w:hAnsi="仿宋" w:eastAsia="仿宋" w:cs="仿宋"/>
          <w:sz w:val="32"/>
          <w:szCs w:val="32"/>
        </w:rPr>
        <w:t>拨付到</w:t>
      </w:r>
      <w:r>
        <w:rPr>
          <w:rFonts w:hint="eastAsia" w:ascii="仿宋" w:hAnsi="仿宋" w:eastAsia="仿宋" w:cs="仿宋"/>
          <w:sz w:val="32"/>
          <w:szCs w:val="32"/>
          <w:lang w:val="en-US" w:eastAsia="zh-CN"/>
        </w:rPr>
        <w:t>项目实施单位江华瑶族自治县华林生态旅游发展有限责任公司</w:t>
      </w:r>
      <w:r>
        <w:rPr>
          <w:rFonts w:hint="eastAsia" w:ascii="仿宋" w:hAnsi="仿宋" w:eastAsia="仿宋" w:cs="仿宋"/>
          <w:sz w:val="32"/>
          <w:szCs w:val="32"/>
        </w:rPr>
        <w:t>，用于</w:t>
      </w:r>
      <w:r>
        <w:rPr>
          <w:rFonts w:hint="eastAsia" w:ascii="仿宋" w:hAnsi="仿宋" w:eastAsia="仿宋" w:cs="仿宋"/>
          <w:sz w:val="32"/>
          <w:szCs w:val="32"/>
          <w:lang w:val="en-US" w:eastAsia="zh-CN"/>
        </w:rPr>
        <w:t>完成</w:t>
      </w:r>
      <w:r>
        <w:rPr>
          <w:rFonts w:hint="eastAsia" w:ascii="仿宋" w:hAnsi="仿宋" w:eastAsia="仿宋" w:cs="仿宋"/>
          <w:sz w:val="32"/>
          <w:szCs w:val="32"/>
        </w:rPr>
        <w:t>种子园、采穗圃、子代林测定林和示范林</w:t>
      </w:r>
      <w:r>
        <w:rPr>
          <w:rFonts w:hint="eastAsia" w:ascii="仿宋" w:hAnsi="仿宋" w:eastAsia="仿宋" w:cs="仿宋"/>
          <w:sz w:val="32"/>
          <w:szCs w:val="32"/>
          <w:lang w:eastAsia="zh-CN"/>
        </w:rPr>
        <w:t>管护</w:t>
      </w:r>
      <w:r>
        <w:rPr>
          <w:rFonts w:hint="eastAsia" w:ascii="仿宋" w:hAnsi="仿宋" w:eastAsia="仿宋" w:cs="仿宋"/>
          <w:sz w:val="32"/>
          <w:szCs w:val="32"/>
        </w:rPr>
        <w:t>建设</w:t>
      </w:r>
      <w:r>
        <w:rPr>
          <w:rFonts w:hint="eastAsia" w:ascii="仿宋" w:hAnsi="仿宋" w:eastAsia="仿宋" w:cs="仿宋"/>
          <w:sz w:val="32"/>
          <w:szCs w:val="32"/>
          <w:lang w:eastAsia="zh-CN"/>
        </w:rPr>
        <w:t>以</w:t>
      </w:r>
      <w:r>
        <w:rPr>
          <w:rFonts w:hint="eastAsia" w:ascii="仿宋" w:hAnsi="仿宋" w:eastAsia="仿宋" w:cs="仿宋"/>
          <w:sz w:val="32"/>
          <w:szCs w:val="32"/>
          <w:lang w:val="en-US" w:eastAsia="zh-CN"/>
        </w:rPr>
        <w:t>及红锥、南酸枣、杉木</w:t>
      </w:r>
      <w:r>
        <w:rPr>
          <w:rFonts w:hint="default" w:ascii="仿宋" w:hAnsi="仿宋" w:eastAsia="仿宋" w:cs="仿宋"/>
          <w:sz w:val="32"/>
          <w:szCs w:val="32"/>
          <w:lang w:val="en-US" w:eastAsia="zh-CN"/>
        </w:rPr>
        <w:t>3.0</w:t>
      </w:r>
      <w:r>
        <w:rPr>
          <w:rFonts w:hint="eastAsia" w:ascii="仿宋" w:hAnsi="仿宋" w:eastAsia="仿宋" w:cs="仿宋"/>
          <w:sz w:val="32"/>
          <w:szCs w:val="32"/>
          <w:lang w:val="en-US" w:eastAsia="zh-CN"/>
        </w:rPr>
        <w:t>代种子园</w:t>
      </w:r>
      <w:r>
        <w:rPr>
          <w:rFonts w:hint="eastAsia" w:ascii="仿宋" w:hAnsi="仿宋" w:eastAsia="仿宋" w:cs="仿宋"/>
          <w:sz w:val="32"/>
          <w:szCs w:val="32"/>
        </w:rPr>
        <w:t>树种结构调整等</w:t>
      </w:r>
      <w:r>
        <w:rPr>
          <w:rFonts w:hint="eastAsia" w:ascii="仿宋" w:hAnsi="仿宋" w:eastAsia="仿宋" w:cs="仿宋"/>
          <w:sz w:val="32"/>
          <w:szCs w:val="32"/>
          <w:lang w:val="en-US" w:eastAsia="zh-CN"/>
        </w:rPr>
        <w:t>各项任务，截止2024年12月31日完成了项目的检查验收，支付项目费用185.7768万元</w:t>
      </w:r>
      <w:r>
        <w:rPr>
          <w:rFonts w:hint="eastAsia" w:ascii="仿宋" w:hAnsi="仿宋" w:eastAsia="仿宋" w:cs="仿宋"/>
          <w:sz w:val="32"/>
          <w:szCs w:val="32"/>
        </w:rPr>
        <w:t>。</w:t>
      </w:r>
    </w:p>
    <w:p w14:paraId="1BE4ECD3">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资金管理情况分析</w:t>
      </w:r>
    </w:p>
    <w:p w14:paraId="47918BA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所有资金严格按照</w:t>
      </w:r>
      <w:r>
        <w:rPr>
          <w:rFonts w:hint="eastAsia" w:ascii="仿宋" w:hAnsi="仿宋" w:eastAsia="仿宋" w:cs="仿宋"/>
          <w:color w:val="auto"/>
          <w:sz w:val="32"/>
          <w:szCs w:val="32"/>
        </w:rPr>
        <w:t>《中华人民共和国预算法》</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财政部、国家林业局关于印发&lt;林业保护恢复管理办法&gt;的通知》（财农〔2016〕196号）及《财政部国家林业局关于印发&lt;中央财政林业补助管理办法&gt;的通知》（财农〔2014〕9号）文件精神有关规定执行，实行分账核算，专款专用。严格专项资金运行制度，严禁截留、挤占、挪用补贴资金，确保资金安全高效地发挥投资效益。对违反专项资金使用规定，截留、挪用或造成资金损失的单位或个人，依照《财政违法行为处罚处分条例》（国务院令第427号）以及有关法律、行政法规的规定处理。</w:t>
      </w:r>
    </w:p>
    <w:p w14:paraId="723ADB37">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sz w:val="32"/>
          <w:szCs w:val="32"/>
        </w:rPr>
      </w:pPr>
      <w:r>
        <w:rPr>
          <w:rFonts w:hint="eastAsia" w:ascii="仿宋" w:hAnsi="仿宋" w:eastAsia="仿宋" w:cs="仿宋"/>
          <w:b/>
          <w:bCs/>
          <w:sz w:val="32"/>
          <w:szCs w:val="32"/>
          <w:lang w:val="en-US" w:eastAsia="zh-CN"/>
        </w:rPr>
        <w:t>3.</w:t>
      </w:r>
      <w:r>
        <w:rPr>
          <w:rFonts w:hint="eastAsia" w:ascii="仿宋" w:hAnsi="仿宋" w:eastAsia="仿宋" w:cs="仿宋"/>
          <w:b/>
          <w:bCs/>
          <w:sz w:val="32"/>
          <w:szCs w:val="32"/>
        </w:rPr>
        <w:t>总体绩效目标完成情况分析</w:t>
      </w:r>
    </w:p>
    <w:p w14:paraId="61CCC48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rPr>
      </w:pPr>
      <w:r>
        <w:rPr>
          <w:rFonts w:hint="eastAsia" w:ascii="仿宋" w:hAnsi="仿宋" w:eastAsia="仿宋" w:cs="仿宋"/>
          <w:sz w:val="32"/>
          <w:szCs w:val="32"/>
          <w:lang w:val="en-US" w:eastAsia="zh-CN"/>
        </w:rPr>
        <w:t>截止2024年12月底，杉木</w:t>
      </w:r>
      <w:r>
        <w:rPr>
          <w:rFonts w:hint="default" w:ascii="仿宋" w:hAnsi="仿宋" w:eastAsia="仿宋" w:cs="仿宋"/>
          <w:sz w:val="32"/>
          <w:szCs w:val="32"/>
          <w:lang w:val="en-US" w:eastAsia="zh-CN"/>
        </w:rPr>
        <w:t>2.0</w:t>
      </w:r>
      <w:r>
        <w:rPr>
          <w:rFonts w:hint="eastAsia" w:ascii="仿宋" w:hAnsi="仿宋" w:eastAsia="仿宋" w:cs="仿宋"/>
          <w:sz w:val="32"/>
          <w:szCs w:val="32"/>
          <w:lang w:val="en-US" w:eastAsia="zh-CN"/>
        </w:rPr>
        <w:t>代采收种子</w:t>
      </w:r>
      <w:r>
        <w:rPr>
          <w:rFonts w:hint="default" w:ascii="仿宋" w:hAnsi="仿宋" w:eastAsia="仿宋" w:cs="仿宋"/>
          <w:sz w:val="32"/>
          <w:szCs w:val="32"/>
          <w:lang w:val="en-US" w:eastAsia="zh-CN"/>
        </w:rPr>
        <w:t>30</w:t>
      </w:r>
      <w:r>
        <w:rPr>
          <w:rFonts w:hint="eastAsia" w:ascii="仿宋" w:hAnsi="仿宋" w:eastAsia="仿宋" w:cs="仿宋"/>
          <w:sz w:val="32"/>
          <w:szCs w:val="32"/>
          <w:lang w:val="en-US" w:eastAsia="zh-CN"/>
        </w:rPr>
        <w:t>公斤（自用育苗）、马尾松</w:t>
      </w:r>
      <w:r>
        <w:rPr>
          <w:rFonts w:hint="default" w:ascii="仿宋" w:hAnsi="仿宋" w:eastAsia="仿宋" w:cs="仿宋"/>
          <w:sz w:val="32"/>
          <w:szCs w:val="32"/>
          <w:lang w:val="en-US" w:eastAsia="zh-CN"/>
        </w:rPr>
        <w:t>2.0</w:t>
      </w:r>
      <w:r>
        <w:rPr>
          <w:rFonts w:hint="eastAsia" w:ascii="仿宋" w:hAnsi="仿宋" w:eastAsia="仿宋" w:cs="仿宋"/>
          <w:sz w:val="32"/>
          <w:szCs w:val="32"/>
          <w:lang w:val="en-US" w:eastAsia="zh-CN"/>
        </w:rPr>
        <w:t>代采收种子</w:t>
      </w:r>
      <w:r>
        <w:rPr>
          <w:rFonts w:hint="default" w:ascii="仿宋" w:hAnsi="仿宋" w:eastAsia="仿宋" w:cs="仿宋"/>
          <w:sz w:val="32"/>
          <w:szCs w:val="32"/>
          <w:lang w:val="en-US" w:eastAsia="zh-CN"/>
        </w:rPr>
        <w:t>15</w:t>
      </w:r>
      <w:r>
        <w:rPr>
          <w:rFonts w:hint="eastAsia" w:ascii="仿宋" w:hAnsi="仿宋" w:eastAsia="仿宋" w:cs="仿宋"/>
          <w:sz w:val="32"/>
          <w:szCs w:val="32"/>
          <w:lang w:val="en-US" w:eastAsia="zh-CN"/>
        </w:rPr>
        <w:t>0公斤（自用撒播造林），保证了林木良种的优良品质。完成</w:t>
      </w:r>
      <w:r>
        <w:rPr>
          <w:rFonts w:hint="eastAsia" w:ascii="仿宋" w:hAnsi="仿宋" w:eastAsia="仿宋" w:cs="仿宋"/>
          <w:sz w:val="32"/>
          <w:szCs w:val="32"/>
        </w:rPr>
        <w:t>种子园建设、采穗圃建设、示范林建设、树种结构调整</w:t>
      </w:r>
      <w:r>
        <w:rPr>
          <w:rFonts w:hint="eastAsia" w:ascii="仿宋" w:hAnsi="仿宋" w:eastAsia="仿宋" w:cs="仿宋"/>
          <w:sz w:val="32"/>
          <w:szCs w:val="32"/>
          <w:lang w:val="en-US" w:eastAsia="zh-CN"/>
        </w:rPr>
        <w:t>等工作任务检查验收。</w:t>
      </w:r>
    </w:p>
    <w:p w14:paraId="716556EA">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val="en-US" w:eastAsia="zh-CN"/>
        </w:rPr>
        <w:t>4.</w:t>
      </w:r>
      <w:r>
        <w:rPr>
          <w:rFonts w:hint="eastAsia" w:ascii="仿宋" w:hAnsi="仿宋" w:eastAsia="仿宋" w:cs="仿宋"/>
          <w:b/>
          <w:bCs/>
          <w:sz w:val="32"/>
          <w:szCs w:val="32"/>
        </w:rPr>
        <w:t>绩效指标完成情况分析</w:t>
      </w:r>
    </w:p>
    <w:p w14:paraId="778A8F57">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数量指标</w:t>
      </w:r>
      <w:r>
        <w:rPr>
          <w:rFonts w:hint="eastAsia" w:ascii="仿宋" w:hAnsi="仿宋" w:eastAsia="仿宋" w:cs="仿宋"/>
          <w:b/>
          <w:bCs/>
          <w:sz w:val="32"/>
          <w:szCs w:val="32"/>
          <w:lang w:eastAsia="zh-CN"/>
        </w:rPr>
        <w:t>完成情况及分析</w:t>
      </w:r>
    </w:p>
    <w:p w14:paraId="479D901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杉木和马尾松</w:t>
      </w:r>
      <w:r>
        <w:rPr>
          <w:rFonts w:hint="default" w:ascii="仿宋" w:hAnsi="仿宋" w:eastAsia="仿宋" w:cs="仿宋"/>
          <w:sz w:val="32"/>
          <w:szCs w:val="32"/>
          <w:lang w:val="en-US" w:eastAsia="zh-CN"/>
        </w:rPr>
        <w:t>2.0</w:t>
      </w:r>
      <w:r>
        <w:rPr>
          <w:rFonts w:hint="eastAsia" w:ascii="仿宋" w:hAnsi="仿宋" w:eastAsia="仿宋" w:cs="仿宋"/>
          <w:sz w:val="32"/>
          <w:szCs w:val="32"/>
          <w:lang w:val="en-US" w:eastAsia="zh-CN"/>
        </w:rPr>
        <w:t>代种子园</w:t>
      </w: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建设</w:t>
      </w:r>
      <w:r>
        <w:rPr>
          <w:rFonts w:hint="eastAsia" w:ascii="仿宋" w:hAnsi="仿宋" w:eastAsia="仿宋" w:cs="仿宋"/>
          <w:sz w:val="32"/>
          <w:szCs w:val="32"/>
          <w:lang w:val="en-US" w:eastAsia="zh-CN"/>
        </w:rPr>
        <w:t>管护714亩，杉木和马尾松采穗圃</w:t>
      </w: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建设管护</w:t>
      </w:r>
      <w:r>
        <w:rPr>
          <w:rFonts w:hint="eastAsia" w:ascii="仿宋" w:hAnsi="仿宋" w:eastAsia="仿宋" w:cs="仿宋"/>
          <w:sz w:val="32"/>
          <w:szCs w:val="32"/>
          <w:lang w:val="en-US" w:eastAsia="zh-CN"/>
        </w:rPr>
        <w:t>41亩，杉木</w:t>
      </w:r>
      <w:r>
        <w:rPr>
          <w:rFonts w:hint="default" w:ascii="仿宋" w:hAnsi="仿宋" w:eastAsia="仿宋" w:cs="仿宋"/>
          <w:sz w:val="32"/>
          <w:szCs w:val="32"/>
          <w:lang w:val="en-US" w:eastAsia="zh-CN"/>
        </w:rPr>
        <w:t>1.5</w:t>
      </w:r>
      <w:r>
        <w:rPr>
          <w:rFonts w:hint="eastAsia" w:ascii="仿宋" w:hAnsi="仿宋" w:eastAsia="仿宋" w:cs="仿宋"/>
          <w:sz w:val="32"/>
          <w:szCs w:val="32"/>
          <w:lang w:val="en-US" w:eastAsia="zh-CN"/>
        </w:rPr>
        <w:t>代种质资源收集区</w:t>
      </w: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建设管护</w:t>
      </w:r>
      <w:r>
        <w:rPr>
          <w:rFonts w:hint="eastAsia" w:ascii="仿宋" w:hAnsi="仿宋" w:eastAsia="仿宋" w:cs="仿宋"/>
          <w:sz w:val="32"/>
          <w:szCs w:val="32"/>
          <w:lang w:val="en-US" w:eastAsia="zh-CN"/>
        </w:rPr>
        <w:t>14亩，杉木马尾松子代林</w:t>
      </w:r>
      <w:r>
        <w:rPr>
          <w:rFonts w:hint="default" w:ascii="仿宋" w:hAnsi="仿宋" w:eastAsia="仿宋" w:cs="仿宋"/>
          <w:sz w:val="32"/>
          <w:szCs w:val="32"/>
          <w:lang w:val="en-US" w:eastAsia="zh-CN"/>
        </w:rPr>
        <w:t>755</w:t>
      </w:r>
      <w:r>
        <w:rPr>
          <w:rFonts w:hint="eastAsia" w:ascii="仿宋" w:hAnsi="仿宋" w:eastAsia="仿宋" w:cs="仿宋"/>
          <w:sz w:val="32"/>
          <w:szCs w:val="32"/>
          <w:lang w:val="en-US" w:eastAsia="zh-CN"/>
        </w:rPr>
        <w:t>亩，杉木</w:t>
      </w:r>
      <w:r>
        <w:rPr>
          <w:rFonts w:hint="default" w:ascii="仿宋" w:hAnsi="仿宋" w:eastAsia="仿宋" w:cs="仿宋"/>
          <w:sz w:val="32"/>
          <w:szCs w:val="32"/>
          <w:lang w:val="en-US" w:eastAsia="zh-CN"/>
        </w:rPr>
        <w:t>2.0</w:t>
      </w:r>
      <w:r>
        <w:rPr>
          <w:rFonts w:hint="eastAsia" w:ascii="仿宋" w:hAnsi="仿宋" w:eastAsia="仿宋" w:cs="仿宋"/>
          <w:sz w:val="32"/>
          <w:szCs w:val="32"/>
          <w:lang w:val="en-US" w:eastAsia="zh-CN"/>
        </w:rPr>
        <w:t>代良种示范林</w:t>
      </w: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建设管护3523</w:t>
      </w:r>
      <w:r>
        <w:rPr>
          <w:rFonts w:hint="eastAsia" w:ascii="仿宋" w:hAnsi="仿宋" w:eastAsia="仿宋" w:cs="仿宋"/>
          <w:sz w:val="32"/>
          <w:szCs w:val="32"/>
          <w:lang w:val="en-US" w:eastAsia="zh-CN"/>
        </w:rPr>
        <w:t>亩，种子园树种结构调整</w:t>
      </w:r>
      <w:r>
        <w:rPr>
          <w:rFonts w:hint="eastAsia" w:ascii="仿宋" w:hAnsi="仿宋" w:eastAsia="仿宋" w:cs="仿宋"/>
          <w:color w:val="36363D"/>
          <w:sz w:val="32"/>
          <w:szCs w:val="32"/>
          <w:highlight w:val="none"/>
          <w:lang w:val="en-US" w:eastAsia="zh-CN"/>
        </w:rPr>
        <w:t>5</w:t>
      </w:r>
      <w:r>
        <w:rPr>
          <w:rFonts w:hint="default" w:ascii="仿宋" w:hAnsi="仿宋" w:eastAsia="仿宋" w:cs="仿宋"/>
          <w:color w:val="36363D"/>
          <w:sz w:val="32"/>
          <w:szCs w:val="32"/>
          <w:highlight w:val="none"/>
          <w:lang w:val="en-US" w:eastAsia="zh-CN"/>
        </w:rPr>
        <w:t>11</w:t>
      </w:r>
      <w:r>
        <w:rPr>
          <w:rFonts w:hint="eastAsia" w:ascii="仿宋" w:hAnsi="仿宋" w:eastAsia="仿宋" w:cs="仿宋"/>
          <w:sz w:val="32"/>
          <w:szCs w:val="32"/>
          <w:lang w:val="en-US" w:eastAsia="zh-CN"/>
        </w:rPr>
        <w:t>亩（红锥种子园</w:t>
      </w:r>
      <w:r>
        <w:rPr>
          <w:rFonts w:hint="default" w:ascii="仿宋" w:hAnsi="仿宋" w:eastAsia="仿宋" w:cs="仿宋"/>
          <w:sz w:val="32"/>
          <w:szCs w:val="32"/>
          <w:lang w:val="en-US" w:eastAsia="zh-CN"/>
        </w:rPr>
        <w:t>218</w:t>
      </w:r>
      <w:r>
        <w:rPr>
          <w:rFonts w:hint="eastAsia" w:ascii="仿宋" w:hAnsi="仿宋" w:eastAsia="仿宋" w:cs="仿宋"/>
          <w:sz w:val="32"/>
          <w:szCs w:val="32"/>
          <w:lang w:val="en-US" w:eastAsia="zh-CN"/>
        </w:rPr>
        <w:t>、南酸枣种子园</w:t>
      </w:r>
      <w:r>
        <w:rPr>
          <w:rFonts w:hint="default" w:ascii="仿宋" w:hAnsi="仿宋" w:eastAsia="仿宋" w:cs="仿宋"/>
          <w:sz w:val="32"/>
          <w:szCs w:val="32"/>
          <w:lang w:val="en-US" w:eastAsia="zh-CN"/>
        </w:rPr>
        <w:t>206</w:t>
      </w:r>
      <w:r>
        <w:rPr>
          <w:rFonts w:hint="eastAsia" w:ascii="仿宋" w:hAnsi="仿宋" w:eastAsia="仿宋" w:cs="仿宋"/>
          <w:sz w:val="32"/>
          <w:szCs w:val="32"/>
          <w:lang w:val="en-US" w:eastAsia="zh-CN"/>
        </w:rPr>
        <w:t>亩、杉木</w:t>
      </w:r>
      <w:r>
        <w:rPr>
          <w:rFonts w:hint="default" w:ascii="仿宋" w:hAnsi="仿宋" w:eastAsia="仿宋" w:cs="仿宋"/>
          <w:sz w:val="32"/>
          <w:szCs w:val="32"/>
          <w:lang w:val="en-US" w:eastAsia="zh-CN"/>
        </w:rPr>
        <w:t>3.0</w:t>
      </w:r>
      <w:r>
        <w:rPr>
          <w:rFonts w:hint="eastAsia" w:ascii="仿宋" w:hAnsi="仿宋" w:eastAsia="仿宋" w:cs="仿宋"/>
          <w:sz w:val="32"/>
          <w:szCs w:val="32"/>
          <w:lang w:val="en-US" w:eastAsia="zh-CN"/>
        </w:rPr>
        <w:t>代种子园</w:t>
      </w:r>
      <w:r>
        <w:rPr>
          <w:rFonts w:hint="default" w:ascii="仿宋" w:hAnsi="仿宋" w:eastAsia="仿宋" w:cs="仿宋"/>
          <w:sz w:val="32"/>
          <w:szCs w:val="32"/>
          <w:lang w:val="en-US" w:eastAsia="zh-CN"/>
        </w:rPr>
        <w:t>87</w:t>
      </w:r>
      <w:r>
        <w:rPr>
          <w:rFonts w:hint="eastAsia" w:ascii="仿宋" w:hAnsi="仿宋" w:eastAsia="仿宋" w:cs="仿宋"/>
          <w:sz w:val="32"/>
          <w:szCs w:val="32"/>
          <w:lang w:val="en-US" w:eastAsia="zh-CN"/>
        </w:rPr>
        <w:t>亩），红锥子代林</w:t>
      </w:r>
      <w:r>
        <w:rPr>
          <w:rFonts w:hint="default" w:ascii="仿宋" w:hAnsi="仿宋" w:eastAsia="仿宋" w:cs="仿宋"/>
          <w:sz w:val="32"/>
          <w:szCs w:val="32"/>
          <w:lang w:val="en-US" w:eastAsia="zh-CN"/>
        </w:rPr>
        <w:t>250</w:t>
      </w:r>
      <w:r>
        <w:rPr>
          <w:rFonts w:hint="eastAsia" w:ascii="仿宋" w:hAnsi="仿宋" w:eastAsia="仿宋" w:cs="仿宋"/>
          <w:sz w:val="32"/>
          <w:szCs w:val="32"/>
          <w:lang w:val="en-US" w:eastAsia="zh-CN"/>
        </w:rPr>
        <w:t>亩，采收杉木和马尾松</w:t>
      </w:r>
      <w:r>
        <w:rPr>
          <w:rFonts w:hint="default" w:ascii="仿宋" w:hAnsi="仿宋" w:eastAsia="仿宋" w:cs="仿宋"/>
          <w:sz w:val="32"/>
          <w:szCs w:val="32"/>
          <w:lang w:val="en-US" w:eastAsia="zh-CN"/>
        </w:rPr>
        <w:t>2.0</w:t>
      </w:r>
      <w:r>
        <w:rPr>
          <w:rFonts w:hint="eastAsia" w:ascii="仿宋" w:hAnsi="仿宋" w:eastAsia="仿宋" w:cs="仿宋"/>
          <w:sz w:val="32"/>
          <w:szCs w:val="32"/>
          <w:lang w:val="en-US" w:eastAsia="zh-CN"/>
        </w:rPr>
        <w:t>代良种共计</w:t>
      </w:r>
      <w:r>
        <w:rPr>
          <w:rFonts w:hint="default" w:ascii="仿宋" w:hAnsi="仿宋" w:eastAsia="仿宋" w:cs="仿宋"/>
          <w:sz w:val="32"/>
          <w:szCs w:val="32"/>
          <w:lang w:val="en-US" w:eastAsia="zh-CN"/>
        </w:rPr>
        <w:t>180</w:t>
      </w:r>
      <w:r>
        <w:rPr>
          <w:rFonts w:hint="eastAsia" w:ascii="仿宋" w:hAnsi="仿宋" w:eastAsia="仿宋" w:cs="仿宋"/>
          <w:sz w:val="32"/>
          <w:szCs w:val="32"/>
          <w:lang w:val="en-US" w:eastAsia="zh-CN"/>
        </w:rPr>
        <w:t>公斤，</w:t>
      </w:r>
    </w:p>
    <w:p w14:paraId="26122F5A">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质量指标</w:t>
      </w:r>
      <w:r>
        <w:rPr>
          <w:rFonts w:hint="eastAsia" w:ascii="仿宋" w:hAnsi="仿宋" w:eastAsia="仿宋" w:cs="仿宋"/>
          <w:b/>
          <w:bCs/>
          <w:sz w:val="32"/>
          <w:szCs w:val="32"/>
          <w:lang w:eastAsia="zh-CN"/>
        </w:rPr>
        <w:t>完成情况及分析</w:t>
      </w:r>
    </w:p>
    <w:p w14:paraId="46EE166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rPr>
      </w:pP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杉木和马尾松2.0代良种采收净度90%以上、种子发芽率40%以上</w:t>
      </w:r>
      <w:r>
        <w:rPr>
          <w:rFonts w:hint="eastAsia" w:ascii="仿宋" w:hAnsi="仿宋" w:eastAsia="仿宋" w:cs="仿宋"/>
          <w:b w:val="0"/>
          <w:bCs w:val="0"/>
          <w:i w:val="0"/>
          <w:iCs w:val="0"/>
          <w:snapToGrid w:val="0"/>
          <w:color w:val="000000"/>
          <w:kern w:val="0"/>
          <w:sz w:val="32"/>
          <w:szCs w:val="32"/>
          <w:highlight w:val="none"/>
          <w:vertAlign w:val="baseline"/>
          <w:lang w:val="en-US" w:eastAsia="zh-CN" w:bidi="ar-SA"/>
        </w:rPr>
        <w:t>；种子园、种质资源收集区、采穗圃、子代林、</w:t>
      </w: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试验示范林</w:t>
      </w:r>
      <w:r>
        <w:rPr>
          <w:rFonts w:hint="eastAsia" w:ascii="仿宋" w:hAnsi="仿宋" w:eastAsia="仿宋" w:cs="仿宋"/>
          <w:b w:val="0"/>
          <w:bCs w:val="0"/>
          <w:i w:val="0"/>
          <w:iCs w:val="0"/>
          <w:snapToGrid w:val="0"/>
          <w:color w:val="000000"/>
          <w:kern w:val="0"/>
          <w:sz w:val="32"/>
          <w:szCs w:val="32"/>
          <w:highlight w:val="none"/>
          <w:vertAlign w:val="baseline"/>
          <w:lang w:val="en-US" w:eastAsia="zh-CN" w:bidi="ar-SA"/>
        </w:rPr>
        <w:t>以及</w:t>
      </w: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种子园树种结构调整</w:t>
      </w:r>
      <w:r>
        <w:rPr>
          <w:rFonts w:hint="eastAsia" w:ascii="仿宋" w:hAnsi="仿宋" w:eastAsia="仿宋" w:cs="仿宋"/>
          <w:b w:val="0"/>
          <w:bCs w:val="0"/>
          <w:i w:val="0"/>
          <w:iCs w:val="0"/>
          <w:snapToGrid w:val="0"/>
          <w:color w:val="000000"/>
          <w:kern w:val="0"/>
          <w:sz w:val="32"/>
          <w:szCs w:val="32"/>
          <w:highlight w:val="none"/>
          <w:vertAlign w:val="baseline"/>
          <w:lang w:val="en-US" w:eastAsia="zh-CN" w:bidi="ar-SA"/>
        </w:rPr>
        <w:t>的</w:t>
      </w:r>
      <w:r>
        <w:rPr>
          <w:rFonts w:hint="eastAsia" w:ascii="仿宋" w:hAnsi="仿宋" w:eastAsia="仿宋" w:cs="仿宋"/>
          <w:sz w:val="32"/>
          <w:szCs w:val="32"/>
          <w:lang w:val="en-US" w:eastAsia="zh-CN"/>
        </w:rPr>
        <w:t>抚育、施肥、防治病虫害、护林防火等管护工作合格率</w:t>
      </w:r>
      <w:r>
        <w:rPr>
          <w:rFonts w:hint="default" w:ascii="仿宋" w:hAnsi="仿宋" w:eastAsia="仿宋" w:cs="仿宋"/>
          <w:sz w:val="32"/>
          <w:szCs w:val="32"/>
          <w:lang w:val="en-US" w:eastAsia="zh-CN"/>
        </w:rPr>
        <w:t>100%</w:t>
      </w:r>
      <w:r>
        <w:rPr>
          <w:rFonts w:hint="eastAsia" w:ascii="仿宋" w:hAnsi="仿宋" w:eastAsia="仿宋" w:cs="仿宋"/>
          <w:sz w:val="32"/>
          <w:szCs w:val="32"/>
          <w:lang w:val="en-US" w:eastAsia="zh-CN"/>
        </w:rPr>
        <w:t>，</w:t>
      </w:r>
      <w:r>
        <w:rPr>
          <w:rFonts w:hint="default" w:ascii="仿宋" w:hAnsi="仿宋" w:eastAsia="仿宋" w:cs="仿宋"/>
          <w:b w:val="0"/>
          <w:bCs w:val="0"/>
          <w:i w:val="0"/>
          <w:iCs w:val="0"/>
          <w:snapToGrid w:val="0"/>
          <w:color w:val="000000"/>
          <w:kern w:val="0"/>
          <w:sz w:val="32"/>
          <w:szCs w:val="32"/>
          <w:highlight w:val="none"/>
          <w:vertAlign w:val="baseline"/>
          <w:lang w:val="en-US" w:eastAsia="zh-CN" w:bidi="ar-SA"/>
        </w:rPr>
        <w:t>病虫害控制5%以内</w:t>
      </w:r>
      <w:r>
        <w:rPr>
          <w:rFonts w:hint="eastAsia" w:ascii="仿宋" w:hAnsi="仿宋" w:eastAsia="仿宋" w:cs="仿宋"/>
          <w:b w:val="0"/>
          <w:bCs w:val="0"/>
          <w:i w:val="0"/>
          <w:iCs w:val="0"/>
          <w:snapToGrid w:val="0"/>
          <w:color w:val="000000"/>
          <w:kern w:val="0"/>
          <w:sz w:val="32"/>
          <w:szCs w:val="32"/>
          <w:highlight w:val="none"/>
          <w:vertAlign w:val="baseline"/>
          <w:lang w:val="en-US" w:eastAsia="zh-CN" w:bidi="ar-SA"/>
        </w:rPr>
        <w:t>。</w:t>
      </w:r>
    </w:p>
    <w:p w14:paraId="41E1C015">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val="en-US"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3</w:t>
      </w:r>
      <w:r>
        <w:rPr>
          <w:rFonts w:hint="eastAsia" w:ascii="仿宋" w:hAnsi="仿宋" w:eastAsia="仿宋" w:cs="仿宋"/>
          <w:b/>
          <w:bCs/>
          <w:sz w:val="32"/>
          <w:szCs w:val="32"/>
          <w:lang w:eastAsia="zh-CN"/>
        </w:rPr>
        <w:t>）</w:t>
      </w:r>
      <w:r>
        <w:rPr>
          <w:rFonts w:hint="eastAsia" w:ascii="仿宋" w:hAnsi="仿宋" w:eastAsia="仿宋" w:cs="仿宋"/>
          <w:b/>
          <w:bCs/>
          <w:sz w:val="32"/>
          <w:szCs w:val="32"/>
        </w:rPr>
        <w:t>时效指标完成</w:t>
      </w:r>
      <w:r>
        <w:rPr>
          <w:rFonts w:hint="eastAsia" w:ascii="仿宋" w:hAnsi="仿宋" w:eastAsia="仿宋" w:cs="仿宋"/>
          <w:b/>
          <w:bCs/>
          <w:sz w:val="32"/>
          <w:szCs w:val="32"/>
          <w:lang w:eastAsia="zh-CN"/>
        </w:rPr>
        <w:t>情况及分析</w:t>
      </w:r>
      <w:r>
        <w:rPr>
          <w:rFonts w:hint="eastAsia" w:ascii="仿宋" w:hAnsi="仿宋" w:eastAsia="仿宋" w:cs="仿宋"/>
          <w:b/>
          <w:bCs/>
          <w:sz w:val="32"/>
          <w:szCs w:val="32"/>
          <w:lang w:val="en-US" w:eastAsia="zh-CN"/>
        </w:rPr>
        <w:t xml:space="preserve"> </w:t>
      </w:r>
    </w:p>
    <w:p w14:paraId="0722449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本年度内该项目按时完成目标任务，</w:t>
      </w:r>
      <w:r>
        <w:rPr>
          <w:rFonts w:hint="eastAsia" w:ascii="仿宋" w:hAnsi="仿宋" w:eastAsia="仿宋" w:cs="仿宋"/>
          <w:sz w:val="32"/>
          <w:szCs w:val="32"/>
        </w:rPr>
        <w:t>项目期内任务完成率</w:t>
      </w:r>
      <w:r>
        <w:rPr>
          <w:rFonts w:hint="eastAsia" w:ascii="仿宋" w:hAnsi="仿宋" w:eastAsia="仿宋" w:cs="仿宋"/>
          <w:sz w:val="32"/>
          <w:szCs w:val="32"/>
          <w:lang w:val="en-US" w:eastAsia="zh-CN"/>
        </w:rPr>
        <w:t>100%，补助兑现率达到100%，项目资金使用规范，未出现截留或挪用情况。</w:t>
      </w:r>
    </w:p>
    <w:p w14:paraId="0BC95C7C">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val="en-US"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4）</w:t>
      </w:r>
      <w:r>
        <w:rPr>
          <w:rFonts w:hint="eastAsia" w:ascii="仿宋" w:hAnsi="仿宋" w:eastAsia="仿宋" w:cs="仿宋"/>
          <w:b/>
          <w:bCs/>
          <w:sz w:val="32"/>
          <w:szCs w:val="32"/>
        </w:rPr>
        <w:t>成本指标</w:t>
      </w:r>
      <w:r>
        <w:rPr>
          <w:rFonts w:hint="eastAsia" w:ascii="仿宋" w:hAnsi="仿宋" w:eastAsia="仿宋" w:cs="仿宋"/>
          <w:b/>
          <w:bCs/>
          <w:sz w:val="32"/>
          <w:szCs w:val="32"/>
          <w:lang w:eastAsia="zh-CN"/>
        </w:rPr>
        <w:t>完成情况及分析</w:t>
      </w:r>
      <w:r>
        <w:rPr>
          <w:rFonts w:hint="eastAsia" w:ascii="仿宋" w:hAnsi="仿宋" w:eastAsia="仿宋" w:cs="仿宋"/>
          <w:b/>
          <w:bCs/>
          <w:sz w:val="32"/>
          <w:szCs w:val="32"/>
          <w:lang w:val="en-US" w:eastAsia="zh-CN"/>
        </w:rPr>
        <w:t xml:space="preserve">  </w:t>
      </w:r>
    </w:p>
    <w:p w14:paraId="6D22567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严格按照</w:t>
      </w:r>
      <w:r>
        <w:rPr>
          <w:rFonts w:hint="eastAsia" w:ascii="仿宋" w:hAnsi="仿宋" w:eastAsia="仿宋" w:cs="仿宋"/>
          <w:sz w:val="32"/>
          <w:szCs w:val="32"/>
        </w:rPr>
        <w:t>我</w:t>
      </w:r>
      <w:r>
        <w:rPr>
          <w:rFonts w:hint="eastAsia" w:ascii="仿宋" w:hAnsi="仿宋" w:eastAsia="仿宋" w:cs="仿宋"/>
          <w:sz w:val="32"/>
          <w:szCs w:val="32"/>
          <w:lang w:eastAsia="zh-CN"/>
        </w:rPr>
        <w:t>场</w:t>
      </w:r>
      <w:r>
        <w:rPr>
          <w:rFonts w:hint="eastAsia" w:ascii="仿宋" w:hAnsi="仿宋" w:eastAsia="仿宋" w:cs="仿宋"/>
          <w:sz w:val="32"/>
          <w:szCs w:val="32"/>
        </w:rPr>
        <w:t>20</w:t>
      </w:r>
      <w:r>
        <w:rPr>
          <w:rFonts w:hint="eastAsia" w:ascii="仿宋" w:hAnsi="仿宋" w:eastAsia="仿宋" w:cs="仿宋"/>
          <w:sz w:val="32"/>
          <w:szCs w:val="32"/>
          <w:lang w:val="en-US" w:eastAsia="zh-CN"/>
        </w:rPr>
        <w:t>24</w:t>
      </w:r>
      <w:r>
        <w:rPr>
          <w:rFonts w:hint="eastAsia" w:ascii="仿宋" w:hAnsi="仿宋" w:eastAsia="仿宋" w:cs="仿宋"/>
          <w:sz w:val="32"/>
          <w:szCs w:val="32"/>
        </w:rPr>
        <w:t>年度中央林业国家</w:t>
      </w:r>
      <w:r>
        <w:rPr>
          <w:rFonts w:hint="eastAsia" w:ascii="仿宋" w:hAnsi="仿宋" w:eastAsia="仿宋" w:cs="仿宋"/>
          <w:sz w:val="32"/>
          <w:szCs w:val="32"/>
          <w:lang w:val="en-US" w:eastAsia="zh-CN"/>
        </w:rPr>
        <w:t>林木良种培育</w:t>
      </w:r>
      <w:r>
        <w:rPr>
          <w:rFonts w:hint="eastAsia" w:ascii="仿宋" w:hAnsi="仿宋" w:eastAsia="仿宋" w:cs="仿宋"/>
          <w:sz w:val="32"/>
          <w:szCs w:val="32"/>
        </w:rPr>
        <w:t>项目补助预算</w:t>
      </w:r>
      <w:r>
        <w:rPr>
          <w:rFonts w:hint="eastAsia" w:ascii="仿宋" w:hAnsi="仿宋" w:eastAsia="仿宋" w:cs="仿宋"/>
          <w:sz w:val="32"/>
          <w:szCs w:val="32"/>
          <w:lang w:val="en-US" w:eastAsia="zh-CN"/>
        </w:rPr>
        <w:t>执行，国家补贴资金使用率100%，</w:t>
      </w:r>
      <w:r>
        <w:rPr>
          <w:rFonts w:hint="eastAsia" w:ascii="仿宋" w:hAnsi="仿宋" w:eastAsia="仿宋" w:cs="仿宋"/>
          <w:sz w:val="32"/>
          <w:szCs w:val="32"/>
        </w:rPr>
        <w:t>实现目标任务</w:t>
      </w:r>
      <w:r>
        <w:rPr>
          <w:rFonts w:hint="eastAsia" w:ascii="仿宋" w:hAnsi="仿宋" w:eastAsia="仿宋" w:cs="仿宋"/>
          <w:sz w:val="32"/>
          <w:szCs w:val="32"/>
          <w:lang w:eastAsia="zh-CN"/>
        </w:rPr>
        <w:t>。</w:t>
      </w:r>
    </w:p>
    <w:p w14:paraId="6E4B93A3">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5）</w:t>
      </w:r>
      <w:r>
        <w:rPr>
          <w:rFonts w:hint="eastAsia" w:ascii="仿宋" w:hAnsi="仿宋" w:eastAsia="仿宋" w:cs="仿宋"/>
          <w:b/>
          <w:bCs/>
          <w:sz w:val="32"/>
          <w:szCs w:val="32"/>
        </w:rPr>
        <w:t>生态效益指标</w:t>
      </w:r>
      <w:r>
        <w:rPr>
          <w:rFonts w:hint="eastAsia" w:ascii="仿宋" w:hAnsi="仿宋" w:eastAsia="仿宋" w:cs="仿宋"/>
          <w:b/>
          <w:bCs/>
          <w:sz w:val="32"/>
          <w:szCs w:val="32"/>
          <w:lang w:eastAsia="zh-CN"/>
        </w:rPr>
        <w:t>完成情况及分析</w:t>
      </w:r>
    </w:p>
    <w:p w14:paraId="249D3A38">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lang w:eastAsia="zh-CN"/>
        </w:rPr>
      </w:pPr>
      <w:r>
        <w:rPr>
          <w:rFonts w:hint="eastAsia" w:ascii="仿宋" w:hAnsi="仿宋" w:eastAsia="仿宋" w:cs="仿宋"/>
          <w:sz w:val="32"/>
          <w:szCs w:val="32"/>
          <w:lang w:eastAsia="zh-CN"/>
        </w:rPr>
        <w:t>通过良种造林和低效林改造，项目区森林覆盖率提升0.5%，碳汇能力显著增强，示范林区水土流失量减少30%，土壤有机质含量提高</w:t>
      </w:r>
      <w:r>
        <w:rPr>
          <w:rFonts w:hint="default" w:ascii="仿宋" w:hAnsi="仿宋" w:eastAsia="仿宋" w:cs="仿宋"/>
          <w:sz w:val="32"/>
          <w:szCs w:val="32"/>
          <w:lang w:val="en-US" w:eastAsia="zh-CN"/>
        </w:rPr>
        <w:t>5</w:t>
      </w:r>
      <w:r>
        <w:rPr>
          <w:rFonts w:hint="eastAsia" w:ascii="仿宋" w:hAnsi="仿宋" w:eastAsia="仿宋" w:cs="仿宋"/>
          <w:sz w:val="32"/>
          <w:szCs w:val="32"/>
          <w:lang w:eastAsia="zh-CN"/>
        </w:rPr>
        <w:t>%，生态修复效果显著。</w:t>
      </w:r>
    </w:p>
    <w:p w14:paraId="3B966CA4">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6）</w:t>
      </w:r>
      <w:r>
        <w:rPr>
          <w:rFonts w:hint="eastAsia" w:ascii="仿宋" w:hAnsi="仿宋" w:eastAsia="仿宋" w:cs="仿宋"/>
          <w:b/>
          <w:bCs/>
          <w:sz w:val="32"/>
          <w:szCs w:val="32"/>
        </w:rPr>
        <w:t>可持续影响指标</w:t>
      </w:r>
      <w:r>
        <w:rPr>
          <w:rFonts w:hint="eastAsia" w:ascii="仿宋" w:hAnsi="仿宋" w:eastAsia="仿宋" w:cs="仿宋"/>
          <w:b/>
          <w:bCs/>
          <w:sz w:val="32"/>
          <w:szCs w:val="32"/>
          <w:lang w:eastAsia="zh-CN"/>
        </w:rPr>
        <w:t>完成情况及分析</w:t>
      </w:r>
    </w:p>
    <w:p w14:paraId="063CC1CC">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lang w:val="en-US" w:eastAsia="zh-CN"/>
        </w:rPr>
      </w:pPr>
      <w:r>
        <w:rPr>
          <w:rFonts w:hint="eastAsia" w:ascii="仿宋" w:hAnsi="仿宋" w:eastAsia="仿宋" w:cs="仿宋"/>
          <w:sz w:val="32"/>
          <w:szCs w:val="32"/>
        </w:rPr>
        <w:t>树种结构得到了调整</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优化了森林生态效果。</w:t>
      </w:r>
    </w:p>
    <w:p w14:paraId="6075A81B">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w:t>
      </w:r>
      <w:r>
        <w:rPr>
          <w:rFonts w:hint="eastAsia" w:ascii="仿宋" w:hAnsi="仿宋" w:eastAsia="仿宋" w:cs="仿宋"/>
          <w:b/>
          <w:bCs/>
          <w:sz w:val="32"/>
          <w:szCs w:val="32"/>
          <w:lang w:val="en-US" w:eastAsia="zh-CN"/>
        </w:rPr>
        <w:t>7）</w:t>
      </w:r>
      <w:r>
        <w:rPr>
          <w:rFonts w:hint="eastAsia" w:ascii="仿宋" w:hAnsi="仿宋" w:eastAsia="仿宋" w:cs="仿宋"/>
          <w:b/>
          <w:bCs/>
          <w:sz w:val="32"/>
          <w:szCs w:val="32"/>
        </w:rPr>
        <w:t>服务对象满意度指标</w:t>
      </w:r>
      <w:r>
        <w:rPr>
          <w:rFonts w:hint="eastAsia" w:ascii="仿宋" w:hAnsi="仿宋" w:eastAsia="仿宋" w:cs="仿宋"/>
          <w:b/>
          <w:bCs/>
          <w:sz w:val="32"/>
          <w:szCs w:val="32"/>
          <w:lang w:eastAsia="zh-CN"/>
        </w:rPr>
        <w:t>完成情况及分析</w:t>
      </w:r>
    </w:p>
    <w:p w14:paraId="392FD75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rPr>
      </w:pPr>
      <w:r>
        <w:rPr>
          <w:rFonts w:hint="eastAsia" w:ascii="仿宋" w:hAnsi="仿宋" w:eastAsia="仿宋" w:cs="仿宋"/>
          <w:sz w:val="32"/>
          <w:szCs w:val="32"/>
        </w:rPr>
        <w:t>项目区群众对项目实施热情很高，通过调查，满意度达9</w:t>
      </w:r>
      <w:r>
        <w:rPr>
          <w:rFonts w:hint="default" w:ascii="仿宋" w:hAnsi="仿宋" w:eastAsia="仿宋" w:cs="仿宋"/>
          <w:sz w:val="32"/>
          <w:szCs w:val="32"/>
          <w:lang w:val="en-US"/>
        </w:rPr>
        <w:t>5</w:t>
      </w:r>
      <w:r>
        <w:rPr>
          <w:rFonts w:hint="eastAsia" w:ascii="仿宋" w:hAnsi="仿宋" w:eastAsia="仿宋" w:cs="仿宋"/>
          <w:sz w:val="32"/>
          <w:szCs w:val="32"/>
        </w:rPr>
        <w:t>%</w:t>
      </w:r>
      <w:r>
        <w:rPr>
          <w:rFonts w:hint="eastAsia" w:ascii="仿宋" w:hAnsi="仿宋" w:eastAsia="仿宋" w:cs="仿宋"/>
          <w:sz w:val="32"/>
          <w:szCs w:val="32"/>
          <w:lang w:val="en-US" w:eastAsia="zh-CN"/>
        </w:rPr>
        <w:t>以上</w:t>
      </w:r>
      <w:r>
        <w:rPr>
          <w:rFonts w:hint="eastAsia" w:ascii="仿宋" w:hAnsi="仿宋" w:eastAsia="仿宋" w:cs="仿宋"/>
          <w:sz w:val="32"/>
          <w:szCs w:val="32"/>
        </w:rPr>
        <w:t>。</w:t>
      </w:r>
    </w:p>
    <w:p w14:paraId="57266A5A">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val="en-US" w:eastAsia="zh-CN"/>
        </w:rPr>
        <w:t>（</w:t>
      </w:r>
      <w:r>
        <w:rPr>
          <w:rFonts w:hint="eastAsia" w:ascii="仿宋" w:hAnsi="仿宋" w:eastAsia="仿宋" w:cs="仿宋"/>
          <w:b/>
          <w:bCs/>
          <w:sz w:val="32"/>
          <w:szCs w:val="32"/>
          <w:lang w:val="en-US" w:eastAsia="en-US"/>
        </w:rPr>
        <w:t>三</w:t>
      </w:r>
      <w:r>
        <w:rPr>
          <w:rFonts w:hint="eastAsia" w:ascii="仿宋" w:hAnsi="仿宋" w:eastAsia="仿宋" w:cs="仿宋"/>
          <w:b/>
          <w:bCs/>
          <w:sz w:val="32"/>
          <w:szCs w:val="32"/>
          <w:lang w:val="en-US" w:eastAsia="zh-CN"/>
        </w:rPr>
        <w:t>）</w:t>
      </w:r>
      <w:r>
        <w:rPr>
          <w:rFonts w:hint="eastAsia" w:ascii="仿宋" w:hAnsi="仿宋" w:eastAsia="仿宋" w:cs="仿宋"/>
          <w:b/>
          <w:bCs/>
          <w:sz w:val="32"/>
          <w:szCs w:val="32"/>
        </w:rPr>
        <w:t>偏离绩效目标的原因和下一步改进措施</w:t>
      </w:r>
    </w:p>
    <w:p w14:paraId="4916A9E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rPr>
      </w:pPr>
      <w:r>
        <w:rPr>
          <w:rFonts w:hint="eastAsia" w:ascii="仿宋" w:hAnsi="仿宋" w:eastAsia="仿宋" w:cs="仿宋"/>
          <w:sz w:val="32"/>
          <w:szCs w:val="32"/>
        </w:rPr>
        <w:t>项目总体绩效目标完成情况良好，并达到了预期效果。</w:t>
      </w:r>
    </w:p>
    <w:p w14:paraId="50AAEB1E">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val="en-US" w:eastAsia="zh-CN"/>
        </w:rPr>
        <w:t>（</w:t>
      </w:r>
      <w:r>
        <w:rPr>
          <w:rFonts w:hint="eastAsia" w:ascii="仿宋" w:hAnsi="仿宋" w:eastAsia="仿宋" w:cs="仿宋"/>
          <w:b/>
          <w:bCs/>
          <w:sz w:val="32"/>
          <w:szCs w:val="32"/>
          <w:lang w:val="en-US" w:eastAsia="en-US"/>
        </w:rPr>
        <w:t>四</w:t>
      </w:r>
      <w:r>
        <w:rPr>
          <w:rFonts w:hint="eastAsia" w:ascii="仿宋" w:hAnsi="仿宋" w:eastAsia="仿宋" w:cs="仿宋"/>
          <w:b/>
          <w:bCs/>
          <w:sz w:val="32"/>
          <w:szCs w:val="32"/>
          <w:lang w:val="en-US" w:eastAsia="zh-CN"/>
        </w:rPr>
        <w:t>）</w:t>
      </w:r>
      <w:r>
        <w:rPr>
          <w:rFonts w:hint="eastAsia" w:ascii="仿宋" w:hAnsi="仿宋" w:eastAsia="仿宋" w:cs="仿宋"/>
          <w:b/>
          <w:bCs/>
          <w:sz w:val="32"/>
          <w:szCs w:val="32"/>
        </w:rPr>
        <w:t>绩效自评结果拟应用和公开情况</w:t>
      </w:r>
    </w:p>
    <w:p w14:paraId="6B1B272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rPr>
      </w:pPr>
      <w:r>
        <w:rPr>
          <w:rFonts w:hint="eastAsia" w:ascii="仿宋" w:hAnsi="仿宋" w:eastAsia="仿宋" w:cs="仿宋"/>
          <w:sz w:val="32"/>
          <w:szCs w:val="32"/>
        </w:rPr>
        <w:t>经过本次自评，</w:t>
      </w:r>
      <w:r>
        <w:rPr>
          <w:rFonts w:hint="eastAsia" w:ascii="仿宋" w:hAnsi="仿宋" w:eastAsia="仿宋" w:cs="仿宋"/>
          <w:sz w:val="32"/>
          <w:szCs w:val="32"/>
          <w:lang w:val="en-US" w:eastAsia="zh-CN"/>
        </w:rPr>
        <w:t>所有</w:t>
      </w:r>
      <w:r>
        <w:rPr>
          <w:rFonts w:hint="eastAsia" w:ascii="仿宋" w:hAnsi="仿宋" w:eastAsia="仿宋" w:cs="仿宋"/>
          <w:sz w:val="32"/>
          <w:szCs w:val="32"/>
        </w:rPr>
        <w:t>资金已做到专款专用，不存在截留挪用现象，各项目总体目标及各项绩效指标均已完成。自评结果的应用按照上级要求执行</w:t>
      </w:r>
      <w:r>
        <w:rPr>
          <w:rFonts w:hint="eastAsia" w:ascii="仿宋" w:hAnsi="仿宋" w:eastAsia="仿宋" w:cs="仿宋"/>
          <w:sz w:val="32"/>
          <w:szCs w:val="32"/>
          <w:lang w:eastAsia="zh-CN"/>
        </w:rPr>
        <w:t>。</w:t>
      </w:r>
    </w:p>
    <w:p w14:paraId="01D4A61D">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rPr>
      </w:pPr>
      <w:r>
        <w:rPr>
          <w:rFonts w:hint="eastAsia" w:ascii="仿宋" w:hAnsi="仿宋" w:eastAsia="仿宋" w:cs="仿宋"/>
          <w:b/>
          <w:bCs/>
          <w:sz w:val="32"/>
          <w:szCs w:val="32"/>
          <w:lang w:eastAsia="zh-CN"/>
        </w:rPr>
        <w:t>（</w:t>
      </w:r>
      <w:r>
        <w:rPr>
          <w:rFonts w:hint="eastAsia" w:ascii="仿宋" w:hAnsi="仿宋" w:eastAsia="仿宋" w:cs="仿宋"/>
          <w:b/>
          <w:bCs/>
          <w:sz w:val="32"/>
          <w:szCs w:val="32"/>
        </w:rPr>
        <w:t>五</w:t>
      </w:r>
      <w:r>
        <w:rPr>
          <w:rFonts w:hint="eastAsia" w:ascii="仿宋" w:hAnsi="仿宋" w:eastAsia="仿宋" w:cs="仿宋"/>
          <w:b/>
          <w:bCs/>
          <w:sz w:val="32"/>
          <w:szCs w:val="32"/>
          <w:lang w:eastAsia="zh-CN"/>
        </w:rPr>
        <w:t>）</w:t>
      </w:r>
      <w:r>
        <w:rPr>
          <w:rFonts w:hint="eastAsia" w:ascii="仿宋" w:hAnsi="仿宋" w:eastAsia="仿宋" w:cs="仿宋"/>
          <w:b/>
          <w:bCs/>
          <w:sz w:val="32"/>
          <w:szCs w:val="32"/>
        </w:rPr>
        <w:t>其他需要说明的问题</w:t>
      </w:r>
    </w:p>
    <w:p w14:paraId="0FCE060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rPr>
      </w:pPr>
      <w:r>
        <w:rPr>
          <w:rFonts w:hint="eastAsia" w:ascii="仿宋" w:hAnsi="仿宋" w:eastAsia="仿宋" w:cs="仿宋"/>
          <w:sz w:val="32"/>
          <w:szCs w:val="32"/>
          <w:lang w:val="en-US" w:eastAsia="zh-CN"/>
        </w:rPr>
        <w:t>综合各项资金使用情况，我场基本是按财务管理、会计核算等制度执行，支出符合国家财经法规和财务管理制度规定以及有关专项资金的管理办法。资金拨付有完整的审批程序和手续，项目支出按规定经过评估论证，资金未存在截留、挤占、挪用、虚列支出等情况。只有采收种子存在结算跨年度问题。</w:t>
      </w:r>
    </w:p>
    <w:p w14:paraId="02361206">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仿宋" w:hAnsi="仿宋" w:eastAsia="仿宋" w:cs="仿宋"/>
          <w:b/>
          <w:bCs/>
          <w:sz w:val="32"/>
          <w:szCs w:val="32"/>
          <w:lang w:eastAsia="zh-CN"/>
        </w:rPr>
      </w:pPr>
      <w:r>
        <w:rPr>
          <w:rFonts w:hint="eastAsia" w:ascii="仿宋" w:hAnsi="仿宋" w:eastAsia="仿宋" w:cs="仿宋"/>
          <w:b/>
          <w:bCs/>
          <w:sz w:val="32"/>
          <w:szCs w:val="32"/>
        </w:rPr>
        <w:t>附件</w:t>
      </w:r>
    </w:p>
    <w:p w14:paraId="7AE8D8C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sz w:val="32"/>
          <w:szCs w:val="32"/>
          <w:lang w:eastAsia="zh-CN"/>
        </w:rPr>
      </w:pPr>
      <w:r>
        <w:rPr>
          <w:rFonts w:hint="eastAsia" w:ascii="仿宋" w:hAnsi="仿宋" w:eastAsia="仿宋" w:cs="仿宋"/>
          <w:color w:val="36363D"/>
          <w:sz w:val="32"/>
          <w:szCs w:val="32"/>
          <w:lang w:val="en-US" w:eastAsia="zh-CN"/>
        </w:rPr>
        <w:t>202</w:t>
      </w:r>
      <w:r>
        <w:rPr>
          <w:rFonts w:hint="default" w:ascii="仿宋" w:hAnsi="仿宋" w:eastAsia="仿宋" w:cs="仿宋"/>
          <w:color w:val="36363D"/>
          <w:sz w:val="32"/>
          <w:szCs w:val="32"/>
          <w:lang w:val="en-US" w:eastAsia="zh-CN"/>
        </w:rPr>
        <w:t>4</w:t>
      </w:r>
      <w:r>
        <w:rPr>
          <w:rFonts w:hint="eastAsia" w:ascii="仿宋" w:hAnsi="仿宋" w:eastAsia="仿宋" w:cs="仿宋"/>
          <w:color w:val="36363D"/>
          <w:sz w:val="32"/>
          <w:szCs w:val="32"/>
          <w:lang w:val="en-US" w:eastAsia="zh-CN"/>
        </w:rPr>
        <w:t>年</w:t>
      </w:r>
      <w:r>
        <w:rPr>
          <w:rFonts w:hint="eastAsia" w:ascii="仿宋" w:hAnsi="仿宋" w:eastAsia="仿宋" w:cs="仿宋"/>
          <w:sz w:val="32"/>
          <w:szCs w:val="32"/>
          <w:lang w:val="en-US" w:eastAsia="zh-CN"/>
        </w:rPr>
        <w:t>度中央财政资金转移支付林业草原生态保护恢复资金及改革发展资金区域绩效自评表。</w:t>
      </w:r>
    </w:p>
    <w:p w14:paraId="74D62967">
      <w:pPr>
        <w:rPr>
          <w:rFonts w:hint="default" w:eastAsia="宋体"/>
          <w:lang w:val="en-US" w:eastAsia="zh-CN"/>
        </w:rPr>
      </w:pPr>
    </w:p>
    <w:p w14:paraId="26BA0BA7">
      <w:pPr>
        <w:rPr>
          <w:rFonts w:hint="default" w:eastAsia="宋体"/>
          <w:lang w:val="en-US" w:eastAsia="zh-CN"/>
        </w:rPr>
      </w:pPr>
    </w:p>
    <w:p w14:paraId="5F013EF6">
      <w:pPr>
        <w:rPr>
          <w:rFonts w:hint="eastAsia" w:eastAsia="宋体"/>
          <w:sz w:val="30"/>
          <w:szCs w:val="30"/>
          <w:lang w:val="en-US" w:eastAsia="zh-CN"/>
        </w:rPr>
      </w:pPr>
      <w:r>
        <w:rPr>
          <w:rFonts w:hint="eastAsia" w:eastAsia="宋体"/>
          <w:lang w:val="en-US" w:eastAsia="zh-CN"/>
        </w:rPr>
        <w:t xml:space="preserve">                 </w:t>
      </w:r>
    </w:p>
    <w:p w14:paraId="4EEC843E">
      <w:pPr>
        <w:ind w:left="6300" w:hanging="6300" w:hangingChars="2100"/>
        <w:rPr>
          <w:rFonts w:hint="eastAsia" w:eastAsia="宋体"/>
          <w:sz w:val="30"/>
          <w:szCs w:val="30"/>
          <w:lang w:val="en-US" w:eastAsia="zh-CN"/>
        </w:rPr>
      </w:pPr>
      <w:r>
        <w:rPr>
          <w:rFonts w:hint="eastAsia" w:eastAsia="宋体"/>
          <w:sz w:val="30"/>
          <w:szCs w:val="30"/>
          <w:lang w:val="en-US" w:eastAsia="zh-CN"/>
        </w:rPr>
        <w:t xml:space="preserve">                                                        江华国有林场</w:t>
      </w:r>
    </w:p>
    <w:p w14:paraId="79BEAEE9">
      <w:pPr>
        <w:ind w:firstLine="6300" w:firstLineChars="2100"/>
        <w:rPr>
          <w:rFonts w:hint="default" w:eastAsia="宋体"/>
          <w:sz w:val="30"/>
          <w:szCs w:val="30"/>
          <w:lang w:val="en-US" w:eastAsia="zh-CN"/>
        </w:rPr>
      </w:pPr>
      <w:bookmarkStart w:id="1" w:name="_GoBack"/>
      <w:bookmarkEnd w:id="1"/>
      <w:r>
        <w:rPr>
          <w:rFonts w:hint="eastAsia" w:eastAsia="宋体"/>
          <w:sz w:val="30"/>
          <w:szCs w:val="30"/>
          <w:lang w:val="en-US" w:eastAsia="zh-CN"/>
        </w:rPr>
        <w:t>2025年2月5日</w:t>
      </w:r>
    </w:p>
    <w:sectPr>
      <w:pgSz w:w="11906" w:h="16838"/>
      <w:pgMar w:top="1440" w:right="1746" w:bottom="1440" w:left="1746"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DC9BDC2"/>
    <w:multiLevelType w:val="singleLevel"/>
    <w:tmpl w:val="EDC9BDC2"/>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3MTFmZTVhN2Q1OGE3MzM1ZDNkMjExYWMwMGNlNGMifQ=="/>
    <w:docVar w:name="KSO_WPS_MARK_KEY" w:val="44b6fd4b-c4b8-4d80-8b51-fe46d466424d"/>
  </w:docVars>
  <w:rsids>
    <w:rsidRoot w:val="735B1AD8"/>
    <w:rsid w:val="02B67E53"/>
    <w:rsid w:val="02BA21E0"/>
    <w:rsid w:val="09D27E0F"/>
    <w:rsid w:val="0CD36378"/>
    <w:rsid w:val="0FB145AE"/>
    <w:rsid w:val="0FC14BAE"/>
    <w:rsid w:val="0FCB1DC9"/>
    <w:rsid w:val="114E2471"/>
    <w:rsid w:val="1B8A679C"/>
    <w:rsid w:val="1CA27B15"/>
    <w:rsid w:val="1DFF517E"/>
    <w:rsid w:val="20126D60"/>
    <w:rsid w:val="20742FA3"/>
    <w:rsid w:val="239D2DE4"/>
    <w:rsid w:val="23E2428D"/>
    <w:rsid w:val="2739340E"/>
    <w:rsid w:val="27473793"/>
    <w:rsid w:val="2EE3584F"/>
    <w:rsid w:val="2F142DC2"/>
    <w:rsid w:val="2FFA272E"/>
    <w:rsid w:val="372431A9"/>
    <w:rsid w:val="37F559B9"/>
    <w:rsid w:val="3AAF547F"/>
    <w:rsid w:val="3FF79DF5"/>
    <w:rsid w:val="427C77E8"/>
    <w:rsid w:val="45E32760"/>
    <w:rsid w:val="481D4186"/>
    <w:rsid w:val="48D17CC4"/>
    <w:rsid w:val="4EB946C7"/>
    <w:rsid w:val="4F443F90"/>
    <w:rsid w:val="4FD476B0"/>
    <w:rsid w:val="500D41B2"/>
    <w:rsid w:val="506334F2"/>
    <w:rsid w:val="57621579"/>
    <w:rsid w:val="5E0C4813"/>
    <w:rsid w:val="5F4A0903"/>
    <w:rsid w:val="621A6DD3"/>
    <w:rsid w:val="64432611"/>
    <w:rsid w:val="65DD16A8"/>
    <w:rsid w:val="69684D49"/>
    <w:rsid w:val="704E4817"/>
    <w:rsid w:val="70F27898"/>
    <w:rsid w:val="710859E4"/>
    <w:rsid w:val="72F63973"/>
    <w:rsid w:val="73483566"/>
    <w:rsid w:val="735B1AD8"/>
    <w:rsid w:val="7B656EB9"/>
    <w:rsid w:val="7D676FBC"/>
    <w:rsid w:val="7F7E59F1"/>
    <w:rsid w:val="ABFF46FC"/>
    <w:rsid w:val="BEF75B81"/>
    <w:rsid w:val="ECCDFC22"/>
    <w:rsid w:val="FBF7F32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0"/>
      <w:szCs w:val="30"/>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3230</Words>
  <Characters>3509</Characters>
  <Lines>0</Lines>
  <Paragraphs>0</Paragraphs>
  <TotalTime>4</TotalTime>
  <ScaleCrop>false</ScaleCrop>
  <LinksUpToDate>false</LinksUpToDate>
  <CharactersWithSpaces>3520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2025-02-22T09:56:00Z</dcterms:created>
  <dc:creator>greatwall</dc:creator>
  <cp:lastModifiedBy>WPS_1651658814</cp:lastModifiedBy>
  <cp:lastPrinted>2025-05-13T00:42:19Z</cp:lastPrinted>
  <dcterms:modified xsi:type="dcterms:W3CDTF">2025-05-13T00:42:29Z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B2417B42A3C447318E10755FFD07969C_13</vt:lpwstr>
  </property>
  <property fmtid="{D5CDD505-2E9C-101B-9397-08002B2CF9AE}" pid="4" name="KSOTemplateDocerSaveRecord">
    <vt:lpwstr>eyJoZGlkIjoiYmEwODU1YjljYTQwZTYzYjA1NGJlNjRkODEwYTZlMTAiLCJ1c2VySWQiOiIxMzY3NzcwNzI5In0=</vt:lpwstr>
  </property>
</Properties>
</file>