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2A7BE">
      <w:pPr>
        <w:ind w:firstLine="723" w:firstLineChars="200"/>
        <w:jc w:val="center"/>
        <w:rPr>
          <w:rFonts w:hint="eastAsia" w:ascii="黑体" w:hAnsi="黑体" w:eastAsia="黑体" w:cs="黑体"/>
          <w:b/>
          <w:sz w:val="36"/>
          <w:szCs w:val="36"/>
          <w:lang w:val="en-US" w:eastAsia="zh-CN"/>
        </w:rPr>
      </w:pPr>
    </w:p>
    <w:p w14:paraId="173EE4B0">
      <w:pPr>
        <w:jc w:val="center"/>
        <w:rPr>
          <w:rFonts w:hint="eastAsia" w:ascii="黑体" w:hAnsi="黑体" w:eastAsia="黑体" w:cs="黑体"/>
          <w:b/>
          <w:sz w:val="36"/>
          <w:szCs w:val="36"/>
          <w:lang w:eastAsia="zh-CN"/>
        </w:rPr>
      </w:pPr>
      <w:r>
        <w:rPr>
          <w:rFonts w:hint="eastAsia" w:ascii="黑体" w:hAnsi="黑体" w:eastAsia="黑体" w:cs="黑体"/>
          <w:b/>
          <w:sz w:val="36"/>
          <w:szCs w:val="36"/>
          <w:lang w:val="en-US" w:eastAsia="zh-CN"/>
        </w:rPr>
        <w:t>江华瑶族自治县水利局2024年度</w:t>
      </w:r>
      <w:r>
        <w:rPr>
          <w:rFonts w:hint="eastAsia" w:ascii="黑体" w:hAnsi="黑体" w:eastAsia="黑体" w:cs="黑体"/>
          <w:b/>
          <w:sz w:val="36"/>
          <w:szCs w:val="36"/>
          <w:lang w:eastAsia="zh-CN"/>
        </w:rPr>
        <w:t>统筹涉农资金</w:t>
      </w:r>
    </w:p>
    <w:p w14:paraId="34C18A8E">
      <w:pPr>
        <w:jc w:val="center"/>
        <w:rPr>
          <w:rFonts w:hint="eastAsia" w:ascii="黑体" w:hAnsi="黑体" w:eastAsia="黑体" w:cs="黑体"/>
          <w:b/>
          <w:sz w:val="36"/>
          <w:szCs w:val="36"/>
          <w:lang w:eastAsia="zh-CN"/>
        </w:rPr>
      </w:pPr>
      <w:r>
        <w:rPr>
          <w:rFonts w:hint="eastAsia" w:ascii="黑体" w:hAnsi="黑体" w:eastAsia="黑体" w:cs="黑体"/>
          <w:b/>
          <w:sz w:val="36"/>
          <w:szCs w:val="36"/>
          <w:lang w:eastAsia="zh-CN"/>
        </w:rPr>
        <w:t>小型农田水利设施、农村供水保障设施建设</w:t>
      </w:r>
    </w:p>
    <w:p w14:paraId="4FFC1250">
      <w:pPr>
        <w:jc w:val="center"/>
        <w:rPr>
          <w:rFonts w:hint="eastAsia" w:ascii="黑体" w:hAnsi="黑体" w:eastAsia="黑体" w:cs="黑体"/>
          <w:b/>
          <w:sz w:val="36"/>
          <w:szCs w:val="36"/>
        </w:rPr>
      </w:pPr>
      <w:r>
        <w:rPr>
          <w:rFonts w:hint="eastAsia" w:ascii="黑体" w:hAnsi="黑体" w:eastAsia="黑体" w:cs="黑体"/>
          <w:b/>
          <w:sz w:val="36"/>
          <w:szCs w:val="36"/>
        </w:rPr>
        <w:t>项目绩效自评报告</w:t>
      </w:r>
    </w:p>
    <w:p w14:paraId="1F13AEF8">
      <w:pPr>
        <w:pStyle w:val="10"/>
        <w:numPr>
          <w:ilvl w:val="0"/>
          <w:numId w:val="0"/>
        </w:numPr>
        <w:ind w:leftChars="0"/>
        <w:jc w:val="center"/>
        <w:rPr>
          <w:rFonts w:hint="eastAsia"/>
          <w:b/>
          <w:sz w:val="30"/>
          <w:szCs w:val="30"/>
          <w:lang w:eastAsia="zh-CN"/>
        </w:rPr>
      </w:pPr>
      <w:bookmarkStart w:id="1" w:name="_GoBack"/>
      <w:bookmarkEnd w:id="1"/>
    </w:p>
    <w:p w14:paraId="72E4408B">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562" w:firstLineChars="200"/>
        <w:textAlignment w:val="auto"/>
        <w:outlineLvl w:val="9"/>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w:t>
      </w:r>
      <w:r>
        <w:rPr>
          <w:rFonts w:hint="eastAsia" w:ascii="仿宋_GB2312" w:hAnsi="仿宋_GB2312" w:eastAsia="仿宋_GB2312" w:cs="仿宋_GB2312"/>
          <w:b/>
          <w:bCs w:val="0"/>
          <w:sz w:val="28"/>
          <w:szCs w:val="28"/>
          <w:lang w:eastAsia="zh-CN"/>
        </w:rPr>
        <w:t>小型农田水利设施、农村供水保障设施建设设施建设</w:t>
      </w:r>
      <w:r>
        <w:rPr>
          <w:rFonts w:hint="eastAsia" w:ascii="仿宋_GB2312" w:hAnsi="仿宋_GB2312" w:eastAsia="仿宋_GB2312" w:cs="仿宋_GB2312"/>
          <w:b/>
          <w:bCs w:val="0"/>
          <w:sz w:val="28"/>
          <w:szCs w:val="28"/>
        </w:rPr>
        <w:t>资金下达预算及项目情况</w:t>
      </w:r>
    </w:p>
    <w:p w14:paraId="3049F08E">
      <w:pPr>
        <w:pStyle w:val="10"/>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560" w:firstLineChars="200"/>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项目资金下达预算情况</w:t>
      </w:r>
    </w:p>
    <w:p w14:paraId="2D2DF8E0">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560" w:firstLineChars="200"/>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根据关于修订调整衔接资金绩效评价相关指标的通知文件精神（湘财农〔2024〕38号），2024年度下达财政涉农整合资金小型农田水利设施、农村供水保障设施建设设施建设项目指标共计36个项目806.5万元。</w:t>
      </w:r>
    </w:p>
    <w:p w14:paraId="7F096DCD">
      <w:pPr>
        <w:pStyle w:val="10"/>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firstLine="560" w:firstLineChars="200"/>
        <w:textAlignment w:val="auto"/>
        <w:outlineLvl w:val="9"/>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sz w:val="28"/>
          <w:szCs w:val="28"/>
          <w:lang w:val="en-US" w:eastAsia="zh-CN"/>
        </w:rPr>
        <w:t>项目基本情况</w:t>
      </w:r>
    </w:p>
    <w:p w14:paraId="323488A7">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560" w:firstLineChars="200"/>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实施的小型农田水利设施、农村供水保障设施建设项目36个，具体内容包含：建设小灌溉渠道整修加固改造6处，拦河坝新建改造修复18处，建设农村供水保障设施7处，其余类型项目3处。</w:t>
      </w:r>
    </w:p>
    <w:p w14:paraId="57A5FB84">
      <w:pPr>
        <w:pStyle w:val="10"/>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firstLine="560" w:firstLineChars="200"/>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rPr>
        <w:t>项目绩效目标</w:t>
      </w:r>
      <w:r>
        <w:rPr>
          <w:rFonts w:hint="eastAsia" w:ascii="仿宋_GB2312" w:hAnsi="仿宋_GB2312" w:eastAsia="仿宋_GB2312" w:cs="仿宋_GB2312"/>
          <w:b w:val="0"/>
          <w:bCs/>
          <w:sz w:val="28"/>
          <w:szCs w:val="28"/>
          <w:lang w:val="en-US" w:eastAsia="zh-CN"/>
        </w:rPr>
        <w:t>设定情况</w:t>
      </w:r>
    </w:p>
    <w:p w14:paraId="0B182459">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560" w:firstLineChars="200"/>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为确保小型农田水利设施、农村供水保障设施建设项目目标与资金需求紧密结合，充分发挥财政整合资金使用效益，2024年小型农田水利设施、农村供水保障设施建设项目资金绩效目标设定为：通过小灌溉渠道整修加固改造、拦河坝新建改造修复、建设农村供水保障设施等有效保障农业生产，增强农业后劲，增加农业收入。</w:t>
      </w:r>
    </w:p>
    <w:p w14:paraId="1BAB796D">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560" w:firstLineChars="200"/>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共计需完成建设小灌溉渠道整修加固改造6处，拦河坝新建改造修复18处，建设农村供水保障设施7处，其余类型项目3处。小型农田水利设施、农村供水保障设施建设项目兴建完成后，项目（工程）验收合格率97.2%，项目（工程）完成及时率90%，受益人口1.5782万人，群众满意度大于或等于99%。</w:t>
      </w:r>
    </w:p>
    <w:p w14:paraId="0513AF24">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562" w:firstLineChars="200"/>
        <w:textAlignment w:val="auto"/>
        <w:outlineLvl w:val="9"/>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二、绩效目标自评开展情况</w:t>
      </w:r>
    </w:p>
    <w:p w14:paraId="16EFB52F">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560" w:firstLineChars="200"/>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我单位领导高度重视财政支出绩效评价工作，进一步树立以绩效结果为导向的预算理念，财政资金严格按照规范程序提前申请、分配、管理和实用，并成立了以主要领导为组长的财政支出绩效评价工作领导小组，及时召开相关会议，认真做好财政支出绩效评价工作，全面完成2024年财政预算支出绩效工作。评价工作组采用全面评价和重点评价相结合，现场评价与非现场评价相补充的方法，对项目资金投入、拨付、监管、使用成效四个方面进行综合评价。</w:t>
      </w:r>
    </w:p>
    <w:p w14:paraId="4D6DA6D1">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560" w:firstLineChars="200"/>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根据自评，2024年小型农田水利设施、农村供水保障设施建设项目在资金使用和管理上做到了财政及时拔付，项目单位财务制度健全，手续完善，无浪费和套取专项资金行为。根据《2024年度小型农田水利设施、农村供水保障设施建设设施建设项目绩效目标（自评）申报表》，2024年小型农田水利设施、农村供水保障设施建设设施建设项目自评得分为94分，自评等级为优（优、良、中、低、差）。</w:t>
      </w:r>
    </w:p>
    <w:p w14:paraId="7BEF3686">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281" w:firstLineChars="100"/>
        <w:textAlignment w:val="auto"/>
        <w:outlineLvl w:val="9"/>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　三、绩效目标自评完成情况分析</w:t>
      </w:r>
    </w:p>
    <w:p w14:paraId="0AE5B114">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560" w:firstLineChars="200"/>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（一）资金投入及执行情况分析</w:t>
      </w:r>
    </w:p>
    <w:p w14:paraId="4E3CB5A7">
      <w:pPr>
        <w:pStyle w:val="11"/>
        <w:keepNext w:val="0"/>
        <w:keepLines w:val="0"/>
        <w:pageBreakBefore w:val="0"/>
        <w:kinsoku/>
        <w:wordWrap/>
        <w:overflowPunct/>
        <w:topLinePunct w:val="0"/>
        <w:autoSpaceDE/>
        <w:autoSpaceDN/>
        <w:bidi w:val="0"/>
        <w:adjustRightInd/>
        <w:snapToGrid w:val="0"/>
        <w:spacing w:line="560" w:lineRule="exact"/>
        <w:ind w:left="0" w:leftChars="0" w:right="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小型农田水利设施、农村供水保障设施建设项目总预算资金806.5万元，财政批复金额806.5万元，实际到位806.5万元，已于2024年度5月拨付到账，到位率100%。</w:t>
      </w:r>
      <w:bookmarkStart w:id="0" w:name="bookmark71"/>
      <w:bookmarkEnd w:id="0"/>
      <w:r>
        <w:rPr>
          <w:rFonts w:hint="eastAsia" w:ascii="仿宋_GB2312" w:hAnsi="仿宋_GB2312" w:eastAsia="仿宋_GB2312" w:cs="仿宋_GB2312"/>
          <w:sz w:val="28"/>
          <w:szCs w:val="28"/>
          <w:lang w:val="en-US" w:eastAsia="zh-CN"/>
        </w:rPr>
        <w:t>截至2024年12月20日，项目完成投资786.5万元，项目完成率为97.52%。</w:t>
      </w:r>
    </w:p>
    <w:p w14:paraId="4465BC21">
      <w:pPr>
        <w:pStyle w:val="11"/>
        <w:keepNext w:val="0"/>
        <w:keepLines w:val="0"/>
        <w:pageBreakBefore w:val="0"/>
        <w:kinsoku/>
        <w:wordWrap/>
        <w:overflowPunct/>
        <w:topLinePunct w:val="0"/>
        <w:autoSpaceDE/>
        <w:autoSpaceDN/>
        <w:bidi w:val="0"/>
        <w:adjustRightInd/>
        <w:snapToGrid w:val="0"/>
        <w:spacing w:line="560" w:lineRule="exact"/>
        <w:ind w:left="0" w:leftChars="0" w:right="0" w:firstLine="560" w:firstLineChars="200"/>
        <w:jc w:val="both"/>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（二）项目资金管理情况</w:t>
      </w:r>
    </w:p>
    <w:p w14:paraId="684E3A5C">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560" w:firstLineChars="200"/>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（1）项目资金主要使用情况</w:t>
      </w:r>
    </w:p>
    <w:p w14:paraId="585E3FB2">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560" w:firstLineChars="200"/>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我单位严格按照《江华瑶族自治县统筹整合使用财政涉农资金管理办法》执行，推进项目建设管理，项目通过公开招标、邀请招标等方式确定项目施工单位，并挂网公开公示，保证项目的顺利开展。项目资金使用管理过程中未发现挤占挪用及其它违规行为、资金使用合理合规。</w:t>
      </w:r>
    </w:p>
    <w:p w14:paraId="18BFE4FA">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560" w:firstLineChars="200"/>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 xml:space="preserve">（2）资金管理制度的执行情况 </w:t>
      </w:r>
    </w:p>
    <w:p w14:paraId="6B3B8287">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560" w:firstLineChars="200"/>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我单位项目资金使用管理中未发现挤占挪用及其他违规行为，资金使用合规，按规定需实行政府采购的项目，已按政府采购的要求实行政府采购。</w:t>
      </w:r>
    </w:p>
    <w:p w14:paraId="3F083873">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560" w:firstLineChars="200"/>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（三）绩效目标完成情况分析</w:t>
      </w:r>
    </w:p>
    <w:p w14:paraId="259C316C">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left"/>
        <w:textAlignment w:val="auto"/>
        <w:outlineLvl w:val="9"/>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产出指标完成情况分析：截至目前，完成小灌溉渠道整修加固改造6处，拦河坝新建改造修复18处，建设农村供水保障设施7处，其余类型项目3处。项目（工程）验收合格率100%，项目（工程）完成及时率97.22%，改盖农业生产生活条件人数1.5782万人。</w:t>
      </w:r>
    </w:p>
    <w:p w14:paraId="7DCF9740">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left"/>
        <w:textAlignment w:val="auto"/>
        <w:outlineLvl w:val="9"/>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效益指标完成情况分析：截至目前已完成的项目累计受益户数3109户，受益人数1.5782万人。通过小灌溉渠道整修加固改造，拦河坝新建改造修复，建设农村供水保障设施等措施有效保障农业生产，增强农业后劲，增加农业收入。</w:t>
      </w:r>
    </w:p>
    <w:p w14:paraId="56D18141">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left"/>
        <w:textAlignment w:val="auto"/>
        <w:outlineLvl w:val="9"/>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3、满意度指标完成情况分析：该项目的实施得到广大群众的认可与好评，经常民意调查访问群众满意达100%。</w:t>
      </w:r>
    </w:p>
    <w:p w14:paraId="182ADA0C">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281" w:firstLineChars="100"/>
        <w:textAlignment w:val="auto"/>
        <w:outlineLvl w:val="9"/>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　四、偏离绩效目标的原因</w:t>
      </w:r>
    </w:p>
    <w:p w14:paraId="61E0AFA0">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left"/>
        <w:textAlignment w:val="auto"/>
        <w:outlineLvl w:val="9"/>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在项目建设工作全过程中，由于严格规范财务制度，建立了一套完善的审批监督管理工作制度，形成了严格、科学、高效的运行机制，确保了项目建设经费及时到位足额报帐，但有一处新建河坝，因为与相邻村存在水坝权属矛盾，导致项目无法实施，我局虽一直在进行相应协调工作，但始终很难推进。下一步我局将继续加强沟通协调，争取项目顺利落地。</w:t>
      </w:r>
    </w:p>
    <w:p w14:paraId="6DAD234F">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281" w:firstLineChars="100"/>
        <w:textAlignment w:val="auto"/>
        <w:outlineLvl w:val="9"/>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　五、绩效自评结果拟运用和公开情况</w:t>
      </w:r>
    </w:p>
    <w:p w14:paraId="7ABE3890">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lef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1、严格按照江华瑶族自治县财政涉农资金整合使用管理办法执行，将评价结果在行政村公示栏进行资金和项目公示，接受群众和社会监督，保留影像资料。</w:t>
      </w:r>
    </w:p>
    <w:p w14:paraId="558B14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560" w:firstLineChars="200"/>
        <w:jc w:val="lef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2、自评结果等工程全部完工验收后，上报并在规定的门户网站公开。</w:t>
      </w:r>
    </w:p>
    <w:p w14:paraId="42CCA8C7">
      <w:pPr>
        <w:keepNext w:val="0"/>
        <w:keepLines w:val="0"/>
        <w:pageBreakBefore w:val="0"/>
        <w:widowControl/>
        <w:kinsoku/>
        <w:wordWrap/>
        <w:overflowPunct/>
        <w:topLinePunct w:val="0"/>
        <w:autoSpaceDE/>
        <w:autoSpaceDN/>
        <w:bidi w:val="0"/>
        <w:adjustRightInd/>
        <w:snapToGrid/>
        <w:spacing w:line="560" w:lineRule="exact"/>
        <w:ind w:right="0"/>
        <w:jc w:val="both"/>
        <w:textAlignment w:val="auto"/>
        <w:outlineLvl w:val="9"/>
        <w:rPr>
          <w:rFonts w:hint="eastAsia" w:ascii="仿宋_GB2312" w:hAnsi="仿宋_GB2312" w:eastAsia="仿宋_GB2312" w:cs="仿宋_GB2312"/>
          <w:sz w:val="28"/>
          <w:szCs w:val="28"/>
          <w:lang w:val="en-US" w:eastAsia="zh-CN"/>
        </w:rPr>
      </w:pPr>
    </w:p>
    <w:p w14:paraId="2C7CAF29">
      <w:pPr>
        <w:keepNext w:val="0"/>
        <w:keepLines w:val="0"/>
        <w:pageBreakBefore w:val="0"/>
        <w:widowControl/>
        <w:kinsoku/>
        <w:wordWrap/>
        <w:overflowPunct/>
        <w:topLinePunct w:val="0"/>
        <w:autoSpaceDE/>
        <w:autoSpaceDN/>
        <w:bidi w:val="0"/>
        <w:adjustRightInd/>
        <w:snapToGrid/>
        <w:spacing w:line="560" w:lineRule="exact"/>
        <w:ind w:right="0"/>
        <w:jc w:val="both"/>
        <w:textAlignment w:val="auto"/>
        <w:outlineLvl w:val="9"/>
        <w:rPr>
          <w:rFonts w:hint="eastAsia" w:ascii="仿宋_GB2312" w:hAnsi="仿宋_GB2312" w:eastAsia="仿宋_GB2312" w:cs="仿宋_GB2312"/>
          <w:sz w:val="28"/>
          <w:szCs w:val="28"/>
          <w:lang w:val="en-US" w:eastAsia="zh-CN"/>
        </w:rPr>
      </w:pPr>
    </w:p>
    <w:p w14:paraId="09E92CBC">
      <w:pPr>
        <w:keepNext w:val="0"/>
        <w:keepLines w:val="0"/>
        <w:pageBreakBefore w:val="0"/>
        <w:widowControl/>
        <w:kinsoku/>
        <w:wordWrap/>
        <w:overflowPunct/>
        <w:topLinePunct w:val="0"/>
        <w:autoSpaceDE/>
        <w:autoSpaceDN/>
        <w:bidi w:val="0"/>
        <w:adjustRightInd/>
        <w:snapToGrid/>
        <w:spacing w:line="560" w:lineRule="exact"/>
        <w:ind w:right="0"/>
        <w:jc w:val="both"/>
        <w:textAlignment w:val="auto"/>
        <w:outlineLvl w:val="9"/>
        <w:rPr>
          <w:rFonts w:hint="eastAsia" w:ascii="仿宋_GB2312" w:hAnsi="仿宋_GB2312" w:eastAsia="仿宋_GB2312" w:cs="仿宋_GB2312"/>
          <w:sz w:val="28"/>
          <w:szCs w:val="28"/>
          <w:lang w:val="en-US" w:eastAsia="zh-CN"/>
        </w:rPr>
      </w:pPr>
    </w:p>
    <w:p w14:paraId="51F868D7">
      <w:pPr>
        <w:keepNext w:val="0"/>
        <w:keepLines w:val="0"/>
        <w:pageBreakBefore w:val="0"/>
        <w:widowControl/>
        <w:kinsoku/>
        <w:wordWrap/>
        <w:overflowPunct/>
        <w:topLinePunct w:val="0"/>
        <w:autoSpaceDE/>
        <w:autoSpaceDN/>
        <w:bidi w:val="0"/>
        <w:adjustRightInd/>
        <w:snapToGrid/>
        <w:spacing w:line="560" w:lineRule="exact"/>
        <w:ind w:left="0" w:leftChars="0" w:right="0" w:firstLine="4200" w:firstLineChars="1500"/>
        <w:jc w:val="righ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江华瑶族自治县水利局</w:t>
      </w:r>
    </w:p>
    <w:p w14:paraId="465E2DA3">
      <w:pPr>
        <w:keepNext w:val="0"/>
        <w:keepLines w:val="0"/>
        <w:pageBreakBefore w:val="0"/>
        <w:widowControl/>
        <w:kinsoku/>
        <w:wordWrap/>
        <w:overflowPunct/>
        <w:topLinePunct w:val="0"/>
        <w:autoSpaceDE/>
        <w:autoSpaceDN/>
        <w:bidi w:val="0"/>
        <w:adjustRightInd/>
        <w:snapToGrid/>
        <w:spacing w:line="560" w:lineRule="exact"/>
        <w:ind w:left="0" w:leftChars="0" w:right="0" w:firstLine="4200" w:firstLineChars="1500"/>
        <w:jc w:val="right"/>
        <w:textAlignment w:val="auto"/>
        <w:outlineLvl w:val="9"/>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sz w:val="28"/>
          <w:szCs w:val="28"/>
          <w:lang w:val="en-US" w:eastAsia="zh-CN"/>
        </w:rPr>
        <w:t>2024年12月15日</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D9E51">
    <w:pPr>
      <w:pStyle w:val="4"/>
    </w:pPr>
    <w:r>
      <w:rPr>
        <w:rFonts w:ascii="Calibri" w:hAnsi="Calibri" w:eastAsia="宋体" w:cs="黑体"/>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3A9E96">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23A9E96">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A99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C7C3EB"/>
    <w:multiLevelType w:val="singleLevel"/>
    <w:tmpl w:val="B8C7C3EB"/>
    <w:lvl w:ilvl="0" w:tentative="0">
      <w:start w:val="2"/>
      <w:numFmt w:val="decimal"/>
      <w:suff w:val="nothing"/>
      <w:lvlText w:val="%1、"/>
      <w:lvlJc w:val="left"/>
    </w:lvl>
  </w:abstractNum>
  <w:abstractNum w:abstractNumId="1">
    <w:nsid w:val="61C6BCD0"/>
    <w:multiLevelType w:val="singleLevel"/>
    <w:tmpl w:val="61C6BCD0"/>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45B"/>
    <w:rsid w:val="00900EB0"/>
    <w:rsid w:val="00A10898"/>
    <w:rsid w:val="00B8145B"/>
    <w:rsid w:val="00BC46FC"/>
    <w:rsid w:val="00EE030F"/>
    <w:rsid w:val="00F60498"/>
    <w:rsid w:val="00FE30FF"/>
    <w:rsid w:val="00FE7031"/>
    <w:rsid w:val="03E9771D"/>
    <w:rsid w:val="043D5EC3"/>
    <w:rsid w:val="07087596"/>
    <w:rsid w:val="08F323FF"/>
    <w:rsid w:val="09AF77E2"/>
    <w:rsid w:val="0A5226D5"/>
    <w:rsid w:val="0BAB354D"/>
    <w:rsid w:val="0D150AE5"/>
    <w:rsid w:val="124A6E0E"/>
    <w:rsid w:val="194F108B"/>
    <w:rsid w:val="1D0E370C"/>
    <w:rsid w:val="1E097E15"/>
    <w:rsid w:val="215F6713"/>
    <w:rsid w:val="227F2CA6"/>
    <w:rsid w:val="22B35ADC"/>
    <w:rsid w:val="23CB0D70"/>
    <w:rsid w:val="25DA2662"/>
    <w:rsid w:val="282D4176"/>
    <w:rsid w:val="29C2173D"/>
    <w:rsid w:val="2AFD3F94"/>
    <w:rsid w:val="2BA00958"/>
    <w:rsid w:val="2D5C2ECF"/>
    <w:rsid w:val="2E660AAD"/>
    <w:rsid w:val="30581046"/>
    <w:rsid w:val="30A04E56"/>
    <w:rsid w:val="31AD5B7D"/>
    <w:rsid w:val="32A45FA2"/>
    <w:rsid w:val="353E0F2E"/>
    <w:rsid w:val="374800C8"/>
    <w:rsid w:val="37F222D9"/>
    <w:rsid w:val="3A525CA7"/>
    <w:rsid w:val="3A5F5AED"/>
    <w:rsid w:val="3A8B34F3"/>
    <w:rsid w:val="3ACE3841"/>
    <w:rsid w:val="3B960782"/>
    <w:rsid w:val="3E496B0D"/>
    <w:rsid w:val="3E9B10C2"/>
    <w:rsid w:val="40AE2D1D"/>
    <w:rsid w:val="42104D40"/>
    <w:rsid w:val="44000F5C"/>
    <w:rsid w:val="44593EB2"/>
    <w:rsid w:val="48976B86"/>
    <w:rsid w:val="491B57EC"/>
    <w:rsid w:val="4BF528FC"/>
    <w:rsid w:val="4D174C91"/>
    <w:rsid w:val="4D987560"/>
    <w:rsid w:val="4D9E7167"/>
    <w:rsid w:val="4E2C2E03"/>
    <w:rsid w:val="4F211862"/>
    <w:rsid w:val="52D74DF5"/>
    <w:rsid w:val="52E32DFB"/>
    <w:rsid w:val="53643D6A"/>
    <w:rsid w:val="55735275"/>
    <w:rsid w:val="59785C59"/>
    <w:rsid w:val="5B622E66"/>
    <w:rsid w:val="5B715A14"/>
    <w:rsid w:val="5E68742F"/>
    <w:rsid w:val="61954924"/>
    <w:rsid w:val="62743AF4"/>
    <w:rsid w:val="63C83680"/>
    <w:rsid w:val="645A7E69"/>
    <w:rsid w:val="64AC7339"/>
    <w:rsid w:val="66D1263E"/>
    <w:rsid w:val="67CB6053"/>
    <w:rsid w:val="694143FD"/>
    <w:rsid w:val="6A98593C"/>
    <w:rsid w:val="6B9E6A1E"/>
    <w:rsid w:val="6BCE2AB9"/>
    <w:rsid w:val="6E9D6087"/>
    <w:rsid w:val="706F05C9"/>
    <w:rsid w:val="70E71BB7"/>
    <w:rsid w:val="71311892"/>
    <w:rsid w:val="76C513CA"/>
    <w:rsid w:val="7CC21E2E"/>
    <w:rsid w:val="7DAC369E"/>
    <w:rsid w:val="7E6A561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style>
  <w:style w:type="paragraph" w:styleId="3">
    <w:name w:val="toc 5"/>
    <w:basedOn w:val="1"/>
    <w:next w:val="1"/>
    <w:unhideWhenUsed/>
    <w:uiPriority w:val="39"/>
    <w:pPr>
      <w:ind w:left="1680" w:leftChars="800"/>
    </w:pPr>
    <w:rPr>
      <w:rFonts w:ascii="Times New Roman" w:hAnsi="Times New Roman"/>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0" w:beforeAutospacing="1" w:after="0" w:afterAutospacing="1"/>
      <w:ind w:left="0" w:right="0"/>
      <w:jc w:val="left"/>
    </w:pPr>
    <w:rPr>
      <w:kern w:val="0"/>
      <w:sz w:val="24"/>
      <w:lang w:val="en-US" w:eastAsia="zh-CN"/>
    </w:rPr>
  </w:style>
  <w:style w:type="character" w:styleId="9">
    <w:name w:val="Strong"/>
    <w:basedOn w:val="8"/>
    <w:qFormat/>
    <w:uiPriority w:val="22"/>
    <w:rPr>
      <w:b/>
    </w:rPr>
  </w:style>
  <w:style w:type="paragraph" w:customStyle="1" w:styleId="10">
    <w:name w:val="List Paragraph"/>
    <w:basedOn w:val="1"/>
    <w:qFormat/>
    <w:uiPriority w:val="34"/>
    <w:pPr>
      <w:ind w:firstLine="420" w:firstLineChars="200"/>
    </w:pPr>
  </w:style>
  <w:style w:type="paragraph" w:customStyle="1" w:styleId="11">
    <w:name w:val="Body text|1"/>
    <w:basedOn w:val="1"/>
    <w:qFormat/>
    <w:uiPriority w:val="0"/>
    <w:pPr>
      <w:spacing w:line="410" w:lineRule="auto"/>
      <w:ind w:firstLine="400"/>
    </w:pPr>
    <w:rPr>
      <w:rFonts w:ascii="宋体" w:hAnsi="宋体" w:eastAsia="宋体" w:cs="宋体"/>
      <w:sz w:val="20"/>
      <w:szCs w:val="20"/>
      <w:lang w:val="zh-TW" w:eastAsia="zh-TW" w:bidi="zh-TW"/>
    </w:rPr>
  </w:style>
  <w:style w:type="character" w:customStyle="1" w:styleId="12">
    <w:name w:val="页眉 Char"/>
    <w:basedOn w:val="8"/>
    <w:link w:val="5"/>
    <w:semiHidden/>
    <w:qFormat/>
    <w:uiPriority w:val="99"/>
    <w:rPr>
      <w:sz w:val="18"/>
      <w:szCs w:val="18"/>
    </w:rPr>
  </w:style>
  <w:style w:type="character" w:customStyle="1" w:styleId="13">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1850</Words>
  <Characters>1959</Characters>
  <Lines>4</Lines>
  <Paragraphs>1</Paragraphs>
  <TotalTime>27</TotalTime>
  <ScaleCrop>false</ScaleCrop>
  <LinksUpToDate>false</LinksUpToDate>
  <CharactersWithSpaces>1963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2019-11-26T00:40:00Z</dcterms:created>
  <dc:creator>Administrator</dc:creator>
  <cp:lastModifiedBy>君小白</cp:lastModifiedBy>
  <cp:lastPrinted>2021-12-25T08:45:00Z</cp:lastPrinted>
  <dcterms:modified xsi:type="dcterms:W3CDTF">2024-12-19T07:38:52Z</dcterms:modified>
  <dc:title>XX单位XX年度XX项目资金绩效自评报告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ECB71271A8EA49D3B1B9BE7F4E74824D_13</vt:lpwstr>
  </property>
</Properties>
</file>