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项目支出绩效情况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政务中心运行费（含创信工作、“一件事一次办”工作经费）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持续推进“清廉大厅”建设，政务服务便民高效。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政务中心每月开展“政务服务之星”评比活动，每月评出“政务服务之星”，形成比学赶超的良好氛围。常态化实施 24小时“随时办”“全程代办”服务，实行“企业开办”“一照通”窗口全流程一件事一次办，免费刻章和邮寄服务。规范乡镇便民服务中心建设。按照基层政务大厅标准化管理规范配备好16个乡镇便民服务中心，319个便民服务站场地、窗口、软硬件、人员、业务处理、制度规范。对乡镇便民服务中心主任、综合窗口工作人员制度建设及业务操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培训，做好县、乡、村三级3710个事项网办提升、指南更新、流程配备、权限授予、办件处理等工作，确保下放事项能办、好办、易办。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持续推进“高效办成一件事”改革，政务服务提质增效。</w:t>
      </w:r>
      <w:r>
        <w:rPr>
          <w:rFonts w:hint="eastAsia" w:ascii="仿宋_GB2312" w:hAnsi="仿宋_GB2312" w:eastAsia="仿宋_GB2312" w:cs="仿宋_GB2312"/>
          <w:sz w:val="32"/>
          <w:szCs w:val="32"/>
        </w:rPr>
        <w:t>聚焦新生儿出生、残疾人服务等热点事项，配备240项联办事项集成24个“高效办成一件事”，实现事项自由组合、一表申请、一套材料、自由组合，承诺办结时限平均压减54%，材料平均压减44%。突出“专区、专窗、专人、专评、专督”落实办件申报和办理。通过“四抓”等举措，推动“新生儿出生一件事”“残疾人服务一件事”等24个“高效办成一件事”落地见效，今年来，共通过“高效办成一件事”产生办件2.5万件，切实解决了群众办事多环节、多次跑的问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江华《打好“组合拳” 助推水电气网联合报装“一件事”服务再升级》获省人民政府2024年优化政务服务推动“高效办成一件事”暨“揭榜竞优”典型经验推介。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持续推进“一网通办”改革、“湘易办”APP应用，促进数字政务转型升级。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今年</w:t>
      </w:r>
      <w:r>
        <w:rPr>
          <w:rFonts w:hint="eastAsia" w:ascii="仿宋_GB2312" w:hAnsi="仿宋_GB2312" w:eastAsia="仿宋_GB2312" w:cs="仿宋_GB2312"/>
          <w:sz w:val="32"/>
          <w:szCs w:val="32"/>
        </w:rPr>
        <w:t>我县成为全市“一网通办”第一批试点县，通过梳理、流程配置、上线及测试，推动烟草、交通等22个单位778项业务实现“一网通办”，减少跑动500余项，上线运行以来，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“一网通办”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系统共有办件5504件。大力推动“湘易办”应用。上线“湘易办”政务服务事项1600余项，汇聚“湘易办”电子证照76类116万张，发布营商地图数据11500条，发布惠企政策（含政策解读）76个、政策事项171条。今年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以来，我县“湘易办”宣传专栏已发布39个宣传产品或动态，通过“湘易办”申报办结办件5718件。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强化政务商务诚信建设，建设诚信政府和诚信企业。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指导督促各执法单位开展信用修复工作，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2024年共</w:t>
      </w:r>
      <w:r>
        <w:rPr>
          <w:rFonts w:hint="eastAsia" w:ascii="仿宋_GB2312" w:hAnsi="仿宋_GB2312" w:eastAsia="仿宋_GB2312" w:cs="仿宋_GB2312"/>
          <w:sz w:val="32"/>
          <w:szCs w:val="32"/>
        </w:rPr>
        <w:t>修复500余条企业行政处罚信息。完善数据归集，形成数据基础档案。今年我县依据市公共信用信息平台归集信用信息共计104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万余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条，其中公示行政许可信息16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万余</w:t>
      </w:r>
      <w:r>
        <w:rPr>
          <w:rFonts w:hint="eastAsia" w:ascii="仿宋_GB2312" w:hAnsi="仿宋_GB2312" w:eastAsia="仿宋_GB2312" w:cs="仿宋_GB2312"/>
          <w:sz w:val="32"/>
          <w:szCs w:val="32"/>
        </w:rPr>
        <w:t>条、行政处罚信息1170条、信用承诺15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万余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其他信用信息72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万余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信用核查累计2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人次。持续开展企业信用评价、分级分类监管工作，督促指导县医保局、交通局、人社局、卫健局等16个部门单位开展分级分类监管工作，及时上报省相关单位，对接信用湖南平台，实现数据共享应用。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numId w:val="0"/>
        </w:num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二、12345县长服务热线经费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充分发挥12345热线联动处置作用，聚焦民生实事，加强部门协调联动，着力解决群众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急难愁盼问题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，全年共受理群众诉求9376件，按时办结率100%，满意度97%。聚焦民生问题解决，对省市政务工单的处置办理，全程跟踪回访，对不满意工单驳回重办，确保处置到位，确保群众满意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，负责的全国文明城市测评“三类问题”解决群众满意度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100%。</w:t>
      </w:r>
    </w:p>
    <w:p>
      <w:pPr>
        <w:numPr>
          <w:numId w:val="0"/>
        </w:num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numId w:val="0"/>
        </w:numPr>
        <w:ind w:leftChars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三、电子政务运行费、政务外网网络租赁费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围绕“五五”工作法、优化营商环境等全县重点工作开展政府信息公开发布工作，严格落实政府网站信息发布“三审三校”制度，2024年网站共发布我县各级各部门的工作动态、政府信息公开信息、重点领域信息等9300余条。推送微信公众号信息474条。在线回答网民提问104个。</w:t>
      </w:r>
    </w:p>
    <w:p>
      <w:pPr>
        <w:numPr>
          <w:numId w:val="0"/>
        </w:numPr>
        <w:ind w:leftChars="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2"/>
        </w:numPr>
        <w:ind w:leftChars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优化营商环境第三方培训、评估咨询费(审批拨付）、业务工作经费（审改、优化、网站运维）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一是全力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推进营商环境重点改革任务落实。</w:t>
      </w:r>
      <w:r>
        <w:rPr>
          <w:rFonts w:hint="eastAsia" w:ascii="仿宋_GB2312" w:hAnsi="仿宋_GB2312" w:eastAsia="仿宋_GB2312" w:cs="仿宋_GB2312"/>
          <w:sz w:val="32"/>
          <w:szCs w:val="32"/>
        </w:rPr>
        <w:t>出台《江华瑶族自治县优化营商环境“十条措施”》，统筹抓好优化营商环境各项指标。常态化开展实地指标核实，开展优化营商环境专项督查1次，印发两期营商环境通报。坚持问题导向，对排名退步和后三的单位进行交办，同步对分管县级领导下工作提示函，督促指标整改提升，重点工作任务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加强涉企精准服务。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全程帮代办专班，开展政务服务“零跑动”“陪伴企业办事走流程”活动，扎实推进“纾困增效”专项行动，今年为企业协调解决问题106个，帮助项目办理相关手续59个。县优化营商环境工作领导小组办公室向30名县级领导发走访联系企业工作提示函，为企业排忧解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全力推进柔性执法。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涉企“免予处罚、减轻处罚、从轻处罚”三张清单，各行政执法单位共减轻处罚69次，从轻处罚103次，免予处罚842次。出台《关于进一步规范入企检查调研的通知（试行）》，实行入园检查审批制和“赋码访企”监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推动降低企业成本。</w:t>
      </w:r>
      <w:r>
        <w:rPr>
          <w:rFonts w:hint="eastAsia" w:ascii="仿宋_GB2312" w:hAnsi="仿宋_GB2312" w:eastAsia="仿宋_GB2312" w:cs="仿宋_GB2312"/>
          <w:sz w:val="32"/>
          <w:szCs w:val="32"/>
        </w:rPr>
        <w:t>协助企业降低用电成本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江华高新区已建成并网一批分布式光伏项目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企业已经实施电力直接交易；新能源富裕期间，开展一期企业用电电价补贴。降低企业融资成本。江华农商行开发马达之城特色产业全链条特色信贷产品“马达易享贷”，支持江华马达制造特色产业园区发展，1-12月放贷2848万元。江华农商行开发应用“小微企业流水贷”，规范业务办理流程和资料，加大信用贷款投放，1-12月放贷1574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提升出口退税办理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效率。</w:t>
      </w:r>
    </w:p>
    <w:p>
      <w:pPr>
        <w:numPr>
          <w:numId w:val="0"/>
        </w:numPr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9140F6"/>
    <w:multiLevelType w:val="singleLevel"/>
    <w:tmpl w:val="919140F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4E94BFF"/>
    <w:multiLevelType w:val="singleLevel"/>
    <w:tmpl w:val="F4E94B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22660"/>
    <w:rsid w:val="04E2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2025-04-30T02:17:00Z</dcterms:created>
  <dc:creator>Administrator</dc:creator>
  <cp:lastModifiedBy>Administrator</cp:lastModifiedBy>
  <dcterms:modified xsi:type="dcterms:W3CDTF">2025-04-30T02:30:33Z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