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教育系统教育业务费绩效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70E2C3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1BD2E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按照部门预算批复，县财政预算下达我局教育系统教育业务费482万，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有商店租金、门面租金等非税收入的学校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教育教学业务正常运转，教育教学活动、工会经费、后勤服务等方面的正常开支。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73646C2D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县财政预算下达我局教育系统教育业务费482万，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有商店租金、门面租金等非税收入的学校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教育教学业务正常运转，教育教学活动、工会经费、后勤服务等方面的正常开支。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县财政预算下达我局教育系统教育业务费482万，</w:t>
      </w:r>
      <w:r>
        <w:rPr>
          <w:rFonts w:hint="eastAsia" w:ascii="仿宋" w:hAnsi="仿宋" w:eastAsia="仿宋" w:cs="仿宋"/>
          <w:sz w:val="32"/>
          <w:szCs w:val="32"/>
        </w:rPr>
        <w:t>通过县财政局直接下达用款指标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县教育局。县教育局根据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有商店租金、门面租金学校上交的非税收入的情况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核拨到各学校。教育局及学校拨付使用经费时都是通过预算一体化系统申请支付，通过财政审核，方能支付。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3BDBAB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县财政预算下达我局教育系统教育业务费482万，2024年实际支出482万元，执行率为100%，保障了学校的正常运转，教育教学活动、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工会经费、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后勤服务等方面的正常开支。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782529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县财政预算下达我局教育系统教育业务费482万，</w:t>
      </w:r>
      <w:r>
        <w:rPr>
          <w:rFonts w:hint="eastAsia" w:ascii="仿宋" w:hAnsi="仿宋" w:eastAsia="仿宋" w:cs="仿宋"/>
          <w:sz w:val="32"/>
          <w:szCs w:val="32"/>
        </w:rPr>
        <w:t>通过县财政局直接下达用款指标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县教育局。县教育局根据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有商店租金、门面租金学校上交的非税收入的情况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核拨到各学校。教育局及学校拨付使用经费时都是通过预算一体化系统申请支付，通过财政审核，方能支付。</w:t>
      </w:r>
    </w:p>
    <w:p w14:paraId="55739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04C149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 w:val="0"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专业财务管理人员严重缺失与当前财务管理工作高标准、严要求的矛盾日益突出。导致学校在使用专项资金时把关不严、不准，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在经费支出审核报账时，不够专业，导致部分经费支出时有违反上级规定的现象。部分学校资金使用不合规，对资金使用范围认识有待提高。部分学校财务人员做账不严谨，财务人员业务水平有待提高。</w:t>
      </w:r>
    </w:p>
    <w:p w14:paraId="3F4FF5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部分业务处室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及学校财务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对预算绩效目标的设定和各项指标的理解不到位，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预算单位绩效管理意识薄弱，绩效目标填报及自评开展不规范，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针对一级指标，很难形成行之有效的二级指标和三级指标，以致无法衡量项目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预算执行率未达指标值。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4F1CD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1. 加强财务管理，严格财务审核。在费用报账支付时，按照预算规定的费用项目和用途进行资金使用审核、列报支付、财务核算，杜绝超支现象的发生。</w:t>
      </w:r>
    </w:p>
    <w:p w14:paraId="3B9FAB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宋体"/>
          <w:sz w:val="32"/>
          <w:szCs w:val="32"/>
        </w:rPr>
      </w:pP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71B8D788"/>
    <w:p w14:paraId="1DC558C8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10465"/>
    <w:rsid w:val="4A453AB8"/>
    <w:rsid w:val="4B010465"/>
    <w:rsid w:val="4EC3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1373</Words>
  <Characters>1403</Characters>
  <Lines>0</Lines>
  <Paragraphs>0</Paragraphs>
  <TotalTime>16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2025-04-30T09:14:00Z</dcterms:created>
  <dc:creator>飞得更高</dc:creator>
  <cp:lastModifiedBy>飞得更高</cp:lastModifiedBy>
  <dcterms:modified xsi:type="dcterms:W3CDTF">2025-05-19T00:28:50Z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20FFC6CB3C0E420980061B708B06C0DA_11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