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A2856D">
      <w:pPr>
        <w:jc w:val="center"/>
        <w:rPr>
          <w:rFonts w:hint="eastAsia" w:ascii="宋体" w:hAnsi="宋体" w:eastAsia="宋体" w:cs="宋体"/>
          <w:b/>
          <w:bCs/>
          <w:sz w:val="36"/>
          <w:szCs w:val="36"/>
        </w:rPr>
      </w:pPr>
      <w:r>
        <w:rPr>
          <w:rFonts w:hint="eastAsia" w:ascii="宋体" w:hAnsi="宋体" w:eastAsia="宋体" w:cs="宋体"/>
          <w:b/>
          <w:bCs/>
          <w:sz w:val="36"/>
          <w:szCs w:val="36"/>
          <w:lang w:eastAsia="zh-CN"/>
        </w:rPr>
        <w:t>202</w:t>
      </w:r>
      <w:r>
        <w:rPr>
          <w:rFonts w:hint="eastAsia" w:ascii="宋体" w:hAnsi="宋体" w:eastAsia="宋体" w:cs="宋体"/>
          <w:b/>
          <w:bCs/>
          <w:sz w:val="36"/>
          <w:szCs w:val="36"/>
          <w:lang w:val="en-US" w:eastAsia="zh-CN"/>
        </w:rPr>
        <w:t>4</w:t>
      </w:r>
      <w:r>
        <w:rPr>
          <w:rFonts w:hint="eastAsia" w:ascii="宋体" w:hAnsi="宋体" w:eastAsia="宋体" w:cs="宋体"/>
          <w:b/>
          <w:bCs/>
          <w:sz w:val="36"/>
          <w:szCs w:val="36"/>
        </w:rPr>
        <w:t>年度江华瑶都教育基金项目资金</w:t>
      </w:r>
    </w:p>
    <w:p w14:paraId="688BF9D9">
      <w:pPr>
        <w:jc w:val="center"/>
        <w:rPr>
          <w:rFonts w:hint="eastAsia" w:ascii="宋体" w:hAnsi="宋体" w:eastAsia="宋体" w:cs="宋体"/>
          <w:b/>
          <w:bCs/>
          <w:sz w:val="36"/>
          <w:szCs w:val="36"/>
        </w:rPr>
      </w:pPr>
      <w:r>
        <w:rPr>
          <w:rFonts w:hint="eastAsia" w:ascii="宋体" w:hAnsi="宋体" w:eastAsia="宋体" w:cs="宋体"/>
          <w:b/>
          <w:bCs/>
          <w:sz w:val="36"/>
          <w:szCs w:val="36"/>
        </w:rPr>
        <w:t>绩效</w:t>
      </w:r>
      <w:r>
        <w:rPr>
          <w:rFonts w:hint="eastAsia" w:ascii="宋体" w:hAnsi="宋体" w:eastAsia="宋体" w:cs="宋体"/>
          <w:b/>
          <w:bCs/>
          <w:sz w:val="36"/>
          <w:szCs w:val="36"/>
          <w:lang w:eastAsia="zh-CN"/>
        </w:rPr>
        <w:t>自评</w:t>
      </w:r>
      <w:r>
        <w:rPr>
          <w:rFonts w:hint="eastAsia" w:ascii="宋体" w:hAnsi="宋体" w:eastAsia="宋体" w:cs="宋体"/>
          <w:b/>
          <w:bCs/>
          <w:sz w:val="36"/>
          <w:szCs w:val="36"/>
        </w:rPr>
        <w:t>报告</w:t>
      </w:r>
    </w:p>
    <w:p w14:paraId="7D5FBB5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一、项目概况</w:t>
      </w:r>
    </w:p>
    <w:p w14:paraId="20D0CD97">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lang w:eastAsia="zh-CN"/>
        </w:rPr>
        <w:t>（一）</w:t>
      </w:r>
      <w:r>
        <w:rPr>
          <w:rFonts w:hint="eastAsia" w:ascii="仿宋" w:hAnsi="仿宋" w:eastAsia="仿宋" w:cs="仿宋"/>
          <w:sz w:val="32"/>
          <w:szCs w:val="32"/>
        </w:rPr>
        <w:t>实施单位基本情况</w:t>
      </w:r>
    </w:p>
    <w:p w14:paraId="1AA57E87">
      <w:pPr>
        <w:keepNext w:val="0"/>
        <w:keepLines w:val="0"/>
        <w:pageBreakBefore w:val="0"/>
        <w:widowControl w:val="0"/>
        <w:kinsoku/>
        <w:wordWrap/>
        <w:overflowPunct/>
        <w:topLinePunct w:val="0"/>
        <w:autoSpaceDE/>
        <w:autoSpaceDN/>
        <w:bidi w:val="0"/>
        <w:adjustRightInd/>
        <w:snapToGrid/>
        <w:spacing w:after="0" w:line="500" w:lineRule="exact"/>
        <w:ind w:firstLine="640" w:firstLineChars="200"/>
        <w:jc w:val="both"/>
        <w:textAlignment w:val="auto"/>
        <w:rPr>
          <w:rFonts w:hint="eastAsia" w:ascii="仿宋" w:hAnsi="仿宋" w:eastAsia="仿宋" w:cs="仿宋"/>
        </w:rPr>
      </w:pPr>
      <w:r>
        <w:rPr>
          <w:rFonts w:hint="eastAsia" w:ascii="仿宋" w:hAnsi="仿宋" w:eastAsia="仿宋" w:cs="仿宋"/>
          <w:sz w:val="32"/>
          <w:szCs w:val="32"/>
          <w:lang w:eastAsia="zh-CN"/>
        </w:rPr>
        <w:t>江华瑶族自治县教育局</w:t>
      </w:r>
      <w:r>
        <w:rPr>
          <w:rFonts w:hint="eastAsia" w:ascii="仿宋" w:hAnsi="仿宋" w:eastAsia="仿宋" w:cs="仿宋"/>
          <w:sz w:val="32"/>
          <w:szCs w:val="32"/>
        </w:rPr>
        <w:t>是县政府工作部门，为正科级，实行一套工作机构、一套领导班子,</w:t>
      </w:r>
      <w:r>
        <w:rPr>
          <w:rFonts w:hint="eastAsia" w:ascii="仿宋" w:hAnsi="仿宋" w:eastAsia="仿宋" w:cs="仿宋"/>
          <w:kern w:val="0"/>
          <w:sz w:val="32"/>
          <w:szCs w:val="32"/>
          <w:lang w:val="en-US" w:eastAsia="zh-CN"/>
        </w:rPr>
        <w:t xml:space="preserve"> 11</w:t>
      </w:r>
      <w:r>
        <w:rPr>
          <w:rFonts w:hint="eastAsia" w:ascii="仿宋" w:hAnsi="仿宋" w:eastAsia="仿宋" w:cs="仿宋"/>
          <w:sz w:val="32"/>
          <w:szCs w:val="32"/>
        </w:rPr>
        <w:t>个内设机构,共</w:t>
      </w:r>
      <w:r>
        <w:rPr>
          <w:rFonts w:hint="eastAsia" w:ascii="仿宋" w:hAnsi="仿宋" w:eastAsia="仿宋" w:cs="仿宋"/>
          <w:sz w:val="32"/>
          <w:szCs w:val="32"/>
          <w:lang w:val="en-US" w:eastAsia="zh-CN"/>
        </w:rPr>
        <w:t>37</w:t>
      </w:r>
      <w:r>
        <w:rPr>
          <w:rFonts w:hint="eastAsia" w:ascii="仿宋" w:hAnsi="仿宋" w:eastAsia="仿宋" w:cs="仿宋"/>
          <w:sz w:val="32"/>
          <w:szCs w:val="32"/>
        </w:rPr>
        <w:t>名职工。</w:t>
      </w:r>
      <w:r>
        <w:rPr>
          <w:rFonts w:hint="eastAsia" w:ascii="仿宋_GB2312" w:hAnsi="仿宋_GB2312" w:eastAsia="仿宋_GB2312" w:cs="仿宋_GB2312"/>
          <w:sz w:val="32"/>
          <w:szCs w:val="32"/>
        </w:rPr>
        <w:t>江华瑶族自治县教育局预算单位</w:t>
      </w:r>
      <w:r>
        <w:rPr>
          <w:rFonts w:hint="eastAsia" w:ascii="仿宋_GB2312" w:hAnsi="仿宋_GB2312" w:eastAsia="仿宋_GB2312" w:cs="仿宋_GB2312"/>
          <w:sz w:val="32"/>
          <w:szCs w:val="32"/>
          <w:lang w:val="en-US" w:eastAsia="zh-CN"/>
        </w:rPr>
        <w:t>75</w:t>
      </w:r>
      <w:r>
        <w:rPr>
          <w:rFonts w:hint="eastAsia" w:ascii="仿宋_GB2312" w:hAnsi="仿宋_GB2312" w:eastAsia="仿宋_GB2312" w:cs="仿宋_GB2312"/>
          <w:sz w:val="32"/>
          <w:szCs w:val="32"/>
        </w:rPr>
        <w:t>个，其中1个一级预算单位和</w:t>
      </w:r>
      <w:r>
        <w:rPr>
          <w:rFonts w:hint="eastAsia" w:ascii="仿宋_GB2312" w:hAnsi="仿宋_GB2312" w:eastAsia="仿宋_GB2312" w:cs="仿宋_GB2312"/>
          <w:sz w:val="32"/>
          <w:szCs w:val="32"/>
          <w:lang w:val="en-US" w:eastAsia="zh-CN"/>
        </w:rPr>
        <w:t>74</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学校</w:t>
      </w:r>
      <w:r>
        <w:rPr>
          <w:rFonts w:hint="eastAsia" w:ascii="仿宋_GB2312" w:hAnsi="仿宋_GB2312" w:eastAsia="仿宋_GB2312" w:cs="仿宋_GB2312"/>
          <w:sz w:val="32"/>
          <w:szCs w:val="32"/>
        </w:rPr>
        <w:t>二级预算单位</w:t>
      </w:r>
      <w:r>
        <w:rPr>
          <w:rFonts w:hint="eastAsia" w:ascii="仿宋_GB2312" w:hAnsi="仿宋_GB2312" w:eastAsia="仿宋_GB2312" w:cs="仿宋_GB2312"/>
          <w:sz w:val="32"/>
          <w:szCs w:val="32"/>
          <w:lang w:eastAsia="zh-CN"/>
        </w:rPr>
        <w:t>。</w:t>
      </w:r>
      <w:r>
        <w:rPr>
          <w:rFonts w:hint="eastAsia" w:ascii="仿宋" w:hAnsi="仿宋" w:eastAsia="仿宋" w:cs="仿宋"/>
          <w:sz w:val="32"/>
          <w:szCs w:val="32"/>
        </w:rPr>
        <w:t>主要负责全县教研教改活动的开展，提高全县教师队伍的业务素质 ，组织全县质检考试，中小学实验教学中的实验室和仪器室管理，实验教学和电化教学所需仪器器材的采购、分配和管理等一类社会公益事业，目的是落实立德树人根本任务，培养德智体美劳全面发展的社会主义建设者和接班人，促进教育健康发展。</w:t>
      </w:r>
    </w:p>
    <w:p w14:paraId="6D830B30">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）资金基本情况</w:t>
      </w:r>
    </w:p>
    <w:p w14:paraId="4F040BE3">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根据公安部办公厅、教育部办公厅《关于印发《中小学幼儿园安全防范工作规范（试行）》的通知》（公治〔2015〕168号）及江财预[2020]1号</w:t>
      </w:r>
      <w:r>
        <w:rPr>
          <w:rFonts w:hint="eastAsia" w:ascii="仿宋" w:hAnsi="仿宋" w:eastAsia="仿宋" w:cs="仿宋"/>
          <w:sz w:val="32"/>
          <w:szCs w:val="32"/>
        </w:rPr>
        <w:t>文件精神，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４</w:t>
      </w:r>
      <w:r>
        <w:rPr>
          <w:rFonts w:hint="eastAsia" w:ascii="仿宋" w:hAnsi="仿宋" w:eastAsia="仿宋" w:cs="仿宋"/>
          <w:sz w:val="32"/>
          <w:szCs w:val="32"/>
        </w:rPr>
        <w:t>年度下达</w:t>
      </w:r>
      <w:r>
        <w:rPr>
          <w:rFonts w:hint="eastAsia" w:ascii="仿宋" w:hAnsi="仿宋" w:eastAsia="仿宋" w:cs="仿宋"/>
          <w:sz w:val="32"/>
          <w:szCs w:val="32"/>
          <w:lang w:eastAsia="zh-CN"/>
        </w:rPr>
        <w:t>我局</w:t>
      </w:r>
      <w:r>
        <w:rPr>
          <w:rFonts w:hint="eastAsia" w:ascii="仿宋" w:hAnsi="仿宋" w:eastAsia="仿宋" w:cs="仿宋"/>
          <w:sz w:val="32"/>
          <w:szCs w:val="32"/>
        </w:rPr>
        <w:t>的江华瑶都教育基金项目资金</w:t>
      </w:r>
      <w:r>
        <w:rPr>
          <w:rFonts w:hint="eastAsia" w:ascii="仿宋" w:hAnsi="仿宋" w:eastAsia="仿宋" w:cs="仿宋"/>
          <w:sz w:val="32"/>
          <w:szCs w:val="32"/>
          <w:lang w:val="en-US" w:eastAsia="zh-CN"/>
        </w:rPr>
        <w:t>500万</w:t>
      </w:r>
      <w:r>
        <w:rPr>
          <w:rFonts w:hint="eastAsia" w:ascii="仿宋" w:hAnsi="仿宋" w:eastAsia="仿宋" w:cs="仿宋"/>
          <w:sz w:val="32"/>
          <w:szCs w:val="32"/>
          <w:lang w:eastAsia="zh-CN"/>
        </w:rPr>
        <w:t>元</w:t>
      </w:r>
      <w:r>
        <w:rPr>
          <w:rFonts w:hint="eastAsia" w:ascii="仿宋" w:hAnsi="仿宋" w:eastAsia="仿宋" w:cs="仿宋"/>
          <w:sz w:val="32"/>
          <w:szCs w:val="32"/>
        </w:rPr>
        <w:t>，</w:t>
      </w:r>
      <w:r>
        <w:rPr>
          <w:rFonts w:hint="eastAsia" w:ascii="仿宋" w:hAnsi="仿宋" w:eastAsia="仿宋" w:cs="仿宋"/>
          <w:sz w:val="32"/>
          <w:szCs w:val="32"/>
          <w:lang w:eastAsia="zh-CN"/>
        </w:rPr>
        <w:t>主要用于</w:t>
      </w:r>
      <w:r>
        <w:rPr>
          <w:rFonts w:hint="eastAsia" w:ascii="仿宋" w:hAnsi="仿宋" w:eastAsia="仿宋" w:cs="仿宋"/>
          <w:sz w:val="32"/>
          <w:szCs w:val="32"/>
        </w:rPr>
        <w:t>江华瑶都教育基金</w:t>
      </w:r>
      <w:r>
        <w:rPr>
          <w:rFonts w:hint="eastAsia" w:ascii="仿宋" w:hAnsi="仿宋" w:eastAsia="仿宋" w:cs="仿宋"/>
          <w:sz w:val="32"/>
          <w:szCs w:val="32"/>
          <w:lang w:eastAsia="zh-CN"/>
        </w:rPr>
        <w:t>会原始注册启动资金</w:t>
      </w:r>
      <w:r>
        <w:rPr>
          <w:rFonts w:hint="eastAsia" w:ascii="仿宋" w:hAnsi="仿宋" w:eastAsia="仿宋" w:cs="仿宋"/>
          <w:sz w:val="32"/>
          <w:szCs w:val="32"/>
        </w:rPr>
        <w:t>。</w:t>
      </w:r>
    </w:p>
    <w:p w14:paraId="397F7132">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eastAsia="zh-CN"/>
        </w:rPr>
        <w:t>二</w:t>
      </w:r>
      <w:r>
        <w:rPr>
          <w:rFonts w:hint="eastAsia" w:ascii="仿宋" w:hAnsi="仿宋" w:eastAsia="仿宋" w:cs="仿宋"/>
          <w:sz w:val="32"/>
          <w:szCs w:val="32"/>
        </w:rPr>
        <w:t>）资金绩效目标</w:t>
      </w:r>
    </w:p>
    <w:p w14:paraId="5603C4AC">
      <w:pPr>
        <w:keepNext w:val="0"/>
        <w:keepLines w:val="0"/>
        <w:pageBreakBefore w:val="0"/>
        <w:widowControl/>
        <w:kinsoku/>
        <w:wordWrap/>
        <w:overflowPunct/>
        <w:topLinePunct w:val="0"/>
        <w:autoSpaceDE/>
        <w:autoSpaceDN/>
        <w:bidi w:val="0"/>
        <w:spacing w:line="600" w:lineRule="exact"/>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通过教育基金奖励优秀教师和学生、教育工作者和先进集体，救助贫困师生，开展与国内友好团体和人士及教育组织的友好往来和相互合作的活动，支持学校改善办学条件，促进教育事业高质量发展，充分调动初高中教师工作的积极性，激励教师锐意进取，提高教育教学质量，促进我县教育工作可持续发展。</w:t>
      </w:r>
    </w:p>
    <w:p w14:paraId="473DF278">
      <w:pPr>
        <w:keepNext w:val="0"/>
        <w:keepLines w:val="0"/>
        <w:pageBreakBefore w:val="0"/>
        <w:tabs>
          <w:tab w:val="center" w:pos="4153"/>
        </w:tabs>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14:paraId="45AB6854">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rPr>
        <w:t>江华瑶都教育基金</w:t>
      </w:r>
      <w:r>
        <w:rPr>
          <w:rFonts w:hint="eastAsia" w:ascii="仿宋" w:hAnsi="仿宋" w:eastAsia="仿宋" w:cs="仿宋"/>
          <w:sz w:val="32"/>
          <w:szCs w:val="32"/>
          <w:lang w:val="en-US" w:eastAsia="zh-CN"/>
        </w:rPr>
        <w:t>500万元，</w:t>
      </w:r>
      <w:r>
        <w:rPr>
          <w:rFonts w:hint="eastAsia" w:ascii="仿宋" w:hAnsi="仿宋" w:eastAsia="仿宋" w:cs="仿宋"/>
          <w:sz w:val="32"/>
          <w:szCs w:val="32"/>
        </w:rPr>
        <w:t>通过县财政局直接下达用款指标至县</w:t>
      </w:r>
      <w:r>
        <w:rPr>
          <w:rFonts w:hint="eastAsia" w:ascii="仿宋" w:hAnsi="仿宋" w:eastAsia="仿宋" w:cs="仿宋"/>
          <w:sz w:val="32"/>
          <w:szCs w:val="32"/>
          <w:lang w:eastAsia="zh-CN"/>
        </w:rPr>
        <w:t>教育</w:t>
      </w:r>
      <w:r>
        <w:rPr>
          <w:rFonts w:hint="eastAsia" w:ascii="仿宋" w:hAnsi="仿宋" w:eastAsia="仿宋" w:cs="仿宋"/>
          <w:sz w:val="32"/>
          <w:szCs w:val="32"/>
        </w:rPr>
        <w:t>局</w:t>
      </w:r>
      <w:r>
        <w:rPr>
          <w:rFonts w:hint="eastAsia" w:ascii="仿宋" w:hAnsi="仿宋" w:eastAsia="仿宋" w:cs="仿宋"/>
          <w:sz w:val="32"/>
          <w:szCs w:val="32"/>
          <w:lang w:eastAsia="zh-CN"/>
        </w:rPr>
        <w:t>，由县教育局核拨至</w:t>
      </w:r>
      <w:r>
        <w:rPr>
          <w:rFonts w:hint="eastAsia" w:ascii="仿宋" w:hAnsi="仿宋" w:eastAsia="仿宋" w:cs="仿宋"/>
          <w:sz w:val="32"/>
          <w:szCs w:val="32"/>
        </w:rPr>
        <w:t>江华瑶都教育基金</w:t>
      </w:r>
      <w:r>
        <w:rPr>
          <w:rFonts w:hint="eastAsia" w:ascii="仿宋" w:hAnsi="仿宋" w:eastAsia="仿宋" w:cs="仿宋"/>
          <w:sz w:val="32"/>
          <w:szCs w:val="32"/>
          <w:lang w:eastAsia="zh-CN"/>
        </w:rPr>
        <w:t>会专用账号。</w:t>
      </w:r>
    </w:p>
    <w:p w14:paraId="1C298413">
      <w:pPr>
        <w:keepNext w:val="0"/>
        <w:keepLines w:val="0"/>
        <w:pageBreakBefore w:val="0"/>
        <w:widowControl/>
        <w:kinsoku/>
        <w:wordWrap/>
        <w:overflowPunct/>
        <w:topLinePunct w:val="0"/>
        <w:autoSpaceDE/>
        <w:autoSpaceDN/>
        <w:bidi w:val="0"/>
        <w:adjustRightInd w:val="0"/>
        <w:snapToGrid w:val="0"/>
        <w:spacing w:line="600" w:lineRule="exact"/>
        <w:ind w:firstLine="640" w:firstLineChars="200"/>
        <w:jc w:val="both"/>
        <w:textAlignment w:val="auto"/>
        <w:rPr>
          <w:rFonts w:hint="eastAsia" w:ascii="仿宋" w:hAnsi="仿宋" w:eastAsia="仿宋" w:cs="仿宋"/>
          <w:sz w:val="32"/>
          <w:szCs w:val="32"/>
        </w:rPr>
      </w:pPr>
      <w:r>
        <w:rPr>
          <w:rFonts w:hint="eastAsia" w:ascii="仿宋" w:hAnsi="仿宋" w:eastAsia="仿宋" w:cs="仿宋"/>
          <w:sz w:val="32"/>
          <w:szCs w:val="32"/>
          <w:lang w:eastAsia="zh-CN"/>
        </w:rPr>
        <w:t>项目资金的管理</w:t>
      </w:r>
      <w:r>
        <w:rPr>
          <w:rFonts w:hint="eastAsia" w:ascii="仿宋" w:hAnsi="仿宋" w:eastAsia="仿宋" w:cs="仿宋"/>
          <w:sz w:val="32"/>
          <w:szCs w:val="32"/>
        </w:rPr>
        <w:t>我局始终</w:t>
      </w:r>
      <w:r>
        <w:rPr>
          <w:rFonts w:hint="eastAsia" w:ascii="仿宋" w:hAnsi="仿宋" w:eastAsia="仿宋" w:cs="仿宋"/>
          <w:sz w:val="32"/>
          <w:szCs w:val="32"/>
          <w:lang w:eastAsia="zh-CN"/>
        </w:rPr>
        <w:t>做到</w:t>
      </w:r>
      <w:r>
        <w:rPr>
          <w:rFonts w:hint="eastAsia" w:ascii="仿宋" w:hAnsi="仿宋" w:eastAsia="仿宋" w:cs="仿宋"/>
          <w:sz w:val="32"/>
          <w:szCs w:val="32"/>
        </w:rPr>
        <w:t>专款专用</w:t>
      </w:r>
      <w:r>
        <w:rPr>
          <w:rFonts w:hint="eastAsia" w:ascii="仿宋" w:hAnsi="仿宋" w:eastAsia="仿宋" w:cs="仿宋"/>
          <w:sz w:val="32"/>
          <w:szCs w:val="32"/>
          <w:lang w:eastAsia="zh-CN"/>
        </w:rPr>
        <w:t>，不挤占挪用，使用过程中</w:t>
      </w:r>
      <w:r>
        <w:rPr>
          <w:rFonts w:hint="eastAsia" w:ascii="仿宋" w:hAnsi="仿宋" w:eastAsia="仿宋" w:cs="仿宋"/>
          <w:sz w:val="32"/>
          <w:szCs w:val="32"/>
          <w:lang w:val="en-US" w:eastAsia="zh-CN"/>
        </w:rPr>
        <w:t>纪检、审计部门全程监督，在保障各项工作有序开展的同时，确保资金使用效率最大化。</w:t>
      </w:r>
    </w:p>
    <w:p w14:paraId="206342E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14:paraId="7CD7CDAC">
      <w:pPr>
        <w:keepNext w:val="0"/>
        <w:keepLines w:val="0"/>
        <w:pageBreakBefore w:val="0"/>
        <w:widowControl/>
        <w:kinsoku/>
        <w:wordWrap/>
        <w:overflowPunct/>
        <w:topLinePunct w:val="0"/>
        <w:autoSpaceDE/>
        <w:autoSpaceDN/>
        <w:bidi w:val="0"/>
        <w:spacing w:line="60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我局</w:t>
      </w:r>
      <w:r>
        <w:rPr>
          <w:rFonts w:hint="eastAsia" w:ascii="仿宋" w:hAnsi="仿宋" w:eastAsia="仿宋" w:cs="仿宋"/>
          <w:sz w:val="32"/>
          <w:szCs w:val="32"/>
        </w:rPr>
        <w:t>严格按照</w:t>
      </w:r>
      <w:r>
        <w:rPr>
          <w:rFonts w:hint="eastAsia" w:ascii="仿宋" w:hAnsi="仿宋" w:eastAsia="仿宋" w:cs="仿宋"/>
          <w:sz w:val="32"/>
          <w:szCs w:val="32"/>
          <w:lang w:val="en-US" w:eastAsia="zh-CN"/>
        </w:rPr>
        <w:t>《江华瑶族自治县教育预算管理制度》、《江华瑶族自治县教育局报销管理制度》、《江华县教育局“三重一大”决策制度》等各项管理制度</w:t>
      </w:r>
      <w:r>
        <w:rPr>
          <w:rFonts w:hint="eastAsia" w:ascii="仿宋" w:hAnsi="仿宋" w:eastAsia="仿宋" w:cs="仿宋"/>
          <w:sz w:val="32"/>
          <w:szCs w:val="32"/>
          <w:lang w:eastAsia="zh-CN"/>
        </w:rPr>
        <w:t>要求使用和监管资金</w:t>
      </w:r>
      <w:r>
        <w:rPr>
          <w:rFonts w:hint="eastAsia" w:ascii="仿宋" w:hAnsi="仿宋" w:eastAsia="仿宋" w:cs="仿宋"/>
          <w:sz w:val="32"/>
          <w:szCs w:val="32"/>
        </w:rPr>
        <w:t>。</w:t>
      </w:r>
    </w:p>
    <w:p w14:paraId="61869B74">
      <w:pPr>
        <w:keepNext w:val="0"/>
        <w:keepLines w:val="0"/>
        <w:pageBreakBefore w:val="0"/>
        <w:widowControl/>
        <w:kinsoku/>
        <w:wordWrap/>
        <w:overflowPunct/>
        <w:topLinePunct w:val="0"/>
        <w:autoSpaceDE/>
        <w:autoSpaceDN/>
        <w:bidi w:val="0"/>
        <w:spacing w:line="600" w:lineRule="exact"/>
        <w:ind w:firstLine="643" w:firstLineChars="200"/>
        <w:jc w:val="left"/>
        <w:textAlignment w:val="auto"/>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14:paraId="7AE0656A">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江华瑶都教育基金</w:t>
      </w:r>
      <w:r>
        <w:rPr>
          <w:rFonts w:hint="eastAsia" w:ascii="仿宋" w:hAnsi="仿宋" w:eastAsia="仿宋" w:cs="仿宋"/>
          <w:sz w:val="32"/>
          <w:szCs w:val="32"/>
          <w:lang w:val="en-US" w:eastAsia="zh-CN"/>
        </w:rPr>
        <w:t>500万元，</w:t>
      </w:r>
      <w:r>
        <w:rPr>
          <w:rFonts w:hint="eastAsia" w:ascii="仿宋" w:hAnsi="仿宋" w:eastAsia="仿宋" w:cs="仿宋"/>
          <w:sz w:val="32"/>
          <w:szCs w:val="32"/>
        </w:rPr>
        <w:t>通过县财政局直接下达用款指标至县</w:t>
      </w:r>
      <w:r>
        <w:rPr>
          <w:rFonts w:hint="eastAsia" w:ascii="仿宋" w:hAnsi="仿宋" w:eastAsia="仿宋" w:cs="仿宋"/>
          <w:sz w:val="32"/>
          <w:szCs w:val="32"/>
          <w:lang w:eastAsia="zh-CN"/>
        </w:rPr>
        <w:t>教育</w:t>
      </w:r>
      <w:r>
        <w:rPr>
          <w:rFonts w:hint="eastAsia" w:ascii="仿宋" w:hAnsi="仿宋" w:eastAsia="仿宋" w:cs="仿宋"/>
          <w:sz w:val="32"/>
          <w:szCs w:val="32"/>
        </w:rPr>
        <w:t>局</w:t>
      </w:r>
      <w:r>
        <w:rPr>
          <w:rFonts w:hint="eastAsia" w:ascii="仿宋" w:hAnsi="仿宋" w:eastAsia="仿宋" w:cs="仿宋"/>
          <w:sz w:val="32"/>
          <w:szCs w:val="32"/>
          <w:lang w:eastAsia="zh-CN"/>
        </w:rPr>
        <w:t>，由县教育局核拨至</w:t>
      </w:r>
      <w:r>
        <w:rPr>
          <w:rFonts w:hint="eastAsia" w:ascii="仿宋" w:hAnsi="仿宋" w:eastAsia="仿宋" w:cs="仿宋"/>
          <w:sz w:val="32"/>
          <w:szCs w:val="32"/>
        </w:rPr>
        <w:t>江华瑶都教育基金</w:t>
      </w:r>
      <w:r>
        <w:rPr>
          <w:rFonts w:hint="eastAsia" w:ascii="仿宋" w:hAnsi="仿宋" w:eastAsia="仿宋" w:cs="仿宋"/>
          <w:sz w:val="32"/>
          <w:szCs w:val="32"/>
          <w:lang w:eastAsia="zh-CN"/>
        </w:rPr>
        <w:t>会专用账号，主要用于</w:t>
      </w:r>
      <w:r>
        <w:rPr>
          <w:rFonts w:hint="eastAsia" w:ascii="仿宋" w:hAnsi="仿宋" w:eastAsia="仿宋" w:cs="仿宋"/>
          <w:sz w:val="32"/>
          <w:szCs w:val="32"/>
        </w:rPr>
        <w:t>江华瑶都教育基金</w:t>
      </w:r>
      <w:r>
        <w:rPr>
          <w:rFonts w:hint="eastAsia" w:ascii="仿宋" w:hAnsi="仿宋" w:eastAsia="仿宋" w:cs="仿宋"/>
          <w:sz w:val="32"/>
          <w:szCs w:val="32"/>
          <w:lang w:eastAsia="zh-CN"/>
        </w:rPr>
        <w:t>会原始注册启动资金</w:t>
      </w:r>
      <w:r>
        <w:rPr>
          <w:rFonts w:hint="eastAsia" w:ascii="仿宋" w:hAnsi="仿宋" w:eastAsia="仿宋" w:cs="仿宋"/>
          <w:sz w:val="32"/>
          <w:szCs w:val="32"/>
        </w:rPr>
        <w:t>。</w:t>
      </w:r>
    </w:p>
    <w:p w14:paraId="736FB2FB">
      <w:pPr>
        <w:keepNext w:val="0"/>
        <w:keepLines w:val="0"/>
        <w:pageBreakBefore w:val="0"/>
        <w:kinsoku/>
        <w:wordWrap/>
        <w:overflowPunct/>
        <w:topLinePunct w:val="0"/>
        <w:autoSpaceDE/>
        <w:autoSpaceDN/>
        <w:bidi w:val="0"/>
        <w:spacing w:line="600" w:lineRule="exact"/>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2024年11月18日，经湖南省民政厅批准登记成功，拿到基金会登记证书，2024年12月，共募集资金40万元。因时间短，2024年，教育基金会没有使用资金情况。</w:t>
      </w:r>
    </w:p>
    <w:p w14:paraId="3C1FA390">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教育基金会的成立效益分析：1.社会效益 ：通过登记成立湖南省江华瑶都教育基金会，可以资助贫困学生，使更多孩子有机会接受良好教育，促进了教育公平的实现；奖励优秀师生，营造了尊师重教的良好氛围，激励了广大教育工作者和学生努力进取；改善教育设施，提升了学校的教育教学水平，对当地的教育事业发展起到了积极的推动作用，得到了社会各界的广泛认可和好评。2.教育效益 ：受资助学生的学业成绩普遍提高，在各类考试和竞赛中取得了优异成绩，部分学生考入了理想的高等院校；优秀教师在教学方法创新、教育科研等方面发挥了示范引领作用，带动了学校教师队伍整体素质的提升；改善后的教育设施为学校开展多样化的教学活动提供了有力支持，促进了学生的全面发展和综合素质的提高。3.可持续影响 ：注册资金的保值增值为基金会持续开展教育公益项目提供了稳定的资金保障，基金会的品牌影响力不断扩大，吸引了更多的社会资源投入到教育公益事业中，形成了良性循环，为教育事业的长期发展奠定了坚实基础。</w:t>
      </w:r>
    </w:p>
    <w:p w14:paraId="4AA84A47">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rPr>
        <w:t>五、主要经验及做法</w:t>
      </w:r>
    </w:p>
    <w:p w14:paraId="0525641B">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1.制度建设 ：制定了完善的资金管理制度，包括财务管理制度、风险控制制度等，明确了资金的使用范围、审批流程等，确保资金管理的规范化和透明化。</w:t>
      </w:r>
    </w:p>
    <w:p w14:paraId="1B4F9284">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2.财务管理 ：设立了独立的财务账户，配备了专业的财务人员，严格遵循国家财务法规和会计准则进行账务处理，定期进行财务审计和信息披露，保证资金的安全和合理使用。</w:t>
      </w:r>
    </w:p>
    <w:p w14:paraId="29E4B73A">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3.保值增值 ：在确保资金安全性和流动性的前提下，实现资金的保值增值。</w:t>
      </w:r>
    </w:p>
    <w:p w14:paraId="165075AC">
      <w:pPr>
        <w:keepNext w:val="0"/>
        <w:keepLines w:val="0"/>
        <w:pageBreakBefore w:val="0"/>
        <w:kinsoku/>
        <w:wordWrap/>
        <w:overflowPunct/>
        <w:topLinePunct w:val="0"/>
        <w:autoSpaceDE/>
        <w:autoSpaceDN/>
        <w:bidi w:val="0"/>
        <w:spacing w:line="600" w:lineRule="exact"/>
        <w:ind w:firstLine="643" w:firstLineChars="20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六</w:t>
      </w:r>
      <w:r>
        <w:rPr>
          <w:rFonts w:hint="eastAsia" w:ascii="仿宋" w:hAnsi="仿宋" w:eastAsia="仿宋" w:cs="仿宋"/>
          <w:b/>
          <w:bCs/>
          <w:sz w:val="32"/>
          <w:szCs w:val="32"/>
        </w:rPr>
        <w:t>、存在的问题及原因分析</w:t>
      </w:r>
    </w:p>
    <w:p w14:paraId="434FA47D">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1.资金规模有限 ：尽管注册资金取得了一定的增值收益，但对于教育事业庞大的需求来说，仍显不足，限制了基金会项目规模的进一步扩大。</w:t>
      </w:r>
    </w:p>
    <w:p w14:paraId="5B62510F">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2.项目管理难度大 ：随着资助项目数量和范围的增加，项目管理和监督的难度也随之增大，需要进一步加强项目管理团队建设和管理机制创新，确保项目的实施效果和资金的使用效益。</w:t>
      </w:r>
    </w:p>
    <w:p w14:paraId="0DD0B082">
      <w:pPr>
        <w:keepNext w:val="0"/>
        <w:keepLines w:val="0"/>
        <w:pageBreakBefore w:val="0"/>
        <w:kinsoku/>
        <w:wordWrap/>
        <w:overflowPunct/>
        <w:topLinePunct w:val="0"/>
        <w:autoSpaceDE/>
        <w:autoSpaceDN/>
        <w:bidi w:val="0"/>
        <w:spacing w:line="600" w:lineRule="exact"/>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3.外部环境变化 ：经济形势、政策法规等因素的变化可能对基金会的资金运作和项目实施产生影响，需要密切关注并及时调整策略，以应对外部环境的不确定性。</w:t>
      </w:r>
    </w:p>
    <w:p w14:paraId="3247C2C0">
      <w:pPr>
        <w:keepNext w:val="0"/>
        <w:keepLines w:val="0"/>
        <w:pageBreakBefore w:val="0"/>
        <w:kinsoku/>
        <w:wordWrap/>
        <w:overflowPunct/>
        <w:topLinePunct w:val="0"/>
        <w:autoSpaceDE/>
        <w:autoSpaceDN/>
        <w:bidi w:val="0"/>
        <w:spacing w:line="600" w:lineRule="exact"/>
        <w:ind w:firstLine="482" w:firstLineChars="150"/>
        <w:textAlignment w:val="auto"/>
        <w:rPr>
          <w:rFonts w:hint="eastAsia" w:ascii="仿宋" w:hAnsi="仿宋" w:eastAsia="仿宋" w:cs="仿宋"/>
          <w:b/>
          <w:bCs/>
          <w:sz w:val="32"/>
          <w:szCs w:val="32"/>
        </w:rPr>
      </w:pPr>
      <w:r>
        <w:rPr>
          <w:rFonts w:hint="eastAsia" w:ascii="仿宋" w:hAnsi="仿宋" w:eastAsia="仿宋" w:cs="仿宋"/>
          <w:b/>
          <w:bCs/>
          <w:sz w:val="32"/>
          <w:szCs w:val="32"/>
          <w:lang w:eastAsia="zh-CN"/>
        </w:rPr>
        <w:t>七</w:t>
      </w:r>
      <w:r>
        <w:rPr>
          <w:rFonts w:hint="eastAsia" w:ascii="仿宋" w:hAnsi="仿宋" w:eastAsia="仿宋" w:cs="仿宋"/>
          <w:b/>
          <w:bCs/>
          <w:sz w:val="32"/>
          <w:szCs w:val="32"/>
        </w:rPr>
        <w:t>、有关建议</w:t>
      </w:r>
    </w:p>
    <w:p w14:paraId="017FFBB8">
      <w:pPr>
        <w:keepNext w:val="0"/>
        <w:keepLines w:val="0"/>
        <w:pageBreakBefore w:val="0"/>
        <w:kinsoku/>
        <w:wordWrap/>
        <w:overflowPunct/>
        <w:topLinePunct w:val="0"/>
        <w:autoSpaceDE/>
        <w:autoSpaceDN/>
        <w:bidi w:val="0"/>
        <w:spacing w:line="600" w:lineRule="exact"/>
        <w:ind w:right="14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1.拓展资金来源 ：积极探索多元化的筹资渠道，加强与企业、社会组织和个人的沟通合作，开展募捐活动，吸引更多的社会资金投入到教育基金会，扩大资金规模。</w:t>
      </w:r>
    </w:p>
    <w:p w14:paraId="622824AD">
      <w:pPr>
        <w:keepNext w:val="0"/>
        <w:keepLines w:val="0"/>
        <w:pageBreakBefore w:val="0"/>
        <w:kinsoku/>
        <w:wordWrap/>
        <w:overflowPunct/>
        <w:topLinePunct w:val="0"/>
        <w:autoSpaceDE/>
        <w:autoSpaceDN/>
        <w:bidi w:val="0"/>
        <w:spacing w:line="600" w:lineRule="exact"/>
        <w:ind w:right="14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2.优化项目管理 ：建立专业的项目管理团队，引入先进的项目管理理念和方法，加强对项目的前期调研、中期评估和后期跟踪，提高项目的执行效率和质量，确保资金使用的合理性和有效性。</w:t>
      </w:r>
    </w:p>
    <w:p w14:paraId="03F99B69">
      <w:pPr>
        <w:keepNext w:val="0"/>
        <w:keepLines w:val="0"/>
        <w:pageBreakBefore w:val="0"/>
        <w:kinsoku/>
        <w:wordWrap/>
        <w:overflowPunct/>
        <w:topLinePunct w:val="0"/>
        <w:autoSpaceDE/>
        <w:autoSpaceDN/>
        <w:bidi w:val="0"/>
        <w:spacing w:line="600" w:lineRule="exact"/>
        <w:ind w:right="140"/>
        <w:jc w:val="left"/>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3.加强风险管理 ：密切关注宏观经济形势和政策法规变化，建立健全风险预警机制和应对措施，在资金运作和项目实施过程中，充分评估风险，合理规避和控制风险，确保基金会的稳定发展。</w:t>
      </w:r>
      <w:bookmarkStart w:id="0" w:name="_GoBack"/>
      <w:bookmarkEnd w:id="0"/>
    </w:p>
    <w:p w14:paraId="5F4905EC">
      <w:pPr>
        <w:keepNext w:val="0"/>
        <w:keepLines w:val="0"/>
        <w:pageBreakBefore w:val="0"/>
        <w:kinsoku/>
        <w:wordWrap/>
        <w:overflowPunct/>
        <w:topLinePunct w:val="0"/>
        <w:autoSpaceDE/>
        <w:autoSpaceDN/>
        <w:bidi w:val="0"/>
        <w:spacing w:line="600" w:lineRule="exact"/>
        <w:ind w:right="140"/>
        <w:jc w:val="right"/>
        <w:textAlignment w:val="auto"/>
        <w:rPr>
          <w:rFonts w:hint="eastAsia" w:ascii="仿宋" w:hAnsi="仿宋" w:eastAsia="仿宋" w:cs="仿宋"/>
          <w:sz w:val="32"/>
          <w:szCs w:val="32"/>
          <w:lang w:eastAsia="zh-CN"/>
        </w:rPr>
      </w:pPr>
    </w:p>
    <w:p w14:paraId="7D38788C">
      <w:pPr>
        <w:keepNext w:val="0"/>
        <w:keepLines w:val="0"/>
        <w:pageBreakBefore w:val="0"/>
        <w:kinsoku/>
        <w:wordWrap/>
        <w:overflowPunct/>
        <w:topLinePunct w:val="0"/>
        <w:autoSpaceDE/>
        <w:autoSpaceDN/>
        <w:bidi w:val="0"/>
        <w:spacing w:line="600" w:lineRule="exact"/>
        <w:ind w:right="140" w:firstLine="4800" w:firstLineChars="1500"/>
        <w:jc w:val="both"/>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江华瑶族自治县教育局</w:t>
      </w:r>
    </w:p>
    <w:p w14:paraId="2B6F5DBC">
      <w:pPr>
        <w:keepNext w:val="0"/>
        <w:keepLines w:val="0"/>
        <w:pageBreakBefore w:val="0"/>
        <w:kinsoku/>
        <w:wordWrap/>
        <w:overflowPunct/>
        <w:topLinePunct w:val="0"/>
        <w:autoSpaceDE/>
        <w:autoSpaceDN/>
        <w:bidi w:val="0"/>
        <w:spacing w:line="600" w:lineRule="exact"/>
        <w:ind w:left="5438" w:leftChars="304" w:right="140" w:hanging="4800" w:hangingChars="1500"/>
        <w:jc w:val="left"/>
        <w:textAlignment w:val="auto"/>
        <w:rPr>
          <w:rFonts w:hint="eastAsia" w:ascii="仿宋" w:hAnsi="仿宋" w:eastAsia="仿宋" w:cs="仿宋"/>
          <w:sz w:val="32"/>
          <w:szCs w:val="32"/>
          <w:highlight w:val="red"/>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5年4月23日</w:t>
      </w:r>
    </w:p>
    <w:p w14:paraId="2CC296B8"/>
    <w:sectPr>
      <w:footerReference r:id="rId3" w:type="default"/>
      <w:pgSz w:w="11906" w:h="16838"/>
      <w:pgMar w:top="1191" w:right="1570" w:bottom="1157" w:left="162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2F05D">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6B99C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3D6B99CF">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F628BF"/>
    <w:rsid w:val="1ECB43C4"/>
    <w:rsid w:val="309556FD"/>
    <w:rsid w:val="5042368D"/>
    <w:rsid w:val="5CF62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pPr>
      <w:spacing w:after="120"/>
    </w:pPr>
  </w:style>
  <w:style w:type="paragraph" w:styleId="3">
    <w:name w:val="Body Text 2"/>
    <w:basedOn w:val="1"/>
    <w:qFormat/>
    <w:uiPriority w:val="0"/>
    <w:pPr>
      <w:spacing w:after="120" w:line="480" w:lineRule="auto"/>
    </w:pPr>
  </w:style>
  <w:style w:type="paragraph" w:styleId="4">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2004</Words>
  <Characters>2059</Characters>
  <Lines>0</Lines>
  <Paragraphs>0</Paragraphs>
  <TotalTime>4</TotalTime>
  <ScaleCrop>false</ScaleCrop>
  <LinksUpToDate>false</LinksUpToDate>
  <CharactersWithSpaces>2119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2025-04-29T00:40:00Z</dcterms:created>
  <dc:creator>飞得更高</dc:creator>
  <cp:lastModifiedBy>飞得更高</cp:lastModifiedBy>
  <dcterms:modified xsi:type="dcterms:W3CDTF">2025-05-19T00:08:58Z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139A3CF5E89A42A083139CA0A915CEC6_11</vt:lpwstr>
  </property>
  <property fmtid="{D5CDD505-2E9C-101B-9397-08002B2CF9AE}" pid="4" name="KSOTemplateDocerSaveRecord">
    <vt:lpwstr>eyJoZGlkIjoiODVkMjQ2NTEwMDY3NzllZjllNjdmNWFjYjNhODIzNDEiLCJ1c2VySWQiOiI1NjQ3NTI1MTQifQ==</vt:lpwstr>
  </property>
</Properties>
</file>