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D792A">
      <w:pPr>
        <w:jc w:val="center"/>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年度教育综合发展专项资金绩效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6864EBA1">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587E5F2A">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1E7E2E5A">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1B920D14">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56A99E05">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根据</w:t>
      </w:r>
      <w:r>
        <w:rPr>
          <w:rFonts w:hint="eastAsia" w:ascii="仿宋" w:hAnsi="仿宋" w:eastAsia="仿宋" w:cs="仿宋"/>
          <w:sz w:val="32"/>
          <w:szCs w:val="32"/>
          <w:lang w:val="en-US" w:eastAsia="zh-CN"/>
        </w:rPr>
        <w:t>2024年部门预算及上级指标下达文件</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财政预算</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教教育综合发展专项资金</w:t>
      </w:r>
      <w:r>
        <w:rPr>
          <w:rFonts w:hint="eastAsia" w:ascii="仿宋" w:hAnsi="仿宋" w:eastAsia="仿宋" w:cs="仿宋"/>
          <w:sz w:val="32"/>
          <w:szCs w:val="32"/>
          <w:lang w:val="en-US" w:eastAsia="zh-CN"/>
        </w:rPr>
        <w:t>57.18万元，其中教</w:t>
      </w:r>
      <w:r>
        <w:rPr>
          <w:rFonts w:hint="eastAsia" w:ascii="仿宋" w:hAnsi="仿宋" w:eastAsia="仿宋" w:cs="仿宋"/>
          <w:sz w:val="32"/>
          <w:szCs w:val="32"/>
        </w:rPr>
        <w:t>育</w:t>
      </w:r>
      <w:r>
        <w:rPr>
          <w:rFonts w:hint="eastAsia" w:ascii="仿宋" w:hAnsi="仿宋" w:eastAsia="仿宋" w:cs="仿宋"/>
          <w:sz w:val="32"/>
          <w:szCs w:val="32"/>
          <w:lang w:eastAsia="zh-CN"/>
        </w:rPr>
        <w:t>信息化</w:t>
      </w:r>
      <w:r>
        <w:rPr>
          <w:rFonts w:hint="eastAsia" w:ascii="仿宋" w:hAnsi="仿宋" w:eastAsia="仿宋" w:cs="仿宋"/>
          <w:sz w:val="32"/>
          <w:szCs w:val="32"/>
        </w:rPr>
        <w:t>专项经费</w:t>
      </w:r>
      <w:r>
        <w:rPr>
          <w:rFonts w:hint="eastAsia" w:ascii="仿宋" w:hAnsi="仿宋" w:eastAsia="仿宋" w:cs="仿宋"/>
          <w:sz w:val="32"/>
          <w:szCs w:val="32"/>
          <w:lang w:val="en-US" w:eastAsia="zh-CN"/>
        </w:rPr>
        <w:t>27.18万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主要用于全县中小学、幼儿园教育信息化，义务教育质量监测经费</w:t>
      </w:r>
      <w:r>
        <w:rPr>
          <w:rFonts w:hint="eastAsia" w:ascii="仿宋" w:hAnsi="仿宋" w:eastAsia="仿宋" w:cs="仿宋"/>
          <w:sz w:val="32"/>
          <w:szCs w:val="32"/>
          <w:lang w:val="en-US" w:eastAsia="zh-CN"/>
        </w:rPr>
        <w:t>15万元，疏堵结合防溺水试点奖补资金15万元</w:t>
      </w:r>
      <w:r>
        <w:rPr>
          <w:rFonts w:hint="eastAsia" w:ascii="仿宋" w:hAnsi="仿宋" w:eastAsia="仿宋" w:cs="仿宋"/>
          <w:sz w:val="32"/>
          <w:szCs w:val="32"/>
          <w:lang w:eastAsia="zh-CN"/>
        </w:rPr>
        <w:t>。</w:t>
      </w:r>
    </w:p>
    <w:p w14:paraId="732E468F">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4E465D0B">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根据</w:t>
      </w:r>
      <w:r>
        <w:rPr>
          <w:rFonts w:hint="eastAsia" w:ascii="仿宋" w:hAnsi="仿宋" w:eastAsia="仿宋" w:cs="仿宋"/>
          <w:sz w:val="32"/>
          <w:szCs w:val="32"/>
          <w:lang w:val="en-US" w:eastAsia="zh-CN"/>
        </w:rPr>
        <w:t>2024年部门预算及上级指标下达文件</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财政预算</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教教育综合发展专项资金</w:t>
      </w:r>
      <w:r>
        <w:rPr>
          <w:rFonts w:hint="eastAsia" w:ascii="仿宋" w:hAnsi="仿宋" w:eastAsia="仿宋" w:cs="仿宋"/>
          <w:sz w:val="32"/>
          <w:szCs w:val="32"/>
          <w:lang w:val="en-US" w:eastAsia="zh-CN"/>
        </w:rPr>
        <w:t>57.18万元，其中教</w:t>
      </w:r>
      <w:r>
        <w:rPr>
          <w:rFonts w:hint="eastAsia" w:ascii="仿宋" w:hAnsi="仿宋" w:eastAsia="仿宋" w:cs="仿宋"/>
          <w:sz w:val="32"/>
          <w:szCs w:val="32"/>
        </w:rPr>
        <w:t>育</w:t>
      </w:r>
      <w:r>
        <w:rPr>
          <w:rFonts w:hint="eastAsia" w:ascii="仿宋" w:hAnsi="仿宋" w:eastAsia="仿宋" w:cs="仿宋"/>
          <w:sz w:val="32"/>
          <w:szCs w:val="32"/>
          <w:lang w:eastAsia="zh-CN"/>
        </w:rPr>
        <w:t>信息化</w:t>
      </w:r>
      <w:r>
        <w:rPr>
          <w:rFonts w:hint="eastAsia" w:ascii="仿宋" w:hAnsi="仿宋" w:eastAsia="仿宋" w:cs="仿宋"/>
          <w:sz w:val="32"/>
          <w:szCs w:val="32"/>
        </w:rPr>
        <w:t>专项经费</w:t>
      </w:r>
      <w:r>
        <w:rPr>
          <w:rFonts w:hint="eastAsia" w:ascii="仿宋" w:hAnsi="仿宋" w:eastAsia="仿宋" w:cs="仿宋"/>
          <w:sz w:val="32"/>
          <w:szCs w:val="32"/>
          <w:lang w:val="en-US" w:eastAsia="zh-CN"/>
        </w:rPr>
        <w:t>27.18万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义务教育质量监测经费</w:t>
      </w:r>
      <w:r>
        <w:rPr>
          <w:rFonts w:hint="eastAsia" w:ascii="仿宋" w:hAnsi="仿宋" w:eastAsia="仿宋" w:cs="仿宋"/>
          <w:sz w:val="32"/>
          <w:szCs w:val="32"/>
          <w:lang w:val="en-US" w:eastAsia="zh-CN"/>
        </w:rPr>
        <w:t>15万元，疏堵结合防溺水试点奖补资金15万元</w:t>
      </w:r>
      <w:r>
        <w:rPr>
          <w:rFonts w:hint="eastAsia" w:ascii="仿宋" w:hAnsi="仿宋" w:eastAsia="仿宋" w:cs="仿宋"/>
          <w:sz w:val="32"/>
          <w:szCs w:val="32"/>
          <w:lang w:eastAsia="zh-CN"/>
        </w:rPr>
        <w:t>。主要用于全县中小学、幼儿园</w:t>
      </w:r>
      <w:r>
        <w:rPr>
          <w:rFonts w:hint="eastAsia" w:ascii="仿宋" w:hAnsi="仿宋" w:eastAsia="仿宋" w:cs="仿宋"/>
          <w:sz w:val="32"/>
          <w:szCs w:val="32"/>
        </w:rPr>
        <w:t>新一代智慧教学终端普及，通过个性化教学、互动式教学等方式提高教学质量。培养学生的创新能力，逐步提升学生综合素质</w:t>
      </w:r>
      <w:r>
        <w:rPr>
          <w:rFonts w:hint="eastAsia" w:ascii="仿宋" w:hAnsi="仿宋" w:eastAsia="仿宋" w:cs="仿宋"/>
          <w:sz w:val="32"/>
          <w:szCs w:val="32"/>
          <w:lang w:eastAsia="zh-CN"/>
        </w:rPr>
        <w:t>。义务教育质量监测经费专项用于义务教育质量监测服务费，</w:t>
      </w:r>
      <w:r>
        <w:rPr>
          <w:rFonts w:hint="eastAsia" w:ascii="仿宋" w:hAnsi="仿宋" w:eastAsia="仿宋" w:cs="仿宋"/>
          <w:sz w:val="32"/>
          <w:szCs w:val="32"/>
          <w:lang w:val="en-US" w:eastAsia="zh-CN"/>
        </w:rPr>
        <w:t>疏堵结合防溺水试点奖补资金主要用于防溺水宣传教育、隐患排查、设施设备建设、救援保障、下乡防溺水督查等方面。</w:t>
      </w:r>
    </w:p>
    <w:p w14:paraId="2E8F310E">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51B3AAF7">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eastAsia="zh-CN"/>
        </w:rPr>
        <w:t>根据</w:t>
      </w:r>
      <w:r>
        <w:rPr>
          <w:rFonts w:hint="eastAsia" w:ascii="仿宋" w:hAnsi="仿宋" w:eastAsia="仿宋" w:cs="仿宋"/>
          <w:sz w:val="32"/>
          <w:szCs w:val="32"/>
          <w:lang w:val="en-US" w:eastAsia="zh-CN"/>
        </w:rPr>
        <w:t>2024年部门预算及上级指标下达文件</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eastAsia="zh-CN"/>
        </w:rPr>
        <w:t>财政预算</w:t>
      </w:r>
      <w:r>
        <w:rPr>
          <w:rFonts w:hint="eastAsia" w:ascii="仿宋" w:hAnsi="仿宋" w:eastAsia="仿宋" w:cs="仿宋"/>
          <w:sz w:val="32"/>
          <w:szCs w:val="32"/>
        </w:rPr>
        <w:t>下达</w:t>
      </w:r>
      <w:r>
        <w:rPr>
          <w:rFonts w:hint="eastAsia" w:ascii="仿宋" w:hAnsi="仿宋" w:eastAsia="仿宋" w:cs="仿宋"/>
          <w:sz w:val="32"/>
          <w:szCs w:val="32"/>
          <w:lang w:eastAsia="zh-CN"/>
        </w:rPr>
        <w:t>我局</w:t>
      </w:r>
      <w:r>
        <w:rPr>
          <w:rFonts w:hint="eastAsia" w:ascii="仿宋" w:hAnsi="仿宋" w:eastAsia="仿宋" w:cs="仿宋"/>
          <w:sz w:val="32"/>
          <w:szCs w:val="32"/>
        </w:rPr>
        <w:t>教育综合发展专项资金</w:t>
      </w:r>
      <w:r>
        <w:rPr>
          <w:rFonts w:hint="eastAsia" w:ascii="仿宋" w:hAnsi="仿宋" w:eastAsia="仿宋" w:cs="仿宋"/>
          <w:sz w:val="32"/>
          <w:szCs w:val="32"/>
          <w:lang w:val="en-US" w:eastAsia="zh-CN"/>
        </w:rPr>
        <w:t>57.18万元，其中教</w:t>
      </w:r>
      <w:r>
        <w:rPr>
          <w:rFonts w:hint="eastAsia" w:ascii="仿宋" w:hAnsi="仿宋" w:eastAsia="仿宋" w:cs="仿宋"/>
          <w:sz w:val="32"/>
          <w:szCs w:val="32"/>
        </w:rPr>
        <w:t>育</w:t>
      </w:r>
      <w:r>
        <w:rPr>
          <w:rFonts w:hint="eastAsia" w:ascii="仿宋" w:hAnsi="仿宋" w:eastAsia="仿宋" w:cs="仿宋"/>
          <w:sz w:val="32"/>
          <w:szCs w:val="32"/>
          <w:lang w:eastAsia="zh-CN"/>
        </w:rPr>
        <w:t>信息化</w:t>
      </w:r>
      <w:r>
        <w:rPr>
          <w:rFonts w:hint="eastAsia" w:ascii="仿宋" w:hAnsi="仿宋" w:eastAsia="仿宋" w:cs="仿宋"/>
          <w:sz w:val="32"/>
          <w:szCs w:val="32"/>
        </w:rPr>
        <w:t>专项经费</w:t>
      </w:r>
      <w:r>
        <w:rPr>
          <w:rFonts w:hint="eastAsia" w:ascii="仿宋" w:hAnsi="仿宋" w:eastAsia="仿宋" w:cs="仿宋"/>
          <w:sz w:val="32"/>
          <w:szCs w:val="32"/>
          <w:lang w:val="en-US" w:eastAsia="zh-CN"/>
        </w:rPr>
        <w:t>27.18万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义务教育质量监测经费</w:t>
      </w:r>
      <w:r>
        <w:rPr>
          <w:rFonts w:hint="eastAsia" w:ascii="仿宋" w:hAnsi="仿宋" w:eastAsia="仿宋" w:cs="仿宋"/>
          <w:sz w:val="32"/>
          <w:szCs w:val="32"/>
          <w:lang w:val="en-US" w:eastAsia="zh-CN"/>
        </w:rPr>
        <w:t>15万元，疏堵结合防溺水试点奖补资金15万元</w:t>
      </w:r>
      <w:r>
        <w:rPr>
          <w:rFonts w:hint="eastAsia" w:ascii="仿宋" w:hAnsi="仿宋" w:eastAsia="仿宋" w:cs="仿宋"/>
          <w:sz w:val="32"/>
          <w:szCs w:val="32"/>
          <w:lang w:eastAsia="zh-CN"/>
        </w:rPr>
        <w:t>。</w:t>
      </w:r>
      <w:r>
        <w:rPr>
          <w:rFonts w:hint="eastAsia" w:ascii="仿宋" w:hAnsi="仿宋" w:eastAsia="仿宋" w:cs="仿宋"/>
          <w:sz w:val="32"/>
          <w:szCs w:val="32"/>
        </w:rPr>
        <w:t>资金通过县财政局直接下达用款指标至县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使用，</w:t>
      </w:r>
      <w:r>
        <w:rPr>
          <w:rFonts w:hint="eastAsia" w:ascii="仿宋" w:hAnsi="仿宋" w:eastAsia="仿宋" w:cs="仿宋"/>
          <w:sz w:val="32"/>
          <w:szCs w:val="32"/>
          <w:highlight w:val="none"/>
          <w:lang w:eastAsia="zh-CN"/>
        </w:rPr>
        <w:t>由县教育局根据全县中小学、幼儿园教育信息化工作开展，</w:t>
      </w:r>
      <w:r>
        <w:rPr>
          <w:rFonts w:hint="eastAsia" w:ascii="仿宋" w:hAnsi="仿宋" w:eastAsia="仿宋" w:cs="仿宋"/>
          <w:sz w:val="32"/>
          <w:szCs w:val="32"/>
          <w:lang w:val="en-US" w:eastAsia="zh-CN"/>
        </w:rPr>
        <w:t>防溺水宣传教育、隐患排查、设施设备建设、救援保障、下乡防溺水督查等方面的开支，</w:t>
      </w:r>
      <w:r>
        <w:rPr>
          <w:rFonts w:hint="eastAsia" w:ascii="仿宋" w:hAnsi="仿宋" w:eastAsia="仿宋" w:cs="仿宋"/>
          <w:sz w:val="32"/>
          <w:szCs w:val="32"/>
          <w:highlight w:val="none"/>
          <w:lang w:eastAsia="zh-CN"/>
        </w:rPr>
        <w:t>据实审核报账。</w:t>
      </w:r>
    </w:p>
    <w:p w14:paraId="6289EE5B">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30C9EA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2F0DBFB4">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7FBCC45B">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6C088269">
      <w:pPr>
        <w:pStyle w:val="9"/>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sz w:val="32"/>
          <w:szCs w:val="32"/>
        </w:rPr>
        <w:t>教育综合发展专项资金</w:t>
      </w:r>
      <w:r>
        <w:rPr>
          <w:rFonts w:hint="eastAsia" w:ascii="仿宋" w:hAnsi="仿宋" w:eastAsia="仿宋" w:cs="仿宋"/>
          <w:sz w:val="32"/>
          <w:szCs w:val="32"/>
          <w:lang w:val="en-US" w:eastAsia="zh-CN"/>
        </w:rPr>
        <w:t>57.18万元，</w:t>
      </w:r>
      <w:r>
        <w:rPr>
          <w:rFonts w:hint="eastAsia" w:ascii="仿宋" w:hAnsi="仿宋" w:eastAsia="仿宋" w:cs="仿宋"/>
          <w:sz w:val="32"/>
          <w:szCs w:val="32"/>
          <w:lang w:eastAsia="zh-CN"/>
        </w:rPr>
        <w:t>实际支出</w:t>
      </w:r>
      <w:r>
        <w:rPr>
          <w:rFonts w:hint="eastAsia" w:ascii="仿宋" w:hAnsi="仿宋" w:eastAsia="仿宋" w:cs="仿宋"/>
          <w:sz w:val="32"/>
          <w:szCs w:val="32"/>
          <w:lang w:val="en-US" w:eastAsia="zh-CN"/>
        </w:rPr>
        <w:t>57.18万元，预算</w:t>
      </w:r>
      <w:r>
        <w:rPr>
          <w:rFonts w:hint="eastAsia" w:ascii="仿宋" w:hAnsi="仿宋" w:eastAsia="仿宋" w:cs="仿宋"/>
          <w:b w:val="0"/>
          <w:bCs w:val="0"/>
          <w:sz w:val="32"/>
          <w:szCs w:val="32"/>
          <w:lang w:val="en-US" w:eastAsia="zh-CN"/>
        </w:rPr>
        <w:t>执行率为100%，</w:t>
      </w:r>
    </w:p>
    <w:p w14:paraId="2197542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2024年的教育信息化工作开展情况：举办初中理化生教师实验操作培训，提高教师的实验教学能力。全县中小学校（含村小教学点）实现网络宽带接入全覆盖和教室多媒体交互式一体机设备全覆盖。中心小学以上学校实现千兆到校，采购1380台云电脑对全县中小学原有计算机教室进行了升级改造。组织师生参加县、市、省级师生信息素养提升活动，在市级、省级的信息素养提升活动中，师生多次获得优异成绩。积极推进 “专递课堂”“名师课堂”和“名校网络课堂”“三个课堂”建设，促进优质教育教学资源的共建共享。</w:t>
      </w:r>
    </w:p>
    <w:p w14:paraId="7422CE1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全县</w:t>
      </w:r>
      <w:r>
        <w:rPr>
          <w:rFonts w:hint="eastAsia" w:ascii="仿宋" w:hAnsi="仿宋" w:eastAsia="仿宋" w:cs="仿宋"/>
          <w:sz w:val="32"/>
          <w:szCs w:val="32"/>
          <w:lang w:eastAsia="zh-CN"/>
        </w:rPr>
        <w:t>防溺水值守点</w:t>
      </w:r>
      <w:r>
        <w:rPr>
          <w:rFonts w:hint="eastAsia" w:ascii="仿宋" w:hAnsi="仿宋" w:eastAsia="仿宋" w:cs="仿宋"/>
          <w:sz w:val="32"/>
          <w:szCs w:val="32"/>
          <w:lang w:val="en-US" w:eastAsia="zh-CN"/>
        </w:rPr>
        <w:t>137个，值守人员137人。</w:t>
      </w:r>
      <w:r>
        <w:rPr>
          <w:rFonts w:hint="eastAsia" w:ascii="仿宋" w:hAnsi="仿宋" w:eastAsia="仿宋" w:cs="仿宋"/>
          <w:b w:val="0"/>
          <w:bCs w:val="0"/>
          <w:color w:val="auto"/>
          <w:sz w:val="32"/>
          <w:szCs w:val="32"/>
          <w:lang w:val="en-US" w:eastAsia="zh-CN"/>
        </w:rPr>
        <w:t>开展防溺水宣传教育活动477场次，覆盖学校79所，发放宣传资料9.9万份，完成137处重点水域值守、常态化巡查，新增警示牌42块，救生设备配置覆盖率达100%，采购了一台无人机专门用于防溺水巡逻。对竹园寨、大山寨天然游泳场所进行了维修。组织救援队伍培训4次，参训人员1304人，开展应急演练79次。通过防溺水工作开展，公众防溺水意识</w:t>
      </w:r>
      <w:r>
        <w:rPr>
          <w:rFonts w:hint="eastAsia" w:ascii="仿宋" w:hAnsi="仿宋" w:eastAsia="仿宋" w:cs="仿宋"/>
          <w:b w:val="0"/>
          <w:bCs w:val="0"/>
          <w:sz w:val="32"/>
          <w:szCs w:val="32"/>
          <w:lang w:val="en-US" w:eastAsia="zh-CN"/>
        </w:rPr>
        <w:t>显著提升，重点水域溺水事故发生率明细下降。</w:t>
      </w:r>
      <w:r>
        <w:rPr>
          <w:rFonts w:hint="eastAsia" w:ascii="仿宋" w:hAnsi="仿宋" w:eastAsia="仿宋" w:cs="仿宋"/>
          <w:sz w:val="32"/>
          <w:szCs w:val="32"/>
          <w:lang w:eastAsia="zh-CN"/>
        </w:rPr>
        <w:t>有效防范溺水事件，保障师生生命财产安全，对全县教育系统教育安全起到了屏障和堡垒作用。</w:t>
      </w:r>
    </w:p>
    <w:p w14:paraId="72875BB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highlight w:val="none"/>
        </w:rPr>
      </w:pPr>
      <w:bookmarkStart w:id="0" w:name="_GoBack"/>
      <w:bookmarkEnd w:id="0"/>
      <w:r>
        <w:rPr>
          <w:rFonts w:hint="eastAsia" w:ascii="仿宋" w:hAnsi="仿宋" w:eastAsia="仿宋" w:cs="仿宋"/>
          <w:b/>
          <w:bCs/>
          <w:sz w:val="32"/>
          <w:szCs w:val="32"/>
        </w:rPr>
        <w:t>五、</w:t>
      </w:r>
      <w:r>
        <w:rPr>
          <w:rFonts w:hint="eastAsia" w:ascii="仿宋" w:hAnsi="仿宋" w:eastAsia="仿宋" w:cs="仿宋"/>
          <w:b/>
          <w:bCs/>
          <w:sz w:val="32"/>
          <w:szCs w:val="32"/>
          <w:highlight w:val="none"/>
        </w:rPr>
        <w:t>主要经验及做法</w:t>
      </w:r>
    </w:p>
    <w:p w14:paraId="1136E7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80" w:lineRule="exact"/>
        <w:ind w:left="0" w:leftChars="0" w:right="0" w:rightChars="0" w:firstLine="640" w:firstLineChars="200"/>
        <w:textAlignment w:val="auto"/>
        <w:rPr>
          <w:rFonts w:hint="eastAsia" w:ascii="方正仿宋_GB2312" w:hAnsi="方正仿宋_GB2312" w:eastAsia="方正仿宋_GB2312" w:cs="方正仿宋_GB2312"/>
          <w:i w:val="0"/>
          <w:iCs w:val="0"/>
          <w:caps w:val="0"/>
          <w:color w:val="000000" w:themeColor="text1"/>
          <w:spacing w:val="0"/>
          <w:sz w:val="32"/>
          <w:szCs w:val="32"/>
          <w:shd w:val="clear" w:fill="FDFDFE"/>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DFDFE"/>
          <w:lang w:val="en-US" w:eastAsia="zh-CN"/>
          <w14:textFill>
            <w14:solidFill>
              <w14:schemeClr w14:val="tx1"/>
            </w14:solidFill>
          </w14:textFill>
        </w:rPr>
        <w:t>1、</w:t>
      </w:r>
      <w:r>
        <w:rPr>
          <w:rFonts w:hint="eastAsia" w:ascii="方正仿宋_GB2312" w:hAnsi="方正仿宋_GB2312" w:eastAsia="方正仿宋_GB2312" w:cs="方正仿宋_GB2312"/>
          <w:i w:val="0"/>
          <w:iCs w:val="0"/>
          <w:caps w:val="0"/>
          <w:color w:val="000000" w:themeColor="text1"/>
          <w:spacing w:val="0"/>
          <w:sz w:val="32"/>
          <w:szCs w:val="32"/>
          <w:shd w:val="clear" w:fill="FDFDFE"/>
          <w14:textFill>
            <w14:solidFill>
              <w14:schemeClr w14:val="tx1"/>
            </w14:solidFill>
          </w14:textFill>
        </w:rPr>
        <w:t>通过制定统一的信息化教学设备采购合同范本和采购流程，提高了采购效率和质量。通过与</w:t>
      </w:r>
      <w:r>
        <w:rPr>
          <w:rFonts w:hint="eastAsia" w:ascii="方正仿宋_GB2312" w:hAnsi="方正仿宋_GB2312" w:eastAsia="方正仿宋_GB2312" w:cs="方正仿宋_GB2312"/>
          <w:i w:val="0"/>
          <w:iCs w:val="0"/>
          <w:caps w:val="0"/>
          <w:color w:val="000000" w:themeColor="text1"/>
          <w:spacing w:val="0"/>
          <w:sz w:val="32"/>
          <w:szCs w:val="32"/>
          <w:shd w:val="clear" w:fill="FDFDFE"/>
          <w:lang w:val="en-US" w:eastAsia="zh-CN"/>
          <w14:textFill>
            <w14:solidFill>
              <w14:schemeClr w14:val="tx1"/>
            </w14:solidFill>
          </w14:textFill>
        </w:rPr>
        <w:t>移动、</w:t>
      </w:r>
      <w:r>
        <w:rPr>
          <w:rFonts w:hint="eastAsia" w:ascii="方正仿宋_GB2312" w:hAnsi="方正仿宋_GB2312" w:eastAsia="方正仿宋_GB2312" w:cs="方正仿宋_GB2312"/>
          <w:i w:val="0"/>
          <w:iCs w:val="0"/>
          <w:caps w:val="0"/>
          <w:color w:val="000000" w:themeColor="text1"/>
          <w:spacing w:val="0"/>
          <w:sz w:val="32"/>
          <w:szCs w:val="32"/>
          <w:shd w:val="clear" w:fill="FDFDFE"/>
          <w14:textFill>
            <w14:solidFill>
              <w14:schemeClr w14:val="tx1"/>
            </w14:solidFill>
          </w14:textFill>
        </w:rPr>
        <w:t>电信等运营商合作，拓宽了教育信息化设备的采购和升级渠道。通过组织参加市级、省级的信息素养提升活动和科技创新竞赛等，拓宽了师生的视野和交流渠道。通过采用云电脑等虚拟化技术，降低了计算机教室的建设和维护成本。通过推广使用数字化教学工具和在线教学资源等，降低了传统纸质教材和教学用具的采购成本。</w:t>
      </w:r>
    </w:p>
    <w:p w14:paraId="4187BEF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80" w:lineRule="exact"/>
        <w:ind w:left="0" w:leftChars="0" w:right="0" w:rightChars="0" w:firstLine="640" w:firstLineChars="200"/>
        <w:textAlignment w:val="auto"/>
        <w:rPr>
          <w:rFonts w:hint="eastAsia" w:ascii="方正仿宋_GB2312" w:hAnsi="方正仿宋_GB2312" w:eastAsia="方正仿宋_GB2312" w:cs="方正仿宋_GB2312"/>
          <w:i w:val="0"/>
          <w:iCs w:val="0"/>
          <w:caps w:val="0"/>
          <w:color w:val="000000" w:themeColor="text1"/>
          <w:spacing w:val="0"/>
          <w:sz w:val="32"/>
          <w:szCs w:val="32"/>
          <w:shd w:val="clear" w:fill="FDFDFE"/>
          <w:lang w:val="en-US" w:eastAsia="zh-CN"/>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DFDFE"/>
          <w:lang w:val="en-US" w:eastAsia="zh-CN"/>
          <w14:textFill>
            <w14:solidFill>
              <w14:schemeClr w14:val="tx1"/>
            </w14:solidFill>
          </w14:textFill>
        </w:rPr>
        <w:t>2、防溺水已经建立了长效防溺水工作机制，形成“政府主导、部门联动、社会参与”的防控体系。</w:t>
      </w:r>
    </w:p>
    <w:p w14:paraId="27A7577E">
      <w:pPr>
        <w:keepNext w:val="0"/>
        <w:keepLines w:val="0"/>
        <w:pageBreakBefore w:val="0"/>
        <w:numPr>
          <w:ilvl w:val="0"/>
          <w:numId w:val="1"/>
        </w:numPr>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存在的问题及原因分析</w:t>
      </w:r>
    </w:p>
    <w:p w14:paraId="2D097ED2">
      <w:pPr>
        <w:numPr>
          <w:ilvl w:val="0"/>
          <w:numId w:val="2"/>
        </w:numPr>
        <w:spacing w:line="500" w:lineRule="exact"/>
        <w:ind w:firstLine="640" w:firstLineChars="200"/>
        <w:jc w:val="both"/>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部分学校、部分区域的设施设备维护不及时，存在资源闲置现象。</w:t>
      </w:r>
    </w:p>
    <w:p w14:paraId="1ED15D1B">
      <w:pPr>
        <w:numPr>
          <w:ilvl w:val="0"/>
          <w:numId w:val="2"/>
        </w:numPr>
        <w:spacing w:line="500" w:lineRule="exact"/>
        <w:ind w:firstLine="640" w:firstLineChars="200"/>
        <w:jc w:val="both"/>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多部门联动需进一步加强，信息共享不畅，智能化监控设备投入不足，依赖人工巡查。</w:t>
      </w:r>
    </w:p>
    <w:p w14:paraId="3F4FF5E3">
      <w:pPr>
        <w:spacing w:line="500" w:lineRule="exact"/>
        <w:ind w:firstLine="640" w:firstLineChars="200"/>
        <w:jc w:val="both"/>
        <w:rPr>
          <w:rFonts w:hint="eastAsia" w:ascii="仿宋" w:hAnsi="仿宋" w:eastAsia="仿宋" w:cs="宋体"/>
          <w:b w:val="0"/>
          <w:bCs/>
          <w:sz w:val="32"/>
          <w:szCs w:val="32"/>
          <w:highlight w:val="none"/>
          <w:lang w:eastAsia="zh-CN"/>
        </w:rPr>
      </w:pPr>
      <w:r>
        <w:rPr>
          <w:rFonts w:hint="eastAsia" w:ascii="仿宋_GB2312" w:hAnsi="仿宋_GB2312" w:eastAsia="仿宋_GB2312" w:cs="仿宋_GB2312"/>
          <w:kern w:val="2"/>
          <w:sz w:val="32"/>
          <w:szCs w:val="32"/>
          <w:highlight w:val="none"/>
          <w:lang w:val="en-US" w:eastAsia="zh-CN"/>
        </w:rPr>
        <w:t>3、</w:t>
      </w:r>
      <w:r>
        <w:rPr>
          <w:rFonts w:hint="default" w:ascii="仿宋_GB2312" w:hAnsi="仿宋_GB2312" w:eastAsia="仿宋_GB2312" w:cs="仿宋_GB2312"/>
          <w:kern w:val="2"/>
          <w:sz w:val="32"/>
          <w:szCs w:val="32"/>
          <w:highlight w:val="none"/>
          <w:lang w:val="en-US" w:eastAsia="zh-CN"/>
        </w:rPr>
        <w:t>部分业务处室</w:t>
      </w:r>
      <w:r>
        <w:rPr>
          <w:rFonts w:hint="eastAsia" w:ascii="仿宋_GB2312" w:hAnsi="仿宋_GB2312" w:eastAsia="仿宋_GB2312" w:cs="仿宋_GB2312"/>
          <w:kern w:val="2"/>
          <w:sz w:val="32"/>
          <w:szCs w:val="32"/>
          <w:highlight w:val="none"/>
          <w:lang w:val="en-US" w:eastAsia="zh-CN"/>
        </w:rPr>
        <w:t>及学校财务</w:t>
      </w:r>
      <w:r>
        <w:rPr>
          <w:rFonts w:hint="default" w:ascii="仿宋_GB2312" w:hAnsi="仿宋_GB2312" w:eastAsia="仿宋_GB2312" w:cs="仿宋_GB2312"/>
          <w:kern w:val="2"/>
          <w:sz w:val="32"/>
          <w:szCs w:val="32"/>
          <w:highlight w:val="none"/>
          <w:lang w:val="en-US" w:eastAsia="zh-CN"/>
        </w:rPr>
        <w:t>对预算绩效目标的设定和各项指标的理解不到位，</w:t>
      </w:r>
      <w:r>
        <w:rPr>
          <w:rFonts w:hint="eastAsia" w:ascii="仿宋" w:hAnsi="仿宋" w:eastAsia="仿宋" w:cs="宋体"/>
          <w:b w:val="0"/>
          <w:bCs/>
          <w:sz w:val="32"/>
          <w:szCs w:val="32"/>
          <w:highlight w:val="none"/>
          <w:lang w:eastAsia="zh-CN"/>
        </w:rPr>
        <w:t>预算单位绩效管理意识薄弱，绩效目标填报及自评开展不规范，</w:t>
      </w:r>
      <w:r>
        <w:rPr>
          <w:rFonts w:hint="default" w:ascii="仿宋_GB2312" w:hAnsi="仿宋_GB2312" w:eastAsia="仿宋_GB2312" w:cs="仿宋_GB2312"/>
          <w:kern w:val="2"/>
          <w:sz w:val="32"/>
          <w:szCs w:val="32"/>
          <w:highlight w:val="none"/>
          <w:lang w:val="en-US" w:eastAsia="zh-CN"/>
        </w:rPr>
        <w:t>针对一级指标，很难形成行之有效的二级指标和三级指标，以致无法衡量项目</w:t>
      </w:r>
      <w:r>
        <w:rPr>
          <w:rFonts w:hint="eastAsia" w:ascii="仿宋_GB2312" w:hAnsi="仿宋_GB2312" w:eastAsia="仿宋_GB2312" w:cs="仿宋_GB2312"/>
          <w:kern w:val="2"/>
          <w:sz w:val="32"/>
          <w:szCs w:val="32"/>
          <w:highlight w:val="none"/>
          <w:lang w:val="en-US" w:eastAsia="zh-CN"/>
        </w:rPr>
        <w:t>。</w:t>
      </w:r>
      <w:r>
        <w:rPr>
          <w:rFonts w:hint="eastAsia" w:ascii="仿宋" w:hAnsi="仿宋" w:eastAsia="仿宋" w:cs="宋体"/>
          <w:b w:val="0"/>
          <w:bCs/>
          <w:sz w:val="32"/>
          <w:szCs w:val="32"/>
          <w:highlight w:val="none"/>
          <w:lang w:eastAsia="zh-CN"/>
        </w:rPr>
        <w:t>预算执行率未达指标值。</w:t>
      </w:r>
    </w:p>
    <w:p w14:paraId="3C9DDC30">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七</w:t>
      </w:r>
      <w:r>
        <w:rPr>
          <w:rFonts w:hint="eastAsia" w:ascii="仿宋" w:hAnsi="仿宋" w:eastAsia="仿宋" w:cs="仿宋"/>
          <w:b/>
          <w:bCs/>
          <w:sz w:val="32"/>
          <w:szCs w:val="32"/>
          <w:highlight w:val="none"/>
        </w:rPr>
        <w:t>、有关建议</w:t>
      </w:r>
      <w:r>
        <w:rPr>
          <w:rFonts w:hint="eastAsia" w:ascii="仿宋" w:hAnsi="仿宋" w:eastAsia="仿宋" w:cs="仿宋"/>
          <w:b/>
          <w:bCs/>
          <w:sz w:val="32"/>
          <w:szCs w:val="32"/>
          <w:highlight w:val="none"/>
          <w:lang w:eastAsia="zh-CN"/>
        </w:rPr>
        <w:t>及打算</w:t>
      </w:r>
    </w:p>
    <w:p w14:paraId="064FB698">
      <w:pPr>
        <w:keepNext w:val="0"/>
        <w:keepLines w:val="0"/>
        <w:pageBreakBefore w:val="0"/>
        <w:kinsoku/>
        <w:wordWrap/>
        <w:overflowPunct/>
        <w:topLinePunct w:val="0"/>
        <w:autoSpaceDE/>
        <w:autoSpaceDN/>
        <w:bidi w:val="0"/>
        <w:spacing w:line="600" w:lineRule="exact"/>
        <w:ind w:right="140" w:firstLine="640" w:firstLineChars="200"/>
        <w:jc w:val="both"/>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w:t>
      </w:r>
      <w:r>
        <w:rPr>
          <w:rFonts w:hint="eastAsia" w:ascii="方正仿宋_GB2312" w:hAnsi="方正仿宋_GB2312" w:eastAsia="方正仿宋_GB2312" w:cs="方正仿宋_GB2312"/>
          <w:i w:val="0"/>
          <w:iCs w:val="0"/>
          <w:caps w:val="0"/>
          <w:color w:val="000000" w:themeColor="text1"/>
          <w:spacing w:val="0"/>
          <w:sz w:val="32"/>
          <w:szCs w:val="32"/>
          <w:highlight w:val="none"/>
          <w14:textFill>
            <w14:solidFill>
              <w14:schemeClr w14:val="tx1"/>
            </w14:solidFill>
          </w14:textFill>
        </w:rPr>
        <w:t>在</w:t>
      </w:r>
      <w:r>
        <w:rPr>
          <w:rFonts w:hint="eastAsia" w:ascii="方正仿宋_GB2312" w:hAnsi="方正仿宋_GB2312" w:eastAsia="方正仿宋_GB2312" w:cs="方正仿宋_GB2312"/>
          <w:i w:val="0"/>
          <w:iCs w:val="0"/>
          <w:caps w:val="0"/>
          <w:color w:val="000000" w:themeColor="text1"/>
          <w:spacing w:val="0"/>
          <w:sz w:val="32"/>
          <w:szCs w:val="32"/>
          <w:highlight w:val="none"/>
          <w:lang w:eastAsia="zh-CN"/>
          <w14:textFill>
            <w14:solidFill>
              <w14:schemeClr w14:val="tx1"/>
            </w14:solidFill>
          </w14:textFill>
        </w:rPr>
        <w:t>以后</w:t>
      </w:r>
      <w:r>
        <w:rPr>
          <w:rFonts w:hint="eastAsia" w:ascii="方正仿宋_GB2312" w:hAnsi="方正仿宋_GB2312" w:eastAsia="方正仿宋_GB2312" w:cs="方正仿宋_GB2312"/>
          <w:i w:val="0"/>
          <w:iCs w:val="0"/>
          <w:caps w:val="0"/>
          <w:color w:val="000000" w:themeColor="text1"/>
          <w:spacing w:val="0"/>
          <w:sz w:val="32"/>
          <w:szCs w:val="32"/>
          <w:highlight w:val="none"/>
          <w14:textFill>
            <w14:solidFill>
              <w14:schemeClr w14:val="tx1"/>
            </w14:solidFill>
          </w14:textFill>
        </w:rPr>
        <w:t>年度的工作中，我们将</w:t>
      </w:r>
      <w:r>
        <w:rPr>
          <w:rFonts w:hint="eastAsia" w:ascii="方正仿宋_GB2312" w:hAnsi="方正仿宋_GB2312" w:eastAsia="方正仿宋_GB2312" w:cs="方正仿宋_GB2312"/>
          <w:i w:val="0"/>
          <w:iCs w:val="0"/>
          <w:caps w:val="0"/>
          <w:color w:val="000000" w:themeColor="text1"/>
          <w:spacing w:val="0"/>
          <w:sz w:val="32"/>
          <w:szCs w:val="32"/>
          <w:highlight w:val="none"/>
          <w:lang w:val="en-US" w:eastAsia="zh-CN"/>
          <w14:textFill>
            <w14:solidFill>
              <w14:schemeClr w14:val="tx1"/>
            </w14:solidFill>
          </w14:textFill>
        </w:rPr>
        <w:t>以“1234”的工作思路推进，</w:t>
      </w:r>
      <w:r>
        <w:rPr>
          <w:rFonts w:hint="eastAsia" w:ascii="方正仿宋_GB2312" w:hAnsi="方正仿宋_GB2312" w:eastAsia="方正仿宋_GB2312" w:cs="方正仿宋_GB2312"/>
          <w:i w:val="0"/>
          <w:iCs w:val="0"/>
          <w:caps w:val="0"/>
          <w:color w:val="000000" w:themeColor="text1"/>
          <w:spacing w:val="0"/>
          <w:sz w:val="32"/>
          <w:szCs w:val="32"/>
          <w:highlight w:val="none"/>
          <w14:textFill>
            <w14:solidFill>
              <w14:schemeClr w14:val="tx1"/>
            </w14:solidFill>
          </w14:textFill>
        </w:rPr>
        <w:t>继续深化教育信息化和实验教学改革，并特别注重江华县的数字化转型建设，同时加强初中理化生和初中信息技术操作考试考场建设及考试前各项准备工作</w:t>
      </w:r>
    </w:p>
    <w:p w14:paraId="10F68C9D">
      <w:pPr>
        <w:pStyle w:val="2"/>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防溺水方面：加强动态管理：建立设备维护台账，定期检查更新；创新宣传方式：利用短视频、直播等新媒体扩大影响力；推动科技赋能：试点安装AI摄像头、无人机巡查等智能防控手段；完善联防联控：明确各部门职责，定期召开联席会议。</w:t>
      </w:r>
    </w:p>
    <w:p w14:paraId="79C45B9B">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p>
    <w:p w14:paraId="0B2747B2">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江华瑶族自治县教育局</w:t>
      </w:r>
    </w:p>
    <w:p w14:paraId="0A3F984B">
      <w:pPr>
        <w:keepNext w:val="0"/>
        <w:keepLines w:val="0"/>
        <w:pageBreakBefore w:val="0"/>
        <w:kinsoku/>
        <w:wordWrap/>
        <w:overflowPunct/>
        <w:topLinePunct w:val="0"/>
        <w:autoSpaceDE/>
        <w:autoSpaceDN/>
        <w:bidi w:val="0"/>
        <w:spacing w:line="600" w:lineRule="exact"/>
        <w:ind w:left="5438" w:leftChars="304" w:right="140" w:hanging="4800" w:hangingChars="1500"/>
        <w:jc w:val="left"/>
        <w:textAlignment w:val="auto"/>
        <w:rPr>
          <w:rFonts w:hint="eastAsia" w:ascii="仿宋" w:hAnsi="仿宋" w:eastAsia="仿宋" w:cs="仿宋"/>
          <w:sz w:val="32"/>
          <w:szCs w:val="32"/>
          <w:highlight w:val="red"/>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5年4月23日</w:t>
      </w:r>
    </w:p>
    <w:p w14:paraId="651D31F2"/>
    <w:sectPr>
      <w:footerReference r:id="rId3" w:type="default"/>
      <w:pgSz w:w="11906" w:h="16838"/>
      <w:pgMar w:top="1417"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7206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AEFA8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CAEFA8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778BD"/>
    <w:multiLevelType w:val="singleLevel"/>
    <w:tmpl w:val="8C2778BD"/>
    <w:lvl w:ilvl="0" w:tentative="0">
      <w:start w:val="1"/>
      <w:numFmt w:val="decimal"/>
      <w:suff w:val="nothing"/>
      <w:lvlText w:val="%1、"/>
      <w:lvlJc w:val="left"/>
    </w:lvl>
  </w:abstractNum>
  <w:abstractNum w:abstractNumId="1">
    <w:nsid w:val="519C9689"/>
    <w:multiLevelType w:val="singleLevel"/>
    <w:tmpl w:val="519C9689"/>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5E1429"/>
    <w:rsid w:val="0F470C3E"/>
    <w:rsid w:val="130864AC"/>
    <w:rsid w:val="15EC04AB"/>
    <w:rsid w:val="166B7621"/>
    <w:rsid w:val="22686850"/>
    <w:rsid w:val="23582CDC"/>
    <w:rsid w:val="284B4CBA"/>
    <w:rsid w:val="287A36F4"/>
    <w:rsid w:val="2DF31F7F"/>
    <w:rsid w:val="36850B1A"/>
    <w:rsid w:val="39D72754"/>
    <w:rsid w:val="4C5E1429"/>
    <w:rsid w:val="5160707C"/>
    <w:rsid w:val="6D8D0DA1"/>
    <w:rsid w:val="6FDB4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line="560" w:lineRule="exact"/>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2"/>
    <w:basedOn w:val="1"/>
    <w:qFormat/>
    <w:uiPriority w:val="0"/>
    <w:pPr>
      <w:spacing w:after="120" w:line="480" w:lineRule="auto"/>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BodyText1I"/>
    <w:basedOn w:val="1"/>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2052</Words>
  <Characters>2139</Characters>
  <Lines>0</Lines>
  <Paragraphs>0</Paragraphs>
  <TotalTime>0</TotalTime>
  <ScaleCrop>false</ScaleCrop>
  <LinksUpToDate>false</LinksUpToDate>
  <CharactersWithSpaces>2205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2025-04-29T08:52:00Z</dcterms:created>
  <dc:creator>飞得更高</dc:creator>
  <cp:lastModifiedBy>飞得更高</cp:lastModifiedBy>
  <dcterms:modified xsi:type="dcterms:W3CDTF">2025-05-19T00:02:54Z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615B2DB3E279426F8945C4EAFD56D8E8_11</vt:lpwstr>
  </property>
  <property fmtid="{D5CDD505-2E9C-101B-9397-08002B2CF9AE}" pid="4" name="KSOTemplateDocerSaveRecord">
    <vt:lpwstr>eyJoZGlkIjoiODVkMjQ2NTEwMDY3NzllZjllNjdmNWFjYjNhODIzNDEiLCJ1c2VySWQiOiI1NjQ3NTI1MTQifQ==</vt:lpwstr>
  </property>
</Properties>
</file>