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322F8D">
      <w:pPr>
        <w:jc w:val="center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lang w:eastAsia="zh-CN"/>
        </w:rPr>
        <w:t>202</w:t>
      </w: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4</w:t>
      </w:r>
      <w:r>
        <w:rPr>
          <w:rFonts w:hint="eastAsia" w:ascii="宋体" w:hAnsi="宋体" w:eastAsia="宋体" w:cs="宋体"/>
          <w:b/>
          <w:bCs/>
          <w:sz w:val="36"/>
          <w:szCs w:val="36"/>
        </w:rPr>
        <w:t>年度</w:t>
      </w:r>
      <w:r>
        <w:rPr>
          <w:rFonts w:hint="eastAsia" w:ascii="宋体" w:hAnsi="宋体" w:eastAsia="宋体" w:cs="宋体"/>
          <w:b/>
          <w:bCs/>
          <w:sz w:val="36"/>
          <w:szCs w:val="36"/>
          <w:lang w:eastAsia="zh-CN"/>
        </w:rPr>
        <w:t>教育督导专项经费</w:t>
      </w:r>
      <w:r>
        <w:rPr>
          <w:rFonts w:hint="eastAsia" w:ascii="宋体" w:hAnsi="宋体" w:cs="宋体"/>
          <w:b/>
          <w:bCs/>
          <w:sz w:val="36"/>
          <w:szCs w:val="36"/>
          <w:lang w:eastAsia="zh-CN"/>
        </w:rPr>
        <w:t>、教育业务费</w:t>
      </w:r>
    </w:p>
    <w:p w14:paraId="1EDD792A">
      <w:pPr>
        <w:jc w:val="center"/>
        <w:rPr>
          <w:rFonts w:hint="eastAsia" w:ascii="宋体" w:hAnsi="宋体" w:eastAsia="宋体" w:cs="宋体"/>
          <w:b/>
          <w:bCs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sz w:val="36"/>
          <w:szCs w:val="36"/>
        </w:rPr>
        <w:t>绩效</w:t>
      </w:r>
      <w:r>
        <w:rPr>
          <w:rFonts w:hint="eastAsia" w:ascii="宋体" w:hAnsi="宋体" w:eastAsia="宋体" w:cs="宋体"/>
          <w:b/>
          <w:bCs/>
          <w:sz w:val="36"/>
          <w:szCs w:val="36"/>
          <w:lang w:eastAsia="zh-CN"/>
        </w:rPr>
        <w:t>自评</w:t>
      </w:r>
      <w:r>
        <w:rPr>
          <w:rFonts w:hint="eastAsia" w:ascii="宋体" w:hAnsi="宋体" w:eastAsia="宋体" w:cs="宋体"/>
          <w:b/>
          <w:bCs/>
          <w:sz w:val="36"/>
          <w:szCs w:val="36"/>
        </w:rPr>
        <w:t>报告</w:t>
      </w:r>
    </w:p>
    <w:p w14:paraId="6864EBA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一、项目概况</w:t>
      </w:r>
    </w:p>
    <w:p w14:paraId="587E5F2A">
      <w:pPr>
        <w:spacing w:line="560" w:lineRule="exact"/>
        <w:ind w:firstLine="480" w:firstLineChars="15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（一）</w:t>
      </w:r>
      <w:r>
        <w:rPr>
          <w:rFonts w:hint="eastAsia" w:ascii="仿宋" w:hAnsi="仿宋" w:eastAsia="仿宋" w:cs="仿宋"/>
          <w:sz w:val="32"/>
          <w:szCs w:val="32"/>
        </w:rPr>
        <w:t>实施单位基本情况</w:t>
      </w:r>
    </w:p>
    <w:p w14:paraId="1E7E2E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0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江华瑶族自治县教育局</w:t>
      </w:r>
      <w:r>
        <w:rPr>
          <w:rFonts w:hint="eastAsia" w:ascii="仿宋" w:hAnsi="仿宋" w:eastAsia="仿宋" w:cs="仿宋"/>
          <w:sz w:val="32"/>
          <w:szCs w:val="32"/>
        </w:rPr>
        <w:t>是县政府工作部门，为正科级，实行一套工作机构、一套领导班子,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 xml:space="preserve"> 11</w:t>
      </w:r>
      <w:r>
        <w:rPr>
          <w:rFonts w:hint="eastAsia" w:ascii="仿宋" w:hAnsi="仿宋" w:eastAsia="仿宋" w:cs="仿宋"/>
          <w:sz w:val="32"/>
          <w:szCs w:val="32"/>
        </w:rPr>
        <w:t>个内设机构,共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37</w:t>
      </w:r>
      <w:r>
        <w:rPr>
          <w:rFonts w:hint="eastAsia" w:ascii="仿宋" w:hAnsi="仿宋" w:eastAsia="仿宋" w:cs="仿宋"/>
          <w:sz w:val="32"/>
          <w:szCs w:val="32"/>
        </w:rPr>
        <w:t>名职工。</w:t>
      </w:r>
      <w:r>
        <w:rPr>
          <w:rFonts w:hint="eastAsia" w:ascii="仿宋_GB2312" w:hAnsi="仿宋_GB2312" w:eastAsia="仿宋_GB2312" w:cs="仿宋_GB2312"/>
          <w:sz w:val="32"/>
          <w:szCs w:val="32"/>
        </w:rPr>
        <w:t>江华瑶族自治县教育局预算单位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74</w:t>
      </w:r>
      <w:r>
        <w:rPr>
          <w:rFonts w:hint="eastAsia" w:ascii="仿宋_GB2312" w:hAnsi="仿宋_GB2312" w:eastAsia="仿宋_GB2312" w:cs="仿宋_GB2312"/>
          <w:sz w:val="32"/>
          <w:szCs w:val="32"/>
        </w:rPr>
        <w:t>个，其中1个一级预算单位和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73</w:t>
      </w:r>
      <w:r>
        <w:rPr>
          <w:rFonts w:hint="eastAsia" w:ascii="仿宋_GB2312" w:hAnsi="仿宋_GB2312" w:eastAsia="仿宋_GB2312" w:cs="仿宋_GB2312"/>
          <w:sz w:val="32"/>
          <w:szCs w:val="32"/>
        </w:rPr>
        <w:t>个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学校</w:t>
      </w:r>
      <w:r>
        <w:rPr>
          <w:rFonts w:hint="eastAsia" w:ascii="仿宋_GB2312" w:hAnsi="仿宋_GB2312" w:eastAsia="仿宋_GB2312" w:cs="仿宋_GB2312"/>
          <w:sz w:val="32"/>
          <w:szCs w:val="32"/>
        </w:rPr>
        <w:t>二级预算单位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sz w:val="32"/>
          <w:szCs w:val="32"/>
        </w:rPr>
        <w:t>主要负责全县教研教改活动的开展，提高全县教师队伍的业务素质 ，组织全县质检考试，中小学实验教学中的实验室和仪器室管理，实验教学和电化教学所需仪器器材的采购、分配和管理等一类社会公益事业，目的是落实立德树人根本任务，培养德智体美劳全面发展的社会主义建设者和接班人，促进教育健康发展。</w:t>
      </w:r>
    </w:p>
    <w:p w14:paraId="1B920D1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二</w:t>
      </w:r>
      <w:r>
        <w:rPr>
          <w:rFonts w:hint="eastAsia" w:ascii="仿宋" w:hAnsi="仿宋" w:eastAsia="仿宋" w:cs="仿宋"/>
          <w:sz w:val="32"/>
          <w:szCs w:val="32"/>
        </w:rPr>
        <w:t>）资金基本情况</w:t>
      </w:r>
    </w:p>
    <w:p w14:paraId="434A320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根据《关于进一步推动落实新时代教育督导体制机制改革的通知》（江办发电[2022]82号）及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«关于批复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2024年各乡镇和县级部门预算的通知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»（江财预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[2024]1号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文件精神，202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年度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财政预算</w:t>
      </w:r>
      <w:r>
        <w:rPr>
          <w:rFonts w:hint="eastAsia" w:ascii="仿宋" w:hAnsi="仿宋" w:eastAsia="仿宋" w:cs="仿宋"/>
          <w:sz w:val="32"/>
          <w:szCs w:val="32"/>
        </w:rPr>
        <w:t>下达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我局</w:t>
      </w:r>
      <w:r>
        <w:rPr>
          <w:rFonts w:hint="eastAsia" w:ascii="仿宋" w:hAnsi="仿宋" w:eastAsia="仿宋" w:cs="仿宋"/>
          <w:sz w:val="32"/>
          <w:szCs w:val="32"/>
        </w:rPr>
        <w:t>教育督导专项经费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18万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元</w:t>
      </w:r>
      <w:r>
        <w:rPr>
          <w:rFonts w:hint="eastAsia" w:ascii="仿宋" w:hAnsi="仿宋" w:eastAsia="仿宋" w:cs="仿宋"/>
          <w:sz w:val="32"/>
          <w:szCs w:val="32"/>
        </w:rPr>
        <w:t>，下达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我局</w:t>
      </w:r>
      <w:r>
        <w:rPr>
          <w:rFonts w:hint="eastAsia" w:ascii="仿宋" w:hAnsi="仿宋" w:eastAsia="仿宋" w:cs="仿宋"/>
          <w:sz w:val="32"/>
          <w:szCs w:val="32"/>
        </w:rPr>
        <w:t>教育业务费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22万元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</w:rPr>
        <w:t>含资助中心9万、校园足球发展专项4.5万、平安校园建设专项3.5万、营养办经费5万），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主要用于全县中小学、幼儿园</w:t>
      </w:r>
      <w:r>
        <w:rPr>
          <w:rFonts w:hint="eastAsia" w:ascii="仿宋" w:hAnsi="仿宋" w:eastAsia="仿宋" w:cs="仿宋"/>
          <w:sz w:val="32"/>
          <w:szCs w:val="32"/>
        </w:rPr>
        <w:t>教育督导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工作开展，覆盖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10万余名学生的教育督导需求；</w:t>
      </w:r>
      <w:r>
        <w:rPr>
          <w:rFonts w:hint="eastAsia" w:ascii="仿宋" w:hAnsi="仿宋" w:eastAsia="仿宋" w:cs="仿宋"/>
          <w:sz w:val="32"/>
          <w:szCs w:val="32"/>
        </w:rPr>
        <w:t>资助中心、校园足球发展、平安校园建设、营养办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工作经费，提高业务股室的服务质量及效率。</w:t>
      </w:r>
    </w:p>
    <w:p w14:paraId="732E468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二</w:t>
      </w:r>
      <w:r>
        <w:rPr>
          <w:rFonts w:hint="eastAsia" w:ascii="仿宋" w:hAnsi="仿宋" w:eastAsia="仿宋" w:cs="仿宋"/>
          <w:sz w:val="32"/>
          <w:szCs w:val="32"/>
        </w:rPr>
        <w:t>）资金绩效目标</w:t>
      </w:r>
    </w:p>
    <w:p w14:paraId="1829654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年度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财政预算</w:t>
      </w:r>
      <w:r>
        <w:rPr>
          <w:rFonts w:hint="eastAsia" w:ascii="仿宋" w:hAnsi="仿宋" w:eastAsia="仿宋" w:cs="仿宋"/>
          <w:sz w:val="32"/>
          <w:szCs w:val="32"/>
        </w:rPr>
        <w:t>下达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我局</w:t>
      </w:r>
      <w:r>
        <w:rPr>
          <w:rFonts w:hint="eastAsia" w:ascii="仿宋" w:hAnsi="仿宋" w:eastAsia="仿宋" w:cs="仿宋"/>
          <w:sz w:val="32"/>
          <w:szCs w:val="32"/>
        </w:rPr>
        <w:t>教育督导专项经费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18万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元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主要用于全县中小学、幼儿园</w:t>
      </w:r>
      <w:r>
        <w:rPr>
          <w:rFonts w:hint="eastAsia" w:ascii="仿宋" w:hAnsi="仿宋" w:eastAsia="仿宋" w:cs="仿宋"/>
          <w:sz w:val="32"/>
          <w:szCs w:val="32"/>
        </w:rPr>
        <w:t>教育督导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工作开展，覆盖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10万余名学生的教育督导需求，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保障完成全年督导工作任务。</w:t>
      </w:r>
      <w:r>
        <w:rPr>
          <w:rFonts w:hint="eastAsia" w:ascii="仿宋" w:hAnsi="仿宋" w:eastAsia="仿宋" w:cs="仿宋"/>
          <w:sz w:val="32"/>
          <w:szCs w:val="32"/>
        </w:rPr>
        <w:t>下达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我局</w:t>
      </w:r>
      <w:r>
        <w:rPr>
          <w:rFonts w:hint="eastAsia" w:ascii="仿宋" w:hAnsi="仿宋" w:eastAsia="仿宋" w:cs="仿宋"/>
          <w:sz w:val="32"/>
          <w:szCs w:val="32"/>
        </w:rPr>
        <w:t>教育业务费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22万元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</w:rPr>
        <w:t>含资助中心9万、校园足球发展专项4.5万、平安校园建设专项3.5万、营养办经费5万），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主要用于</w:t>
      </w:r>
      <w:r>
        <w:rPr>
          <w:rFonts w:hint="eastAsia" w:ascii="仿宋" w:hAnsi="仿宋" w:eastAsia="仿宋" w:cs="仿宋"/>
          <w:sz w:val="32"/>
          <w:szCs w:val="32"/>
        </w:rPr>
        <w:t>资助中心、校园足球发展、平安校园建设、营养办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等方面的工作经费，提高业务股室的服务质量及效率。</w:t>
      </w:r>
    </w:p>
    <w:p w14:paraId="2E8F310E">
      <w:pPr>
        <w:keepNext w:val="0"/>
        <w:keepLines w:val="0"/>
        <w:pageBreakBefore w:val="0"/>
        <w:tabs>
          <w:tab w:val="center" w:pos="4153"/>
        </w:tabs>
        <w:kinsoku/>
        <w:wordWrap/>
        <w:overflowPunct/>
        <w:topLinePunct w:val="0"/>
        <w:autoSpaceDE/>
        <w:autoSpaceDN/>
        <w:bidi w:val="0"/>
        <w:spacing w:line="60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二、项目资金使用及管理情况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ab/>
      </w:r>
    </w:p>
    <w:p w14:paraId="51B3AAF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年度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财政预算</w:t>
      </w:r>
      <w:r>
        <w:rPr>
          <w:rFonts w:hint="eastAsia" w:ascii="仿宋" w:hAnsi="仿宋" w:eastAsia="仿宋" w:cs="仿宋"/>
          <w:sz w:val="32"/>
          <w:szCs w:val="32"/>
        </w:rPr>
        <w:t>下达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我局</w:t>
      </w:r>
      <w:r>
        <w:rPr>
          <w:rFonts w:hint="eastAsia" w:ascii="仿宋" w:hAnsi="仿宋" w:eastAsia="仿宋" w:cs="仿宋"/>
          <w:sz w:val="32"/>
          <w:szCs w:val="32"/>
        </w:rPr>
        <w:t>教育督导专项经费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18万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元</w:t>
      </w:r>
      <w:r>
        <w:rPr>
          <w:rFonts w:hint="eastAsia" w:ascii="仿宋" w:hAnsi="仿宋" w:eastAsia="仿宋" w:cs="仿宋"/>
          <w:sz w:val="32"/>
          <w:szCs w:val="32"/>
        </w:rPr>
        <w:t>，下达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我局</w:t>
      </w:r>
      <w:r>
        <w:rPr>
          <w:rFonts w:hint="eastAsia" w:ascii="仿宋" w:hAnsi="仿宋" w:eastAsia="仿宋" w:cs="仿宋"/>
          <w:sz w:val="32"/>
          <w:szCs w:val="32"/>
        </w:rPr>
        <w:t>教育业务费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22万元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</w:rPr>
        <w:t>含资助中心9万、校园足球发展专项4.5万、平安校园建设专项3.5万、营养办经费5万），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全部纳入202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年部门预算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sz w:val="32"/>
          <w:szCs w:val="32"/>
        </w:rPr>
        <w:t>资金通过县财政局直接下达用款指标至县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教育</w:t>
      </w:r>
      <w:r>
        <w:rPr>
          <w:rFonts w:hint="eastAsia" w:ascii="仿宋" w:hAnsi="仿宋" w:eastAsia="仿宋" w:cs="仿宋"/>
          <w:sz w:val="32"/>
          <w:szCs w:val="32"/>
        </w:rPr>
        <w:t>局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使用，由县教育局根据全县中小学、幼儿园</w:t>
      </w:r>
      <w:r>
        <w:rPr>
          <w:rFonts w:hint="eastAsia" w:ascii="仿宋" w:hAnsi="仿宋" w:eastAsia="仿宋" w:cs="仿宋"/>
          <w:sz w:val="32"/>
          <w:szCs w:val="32"/>
        </w:rPr>
        <w:t>教育督导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工作开展，</w:t>
      </w:r>
      <w:r>
        <w:rPr>
          <w:rFonts w:hint="eastAsia" w:ascii="仿宋" w:hAnsi="仿宋" w:eastAsia="仿宋" w:cs="仿宋"/>
          <w:sz w:val="32"/>
          <w:szCs w:val="32"/>
        </w:rPr>
        <w:t>资助中心、校园足球发展、平安校园建设、营养办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等方面的工作开展、运行，据实审核报账。</w:t>
      </w:r>
    </w:p>
    <w:p w14:paraId="6289EE5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项目资金的管理</w:t>
      </w:r>
      <w:r>
        <w:rPr>
          <w:rFonts w:hint="eastAsia" w:ascii="仿宋" w:hAnsi="仿宋" w:eastAsia="仿宋" w:cs="仿宋"/>
          <w:sz w:val="32"/>
          <w:szCs w:val="32"/>
        </w:rPr>
        <w:t>我局始终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做到</w:t>
      </w:r>
      <w:r>
        <w:rPr>
          <w:rFonts w:hint="eastAsia" w:ascii="仿宋" w:hAnsi="仿宋" w:eastAsia="仿宋" w:cs="仿宋"/>
          <w:sz w:val="32"/>
          <w:szCs w:val="32"/>
        </w:rPr>
        <w:t>专款专用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，不挤占挪用，使用过程中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纪检、审计部门全程监督，在保障各项工作有序开展的同时，确保资金使用效率最大化。</w:t>
      </w:r>
    </w:p>
    <w:p w14:paraId="30C9EA4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三、项目资金组织实施情况</w:t>
      </w:r>
    </w:p>
    <w:p w14:paraId="2F0DBFB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我局</w:t>
      </w:r>
      <w:r>
        <w:rPr>
          <w:rFonts w:hint="eastAsia" w:ascii="仿宋" w:hAnsi="仿宋" w:eastAsia="仿宋" w:cs="仿宋"/>
          <w:sz w:val="32"/>
          <w:szCs w:val="32"/>
        </w:rPr>
        <w:t>严格按照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《江华瑶族自治县教育预算管理制度》、《江华瑶族自治县教育局报销管理制度》、《江华县教育局“三重一大”决策制度》等各项管理制度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要求使用和监管资金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 w14:paraId="7FBCC45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60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四、预算支出绩效情况</w:t>
      </w:r>
    </w:p>
    <w:p w14:paraId="7207C9EE">
      <w:pPr>
        <w:pStyle w:val="9"/>
        <w:numPr>
          <w:ilvl w:val="0"/>
          <w:numId w:val="0"/>
        </w:numPr>
        <w:ind w:firstLine="640" w:firstLineChars="200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年度教育督导专项经费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预算资金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18万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元，实际支出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18万元，预算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执行率为100%，</w:t>
      </w:r>
      <w:r>
        <w:rPr>
          <w:rFonts w:hint="eastAsia" w:ascii="仿宋" w:hAnsi="仿宋" w:eastAsia="仿宋" w:cs="仿宋"/>
          <w:sz w:val="32"/>
          <w:szCs w:val="32"/>
        </w:rPr>
        <w:t>教育业务费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预算资金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22万元，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实际支出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22万元，预算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执行率为100%。</w:t>
      </w:r>
    </w:p>
    <w:p w14:paraId="5F15B94D">
      <w:pPr>
        <w:pStyle w:val="9"/>
        <w:numPr>
          <w:ilvl w:val="0"/>
          <w:numId w:val="0"/>
        </w:num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2024年的教育督导工作开展情况：江华县督导员年平均听评课 48节，参与教研活动 15 余次，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覆盖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10万余名学生，通过：“四不两直”方式随机抽查学校，确保政策落地，提升了义务教育优质均衡发展比例。</w:t>
      </w:r>
    </w:p>
    <w:p w14:paraId="318130DE">
      <w:pPr>
        <w:snapToGrid w:val="0"/>
        <w:spacing w:line="5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40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资助中心、校园足球发展、平安校园建设、营养办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等方面的工作经费，主要用于上述工作的开展及运行，提高业务股室的服务质量及效率。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我县2024年共发放各项资助金4354.44万元，受助学生达45451人次。接受企业、爱心人士等社会捐助资金、图书、物品等约计120万，生源助学贷款人数4498人，生源地大学生助学贷款6055.98万元，贷款总额在全市排第3位，贷款回收率位全省前列，下达基层补偿金63.2万元。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/>
        </w:rPr>
        <w:t>农村义务教育学校学生享受营养餐补助5元/天，营养改善计划以学校食堂供餐为主，全县实施项目学校78所，营养改善计划受益学生38143人，提高了农村义务教育学生膳食营养水平。</w:t>
      </w:r>
      <w:r>
        <w:rPr>
          <w:rFonts w:hint="eastAsia" w:ascii="仿宋_GB2312" w:hAnsi="仿宋_GB2312" w:eastAsia="仿宋_GB2312" w:cs="仿宋_GB2312"/>
          <w:sz w:val="32"/>
          <w:szCs w:val="40"/>
        </w:rPr>
        <w:t>共发放防溺水、防欺凌、未成年人保护法等</w:t>
      </w:r>
      <w:r>
        <w:rPr>
          <w:rFonts w:hint="eastAsia" w:ascii="仿宋_GB2312" w:hAnsi="仿宋_GB2312" w:eastAsia="仿宋_GB2312" w:cs="仿宋_GB2312"/>
          <w:sz w:val="32"/>
          <w:szCs w:val="32"/>
        </w:rPr>
        <w:t>安全知识手册、</w:t>
      </w:r>
      <w:r>
        <w:rPr>
          <w:rFonts w:hint="eastAsia" w:ascii="仿宋_GB2312" w:hAnsi="仿宋_GB2312" w:eastAsia="仿宋_GB2312" w:cs="仿宋_GB2312"/>
          <w:sz w:val="32"/>
          <w:szCs w:val="40"/>
        </w:rPr>
        <w:t>宣传资料、</w:t>
      </w:r>
      <w:r>
        <w:rPr>
          <w:rFonts w:hint="eastAsia" w:ascii="仿宋_GB2312" w:hAnsi="仿宋_GB2312" w:eastAsia="仿宋_GB2312" w:cs="仿宋_GB2312"/>
          <w:sz w:val="32"/>
          <w:szCs w:val="32"/>
        </w:rPr>
        <w:t>传单4万余份</w:t>
      </w:r>
      <w:r>
        <w:rPr>
          <w:rFonts w:hint="eastAsia" w:ascii="仿宋_GB2312" w:hAnsi="仿宋_GB2312" w:eastAsia="仿宋_GB2312" w:cs="仿宋_GB2312"/>
          <w:sz w:val="32"/>
          <w:szCs w:val="40"/>
        </w:rPr>
        <w:t>，宣传展板300余块，开展法治安全讲座60余场次。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以专项工作为重点，开展“利剑护蕾”专项整治行动，通过“千师访万家”发放各类安全宣讲资料2万余份，开展“利剑护蕾”专项督查3次。</w:t>
      </w:r>
      <w:r>
        <w:rPr>
          <w:rFonts w:hint="eastAsia" w:ascii="仿宋_GB2312" w:hAnsi="仿宋_GB2312" w:eastAsia="仿宋_GB2312" w:cs="仿宋_GB2312"/>
          <w:sz w:val="32"/>
          <w:szCs w:val="40"/>
        </w:rPr>
        <w:t>对全县所有教师在进行从业人员查询。全县共查询公办学校、民办幼儿园从业人员5400余人。</w:t>
      </w:r>
      <w:r>
        <w:rPr>
          <w:rFonts w:hint="eastAsia" w:ascii="仿宋_GB2312" w:hAnsi="仿宋_GB2312" w:eastAsia="仿宋_GB2312" w:cs="仿宋_GB2312"/>
          <w:sz w:val="32"/>
        </w:rPr>
        <w:t>投入8万余元，</w:t>
      </w:r>
      <w:r>
        <w:rPr>
          <w:rFonts w:hint="eastAsia" w:ascii="仿宋_GB2312" w:hAnsi="仿宋_GB2312" w:eastAsia="仿宋_GB2312" w:cs="仿宋_GB2312"/>
          <w:kern w:val="0"/>
          <w:sz w:val="32"/>
        </w:rPr>
        <w:t>完善“三防”设施，</w:t>
      </w:r>
      <w:r>
        <w:rPr>
          <w:rFonts w:hint="eastAsia" w:ascii="仿宋_GB2312" w:hAnsi="仿宋_GB2312" w:eastAsia="仿宋_GB2312" w:cs="仿宋_GB2312"/>
          <w:sz w:val="32"/>
        </w:rPr>
        <w:t>为城区学位添置铁马等安全设施1500余个。</w:t>
      </w:r>
      <w:r>
        <w:rPr>
          <w:rFonts w:hint="eastAsia" w:ascii="仿宋_GB2312" w:hAnsi="仿宋_GB2312" w:eastAsia="仿宋_GB2312" w:cs="仿宋_GB2312"/>
          <w:sz w:val="32"/>
          <w:szCs w:val="32"/>
        </w:rPr>
        <w:t>排查校园安全风险隐患96个，整改96个。</w:t>
      </w:r>
      <w:r>
        <w:rPr>
          <w:rFonts w:hint="eastAsia" w:ascii="仿宋_GB2312" w:hAnsi="仿宋_GB2312" w:eastAsia="仿宋_GB2312" w:cs="仿宋_GB2312"/>
          <w:sz w:val="32"/>
          <w:szCs w:val="40"/>
        </w:rPr>
        <w:t>共开展校园消防安全主题班会或讲座300余场，开展安全疏散演练110余场次。对10余所学校下达整改意见书。</w:t>
      </w:r>
    </w:p>
    <w:p w14:paraId="72875BB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五、主要经验及做法</w:t>
      </w:r>
    </w:p>
    <w:p w14:paraId="1425D60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财政</w:t>
      </w:r>
      <w:r>
        <w:rPr>
          <w:rFonts w:hint="eastAsia" w:ascii="仿宋" w:hAnsi="仿宋" w:eastAsia="仿宋" w:cs="仿宋"/>
          <w:sz w:val="32"/>
          <w:szCs w:val="32"/>
        </w:rPr>
        <w:t>下达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我局的工作经费，</w:t>
      </w:r>
      <w:r>
        <w:rPr>
          <w:rFonts w:hint="eastAsia" w:ascii="仿宋" w:hAnsi="仿宋" w:eastAsia="仿宋" w:cs="仿宋"/>
          <w:sz w:val="32"/>
          <w:szCs w:val="32"/>
        </w:rPr>
        <w:t>通过县财政局直接下达用款指标至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由县教育局。学校及教育局使用资金时都是通过预算一体化系统申请支付，通过财政审核，方能支付。</w:t>
      </w:r>
    </w:p>
    <w:p w14:paraId="55739FF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项目资金的管理</w:t>
      </w:r>
      <w:r>
        <w:rPr>
          <w:rFonts w:hint="eastAsia" w:ascii="仿宋" w:hAnsi="仿宋" w:eastAsia="仿宋" w:cs="仿宋"/>
          <w:sz w:val="32"/>
          <w:szCs w:val="32"/>
        </w:rPr>
        <w:t>我局始终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做到</w:t>
      </w:r>
      <w:r>
        <w:rPr>
          <w:rFonts w:hint="eastAsia" w:ascii="仿宋" w:hAnsi="仿宋" w:eastAsia="仿宋" w:cs="仿宋"/>
          <w:sz w:val="32"/>
          <w:szCs w:val="32"/>
        </w:rPr>
        <w:t>专款专用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，不挤占挪用，使用过程中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纪检、审计部门全程监督，在保障各项工作有序开展的同时，确保资金使用效率最大化。</w:t>
      </w:r>
    </w:p>
    <w:p w14:paraId="27A7577E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60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存在的问题及原因分析</w:t>
      </w:r>
    </w:p>
    <w:p w14:paraId="2B7193E1">
      <w:pPr>
        <w:spacing w:line="500" w:lineRule="exact"/>
        <w:ind w:firstLine="640" w:firstLineChars="200"/>
        <w:jc w:val="both"/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/>
        </w:rPr>
        <w:t>1、部分偏远学校因资源限制接受教育督导频次较低，部分教师对督导整改重视不足。</w:t>
      </w:r>
    </w:p>
    <w:p w14:paraId="3F4FF5E3">
      <w:pPr>
        <w:spacing w:line="500" w:lineRule="exact"/>
        <w:ind w:firstLine="640" w:firstLineChars="200"/>
        <w:jc w:val="both"/>
        <w:rPr>
          <w:rFonts w:hint="eastAsia" w:ascii="仿宋" w:hAnsi="仿宋" w:eastAsia="仿宋" w:cs="宋体"/>
          <w:b w:val="0"/>
          <w:bCs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/>
        </w:rPr>
        <w:t>2、</w:t>
      </w:r>
      <w:r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/>
        </w:rPr>
        <w:t>部分业务处室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/>
        </w:rPr>
        <w:t>及学校财务</w:t>
      </w:r>
      <w:r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/>
        </w:rPr>
        <w:t>对预算绩效目标的设定和各项指标的理解不到位，</w:t>
      </w:r>
      <w:r>
        <w:rPr>
          <w:rFonts w:hint="eastAsia" w:ascii="仿宋" w:hAnsi="仿宋" w:eastAsia="仿宋" w:cs="宋体"/>
          <w:b w:val="0"/>
          <w:bCs/>
          <w:sz w:val="32"/>
          <w:szCs w:val="32"/>
          <w:lang w:eastAsia="zh-CN"/>
        </w:rPr>
        <w:t>预算单位绩效管理意识薄弱，绩效目标填报及自评开展不规范，</w:t>
      </w:r>
      <w:r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/>
        </w:rPr>
        <w:t>针对一级指标，很难形成行之有效的二级指标和三级指标，以致无法衡量项目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/>
        </w:rPr>
        <w:t>。</w:t>
      </w:r>
      <w:r>
        <w:rPr>
          <w:rFonts w:hint="eastAsia" w:ascii="仿宋" w:hAnsi="仿宋" w:eastAsia="仿宋" w:cs="宋体"/>
          <w:b w:val="0"/>
          <w:bCs/>
          <w:sz w:val="32"/>
          <w:szCs w:val="32"/>
          <w:lang w:eastAsia="zh-CN"/>
        </w:rPr>
        <w:t>预算执行率未达指标值。</w:t>
      </w:r>
    </w:p>
    <w:p w14:paraId="3C9DDC3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七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、有关建议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及打算</w:t>
      </w:r>
    </w:p>
    <w:p w14:paraId="064FB69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right="14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1.增加对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/>
        </w:rPr>
        <w:t>偏远学校的教育督导频次，引入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“四不两直”方式随机抽查机制。</w:t>
      </w:r>
    </w:p>
    <w:p w14:paraId="10F68C9D">
      <w:pPr>
        <w:pStyle w:val="2"/>
        <w:rPr>
          <w:rFonts w:hint="default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2、教育督导等工作经费的使用整体成效显著，资金管理规范，项目执行高效，有效的推动了教育质量提升和资源均衡配置。</w:t>
      </w:r>
    </w:p>
    <w:p w14:paraId="79C45B9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right="140"/>
        <w:jc w:val="right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bookmarkStart w:id="0" w:name="_GoBack"/>
      <w:bookmarkEnd w:id="0"/>
    </w:p>
    <w:p w14:paraId="0B2747B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right="140"/>
        <w:jc w:val="right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江华瑶族自治县教育局</w:t>
      </w:r>
    </w:p>
    <w:p w14:paraId="0A3F984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left="5438" w:leftChars="304" w:right="140" w:hanging="4800" w:hangingChars="1500"/>
        <w:jc w:val="left"/>
        <w:textAlignment w:val="auto"/>
        <w:rPr>
          <w:rFonts w:hint="eastAsia" w:ascii="仿宋" w:hAnsi="仿宋" w:eastAsia="仿宋" w:cs="仿宋"/>
          <w:sz w:val="32"/>
          <w:szCs w:val="32"/>
          <w:highlight w:val="red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    </w:t>
      </w:r>
      <w:r>
        <w:rPr>
          <w:rFonts w:hint="eastAsia"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5年4月23日</w:t>
      </w:r>
    </w:p>
    <w:p w14:paraId="651D31F2"/>
    <w:sectPr>
      <w:footerReference r:id="rId3" w:type="default"/>
      <w:pgSz w:w="11906" w:h="16838"/>
      <w:pgMar w:top="1417" w:right="1627" w:bottom="1213" w:left="162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972060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CAEFA83">
                          <w:pPr>
                            <w:pStyle w:val="5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6CAEFA83">
                    <w:pPr>
                      <w:pStyle w:val="5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19C9689"/>
    <w:multiLevelType w:val="singleLevel"/>
    <w:tmpl w:val="519C9689"/>
    <w:lvl w:ilvl="0" w:tentative="0">
      <w:start w:val="6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C5E1429"/>
    <w:rsid w:val="09462630"/>
    <w:rsid w:val="130864AC"/>
    <w:rsid w:val="166B7621"/>
    <w:rsid w:val="17474A6B"/>
    <w:rsid w:val="352D092F"/>
    <w:rsid w:val="39D72754"/>
    <w:rsid w:val="4C5E1429"/>
    <w:rsid w:val="61A97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spacing w:line="560" w:lineRule="exact"/>
      <w:outlineLvl w:val="2"/>
    </w:p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4"/>
    <w:qFormat/>
    <w:uiPriority w:val="99"/>
    <w:pPr>
      <w:spacing w:after="120"/>
    </w:pPr>
  </w:style>
  <w:style w:type="paragraph" w:styleId="4">
    <w:name w:val="Body Text 2"/>
    <w:basedOn w:val="1"/>
    <w:qFormat/>
    <w:uiPriority w:val="0"/>
    <w:pPr>
      <w:spacing w:after="120" w:line="480" w:lineRule="auto"/>
    </w:pPr>
  </w:style>
  <w:style w:type="paragraph" w:styleId="5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9">
    <w:name w:val="BodyText1I"/>
    <w:basedOn w:val="1"/>
    <w:qFormat/>
    <w:uiPriority w:val="99"/>
    <w:pPr>
      <w:snapToGrid w:val="0"/>
      <w:spacing w:line="360" w:lineRule="auto"/>
      <w:ind w:firstLine="420" w:firstLineChars="100"/>
    </w:pPr>
    <w:rPr>
      <w:sz w:val="2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2134</Words>
  <Characters>2261</Characters>
  <Lines>0</Lines>
  <Paragraphs>0</Paragraphs>
  <TotalTime>2</TotalTime>
  <ScaleCrop>false</ScaleCrop>
  <LinksUpToDate>false</LinksUpToDate>
  <CharactersWithSpaces>2301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2025-04-29T08:52:00Z</dcterms:created>
  <dc:creator>飞得更高</dc:creator>
  <cp:lastModifiedBy>飞得更高</cp:lastModifiedBy>
  <dcterms:modified xsi:type="dcterms:W3CDTF">2025-05-19T00:13:46Z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615B2DB3E279426F8945C4EAFD56D8E8_11</vt:lpwstr>
  </property>
  <property fmtid="{D5CDD505-2E9C-101B-9397-08002B2CF9AE}" pid="4" name="KSOTemplateDocerSaveRecord">
    <vt:lpwstr>eyJoZGlkIjoiODVkMjQ2NTEwMDY3NzllZjllNjdmNWFjYjNhODIzNDEiLCJ1c2VySWQiOiI1NjQ3NTI1MTQifQ==</vt:lpwstr>
  </property>
</Properties>
</file>