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457F6">
      <w:pPr>
        <w:jc w:val="center"/>
        <w:rPr>
          <w:rFonts w:hint="eastAsia" w:ascii="宋体" w:hAnsi="宋体" w:eastAsia="宋体" w:cs="宋体"/>
          <w:b/>
          <w:bCs/>
          <w:sz w:val="36"/>
          <w:szCs w:val="36"/>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年度教育强国基础设施建设工程中央预算内</w:t>
      </w:r>
    </w:p>
    <w:p w14:paraId="0F010BA6">
      <w:pPr>
        <w:jc w:val="center"/>
        <w:rPr>
          <w:rFonts w:hint="eastAsia" w:ascii="宋体" w:hAnsi="宋体" w:eastAsia="宋体" w:cs="宋体"/>
          <w:b/>
          <w:bCs/>
          <w:sz w:val="36"/>
          <w:szCs w:val="36"/>
        </w:rPr>
      </w:pPr>
      <w:r>
        <w:rPr>
          <w:rFonts w:hint="eastAsia" w:ascii="宋体" w:hAnsi="宋体" w:eastAsia="宋体" w:cs="宋体"/>
          <w:b/>
          <w:bCs/>
          <w:sz w:val="36"/>
          <w:szCs w:val="36"/>
        </w:rPr>
        <w:t>基建资金绩效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1B87716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7BB97B46">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7873168A">
      <w:pPr>
        <w:keepNext w:val="0"/>
        <w:keepLines w:val="0"/>
        <w:pageBreakBefore w:val="0"/>
        <w:widowControl w:val="0"/>
        <w:kinsoku/>
        <w:wordWrap/>
        <w:overflowPunct/>
        <w:topLinePunct w:val="0"/>
        <w:autoSpaceDE/>
        <w:autoSpaceDN/>
        <w:bidi w:val="0"/>
        <w:adjustRightInd/>
        <w:snapToGrid/>
        <w:spacing w:after="0" w:line="5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56EAC4A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4E47B685">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根据省财政厅、教育厅《关于下达教育强国基础设施建设工程2024年第一批中央预算内基建资金的通知》（湘财建指[2024]48号）</w:t>
      </w:r>
      <w:r>
        <w:rPr>
          <w:rFonts w:hint="eastAsia" w:ascii="仿宋" w:hAnsi="仿宋" w:eastAsia="仿宋" w:cs="仿宋"/>
          <w:sz w:val="32"/>
          <w:szCs w:val="32"/>
        </w:rPr>
        <w:t>文件精神，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县财政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教育强国基础设施建设工程预算内基建资金</w:t>
      </w:r>
      <w:r>
        <w:rPr>
          <w:rFonts w:hint="eastAsia" w:ascii="仿宋" w:hAnsi="仿宋" w:eastAsia="仿宋" w:cs="仿宋"/>
          <w:sz w:val="32"/>
          <w:szCs w:val="32"/>
          <w:lang w:val="en-US" w:eastAsia="zh-CN"/>
        </w:rPr>
        <w:t>1900万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专项用于沱江镇第二小学食堂综合楼及沱江镇第四小学综合楼项目</w:t>
      </w:r>
      <w:r>
        <w:rPr>
          <w:rFonts w:hint="eastAsia" w:ascii="仿宋" w:hAnsi="仿宋" w:eastAsia="仿宋" w:cs="仿宋"/>
          <w:sz w:val="32"/>
          <w:szCs w:val="32"/>
        </w:rPr>
        <w:t>。</w:t>
      </w:r>
    </w:p>
    <w:p w14:paraId="1E00ACB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1B325669">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教育强国基础设施建设工程预算内基建资金</w:t>
      </w:r>
      <w:r>
        <w:rPr>
          <w:rFonts w:hint="eastAsia" w:ascii="仿宋" w:hAnsi="仿宋" w:eastAsia="仿宋" w:cs="仿宋"/>
          <w:sz w:val="32"/>
          <w:szCs w:val="32"/>
          <w:lang w:val="en-US" w:eastAsia="zh-CN"/>
        </w:rPr>
        <w:t>1900万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专项用于沱江镇第二小学食堂综合楼（</w:t>
      </w:r>
      <w:r>
        <w:rPr>
          <w:rFonts w:hint="eastAsia" w:ascii="仿宋" w:hAnsi="仿宋" w:eastAsia="仿宋" w:cs="仿宋"/>
          <w:sz w:val="32"/>
          <w:szCs w:val="32"/>
          <w:lang w:val="en-US" w:eastAsia="zh-CN"/>
        </w:rPr>
        <w:t>1000万元</w:t>
      </w:r>
      <w:r>
        <w:rPr>
          <w:rFonts w:hint="eastAsia" w:ascii="仿宋" w:hAnsi="仿宋" w:eastAsia="仿宋" w:cs="仿宋"/>
          <w:sz w:val="32"/>
          <w:szCs w:val="32"/>
          <w:lang w:eastAsia="zh-CN"/>
        </w:rPr>
        <w:t>）及沱江镇第四小学综合楼项目（</w:t>
      </w:r>
      <w:r>
        <w:rPr>
          <w:rFonts w:hint="eastAsia" w:ascii="仿宋" w:hAnsi="仿宋" w:eastAsia="仿宋" w:cs="仿宋"/>
          <w:sz w:val="32"/>
          <w:szCs w:val="32"/>
          <w:lang w:val="en-US" w:eastAsia="zh-CN"/>
        </w:rPr>
        <w:t>900万元</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eastAsia="zh-CN"/>
        </w:rPr>
        <w:t>按照标准化学校建设要求，科学规划中小学校舍维修改造计划，解决学校危房校舍的维修和抗震加固、改善学校办学条件。</w:t>
      </w:r>
    </w:p>
    <w:p w14:paraId="1EC65666">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30196576">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教育强国基础设施建设工程预算内基建资金</w:t>
      </w:r>
      <w:r>
        <w:rPr>
          <w:rFonts w:hint="eastAsia" w:ascii="仿宋" w:hAnsi="仿宋" w:eastAsia="仿宋" w:cs="仿宋"/>
          <w:sz w:val="32"/>
          <w:szCs w:val="32"/>
          <w:lang w:val="en-US" w:eastAsia="zh-CN"/>
        </w:rPr>
        <w:t>1900万</w:t>
      </w:r>
      <w:r>
        <w:rPr>
          <w:rFonts w:hint="eastAsia" w:ascii="仿宋" w:hAnsi="仿宋" w:eastAsia="仿宋" w:cs="仿宋"/>
          <w:sz w:val="32"/>
          <w:szCs w:val="32"/>
          <w:lang w:eastAsia="zh-CN"/>
        </w:rPr>
        <w:t>元</w:t>
      </w:r>
      <w:r>
        <w:rPr>
          <w:rFonts w:hint="eastAsia" w:ascii="仿宋" w:hAnsi="仿宋" w:eastAsia="仿宋" w:cs="仿宋"/>
          <w:sz w:val="32"/>
          <w:szCs w:val="32"/>
        </w:rPr>
        <w:t>，资金通过县财政局直接下达用款指标至县</w:t>
      </w:r>
      <w:r>
        <w:rPr>
          <w:rFonts w:hint="eastAsia" w:ascii="仿宋" w:hAnsi="仿宋" w:eastAsia="仿宋" w:cs="仿宋"/>
          <w:sz w:val="32"/>
          <w:szCs w:val="32"/>
          <w:lang w:eastAsia="zh-CN"/>
        </w:rPr>
        <w:t>教育</w:t>
      </w:r>
      <w:r>
        <w:rPr>
          <w:rFonts w:hint="eastAsia" w:ascii="仿宋" w:hAnsi="仿宋" w:eastAsia="仿宋" w:cs="仿宋"/>
          <w:sz w:val="32"/>
          <w:szCs w:val="32"/>
        </w:rPr>
        <w:t>局</w:t>
      </w:r>
      <w:r>
        <w:rPr>
          <w:rFonts w:hint="eastAsia" w:ascii="仿宋" w:hAnsi="仿宋" w:eastAsia="仿宋" w:cs="仿宋"/>
          <w:sz w:val="32"/>
          <w:szCs w:val="32"/>
          <w:lang w:eastAsia="zh-CN"/>
        </w:rPr>
        <w:t>，由县教育局基建股及学校组织项目工程实施、监管，计财股负责审核项目进度款的拨付。具体过程：学校根据工程进度及合同约定，提交工程进度完成证明材料，经施工单位、监理公司、学校、基建股核实、签字、盖章，到计财股申请拨付进度款，计财股对工程完成情况进行核实后根据合同约定拨付进度款。</w:t>
      </w:r>
    </w:p>
    <w:p w14:paraId="367735F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1F059813">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04D4917C">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65704B6C">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64C85189">
      <w:pPr>
        <w:keepNext w:val="0"/>
        <w:keepLines w:val="0"/>
        <w:pageBreakBefore w:val="0"/>
        <w:kinsoku/>
        <w:wordWrap/>
        <w:overflowPunct/>
        <w:topLinePunct w:val="0"/>
        <w:autoSpaceDE/>
        <w:autoSpaceDN/>
        <w:bidi w:val="0"/>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教育强国基础设施建设工程预算内基建资金</w:t>
      </w:r>
      <w:r>
        <w:rPr>
          <w:rFonts w:hint="eastAsia" w:ascii="仿宋" w:hAnsi="仿宋" w:eastAsia="仿宋" w:cs="仿宋"/>
          <w:sz w:val="32"/>
          <w:szCs w:val="32"/>
          <w:lang w:val="en-US" w:eastAsia="zh-CN"/>
        </w:rPr>
        <w:t>1900万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专项用于沱江镇第二小学食堂综合楼（</w:t>
      </w:r>
      <w:r>
        <w:rPr>
          <w:rFonts w:hint="eastAsia" w:ascii="仿宋" w:hAnsi="仿宋" w:eastAsia="仿宋" w:cs="仿宋"/>
          <w:sz w:val="32"/>
          <w:szCs w:val="32"/>
          <w:lang w:val="en-US" w:eastAsia="zh-CN"/>
        </w:rPr>
        <w:t>1000万元</w:t>
      </w:r>
      <w:r>
        <w:rPr>
          <w:rFonts w:hint="eastAsia" w:ascii="仿宋" w:hAnsi="仿宋" w:eastAsia="仿宋" w:cs="仿宋"/>
          <w:sz w:val="32"/>
          <w:szCs w:val="32"/>
          <w:lang w:eastAsia="zh-CN"/>
        </w:rPr>
        <w:t>）及沱江镇第四小学综合楼项目（</w:t>
      </w:r>
      <w:r>
        <w:rPr>
          <w:rFonts w:hint="eastAsia" w:ascii="仿宋" w:hAnsi="仿宋" w:eastAsia="仿宋" w:cs="仿宋"/>
          <w:sz w:val="32"/>
          <w:szCs w:val="32"/>
          <w:lang w:val="en-US" w:eastAsia="zh-CN"/>
        </w:rPr>
        <w:t>900万元</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eastAsia="zh-CN"/>
        </w:rPr>
        <w:t>按照标准化学校建设要求，科学规划中小学校舍维修改造计划，解决学校危房校舍的维修和抗震加固、改善学校办学条件。</w:t>
      </w:r>
      <w:r>
        <w:rPr>
          <w:rFonts w:hint="eastAsia" w:ascii="仿宋" w:hAnsi="仿宋" w:eastAsia="仿宋" w:cs="仿宋"/>
          <w:sz w:val="32"/>
          <w:szCs w:val="32"/>
          <w:lang w:val="en-US" w:eastAsia="zh-CN"/>
        </w:rPr>
        <w:t>2024年实际支出1272.22万元，执行率为66%。现</w:t>
      </w:r>
      <w:r>
        <w:rPr>
          <w:rFonts w:hint="eastAsia" w:ascii="仿宋" w:hAnsi="仿宋" w:eastAsia="仿宋" w:cs="仿宋"/>
          <w:sz w:val="32"/>
          <w:szCs w:val="32"/>
          <w:lang w:eastAsia="zh-CN"/>
        </w:rPr>
        <w:t>沱江镇第二小学食堂综合楼及沱江镇第四小学综合楼项目都已经主体完工，在装饰装修中，</w:t>
      </w:r>
      <w:r>
        <w:rPr>
          <w:rFonts w:hint="eastAsia" w:ascii="仿宋" w:hAnsi="仿宋" w:eastAsia="仿宋" w:cs="仿宋"/>
          <w:sz w:val="32"/>
          <w:szCs w:val="32"/>
          <w:lang w:val="en-US" w:eastAsia="zh-CN"/>
        </w:rPr>
        <w:t>2025年9月开学可以投入使用。</w:t>
      </w:r>
    </w:p>
    <w:p w14:paraId="6586234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五、主要经验及做法</w:t>
      </w:r>
    </w:p>
    <w:p w14:paraId="6B87DB02">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项目工程由县教育局基建股及学校组织项目工程实施、监管，计财股负责审核项目进度款的拨付。具体过程：学校根据工程进度及合同约定，提交工程进度完成证明材料，经施工单位、监理公司、学校、基建股核实、签字、盖章，到计财股申请拨付进度款，计财股对工程完成情况进行核实后根据合同约定拨付进度款。</w:t>
      </w:r>
    </w:p>
    <w:p w14:paraId="48D49CA2">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201444D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47B371E1">
      <w:pPr>
        <w:spacing w:line="50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项目建设前期可研立项、勘探、设计图审、预算财评、招投款等报建、报批手续繁杂，牵涉的部门多，有的部门对中小学校建设的收费也没有明确的规定，协调难度大，办理审批手续环节多、时间长，导致工程建设开工滞后。</w:t>
      </w:r>
    </w:p>
    <w:p w14:paraId="05402946">
      <w:pPr>
        <w:spacing w:line="500" w:lineRule="exact"/>
        <w:ind w:firstLine="640" w:firstLineChars="200"/>
        <w:jc w:val="both"/>
        <w:rPr>
          <w:rFonts w:hint="eastAsia" w:ascii="仿宋" w:hAnsi="仿宋" w:eastAsia="仿宋" w:cs="宋体"/>
          <w:sz w:val="32"/>
          <w:szCs w:val="32"/>
        </w:rPr>
      </w:pPr>
      <w:r>
        <w:rPr>
          <w:rFonts w:hint="eastAsia" w:ascii="仿宋" w:hAnsi="仿宋" w:eastAsia="仿宋" w:cs="宋体"/>
          <w:sz w:val="32"/>
          <w:szCs w:val="32"/>
          <w:lang w:val="en-US" w:eastAsia="zh-CN"/>
        </w:rPr>
        <w:t>2、</w:t>
      </w:r>
      <w:r>
        <w:rPr>
          <w:rFonts w:hint="eastAsia" w:ascii="仿宋" w:hAnsi="仿宋" w:eastAsia="仿宋" w:cs="宋体"/>
          <w:sz w:val="32"/>
          <w:szCs w:val="32"/>
        </w:rPr>
        <w:t>施工管理人员素质不够，建设过程资料收集意识淡化，资料整理不齐、增加工程量手续不到位，以致工程竣工备案和结算审计办理受阻。</w:t>
      </w:r>
    </w:p>
    <w:p w14:paraId="0204A2AF">
      <w:pPr>
        <w:spacing w:line="500" w:lineRule="exact"/>
        <w:ind w:firstLine="640" w:firstLineChars="200"/>
        <w:jc w:val="both"/>
        <w:rPr>
          <w:rFonts w:hint="eastAsia" w:ascii="仿宋" w:hAnsi="仿宋" w:eastAsia="仿宋" w:cs="宋体"/>
          <w:sz w:val="32"/>
          <w:szCs w:val="32"/>
        </w:rPr>
      </w:pPr>
      <w:r>
        <w:rPr>
          <w:rFonts w:hint="eastAsia" w:ascii="仿宋" w:hAnsi="仿宋" w:eastAsia="仿宋" w:cs="宋体"/>
          <w:sz w:val="32"/>
          <w:szCs w:val="32"/>
          <w:lang w:val="en-US" w:eastAsia="zh-CN"/>
        </w:rPr>
        <w:t>3、</w:t>
      </w:r>
      <w:r>
        <w:rPr>
          <w:rFonts w:hint="eastAsia" w:ascii="仿宋" w:hAnsi="仿宋" w:eastAsia="仿宋" w:cs="宋体"/>
          <w:sz w:val="32"/>
          <w:szCs w:val="32"/>
        </w:rPr>
        <w:t>教育主管部门业务股室的基建专业人员配备不够、不齐，对中小学校项目建设业务指导不力，项目学校报建、报批办理缓慢，部分学校甚至不愿搞基建项目。</w:t>
      </w:r>
    </w:p>
    <w:p w14:paraId="10AC10AE">
      <w:pPr>
        <w:keepNext w:val="0"/>
        <w:keepLines w:val="0"/>
        <w:pageBreakBefore w:val="0"/>
        <w:kinsoku/>
        <w:wordWrap/>
        <w:overflowPunct/>
        <w:topLinePunct w:val="0"/>
        <w:autoSpaceDE/>
        <w:autoSpaceDN/>
        <w:bidi w:val="0"/>
        <w:spacing w:line="600" w:lineRule="exact"/>
        <w:ind w:firstLine="482" w:firstLineChars="15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p>
    <w:p w14:paraId="708DCB9E">
      <w:pPr>
        <w:spacing w:line="5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、加强项目学校项目管理人员基建业务知识培训：如可研立项、勘探、设计图审、预算财评、招投等基建资料收集和整理以及手续程序的办理。</w:t>
      </w:r>
    </w:p>
    <w:p w14:paraId="036CFAAC">
      <w:pPr>
        <w:spacing w:line="5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、教育局、县财政局、县发改局、县审计局等行政管理单位加强沟通衔接工作，在政策及法律法规允许的情况下，开通“绿色通道”，缩短中小学项目建设相关手续办理时间，提高审批效率，确保项目顺利推进。</w:t>
      </w:r>
    </w:p>
    <w:p w14:paraId="73B5837E">
      <w:pPr>
        <w:spacing w:line="5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压实基建工作责任，强化工作措施，倒排建设工期，抢抓建设进度，确保按期完成建设任务；切实加强对项目的质量监督检查工作，加强资金管理，强化督促检查，严把项目工程的材料入口关、施工监理关和质量验收关。</w:t>
      </w:r>
    </w:p>
    <w:p w14:paraId="00C81265">
      <w:pPr>
        <w:keepNext w:val="0"/>
        <w:keepLines w:val="0"/>
        <w:pageBreakBefore w:val="0"/>
        <w:kinsoku/>
        <w:wordWrap/>
        <w:overflowPunct/>
        <w:topLinePunct w:val="0"/>
        <w:autoSpaceDE/>
        <w:autoSpaceDN/>
        <w:bidi w:val="0"/>
        <w:spacing w:line="600" w:lineRule="exact"/>
        <w:ind w:right="14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进一步结合实际建立健全有关项目管理制度，落实专人负责制，规范项目资金管理，</w:t>
      </w:r>
      <w:r>
        <w:rPr>
          <w:rFonts w:hint="eastAsia" w:ascii="仿宋_GB2312" w:hAnsi="仿宋_GB2312" w:eastAsia="仿宋_GB2312" w:cs="仿宋_GB2312"/>
          <w:b w:val="0"/>
          <w:bCs/>
          <w:sz w:val="32"/>
          <w:szCs w:val="32"/>
        </w:rPr>
        <w:t>加强项目开展进度的跟踪，开展项目绩效评价，</w:t>
      </w:r>
      <w:r>
        <w:rPr>
          <w:rFonts w:hint="eastAsia" w:ascii="仿宋_GB2312" w:hAnsi="仿宋_GB2312" w:eastAsia="仿宋_GB2312" w:cs="仿宋_GB2312"/>
          <w:sz w:val="32"/>
          <w:szCs w:val="32"/>
        </w:rPr>
        <w:t>保障项目及时实施完成，发挥预期效益。</w:t>
      </w:r>
    </w:p>
    <w:p w14:paraId="3A82A0A1">
      <w:pPr>
        <w:keepNext w:val="0"/>
        <w:keepLines w:val="0"/>
        <w:pageBreakBefore w:val="0"/>
        <w:kinsoku/>
        <w:wordWrap/>
        <w:overflowPunct/>
        <w:topLinePunct w:val="0"/>
        <w:autoSpaceDE/>
        <w:autoSpaceDN/>
        <w:bidi w:val="0"/>
        <w:spacing w:line="600" w:lineRule="exact"/>
        <w:ind w:right="14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江华瑶族自治县教育局</w:t>
      </w:r>
    </w:p>
    <w:p w14:paraId="7F6A062C">
      <w:pPr>
        <w:rPr>
          <w:rFonts w:hint="eastAsia" w:ascii="仿宋_GB2312" w:hAnsi="仿宋_GB2312" w:eastAsia="仿宋_GB2312" w:cs="仿宋_GB231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5年4月23日</w:t>
      </w:r>
    </w:p>
    <w:p w14:paraId="4255353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EF495F"/>
    <w:rsid w:val="02F05ACC"/>
    <w:rsid w:val="0EEF495F"/>
    <w:rsid w:val="3A5F7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Body Text 2"/>
    <w:basedOn w:val="1"/>
    <w:qFormat/>
    <w:uiPriority w:val="0"/>
    <w:pPr>
      <w:spacing w:after="12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1934</Words>
  <Characters>2003</Characters>
  <Lines>0</Lines>
  <Paragraphs>0</Paragraphs>
  <TotalTime>3</TotalTime>
  <ScaleCrop>false</ScaleCrop>
  <LinksUpToDate>false</LinksUpToDate>
  <CharactersWithSpaces>2045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2025-04-29T01:18:00Z</dcterms:created>
  <dc:creator>飞得更高</dc:creator>
  <cp:lastModifiedBy>飞得更高</cp:lastModifiedBy>
  <dcterms:modified xsi:type="dcterms:W3CDTF">2025-05-08T00:46:05Z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E03B7B4E2F684760B229C4C688C89381_11</vt:lpwstr>
  </property>
  <property fmtid="{D5CDD505-2E9C-101B-9397-08002B2CF9AE}" pid="4" name="KSOTemplateDocerSaveRecord">
    <vt:lpwstr>eyJoZGlkIjoiODVkMjQ2NTEwMDY3NzllZjllNjdmNWFjYjNhODIzNDEiLCJ1c2VySWQiOiI1NjQ3NTI1MTQifQ==</vt:lpwstr>
  </property>
</Properties>
</file>