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年白芒营镇齐心村农民健身活动场所提质改造</w:t>
      </w:r>
      <w:r>
        <w:rPr>
          <w:rFonts w:hint="eastAsia" w:ascii="宋体" w:hAnsi="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根据江财综指〔2024〕0001号精神，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年白芒营镇齐心村农民健身活动场所提质改造资金为</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专项经费使用金额4万元，金额使用落实率达到100%，资金在2024年完成拨付。资金使用率和资金使用完成率达到100%，严格控制在预算内，服务群众满意度在90%以上。</w:t>
      </w:r>
      <w:bookmarkStart w:id="0" w:name="_GoBack"/>
      <w:bookmarkEnd w:id="0"/>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190E1F"/>
    <w:rsid w:val="2B3A0600"/>
    <w:rsid w:val="342753C9"/>
    <w:rsid w:val="3612023A"/>
    <w:rsid w:val="377F1B85"/>
    <w:rsid w:val="39FC4F2E"/>
    <w:rsid w:val="41007493"/>
    <w:rsid w:val="441E0683"/>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1406</Words>
  <Characters>1458</Characters>
  <Lines>19</Lines>
  <Paragraphs>5</Paragraphs>
  <TotalTime>23</TotalTime>
  <ScaleCrop>false</ScaleCrop>
  <LinksUpToDate>false</LinksUpToDate>
  <CharactersWithSpaces>1495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2025-04-25T02:41:24Z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610198BDD0074E06BC25F789BB0F7216</vt:lpwstr>
  </property>
</Properties>
</file>