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年平泽村老年活动广场建设</w:t>
      </w:r>
      <w:r>
        <w:rPr>
          <w:rFonts w:hint="eastAsia" w:ascii="宋体" w:hAnsi="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根据江财综指〔2024〕0004号精神，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年平泽村老年活动广场建设资金为</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bookmarkStart w:id="0" w:name="_GoBack"/>
      <w:bookmarkEnd w:id="0"/>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专项经费使用金额10万元，金额使用落实率达到100%，资金在2024年完成拨付。资金使用率和资金使用完成率达到100%，严格控制在预算内，服务群众满意度在90%以上。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190E1F"/>
    <w:rsid w:val="2B3A0600"/>
    <w:rsid w:val="342753C9"/>
    <w:rsid w:val="377F1B85"/>
    <w:rsid w:val="39FC4F2E"/>
    <w:rsid w:val="41007493"/>
    <w:rsid w:val="441E0683"/>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1424</Words>
  <Characters>1476</Characters>
  <Lines>19</Lines>
  <Paragraphs>5</Paragraphs>
  <TotalTime>16</TotalTime>
  <ScaleCrop>false</ScaleCrop>
  <LinksUpToDate>false</LinksUpToDate>
  <CharactersWithSpaces>1513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2025-04-25T02:34:00Z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8FD575A18B54446B932841904CDA72BE</vt:lpwstr>
  </property>
</Properties>
</file>