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D19" w:rsidRDefault="00623B84" w:rsidP="00623B84">
      <w:pPr>
        <w:widowControl/>
        <w:shd w:val="clear" w:color="auto" w:fill="FFFFFF"/>
        <w:spacing w:line="600" w:lineRule="auto"/>
        <w:jc w:val="center"/>
        <w:rPr>
          <w:rFonts w:ascii="Times New Roman" w:eastAsia="方正小标宋简体" w:hAnsi="Times New Roman" w:cs="Times New Roman"/>
          <w:color w:val="333333"/>
          <w:kern w:val="0"/>
          <w:sz w:val="44"/>
          <w:szCs w:val="44"/>
        </w:rPr>
      </w:pPr>
      <w:r>
        <w:rPr>
          <w:rFonts w:ascii="Times New Roman" w:eastAsia="方正小标宋简体" w:hAnsi="Times New Roman" w:cs="Times New Roman" w:hint="eastAsia"/>
          <w:color w:val="333333"/>
          <w:kern w:val="0"/>
          <w:sz w:val="44"/>
          <w:szCs w:val="44"/>
        </w:rPr>
        <w:t>江华县</w:t>
      </w:r>
      <w:r w:rsidR="00402A5B">
        <w:rPr>
          <w:rFonts w:ascii="Times New Roman" w:eastAsia="方正小标宋简体" w:hAnsi="Times New Roman" w:cs="Times New Roman" w:hint="eastAsia"/>
          <w:color w:val="333333"/>
          <w:kern w:val="0"/>
          <w:sz w:val="44"/>
          <w:szCs w:val="44"/>
        </w:rPr>
        <w:t>2023</w:t>
      </w:r>
      <w:r w:rsidR="00402A5B">
        <w:rPr>
          <w:rFonts w:ascii="Times New Roman" w:eastAsia="方正小标宋简体" w:hAnsi="Times New Roman" w:cs="Times New Roman" w:hint="eastAsia"/>
          <w:color w:val="333333"/>
          <w:kern w:val="0"/>
          <w:sz w:val="44"/>
          <w:szCs w:val="44"/>
        </w:rPr>
        <w:t>年度湖南省先进制造业高地建设专项资金绩效自评报告</w:t>
      </w:r>
    </w:p>
    <w:p w:rsidR="001E3D19" w:rsidRDefault="001E3D19" w:rsidP="00402A5B">
      <w:pPr>
        <w:widowControl/>
        <w:shd w:val="clear" w:color="auto" w:fill="FFFFFF"/>
        <w:spacing w:line="520" w:lineRule="exact"/>
        <w:jc w:val="center"/>
        <w:rPr>
          <w:rFonts w:ascii="Times New Roman" w:eastAsia="仿宋_GB2312" w:hAnsi="Times New Roman" w:cs="Times New Roman"/>
          <w:color w:val="333333"/>
          <w:kern w:val="0"/>
          <w:sz w:val="32"/>
          <w:szCs w:val="32"/>
        </w:rPr>
      </w:pPr>
    </w:p>
    <w:p w:rsidR="001E3D19" w:rsidRDefault="00402A5B" w:rsidP="00402A5B">
      <w:pPr>
        <w:pStyle w:val="a7"/>
        <w:numPr>
          <w:ilvl w:val="0"/>
          <w:numId w:val="1"/>
        </w:numPr>
        <w:shd w:val="clear" w:color="auto" w:fill="FFFFFF"/>
        <w:spacing w:line="520" w:lineRule="exact"/>
        <w:ind w:firstLine="640"/>
        <w:jc w:val="left"/>
        <w:rPr>
          <w:rFonts w:ascii="Times New Roman" w:eastAsia="黑体" w:hAnsi="Times New Roman" w:cs="Times New Roman"/>
          <w:kern w:val="0"/>
          <w:sz w:val="32"/>
          <w:szCs w:val="32"/>
        </w:rPr>
      </w:pPr>
      <w:r>
        <w:rPr>
          <w:rFonts w:ascii="Times New Roman" w:eastAsia="黑体" w:hAnsi="Times New Roman" w:cs="Times New Roman"/>
          <w:kern w:val="0"/>
          <w:sz w:val="32"/>
          <w:szCs w:val="32"/>
        </w:rPr>
        <w:t>本地区</w:t>
      </w:r>
      <w:r>
        <w:rPr>
          <w:rFonts w:ascii="Times New Roman" w:eastAsia="黑体" w:hAnsi="Times New Roman" w:cs="Times New Roman" w:hint="eastAsia"/>
          <w:kern w:val="0"/>
          <w:sz w:val="32"/>
          <w:szCs w:val="32"/>
        </w:rPr>
        <w:t>2023</w:t>
      </w:r>
      <w:r>
        <w:rPr>
          <w:rFonts w:ascii="Times New Roman" w:eastAsia="黑体" w:hAnsi="Times New Roman" w:cs="Times New Roman"/>
          <w:kern w:val="0"/>
          <w:sz w:val="32"/>
          <w:szCs w:val="32"/>
        </w:rPr>
        <w:t>年度</w:t>
      </w:r>
      <w:r>
        <w:rPr>
          <w:rFonts w:ascii="Times New Roman" w:eastAsia="黑体" w:hAnsi="Times New Roman" w:cs="Times New Roman" w:hint="eastAsia"/>
          <w:kern w:val="0"/>
          <w:sz w:val="32"/>
          <w:szCs w:val="32"/>
        </w:rPr>
        <w:t>先进制造业高地建设</w:t>
      </w:r>
      <w:r>
        <w:rPr>
          <w:rFonts w:ascii="Times New Roman" w:eastAsia="黑体" w:hAnsi="Times New Roman" w:cs="Times New Roman"/>
          <w:kern w:val="0"/>
          <w:sz w:val="32"/>
          <w:szCs w:val="32"/>
        </w:rPr>
        <w:t>工作情况概况</w:t>
      </w:r>
    </w:p>
    <w:p w:rsidR="001E3D19" w:rsidRDefault="00402A5B" w:rsidP="00402A5B">
      <w:pPr>
        <w:spacing w:line="520" w:lineRule="exact"/>
        <w:ind w:firstLine="640"/>
        <w:rPr>
          <w:rFonts w:ascii="仿宋_GB2312" w:eastAsia="仿宋_GB2312" w:hAnsi="仿宋" w:cs="仿宋"/>
          <w:sz w:val="32"/>
          <w:szCs w:val="32"/>
        </w:rPr>
      </w:pPr>
      <w:r>
        <w:rPr>
          <w:rFonts w:ascii="仿宋_GB2312" w:eastAsia="仿宋_GB2312" w:hAnsi="仿宋" w:cs="仿宋" w:hint="eastAsia"/>
          <w:sz w:val="32"/>
          <w:szCs w:val="32"/>
        </w:rPr>
        <w:t>1、2023年全县各级各部门认真贯彻落实党中央、国务院和省委、省政府以及市委、市政府的决策部署，紧紧围绕“三高四新”战略，全力推进“五好”园区建设，抓住重点和关键，对照全年发展目标任务，稳中求进，实中求进，推动全县科工事业高质量发展。2023年，全县124家规模以上工业企业累计完成总产值190.97亿元，同比增长7.56%；累计完成工业实缴税金60496万元，同比增长7.67%；实现工业固定资产投资同比增长23.4%；实现工业技改投资同比增长67.9%；累计实现规模工业增加值同比增长2.0%。全年完成优饰联智能、鑫治精密、金澳电机等13家企业的上规入统工作。江华正海五矿新材料有限公司-汝铁硼合金薄片、湖南飞优特电子科技有限公司-支付行业用液晶显示屏等2家企业产品被认定为湖南省制造业单项冠军产品。</w:t>
      </w:r>
    </w:p>
    <w:p w:rsidR="001E3D19" w:rsidRDefault="00402A5B" w:rsidP="00402A5B">
      <w:pPr>
        <w:spacing w:line="520" w:lineRule="exact"/>
        <w:ind w:firstLineChars="200" w:firstLine="640"/>
      </w:pPr>
      <w:r>
        <w:rPr>
          <w:rFonts w:ascii="仿宋_GB2312" w:eastAsia="仿宋_GB2312" w:hAnsi="仿宋" w:cs="仿宋" w:hint="eastAsia"/>
          <w:sz w:val="32"/>
          <w:szCs w:val="32"/>
        </w:rPr>
        <w:t>2、2023年我县共4个项目申报湖南省先进制造业高地建设专项资金重点产业类项目，其中1个项目获批资金100万元。全县共1个项目申报湖南省先进制造业高地建设专项资金重大议定事项和奖励类项目，1个项目获批资金100万元。全县共3个项目申报湖南省先进制造业高地建设专项资金工业转型升级类项目，3个项目获批资金140万元。全县6个项目获批湖南省先进制造业高地建设专项资金奖励类项</w:t>
      </w:r>
      <w:r>
        <w:rPr>
          <w:rFonts w:ascii="仿宋_GB2312" w:eastAsia="仿宋_GB2312" w:hAnsi="仿宋" w:cs="仿宋" w:hint="eastAsia"/>
          <w:sz w:val="32"/>
          <w:szCs w:val="32"/>
        </w:rPr>
        <w:lastRenderedPageBreak/>
        <w:t>目，共计360万元。项目完成情况如下：</w:t>
      </w:r>
    </w:p>
    <w:tbl>
      <w:tblPr>
        <w:tblStyle w:val="a6"/>
        <w:tblW w:w="8850" w:type="dxa"/>
        <w:tblLook w:val="04A0"/>
      </w:tblPr>
      <w:tblGrid>
        <w:gridCol w:w="961"/>
        <w:gridCol w:w="3075"/>
        <w:gridCol w:w="1485"/>
        <w:gridCol w:w="945"/>
        <w:gridCol w:w="1200"/>
        <w:gridCol w:w="1184"/>
      </w:tblGrid>
      <w:tr w:rsidR="001E3D19">
        <w:trPr>
          <w:trHeight w:val="1101"/>
        </w:trPr>
        <w:tc>
          <w:tcPr>
            <w:tcW w:w="961" w:type="dxa"/>
            <w:vAlign w:val="center"/>
          </w:tcPr>
          <w:p w:rsidR="001E3D19" w:rsidRDefault="00402A5B" w:rsidP="00402A5B">
            <w:pPr>
              <w:widowControl/>
              <w:spacing w:line="52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县市区</w:t>
            </w:r>
          </w:p>
        </w:tc>
        <w:tc>
          <w:tcPr>
            <w:tcW w:w="3075" w:type="dxa"/>
            <w:vAlign w:val="center"/>
          </w:tcPr>
          <w:p w:rsidR="001E3D19" w:rsidRDefault="00402A5B" w:rsidP="00402A5B">
            <w:pPr>
              <w:widowControl/>
              <w:spacing w:line="52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项目单位名称</w:t>
            </w:r>
          </w:p>
        </w:tc>
        <w:tc>
          <w:tcPr>
            <w:tcW w:w="1485" w:type="dxa"/>
            <w:vAlign w:val="center"/>
          </w:tcPr>
          <w:p w:rsidR="001E3D19" w:rsidRDefault="00402A5B" w:rsidP="00402A5B">
            <w:pPr>
              <w:widowControl/>
              <w:spacing w:line="52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项目类型</w:t>
            </w:r>
          </w:p>
        </w:tc>
        <w:tc>
          <w:tcPr>
            <w:tcW w:w="945" w:type="dxa"/>
            <w:vAlign w:val="center"/>
          </w:tcPr>
          <w:p w:rsidR="001E3D19" w:rsidRDefault="00402A5B" w:rsidP="00402A5B">
            <w:pPr>
              <w:widowControl/>
              <w:spacing w:line="52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金额</w:t>
            </w:r>
          </w:p>
        </w:tc>
        <w:tc>
          <w:tcPr>
            <w:tcW w:w="1200" w:type="dxa"/>
            <w:vAlign w:val="center"/>
          </w:tcPr>
          <w:p w:rsidR="001E3D19" w:rsidRDefault="00402A5B" w:rsidP="00402A5B">
            <w:pPr>
              <w:widowControl/>
              <w:spacing w:line="520" w:lineRule="exact"/>
              <w:jc w:val="center"/>
              <w:rPr>
                <w:rFonts w:ascii="仿宋_GB2312" w:eastAsia="仿宋_GB2312" w:hAnsi="Helvetica" w:cs="Helvetica"/>
                <w:b/>
                <w:bCs/>
                <w:color w:val="333333"/>
                <w:kern w:val="0"/>
                <w:sz w:val="24"/>
                <w:szCs w:val="24"/>
              </w:rPr>
            </w:pPr>
            <w:r>
              <w:rPr>
                <w:rFonts w:ascii="仿宋_GB2312" w:eastAsia="仿宋_GB2312" w:hAnsi="Helvetica" w:cs="Helvetica" w:hint="eastAsia"/>
                <w:b/>
                <w:bCs/>
                <w:color w:val="333333"/>
                <w:kern w:val="0"/>
                <w:sz w:val="24"/>
                <w:szCs w:val="24"/>
              </w:rPr>
              <w:t>完成情况</w:t>
            </w:r>
          </w:p>
        </w:tc>
        <w:tc>
          <w:tcPr>
            <w:tcW w:w="1184" w:type="dxa"/>
            <w:vAlign w:val="center"/>
          </w:tcPr>
          <w:p w:rsidR="001E3D19" w:rsidRDefault="00402A5B" w:rsidP="00402A5B">
            <w:pPr>
              <w:widowControl/>
              <w:spacing w:line="520" w:lineRule="exact"/>
              <w:jc w:val="center"/>
              <w:rPr>
                <w:rFonts w:ascii="仿宋_GB2312" w:eastAsia="仿宋_GB2312" w:hAnsi="Helvetica" w:cs="Helvetica"/>
                <w:b/>
                <w:bCs/>
                <w:color w:val="333333"/>
                <w:kern w:val="0"/>
                <w:sz w:val="24"/>
                <w:szCs w:val="24"/>
              </w:rPr>
            </w:pPr>
            <w:r>
              <w:rPr>
                <w:rFonts w:ascii="仿宋_GB2312" w:eastAsia="仿宋_GB2312" w:hAnsi="Helvetica" w:cs="Helvetica"/>
                <w:b/>
                <w:bCs/>
                <w:color w:val="333333"/>
                <w:kern w:val="0"/>
                <w:sz w:val="24"/>
                <w:szCs w:val="24"/>
              </w:rPr>
              <w:t>未完成原因和改进措施</w:t>
            </w: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中稀（永州）稀土新材料有限公司</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重点产业项目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100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湖南泰合电机有限公司</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工业转型升级项目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40</w:t>
            </w:r>
          </w:p>
        </w:tc>
        <w:tc>
          <w:tcPr>
            <w:tcW w:w="1200" w:type="dxa"/>
            <w:vAlign w:val="center"/>
          </w:tcPr>
          <w:p w:rsidR="001E3D19" w:rsidRDefault="00402A5B" w:rsidP="00402A5B">
            <w:pPr>
              <w:widowControl/>
              <w:spacing w:line="520" w:lineRule="exact"/>
              <w:jc w:val="center"/>
              <w:rPr>
                <w:rFonts w:ascii="仿宋_GB2312" w:eastAsia="仿宋_GB2312" w:cs="Helvetica"/>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cs="Helvetica"/>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湖南长锦成电器有限公司</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工业转型升级项目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40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江华正海新材料有限公司</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工业转型升级项目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60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江华绿宝石新能源储能科技有限公司</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奖励类项目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30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湖南飞优特电子科技有限公司</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奖励类项目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50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湖南瑶珍粮油有限公司</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奖励类项目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30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湖南瑶珍粮油有限公司（奖励个人）</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奖励类项目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20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江华九恒数码科技有限公司</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奖励类项目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30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江华高新技术产业开发区管委会</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奖励类项目</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200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r w:rsidR="001E3D19">
        <w:tc>
          <w:tcPr>
            <w:tcW w:w="961"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w:t>
            </w:r>
          </w:p>
        </w:tc>
        <w:tc>
          <w:tcPr>
            <w:tcW w:w="307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江华县科技工业和信息化局</w:t>
            </w:r>
          </w:p>
        </w:tc>
        <w:tc>
          <w:tcPr>
            <w:tcW w:w="148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真抓实干成效明显地区奖励</w:t>
            </w:r>
          </w:p>
        </w:tc>
        <w:tc>
          <w:tcPr>
            <w:tcW w:w="945"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100</w:t>
            </w:r>
          </w:p>
        </w:tc>
        <w:tc>
          <w:tcPr>
            <w:tcW w:w="1200" w:type="dxa"/>
            <w:vAlign w:val="center"/>
          </w:tcPr>
          <w:p w:rsidR="001E3D19" w:rsidRDefault="00402A5B" w:rsidP="00402A5B">
            <w:pPr>
              <w:widowControl/>
              <w:spacing w:line="520" w:lineRule="exact"/>
              <w:jc w:val="center"/>
              <w:rPr>
                <w:rFonts w:ascii="仿宋_GB2312" w:eastAsia="仿宋_GB2312" w:hAnsi="仿宋_GB2312" w:cs="仿宋_GB2312"/>
                <w:color w:val="333333"/>
                <w:kern w:val="0"/>
                <w:sz w:val="24"/>
                <w:szCs w:val="24"/>
              </w:rPr>
            </w:pPr>
            <w:r>
              <w:rPr>
                <w:rFonts w:ascii="仿宋_GB2312" w:eastAsia="仿宋_GB2312" w:hAnsi="仿宋_GB2312" w:cs="仿宋_GB2312" w:hint="eastAsia"/>
                <w:color w:val="333333"/>
                <w:kern w:val="0"/>
                <w:sz w:val="24"/>
                <w:szCs w:val="24"/>
              </w:rPr>
              <w:t>已完成</w:t>
            </w:r>
          </w:p>
        </w:tc>
        <w:tc>
          <w:tcPr>
            <w:tcW w:w="1184" w:type="dxa"/>
            <w:vAlign w:val="center"/>
          </w:tcPr>
          <w:p w:rsidR="001E3D19" w:rsidRDefault="001E3D19" w:rsidP="00402A5B">
            <w:pPr>
              <w:widowControl/>
              <w:spacing w:line="520" w:lineRule="exact"/>
              <w:jc w:val="center"/>
              <w:rPr>
                <w:rFonts w:ascii="仿宋_GB2312" w:eastAsia="仿宋_GB2312" w:hAnsi="仿宋_GB2312" w:cs="仿宋_GB2312"/>
                <w:color w:val="333333"/>
                <w:kern w:val="0"/>
                <w:sz w:val="24"/>
                <w:szCs w:val="24"/>
              </w:rPr>
            </w:pPr>
          </w:p>
        </w:tc>
      </w:tr>
    </w:tbl>
    <w:p w:rsidR="001E3D19" w:rsidRDefault="00402A5B" w:rsidP="00402A5B">
      <w:pPr>
        <w:pStyle w:val="a7"/>
        <w:shd w:val="clear" w:color="auto" w:fill="FFFFFF"/>
        <w:spacing w:line="520" w:lineRule="exact"/>
        <w:ind w:firstLine="640"/>
        <w:jc w:val="left"/>
        <w:rPr>
          <w:rFonts w:ascii="Times New Roman" w:eastAsia="黑体" w:hAnsi="Times New Roman" w:cs="Times New Roman"/>
          <w:kern w:val="0"/>
          <w:sz w:val="32"/>
          <w:szCs w:val="32"/>
        </w:rPr>
      </w:pPr>
      <w:r>
        <w:rPr>
          <w:rFonts w:ascii="Times New Roman" w:eastAsia="黑体" w:hAnsi="Times New Roman" w:cs="Times New Roman" w:hint="eastAsia"/>
          <w:kern w:val="0"/>
          <w:sz w:val="32"/>
          <w:szCs w:val="32"/>
        </w:rPr>
        <w:lastRenderedPageBreak/>
        <w:t>二、本地区专项资金使用整体绩效情况</w:t>
      </w:r>
    </w:p>
    <w:p w:rsidR="001E3D19" w:rsidRDefault="00402A5B" w:rsidP="00402A5B">
      <w:pPr>
        <w:widowControl/>
        <w:shd w:val="clear" w:color="auto" w:fill="FFFFFF"/>
        <w:spacing w:line="52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（一）专项资金预期目标完成程度</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2023年我县积极动员组织企业申报项目，我县共13个项目申报2023年湖南省先进制造业高地建设专项资金，其中9个项目共获批专项资金600万元，1个项目获批抓实干成效明显地区奖励类资金100万元，专项资金的使用有效促进我县</w:t>
      </w:r>
      <w:r>
        <w:rPr>
          <w:rFonts w:ascii="仿宋_GB2312" w:eastAsia="仿宋_GB2312" w:hAnsi="仿宋" w:cs="仿宋"/>
          <w:sz w:val="32"/>
          <w:szCs w:val="32"/>
        </w:rPr>
        <w:t>企业加大技术改造和研发创新投入、壮大企业规模，增强核心竞争力</w:t>
      </w:r>
      <w:r>
        <w:rPr>
          <w:rFonts w:ascii="仿宋_GB2312" w:eastAsia="仿宋_GB2312" w:hAnsi="仿宋" w:cs="仿宋" w:hint="eastAsia"/>
          <w:sz w:val="32"/>
          <w:szCs w:val="32"/>
        </w:rPr>
        <w:t>，为企业发展注入新的动能。2023年因受总体经济下行压力，导致部分项目单位项目建设进度及经济效益都没有达到计划进度，跟预期目标有一定差距。</w:t>
      </w:r>
    </w:p>
    <w:p w:rsidR="001E3D19" w:rsidRDefault="00402A5B" w:rsidP="00402A5B">
      <w:pPr>
        <w:widowControl/>
        <w:shd w:val="clear" w:color="auto" w:fill="FFFFFF"/>
        <w:spacing w:line="52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（二）专项资金管理水平</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我县严格按照专项资金管理办法，对项目资金的管理到位，实行专账管理。遵循科学规范原则，注重专项资金使用的经济性、效益性和效率性，严格执行规定程序。将管理贯穿于财政专项资金预算的各个环节，涵盖专项资金项目实施的事前、事中、事后全过程；秉承公正公开原则，在专项项目中建立工作群，对项目的资金的开支情况及完成情况能够及时调度，并针对企业进行一对一的协调，帮助企业解决实际性的问题，专项资金管理符合真实、客观、公正要求，依法公开并接受监督。</w:t>
      </w:r>
    </w:p>
    <w:p w:rsidR="001E3D19" w:rsidRDefault="00402A5B" w:rsidP="00402A5B">
      <w:pPr>
        <w:spacing w:line="520" w:lineRule="exact"/>
        <w:ind w:firstLineChars="200" w:firstLine="640"/>
        <w:rPr>
          <w:rFonts w:ascii="黑体" w:eastAsia="黑体" w:hAnsi="黑体" w:cs="黑体"/>
          <w:color w:val="333333"/>
          <w:kern w:val="0"/>
          <w:sz w:val="32"/>
          <w:szCs w:val="32"/>
        </w:rPr>
      </w:pPr>
      <w:r>
        <w:rPr>
          <w:rFonts w:ascii="黑体" w:eastAsia="黑体" w:hAnsi="黑体" w:cs="黑体"/>
          <w:color w:val="333333"/>
          <w:kern w:val="0"/>
          <w:sz w:val="32"/>
          <w:szCs w:val="32"/>
        </w:rPr>
        <w:t>三</w:t>
      </w:r>
      <w:r>
        <w:rPr>
          <w:rFonts w:ascii="黑体" w:eastAsia="黑体" w:hAnsi="黑体" w:cs="黑体" w:hint="eastAsia"/>
          <w:color w:val="333333"/>
          <w:kern w:val="0"/>
          <w:sz w:val="32"/>
          <w:szCs w:val="32"/>
        </w:rPr>
        <w:t>、项目单位的专项资金使用绩效</w:t>
      </w:r>
    </w:p>
    <w:p w:rsidR="001E3D19" w:rsidRDefault="00402A5B" w:rsidP="00402A5B">
      <w:pPr>
        <w:widowControl/>
        <w:shd w:val="clear" w:color="auto" w:fill="FFFFFF"/>
        <w:spacing w:line="52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（一）资金落实及支出情况</w:t>
      </w:r>
    </w:p>
    <w:p w:rsidR="001E3D19" w:rsidRDefault="00402A5B" w:rsidP="00402A5B">
      <w:pPr>
        <w:spacing w:line="520" w:lineRule="exact"/>
        <w:ind w:firstLineChars="200" w:firstLine="640"/>
        <w:rPr>
          <w:rFonts w:ascii="仿宋_GB2312" w:eastAsia="仿宋_GB2312" w:hAnsi="Helvetica" w:cs="Helvetica"/>
          <w:kern w:val="0"/>
          <w:sz w:val="32"/>
          <w:szCs w:val="32"/>
        </w:rPr>
      </w:pPr>
      <w:r>
        <w:rPr>
          <w:rFonts w:ascii="仿宋_GB2312" w:eastAsia="仿宋_GB2312" w:hAnsi="仿宋" w:cs="仿宋"/>
          <w:sz w:val="32"/>
          <w:szCs w:val="32"/>
        </w:rPr>
        <w:t>1</w:t>
      </w:r>
      <w:r>
        <w:rPr>
          <w:rFonts w:ascii="仿宋_GB2312" w:eastAsia="仿宋_GB2312" w:hAnsi="仿宋" w:cs="仿宋" w:hint="eastAsia"/>
          <w:sz w:val="32"/>
          <w:szCs w:val="32"/>
        </w:rPr>
        <w:t>、</w:t>
      </w:r>
      <w:r>
        <w:rPr>
          <w:rFonts w:ascii="仿宋_GB2312" w:eastAsia="仿宋_GB2312" w:hAnsi="仿宋" w:cs="仿宋"/>
          <w:sz w:val="32"/>
          <w:szCs w:val="32"/>
        </w:rPr>
        <w:t>资金落实情况。</w:t>
      </w:r>
      <w:r>
        <w:rPr>
          <w:rFonts w:ascii="仿宋_GB2312" w:eastAsia="仿宋_GB2312" w:hAnsi="仿宋" w:cs="仿宋" w:hint="eastAsia"/>
          <w:sz w:val="32"/>
          <w:szCs w:val="32"/>
        </w:rPr>
        <w:t>2023年江华县共获得湖南省先进制造业高地建设专项资金700万元、到位率100%，其中补助类项目资金240万元和奖励类项目资金360万元都于2023年11月全部拨付到位，</w:t>
      </w:r>
      <w:r>
        <w:rPr>
          <w:rFonts w:ascii="仿宋_GB2312" w:eastAsia="仿宋_GB2312" w:hAnsi="Helvetica" w:cs="Helvetica" w:hint="eastAsia"/>
          <w:kern w:val="0"/>
          <w:sz w:val="32"/>
          <w:szCs w:val="32"/>
        </w:rPr>
        <w:t>项目单位的自筹资金大部分都已到</w:t>
      </w:r>
      <w:r>
        <w:rPr>
          <w:rFonts w:ascii="仿宋_GB2312" w:eastAsia="仿宋_GB2312" w:hAnsi="Helvetica" w:cs="Helvetica" w:hint="eastAsia"/>
          <w:kern w:val="0"/>
          <w:sz w:val="32"/>
          <w:szCs w:val="32"/>
        </w:rPr>
        <w:lastRenderedPageBreak/>
        <w:t>位。县市区</w:t>
      </w:r>
      <w:r>
        <w:rPr>
          <w:rFonts w:ascii="仿宋_GB2312" w:eastAsia="仿宋_GB2312" w:hAnsi="仿宋" w:cs="仿宋" w:hint="eastAsia"/>
          <w:sz w:val="32"/>
          <w:szCs w:val="32"/>
        </w:rPr>
        <w:t>奖励类项目资金100万元已全部使用完毕,其中10万元用于兑现部分高新技术企业奖励资金，15万用于兑现九恒数码等3家单项冠军企业奖励资金，65万用于兑现湖南丰辉电机有限公司等12家专</w:t>
      </w:r>
      <w:bookmarkStart w:id="0" w:name="_GoBack"/>
      <w:bookmarkEnd w:id="0"/>
      <w:r>
        <w:rPr>
          <w:rFonts w:ascii="仿宋_GB2312" w:eastAsia="仿宋_GB2312" w:hAnsi="仿宋" w:cs="仿宋" w:hint="eastAsia"/>
          <w:sz w:val="32"/>
          <w:szCs w:val="32"/>
        </w:rPr>
        <w:t>精特新企业奖励资金，10万用于智赋万企现场会议支出</w:t>
      </w:r>
      <w:r>
        <w:rPr>
          <w:rFonts w:ascii="仿宋_GB2312" w:eastAsia="仿宋_GB2312" w:hAnsi="Helvetica" w:cs="Helvetica" w:hint="eastAsia"/>
          <w:kern w:val="0"/>
          <w:sz w:val="32"/>
          <w:szCs w:val="32"/>
        </w:rPr>
        <w:t>。</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sz w:val="32"/>
          <w:szCs w:val="32"/>
        </w:rPr>
        <w:t>2</w:t>
      </w:r>
      <w:r>
        <w:rPr>
          <w:rFonts w:ascii="仿宋_GB2312" w:eastAsia="仿宋_GB2312" w:hAnsi="仿宋" w:cs="仿宋" w:hint="eastAsia"/>
          <w:sz w:val="32"/>
          <w:szCs w:val="32"/>
        </w:rPr>
        <w:t>、</w:t>
      </w:r>
      <w:r>
        <w:rPr>
          <w:rFonts w:ascii="仿宋_GB2312" w:eastAsia="仿宋_GB2312" w:hAnsi="仿宋" w:cs="仿宋"/>
          <w:sz w:val="32"/>
          <w:szCs w:val="32"/>
        </w:rPr>
        <w:t>专项资金支出情况。</w:t>
      </w:r>
      <w:r>
        <w:rPr>
          <w:rFonts w:ascii="仿宋_GB2312" w:eastAsia="仿宋_GB2312" w:hAnsi="仿宋" w:cs="仿宋" w:hint="eastAsia"/>
          <w:sz w:val="32"/>
          <w:szCs w:val="32"/>
        </w:rPr>
        <w:t>项目单位的专项资金整体支出进度、支出范围与申报计划相符，专项资金做到专款专用、支出合理合规，项目单位的财务管理制度健全、财务资料、账务处理规范。</w:t>
      </w:r>
    </w:p>
    <w:p w:rsidR="001E3D19" w:rsidRDefault="00402A5B" w:rsidP="00402A5B">
      <w:pPr>
        <w:widowControl/>
        <w:shd w:val="clear" w:color="auto" w:fill="FFFFFF"/>
        <w:spacing w:line="52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（二）项目实施过程情况</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sz w:val="32"/>
          <w:szCs w:val="32"/>
        </w:rPr>
        <w:t>1</w:t>
      </w:r>
      <w:r>
        <w:rPr>
          <w:rFonts w:ascii="仿宋_GB2312" w:eastAsia="仿宋_GB2312" w:hAnsi="仿宋" w:cs="仿宋" w:hint="eastAsia"/>
          <w:sz w:val="32"/>
          <w:szCs w:val="32"/>
        </w:rPr>
        <w:t>、</w:t>
      </w:r>
      <w:r>
        <w:rPr>
          <w:rFonts w:ascii="仿宋_GB2312" w:eastAsia="仿宋_GB2312" w:hAnsi="仿宋" w:cs="仿宋"/>
          <w:sz w:val="32"/>
          <w:szCs w:val="32"/>
        </w:rPr>
        <w:t>项目立项论证的充分性。</w:t>
      </w:r>
      <w:r>
        <w:rPr>
          <w:rFonts w:ascii="仿宋_GB2312" w:eastAsia="仿宋_GB2312" w:hAnsi="仿宋" w:cs="仿宋" w:hint="eastAsia"/>
          <w:sz w:val="32"/>
          <w:szCs w:val="32"/>
        </w:rPr>
        <w:t>项目单位申报资格合规、申报材料客观真实、申报项目与有关规定相符。</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sz w:val="32"/>
          <w:szCs w:val="32"/>
        </w:rPr>
        <w:t>2</w:t>
      </w:r>
      <w:r>
        <w:rPr>
          <w:rFonts w:ascii="仿宋_GB2312" w:eastAsia="仿宋_GB2312" w:hAnsi="仿宋" w:cs="仿宋" w:hint="eastAsia"/>
          <w:sz w:val="32"/>
          <w:szCs w:val="32"/>
        </w:rPr>
        <w:t>、</w:t>
      </w:r>
      <w:r>
        <w:rPr>
          <w:rFonts w:ascii="仿宋_GB2312" w:eastAsia="仿宋_GB2312" w:hAnsi="仿宋" w:cs="仿宋"/>
          <w:sz w:val="32"/>
          <w:szCs w:val="32"/>
        </w:rPr>
        <w:t>项目实施的规范性。</w:t>
      </w:r>
      <w:r>
        <w:rPr>
          <w:rFonts w:ascii="仿宋_GB2312" w:eastAsia="仿宋_GB2312" w:hAnsi="仿宋" w:cs="仿宋" w:hint="eastAsia"/>
          <w:sz w:val="32"/>
          <w:szCs w:val="32"/>
        </w:rPr>
        <w:t>项目单位建立有比较健全的项目建设管理制度，项目实施支撑条件具备，项目推进完成按计划实施。</w:t>
      </w:r>
    </w:p>
    <w:p w:rsidR="001E3D19" w:rsidRDefault="00402A5B" w:rsidP="00402A5B">
      <w:pPr>
        <w:widowControl/>
        <w:shd w:val="clear" w:color="auto" w:fill="FFFFFF"/>
        <w:spacing w:line="520" w:lineRule="exact"/>
        <w:ind w:firstLineChars="200" w:firstLine="640"/>
        <w:jc w:val="left"/>
        <w:rPr>
          <w:rFonts w:ascii="Times New Roman" w:eastAsia="仿宋_GB2312" w:hAnsi="Times New Roman" w:cs="Times New Roman"/>
          <w:color w:val="333333"/>
          <w:kern w:val="0"/>
          <w:sz w:val="32"/>
          <w:szCs w:val="32"/>
        </w:rPr>
      </w:pPr>
      <w:r>
        <w:rPr>
          <w:rFonts w:ascii="Times New Roman" w:eastAsia="仿宋_GB2312" w:hAnsi="Times New Roman" w:cs="Times New Roman"/>
          <w:b/>
          <w:bCs/>
          <w:color w:val="333333"/>
          <w:kern w:val="0"/>
          <w:sz w:val="32"/>
          <w:szCs w:val="32"/>
        </w:rPr>
        <w:t>（三）项目预期目标完成情况</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获得支持的项目基本上都按期、按标准的完成了或正在完成各项建设，项目在建成后已取得了很好的社会效益和经济效益，一方面为我县工业经济持续稳定增长做出了贡献；另一方面增加就业岗位，取得了很好的社会效益，同时带动上下游产业的健康稳定发展。</w:t>
      </w:r>
    </w:p>
    <w:p w:rsidR="001E3D19" w:rsidRDefault="00402A5B" w:rsidP="00402A5B">
      <w:pPr>
        <w:widowControl/>
        <w:numPr>
          <w:ilvl w:val="0"/>
          <w:numId w:val="2"/>
        </w:numPr>
        <w:shd w:val="clear" w:color="auto" w:fill="FFFFFF"/>
        <w:spacing w:line="520" w:lineRule="exact"/>
        <w:ind w:firstLineChars="200" w:firstLine="640"/>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项目后续工作计划</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我县将进一步加强项目调度督查，提升企业精准帮扶效果，继续健全领导联系重点项目制、项目责任人制，加强与项目的对接，分析问题，找准原因，采取措施，促成完工，强力推进项目建设。通过项目建设的推进，用足用好用活企</w:t>
      </w:r>
      <w:r>
        <w:rPr>
          <w:rFonts w:ascii="仿宋_GB2312" w:eastAsia="仿宋_GB2312" w:hAnsi="仿宋" w:cs="仿宋" w:hint="eastAsia"/>
          <w:sz w:val="32"/>
          <w:szCs w:val="32"/>
        </w:rPr>
        <w:lastRenderedPageBreak/>
        <w:t>业转型升级等专项资金，显著增强企业的动力和活力。在深入调研基础上，摸排出一批重点行业和重点企业，努力为企业发展创造良好条件，引导企业严格规范、科学管理、提高素质、增强竞争力。</w:t>
      </w:r>
    </w:p>
    <w:p w:rsidR="001E3D19" w:rsidRDefault="00402A5B" w:rsidP="00402A5B">
      <w:pPr>
        <w:widowControl/>
        <w:shd w:val="clear" w:color="auto" w:fill="FFFFFF"/>
        <w:spacing w:line="520" w:lineRule="exact"/>
        <w:ind w:firstLineChars="200" w:firstLine="640"/>
        <w:jc w:val="left"/>
        <w:rPr>
          <w:rFonts w:ascii="黑体" w:eastAsia="黑体" w:hAnsi="黑体" w:cs="黑体"/>
          <w:color w:val="333333"/>
          <w:kern w:val="0"/>
          <w:sz w:val="32"/>
          <w:szCs w:val="32"/>
        </w:rPr>
      </w:pPr>
      <w:r>
        <w:rPr>
          <w:rFonts w:ascii="黑体" w:eastAsia="黑体" w:hAnsi="黑体" w:cs="黑体"/>
          <w:color w:val="333333"/>
          <w:kern w:val="0"/>
          <w:sz w:val="32"/>
          <w:szCs w:val="32"/>
        </w:rPr>
        <w:t>五</w:t>
      </w:r>
      <w:r>
        <w:rPr>
          <w:rFonts w:ascii="黑体" w:eastAsia="黑体" w:hAnsi="黑体" w:cs="黑体" w:hint="eastAsia"/>
          <w:color w:val="333333"/>
          <w:kern w:val="0"/>
          <w:sz w:val="32"/>
          <w:szCs w:val="32"/>
        </w:rPr>
        <w:t>、主要经验做法、存在问题、改进措施和建议</w:t>
      </w:r>
    </w:p>
    <w:p w:rsidR="001E3D19" w:rsidRDefault="00402A5B" w:rsidP="00402A5B">
      <w:pPr>
        <w:widowControl/>
        <w:shd w:val="clear" w:color="auto" w:fill="FFFFFF"/>
        <w:spacing w:line="520" w:lineRule="exact"/>
        <w:ind w:firstLineChars="200" w:firstLine="640"/>
        <w:jc w:val="left"/>
        <w:rPr>
          <w:rFonts w:ascii="Times New Roman" w:eastAsia="仿宋_GB2312" w:hAnsi="Times New Roman" w:cs="Times New Roman"/>
          <w:b/>
          <w:bCs/>
          <w:color w:val="333333"/>
          <w:kern w:val="0"/>
          <w:sz w:val="32"/>
          <w:szCs w:val="32"/>
        </w:rPr>
      </w:pPr>
      <w:r>
        <w:rPr>
          <w:rFonts w:ascii="Times New Roman" w:eastAsia="仿宋_GB2312" w:hAnsi="Times New Roman" w:cs="Times New Roman" w:hint="eastAsia"/>
          <w:b/>
          <w:bCs/>
          <w:color w:val="333333"/>
          <w:kern w:val="0"/>
          <w:sz w:val="32"/>
          <w:szCs w:val="32"/>
        </w:rPr>
        <w:t>（一）主要经验做法：</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sz w:val="32"/>
          <w:szCs w:val="32"/>
        </w:rPr>
        <w:t>1</w:t>
      </w:r>
      <w:r>
        <w:rPr>
          <w:rFonts w:ascii="仿宋_GB2312" w:eastAsia="仿宋_GB2312" w:hAnsi="仿宋" w:cs="仿宋" w:hint="eastAsia"/>
          <w:sz w:val="32"/>
          <w:szCs w:val="32"/>
        </w:rPr>
        <w:t>、</w:t>
      </w:r>
      <w:r>
        <w:rPr>
          <w:rFonts w:ascii="仿宋_GB2312" w:eastAsia="仿宋_GB2312" w:hAnsi="仿宋" w:cs="仿宋"/>
          <w:sz w:val="32"/>
          <w:szCs w:val="32"/>
        </w:rPr>
        <w:t>推进主导产业稳定增长。</w:t>
      </w:r>
      <w:r>
        <w:rPr>
          <w:rFonts w:ascii="仿宋_GB2312" w:eastAsia="仿宋_GB2312" w:hAnsi="仿宋" w:cs="仿宋" w:hint="eastAsia"/>
          <w:sz w:val="32"/>
          <w:szCs w:val="32"/>
        </w:rPr>
        <w:t>我县目前基本形成了以中稀稀土、海螺水泥、九恒集团、正海新材料等企业为代表的新材料主导产业。2023年，新材料主导产业实现产值96.92亿元，占规模工业总产值的50.75%，主特产业占比不断提升。全年累计产值过亿元企业55家，占规模工业企业总数的44.35%，产值前3位的为湖南恒创新材料有限公司9.92亿元，九恒数码8.37亿元，日日兴7.18亿元，新增营收过亿元企业7家。</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加快特色产业集聚发展。形成了以丰辉电机、长锦成电器、锐毅马达、国梦科技等企业为代表的电机电器特色产业。2023年，规上电机电器企业实现产值59.44亿元，占规模工业总产值的31.13%。近年来，以电机电器为主的先进装备制造项目呈现“抱团式落地、联盟式入驻、链条式发展”态势，电机特色产业年产马达5亿只以上。长锦成电器产业园、龙德晟机电产业园等电机特色园中园飞速发展，中国“马达之城”初具雏形。江华智能小家电电机产业集群入围2023年湖南产业集群决赛胜出名单，被认定为省级中小工业企业特色产业集群。</w:t>
      </w:r>
    </w:p>
    <w:p w:rsidR="001E3D19" w:rsidRDefault="00402A5B" w:rsidP="00402A5B">
      <w:pPr>
        <w:spacing w:line="520" w:lineRule="exact"/>
        <w:ind w:firstLine="640"/>
        <w:rPr>
          <w:rFonts w:ascii="仿宋_GB2312" w:eastAsia="仿宋_GB2312" w:hAnsi="仿宋" w:cs="仿宋"/>
          <w:sz w:val="32"/>
          <w:szCs w:val="32"/>
        </w:rPr>
      </w:pPr>
      <w:r>
        <w:rPr>
          <w:rFonts w:ascii="仿宋_GB2312" w:eastAsia="仿宋_GB2312" w:hAnsi="仿宋" w:cs="仿宋" w:hint="eastAsia"/>
          <w:sz w:val="32"/>
          <w:szCs w:val="32"/>
        </w:rPr>
        <w:t>3、抓好优质企业培育提升。充分发挥我县《规模工业项目招商引资优惠政策二十条规定》引导作用，加快优质企</w:t>
      </w:r>
      <w:r>
        <w:rPr>
          <w:rFonts w:ascii="仿宋_GB2312" w:eastAsia="仿宋_GB2312" w:hAnsi="仿宋" w:cs="仿宋" w:hint="eastAsia"/>
          <w:sz w:val="32"/>
          <w:szCs w:val="32"/>
        </w:rPr>
        <w:lastRenderedPageBreak/>
        <w:t>业培育提升。14家企业成功认定为2023年湖南省专精特新中小企业，全县省级以上专精特新中小企业共31家，排名全市第一；国家级专精特新“小巨人”企业达4家；成功培育9家省级企业技术中心，总数达14家，排名全市第一。</w:t>
      </w:r>
    </w:p>
    <w:p w:rsidR="001E3D19" w:rsidRDefault="00402A5B" w:rsidP="00402A5B">
      <w:pPr>
        <w:pStyle w:val="a5"/>
        <w:widowControl/>
        <w:spacing w:line="520" w:lineRule="exact"/>
        <w:ind w:firstLineChars="200" w:firstLine="640"/>
        <w:jc w:val="left"/>
      </w:pPr>
      <w:r>
        <w:rPr>
          <w:rFonts w:ascii="仿宋_GB2312" w:eastAsia="仿宋_GB2312" w:hAnsi="仿宋" w:cs="仿宋" w:hint="eastAsia"/>
          <w:sz w:val="32"/>
          <w:szCs w:val="32"/>
        </w:rPr>
        <w:t>4、扎实推进“五好”园区创建。江华高新区紧紧围绕“五好”园区创建标准，扎实开展“三送三解三优”行动，以“五五”工作法为抓手，不断擦亮“五心四到两保障”母亲式服务品牌，全力打好经济增长主动仗，推进“五好”园区建设。2023年11月30日，毛伟明省长在省档案馆呈报的《“江华奇迹”是如何创造的—偏远山区的“五好”园区涅槃之路》上专门作出批示，作为典型以《省政府通报》形式印发全省各地各单位学习借鉴。</w:t>
      </w:r>
    </w:p>
    <w:p w:rsidR="001E3D19" w:rsidRDefault="00402A5B" w:rsidP="00402A5B">
      <w:pPr>
        <w:widowControl/>
        <w:shd w:val="clear" w:color="auto" w:fill="FFFFFF"/>
        <w:spacing w:line="520" w:lineRule="exact"/>
        <w:ind w:firstLineChars="200" w:firstLine="640"/>
        <w:jc w:val="left"/>
        <w:rPr>
          <w:rFonts w:ascii="Times New Roman" w:eastAsia="仿宋_GB2312" w:hAnsi="Times New Roman" w:cs="Times New Roman"/>
          <w:b/>
          <w:bCs/>
          <w:color w:val="333333"/>
          <w:kern w:val="0"/>
          <w:sz w:val="32"/>
          <w:szCs w:val="32"/>
        </w:rPr>
      </w:pPr>
      <w:r>
        <w:rPr>
          <w:rFonts w:ascii="Times New Roman" w:eastAsia="仿宋_GB2312" w:hAnsi="Times New Roman" w:cs="Times New Roman" w:hint="eastAsia"/>
          <w:b/>
          <w:bCs/>
          <w:color w:val="333333"/>
          <w:kern w:val="0"/>
          <w:sz w:val="32"/>
          <w:szCs w:val="32"/>
        </w:rPr>
        <w:t>（二）存在问题：</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 </w:t>
      </w:r>
      <w:r>
        <w:rPr>
          <w:rFonts w:ascii="仿宋_GB2312" w:eastAsia="仿宋_GB2312" w:hAnsi="仿宋" w:cs="仿宋" w:hint="eastAsia"/>
          <w:sz w:val="32"/>
          <w:szCs w:val="32"/>
        </w:rPr>
        <w:t>1、受经济下行等多种因素影响，目前部分企业特别是中小微企业面临的最大问题是资金短缺，融资困难，资金缺口较大。</w:t>
      </w:r>
      <w:r>
        <w:rPr>
          <w:rFonts w:ascii="仿宋_GB2312" w:eastAsia="仿宋_GB2312" w:hAnsi="仿宋" w:cs="仿宋" w:hint="eastAsia"/>
          <w:sz w:val="32"/>
          <w:szCs w:val="32"/>
        </w:rPr>
        <w:t>  </w:t>
      </w:r>
      <w:r>
        <w:rPr>
          <w:rFonts w:ascii="仿宋_GB2312" w:eastAsia="仿宋_GB2312" w:hAnsi="仿宋" w:cs="仿宋" w:hint="eastAsia"/>
          <w:sz w:val="32"/>
          <w:szCs w:val="32"/>
        </w:rPr>
        <w:t xml:space="preserve"> </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2、专项资金支持的项目，大部分投资较大，建设周期较长，部分已完工投产项目因投产时间短而产出及效益等尚未完全显现，项目的绩效现今不好准确地评价。</w:t>
      </w:r>
    </w:p>
    <w:p w:rsidR="001E3D19" w:rsidRDefault="00402A5B" w:rsidP="00402A5B">
      <w:pPr>
        <w:widowControl/>
        <w:shd w:val="clear" w:color="auto" w:fill="FFFFFF"/>
        <w:spacing w:line="520" w:lineRule="exact"/>
        <w:ind w:firstLineChars="200" w:firstLine="640"/>
        <w:jc w:val="left"/>
        <w:rPr>
          <w:rFonts w:ascii="Times New Roman" w:eastAsia="仿宋_GB2312" w:hAnsi="Times New Roman" w:cs="Times New Roman"/>
          <w:b/>
          <w:bCs/>
          <w:color w:val="333333"/>
          <w:kern w:val="0"/>
          <w:sz w:val="32"/>
          <w:szCs w:val="32"/>
        </w:rPr>
      </w:pPr>
      <w:r>
        <w:rPr>
          <w:rFonts w:ascii="Times New Roman" w:eastAsia="仿宋_GB2312" w:hAnsi="Times New Roman" w:cs="Times New Roman" w:hint="eastAsia"/>
          <w:b/>
          <w:bCs/>
          <w:color w:val="333333"/>
          <w:kern w:val="0"/>
          <w:sz w:val="32"/>
          <w:szCs w:val="32"/>
        </w:rPr>
        <w:t>（三）改进措施和建议：</w:t>
      </w:r>
    </w:p>
    <w:p w:rsidR="001E3D19" w:rsidRDefault="00402A5B" w:rsidP="00402A5B">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希望省厅加大资金安排力度，进一步突出重点。建议按照专项资金管理办法规定，按重点项目投资比例安排专项资金，加大对我县重点项目的支持力度。</w:t>
      </w:r>
    </w:p>
    <w:p w:rsidR="001E3D19" w:rsidRDefault="001E3D19" w:rsidP="00402A5B">
      <w:pPr>
        <w:pStyle w:val="a4"/>
        <w:spacing w:line="520" w:lineRule="exact"/>
        <w:jc w:val="both"/>
      </w:pPr>
    </w:p>
    <w:p w:rsidR="001E3D19" w:rsidRDefault="00402A5B" w:rsidP="00402A5B">
      <w:pPr>
        <w:spacing w:line="520" w:lineRule="exact"/>
        <w:ind w:firstLineChars="200" w:firstLine="640"/>
        <w:jc w:val="right"/>
        <w:rPr>
          <w:rFonts w:ascii="仿宋_GB2312" w:eastAsia="仿宋_GB2312" w:hAnsi="仿宋" w:cs="仿宋"/>
          <w:sz w:val="32"/>
          <w:szCs w:val="32"/>
        </w:rPr>
      </w:pPr>
      <w:r>
        <w:rPr>
          <w:rFonts w:ascii="仿宋_GB2312" w:eastAsia="仿宋_GB2312" w:hAnsi="仿宋" w:cs="仿宋" w:hint="eastAsia"/>
          <w:sz w:val="32"/>
          <w:szCs w:val="32"/>
        </w:rPr>
        <w:t>江华瑶族自治县科技和工业信息化局</w:t>
      </w:r>
    </w:p>
    <w:p w:rsidR="001E3D19" w:rsidRDefault="00402A5B" w:rsidP="00402A5B">
      <w:pPr>
        <w:spacing w:line="520" w:lineRule="exact"/>
        <w:ind w:firstLineChars="200" w:firstLine="640"/>
        <w:jc w:val="center"/>
      </w:pPr>
      <w:r>
        <w:rPr>
          <w:rFonts w:ascii="仿宋_GB2312" w:eastAsia="仿宋_GB2312" w:hAnsi="仿宋" w:cs="仿宋" w:hint="eastAsia"/>
          <w:sz w:val="32"/>
          <w:szCs w:val="32"/>
        </w:rPr>
        <w:t xml:space="preserve">                  2024年</w:t>
      </w:r>
      <w:r w:rsidR="00623B84">
        <w:rPr>
          <w:rFonts w:ascii="仿宋_GB2312" w:eastAsia="仿宋_GB2312" w:hAnsi="仿宋" w:cs="仿宋" w:hint="eastAsia"/>
          <w:sz w:val="32"/>
          <w:szCs w:val="32"/>
        </w:rPr>
        <w:t>5</w:t>
      </w:r>
      <w:r>
        <w:rPr>
          <w:rFonts w:ascii="仿宋_GB2312" w:eastAsia="仿宋_GB2312" w:hAnsi="仿宋" w:cs="仿宋" w:hint="eastAsia"/>
          <w:sz w:val="32"/>
          <w:szCs w:val="32"/>
        </w:rPr>
        <w:t>月</w:t>
      </w:r>
      <w:r w:rsidR="00255C33">
        <w:rPr>
          <w:rFonts w:ascii="仿宋_GB2312" w:eastAsia="仿宋_GB2312" w:hAnsi="仿宋" w:cs="仿宋" w:hint="eastAsia"/>
          <w:sz w:val="32"/>
          <w:szCs w:val="32"/>
        </w:rPr>
        <w:t>15</w:t>
      </w:r>
      <w:r>
        <w:rPr>
          <w:rFonts w:ascii="仿宋_GB2312" w:eastAsia="仿宋_GB2312" w:hAnsi="仿宋" w:cs="仿宋" w:hint="eastAsia"/>
          <w:sz w:val="32"/>
          <w:szCs w:val="32"/>
        </w:rPr>
        <w:t>日</w:t>
      </w:r>
    </w:p>
    <w:sectPr w:rsidR="001E3D19" w:rsidSect="001E3D1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charset w:val="86"/>
    <w:family w:val="auto"/>
    <w:pitch w:val="default"/>
    <w:sig w:usb0="00000000" w:usb1="080E0000" w:usb2="00000000" w:usb3="00000000" w:csb0="00040000"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5B8D04"/>
    <w:multiLevelType w:val="singleLevel"/>
    <w:tmpl w:val="C85B8D04"/>
    <w:lvl w:ilvl="0">
      <w:start w:val="4"/>
      <w:numFmt w:val="chineseCounting"/>
      <w:suff w:val="nothing"/>
      <w:lvlText w:val="%1、"/>
      <w:lvlJc w:val="left"/>
      <w:rPr>
        <w:rFonts w:hint="eastAsia"/>
      </w:rPr>
    </w:lvl>
  </w:abstractNum>
  <w:abstractNum w:abstractNumId="1">
    <w:nsid w:val="FAAAA8E2"/>
    <w:multiLevelType w:val="singleLevel"/>
    <w:tmpl w:val="FAAAA8E2"/>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zMzN2JmMWQ1NDljZjk0NmU2M2YyMTE0MGMxNmYwZDUifQ=="/>
  </w:docVars>
  <w:rsids>
    <w:rsidRoot w:val="001E3D19"/>
    <w:rsid w:val="A6BF212B"/>
    <w:rsid w:val="F7FD2233"/>
    <w:rsid w:val="FFCE9615"/>
    <w:rsid w:val="FFFEAE7C"/>
    <w:rsid w:val="001E3D19"/>
    <w:rsid w:val="00255C33"/>
    <w:rsid w:val="00402A5B"/>
    <w:rsid w:val="004A5538"/>
    <w:rsid w:val="00623B84"/>
    <w:rsid w:val="00922348"/>
    <w:rsid w:val="0C91376D"/>
    <w:rsid w:val="0DB5782C"/>
    <w:rsid w:val="0ED939EE"/>
    <w:rsid w:val="0F1D23AD"/>
    <w:rsid w:val="12A12EEA"/>
    <w:rsid w:val="143C66B4"/>
    <w:rsid w:val="19BC6CC5"/>
    <w:rsid w:val="1D4078D5"/>
    <w:rsid w:val="1FC77F68"/>
    <w:rsid w:val="21C347B6"/>
    <w:rsid w:val="21E85FCA"/>
    <w:rsid w:val="27647521"/>
    <w:rsid w:val="29802293"/>
    <w:rsid w:val="2D4D6DCE"/>
    <w:rsid w:val="32693339"/>
    <w:rsid w:val="353B3037"/>
    <w:rsid w:val="38D37F4B"/>
    <w:rsid w:val="542521D3"/>
    <w:rsid w:val="54C31DFB"/>
    <w:rsid w:val="62135D3A"/>
    <w:rsid w:val="6CD916A8"/>
    <w:rsid w:val="75FA04CD"/>
    <w:rsid w:val="76763EAD"/>
    <w:rsid w:val="7A396538"/>
    <w:rsid w:val="7AA41B57"/>
    <w:rsid w:val="7CB8130F"/>
    <w:rsid w:val="7F7A38C1"/>
    <w:rsid w:val="7F9C40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caption" w:semiHidden="1" w:unhideWhenUsed="1" w:qFormat="1"/>
    <w:lsdException w:name="Title" w:qFormat="1"/>
    <w:lsdException w:name="Default Paragraph Font" w:semiHidden="1" w:qFormat="1"/>
    <w:lsdException w:name="Body Text" w:uiPriority="1" w:qFormat="1"/>
    <w:lsdException w:name="Subtitle" w:uiPriority="1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1E3D19"/>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rsid w:val="001E3D19"/>
    <w:pPr>
      <w:spacing w:before="100" w:beforeAutospacing="1" w:after="100" w:afterAutospacing="1"/>
      <w:jc w:val="left"/>
      <w:outlineLvl w:val="0"/>
    </w:pPr>
    <w:rPr>
      <w:rFonts w:ascii="宋体" w:eastAsia="宋体" w:hAnsi="宋体" w:cs="Times New Roman" w:hint="eastAsia"/>
      <w:b/>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5"/>
    <w:uiPriority w:val="1"/>
    <w:qFormat/>
    <w:rsid w:val="001E3D19"/>
    <w:rPr>
      <w:sz w:val="28"/>
      <w:szCs w:val="28"/>
    </w:rPr>
  </w:style>
  <w:style w:type="paragraph" w:styleId="5">
    <w:name w:val="toc 5"/>
    <w:basedOn w:val="a"/>
    <w:next w:val="a"/>
    <w:qFormat/>
    <w:rsid w:val="001E3D19"/>
    <w:pPr>
      <w:ind w:leftChars="800" w:left="1680"/>
    </w:pPr>
    <w:rPr>
      <w:rFonts w:ascii="Times New Roman" w:eastAsia="宋体" w:hAnsi="Times New Roman" w:cs="Calibri"/>
    </w:rPr>
  </w:style>
  <w:style w:type="paragraph" w:styleId="a4">
    <w:name w:val="Subtitle"/>
    <w:basedOn w:val="a"/>
    <w:next w:val="a"/>
    <w:uiPriority w:val="11"/>
    <w:qFormat/>
    <w:rsid w:val="001E3D19"/>
    <w:pPr>
      <w:spacing w:before="240" w:after="60" w:line="312" w:lineRule="auto"/>
      <w:jc w:val="center"/>
      <w:outlineLvl w:val="1"/>
    </w:pPr>
    <w:rPr>
      <w:rFonts w:ascii="Cambria" w:hAnsi="Cambria" w:cs="Times New Roman"/>
      <w:b/>
      <w:bCs/>
      <w:kern w:val="28"/>
      <w:szCs w:val="32"/>
    </w:rPr>
  </w:style>
  <w:style w:type="paragraph" w:styleId="a5">
    <w:name w:val="Normal (Web)"/>
    <w:basedOn w:val="a"/>
    <w:rsid w:val="001E3D19"/>
    <w:rPr>
      <w:sz w:val="24"/>
    </w:rPr>
  </w:style>
  <w:style w:type="table" w:styleId="a6">
    <w:name w:val="Table Grid"/>
    <w:basedOn w:val="a2"/>
    <w:autoRedefine/>
    <w:uiPriority w:val="39"/>
    <w:qFormat/>
    <w:rsid w:val="001E3D1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autoRedefine/>
    <w:uiPriority w:val="99"/>
    <w:qFormat/>
    <w:rsid w:val="001E3D1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507</Words>
  <Characters>2891</Characters>
  <Application>Microsoft Office Word</Application>
  <DocSecurity>0</DocSecurity>
  <Lines>24</Lines>
  <Paragraphs>6</Paragraphs>
  <ScaleCrop>false</ScaleCrop>
  <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administered</dc:creator>
  <cp:lastModifiedBy>Administrator</cp:lastModifiedBy>
  <cp:revision>4</cp:revision>
  <cp:lastPrinted>2024-06-12T07:22:00Z</cp:lastPrinted>
  <dcterms:created xsi:type="dcterms:W3CDTF">2022-03-21T19:07:00Z</dcterms:created>
  <dcterms:modified xsi:type="dcterms:W3CDTF">2024-06-17T02:14:00Z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376DA12216D7459F8B3579E3AF65B0DB</vt:lpwstr>
  </property>
</Properties>
</file>