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微软雅黑" w:hAnsi="微软雅黑" w:eastAsia="微软雅黑" w:cs="微软雅黑"/>
          <w:b/>
          <w:bCs/>
          <w:i w:val="0"/>
          <w:iCs w:val="0"/>
          <w:caps w:val="0"/>
          <w:color w:val="4B4B4B"/>
          <w:spacing w:val="0"/>
          <w:sz w:val="36"/>
          <w:szCs w:val="36"/>
        </w:rPr>
      </w:pPr>
      <w:r>
        <w:rPr>
          <w:rFonts w:hint="eastAsia" w:ascii="微软雅黑" w:hAnsi="微软雅黑" w:eastAsia="微软雅黑" w:cs="微软雅黑"/>
          <w:b/>
          <w:bCs/>
          <w:i w:val="0"/>
          <w:iCs w:val="0"/>
          <w:caps w:val="0"/>
          <w:color w:val="4B4B4B"/>
          <w:spacing w:val="0"/>
          <w:sz w:val="36"/>
          <w:szCs w:val="36"/>
        </w:rPr>
        <w:t> </w:t>
      </w:r>
      <w:r>
        <w:rPr>
          <w:rFonts w:hint="eastAsia" w:ascii="微软雅黑" w:hAnsi="微软雅黑" w:eastAsia="微软雅黑" w:cs="微软雅黑"/>
          <w:b/>
          <w:bCs/>
          <w:i w:val="0"/>
          <w:iCs w:val="0"/>
          <w:caps w:val="0"/>
          <w:color w:val="4B4B4B"/>
          <w:spacing w:val="0"/>
          <w:sz w:val="36"/>
          <w:szCs w:val="36"/>
          <w:lang w:eastAsia="zh-CN"/>
        </w:rPr>
        <w:t>江华瑶族自治县</w:t>
      </w:r>
      <w:r>
        <w:rPr>
          <w:rFonts w:hint="eastAsia" w:ascii="微软雅黑" w:hAnsi="微软雅黑" w:eastAsia="微软雅黑" w:cs="微软雅黑"/>
          <w:b/>
          <w:bCs/>
          <w:i w:val="0"/>
          <w:iCs w:val="0"/>
          <w:caps w:val="0"/>
          <w:color w:val="4B4B4B"/>
          <w:spacing w:val="0"/>
          <w:sz w:val="36"/>
          <w:szCs w:val="36"/>
        </w:rPr>
        <w:t>20</w:t>
      </w:r>
      <w:r>
        <w:rPr>
          <w:rFonts w:hint="eastAsia" w:ascii="微软雅黑" w:hAnsi="微软雅黑" w:eastAsia="微软雅黑" w:cs="微软雅黑"/>
          <w:b/>
          <w:bCs/>
          <w:i w:val="0"/>
          <w:iCs w:val="0"/>
          <w:caps w:val="0"/>
          <w:color w:val="4B4B4B"/>
          <w:spacing w:val="0"/>
          <w:sz w:val="36"/>
          <w:szCs w:val="36"/>
          <w:lang w:val="en-US" w:eastAsia="zh-CN"/>
        </w:rPr>
        <w:t>21</w:t>
      </w:r>
      <w:r>
        <w:rPr>
          <w:rFonts w:hint="eastAsia" w:ascii="微软雅黑" w:hAnsi="微软雅黑" w:eastAsia="微软雅黑" w:cs="微软雅黑"/>
          <w:b/>
          <w:bCs/>
          <w:i w:val="0"/>
          <w:iCs w:val="0"/>
          <w:caps w:val="0"/>
          <w:color w:val="4B4B4B"/>
          <w:spacing w:val="0"/>
          <w:sz w:val="36"/>
          <w:szCs w:val="36"/>
        </w:rPr>
        <w:t>年全域美丽乡村示范创建镇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ascii="微软雅黑" w:hAnsi="微软雅黑" w:eastAsia="微软雅黑" w:cs="微软雅黑"/>
          <w:b/>
          <w:bCs/>
          <w:i w:val="0"/>
          <w:iCs w:val="0"/>
          <w:caps w:val="0"/>
          <w:color w:val="4B4B4B"/>
          <w:spacing w:val="0"/>
          <w:sz w:val="36"/>
          <w:szCs w:val="36"/>
        </w:rPr>
      </w:pPr>
      <w:r>
        <w:rPr>
          <w:rFonts w:hint="eastAsia" w:ascii="微软雅黑" w:hAnsi="微软雅黑" w:eastAsia="微软雅黑" w:cs="微软雅黑"/>
          <w:b/>
          <w:bCs/>
          <w:i w:val="0"/>
          <w:iCs w:val="0"/>
          <w:caps w:val="0"/>
          <w:color w:val="4B4B4B"/>
          <w:spacing w:val="0"/>
          <w:sz w:val="36"/>
          <w:szCs w:val="36"/>
          <w:lang w:eastAsia="zh-CN"/>
        </w:rPr>
        <w:t>项目</w:t>
      </w:r>
      <w:r>
        <w:rPr>
          <w:rFonts w:hint="eastAsia" w:ascii="微软雅黑" w:hAnsi="微软雅黑" w:eastAsia="微软雅黑" w:cs="微软雅黑"/>
          <w:b/>
          <w:bCs/>
          <w:i w:val="0"/>
          <w:iCs w:val="0"/>
          <w:caps w:val="0"/>
          <w:color w:val="4B4B4B"/>
          <w:spacing w:val="0"/>
          <w:sz w:val="36"/>
          <w:szCs w:val="36"/>
        </w:rPr>
        <w:t>资金绩效自评报告</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bCs w:val="0"/>
          <w:sz w:val="30"/>
          <w:szCs w:val="30"/>
          <w:lang w:eastAsia="zh-CN"/>
        </w:rPr>
      </w:pPr>
    </w:p>
    <w:p>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02" w:firstLineChars="200"/>
        <w:textAlignment w:val="auto"/>
        <w:rPr>
          <w:rFonts w:hint="eastAsia" w:ascii="黑体" w:hAnsi="黑体" w:eastAsia="黑体" w:cs="黑体"/>
          <w:b/>
          <w:bCs w:val="0"/>
          <w:sz w:val="30"/>
          <w:szCs w:val="30"/>
          <w:lang w:val="en-US" w:eastAsia="zh-CN"/>
        </w:rPr>
      </w:pPr>
      <w:r>
        <w:rPr>
          <w:rFonts w:hint="eastAsia" w:ascii="黑体" w:hAnsi="黑体" w:eastAsia="黑体" w:cs="黑体"/>
          <w:b/>
          <w:bCs w:val="0"/>
          <w:sz w:val="30"/>
          <w:szCs w:val="30"/>
          <w:lang w:val="en-US" w:eastAsia="zh-CN"/>
        </w:rPr>
        <w:t>项目概况</w:t>
      </w:r>
    </w:p>
    <w:p>
      <w:pPr>
        <w:pStyle w:val="8"/>
        <w:keepNext w:val="0"/>
        <w:keepLines w:val="0"/>
        <w:pageBreakBefore w:val="0"/>
        <w:widowControl w:val="0"/>
        <w:numPr>
          <w:numId w:val="0"/>
        </w:numPr>
        <w:kinsoku/>
        <w:wordWrap/>
        <w:overflowPunct/>
        <w:topLinePunct w:val="0"/>
        <w:autoSpaceDE/>
        <w:autoSpaceDN/>
        <w:bidi w:val="0"/>
        <w:adjustRightInd/>
        <w:snapToGrid/>
        <w:spacing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rPr>
        <w:t>（一）实施单位基本情况</w:t>
      </w:r>
    </w:p>
    <w:p>
      <w:pPr>
        <w:spacing w:line="520" w:lineRule="exact"/>
        <w:ind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lang w:eastAsia="zh-CN"/>
        </w:rPr>
        <w:t>江华瑶族自治县</w:t>
      </w:r>
      <w:r>
        <w:rPr>
          <w:rFonts w:hint="eastAsia" w:ascii="仿宋_GB2312" w:hAnsi="仿宋" w:eastAsia="仿宋_GB2312" w:cs="仿宋"/>
          <w:sz w:val="30"/>
          <w:szCs w:val="30"/>
        </w:rPr>
        <w:t>农业农村局是县政府工作部门，为正科级，加挂农业综合行政执法局牌子，实行一套工作机构、一套领导班子,</w:t>
      </w:r>
      <w:r>
        <w:rPr>
          <w:rFonts w:hint="eastAsia" w:ascii="仿宋_GB2312" w:hAnsi="仿宋" w:eastAsia="仿宋_GB2312" w:cs="仿宋"/>
          <w:sz w:val="30"/>
          <w:szCs w:val="30"/>
          <w:lang w:val="en-US" w:eastAsia="zh-CN"/>
        </w:rPr>
        <w:t>15</w:t>
      </w:r>
      <w:r>
        <w:rPr>
          <w:rFonts w:hint="eastAsia" w:ascii="仿宋_GB2312" w:hAnsi="仿宋" w:eastAsia="仿宋_GB2312" w:cs="仿宋"/>
          <w:sz w:val="30"/>
          <w:szCs w:val="30"/>
        </w:rPr>
        <w:t>个内设机构,共</w:t>
      </w:r>
      <w:r>
        <w:rPr>
          <w:rFonts w:hint="eastAsia" w:ascii="仿宋_GB2312" w:hAnsi="仿宋" w:eastAsia="仿宋_GB2312" w:cs="仿宋"/>
          <w:sz w:val="30"/>
          <w:szCs w:val="30"/>
          <w:lang w:eastAsia="zh-CN"/>
        </w:rPr>
        <w:t>170</w:t>
      </w:r>
      <w:r>
        <w:rPr>
          <w:rFonts w:hint="eastAsia" w:ascii="仿宋_GB2312" w:hAnsi="仿宋" w:eastAsia="仿宋_GB2312" w:cs="仿宋"/>
          <w:sz w:val="30"/>
          <w:szCs w:val="30"/>
        </w:rPr>
        <w:t>名职工。承办项目建设单位</w:t>
      </w:r>
      <w:r>
        <w:rPr>
          <w:rFonts w:hint="eastAsia" w:ascii="仿宋_GB2312" w:hAnsi="仿宋" w:eastAsia="仿宋_GB2312" w:cs="仿宋"/>
          <w:sz w:val="30"/>
          <w:szCs w:val="30"/>
          <w:lang w:eastAsia="zh-CN"/>
        </w:rPr>
        <w:t>农村社会事业促进</w:t>
      </w:r>
      <w:r>
        <w:rPr>
          <w:rFonts w:hint="eastAsia" w:ascii="仿宋_GB2312" w:hAnsi="仿宋" w:eastAsia="仿宋_GB2312" w:cs="仿宋"/>
          <w:sz w:val="30"/>
          <w:szCs w:val="30"/>
        </w:rPr>
        <w:t>股，共有工作人员</w:t>
      </w:r>
      <w:r>
        <w:rPr>
          <w:rFonts w:hint="eastAsia" w:ascii="仿宋_GB2312" w:hAnsi="仿宋" w:eastAsia="仿宋_GB2312" w:cs="仿宋"/>
          <w:sz w:val="30"/>
          <w:szCs w:val="30"/>
          <w:lang w:val="en-US" w:eastAsia="zh-CN"/>
        </w:rPr>
        <w:t>12</w:t>
      </w:r>
      <w:r>
        <w:rPr>
          <w:rFonts w:hint="eastAsia" w:ascii="仿宋_GB2312" w:hAnsi="仿宋" w:eastAsia="仿宋_GB2312" w:cs="仿宋"/>
          <w:sz w:val="30"/>
          <w:szCs w:val="30"/>
        </w:rPr>
        <w:t>名，其中</w:t>
      </w:r>
      <w:r>
        <w:rPr>
          <w:rFonts w:hint="eastAsia" w:ascii="仿宋_GB2312" w:hAnsi="仿宋" w:eastAsia="仿宋_GB2312" w:cs="仿宋"/>
          <w:sz w:val="30"/>
          <w:szCs w:val="30"/>
          <w:lang w:eastAsia="zh-CN"/>
        </w:rPr>
        <w:t>四</w:t>
      </w:r>
      <w:r>
        <w:rPr>
          <w:rFonts w:hint="eastAsia" w:ascii="仿宋_GB2312" w:hAnsi="仿宋" w:eastAsia="仿宋_GB2312" w:cs="仿宋"/>
          <w:sz w:val="30"/>
          <w:szCs w:val="30"/>
        </w:rPr>
        <w:t>级</w:t>
      </w:r>
      <w:r>
        <w:rPr>
          <w:rFonts w:hint="eastAsia" w:ascii="仿宋_GB2312" w:hAnsi="仿宋" w:eastAsia="仿宋_GB2312" w:cs="仿宋"/>
          <w:sz w:val="30"/>
          <w:szCs w:val="30"/>
          <w:lang w:eastAsia="zh-CN"/>
        </w:rPr>
        <w:t>主任科员</w:t>
      </w:r>
      <w:r>
        <w:rPr>
          <w:rFonts w:hint="eastAsia" w:ascii="仿宋_GB2312" w:hAnsi="仿宋" w:eastAsia="仿宋_GB2312" w:cs="仿宋"/>
          <w:sz w:val="30"/>
          <w:szCs w:val="30"/>
          <w:lang w:val="en-US" w:eastAsia="zh-CN"/>
        </w:rPr>
        <w:t>1</w:t>
      </w:r>
      <w:r>
        <w:rPr>
          <w:rFonts w:hint="eastAsia" w:ascii="仿宋_GB2312" w:hAnsi="仿宋" w:eastAsia="仿宋_GB2312" w:cs="仿宋"/>
          <w:sz w:val="30"/>
          <w:szCs w:val="30"/>
        </w:rPr>
        <w:t>名，</w:t>
      </w:r>
      <w:r>
        <w:rPr>
          <w:rFonts w:hint="eastAsia" w:ascii="仿宋_GB2312" w:hAnsi="仿宋" w:eastAsia="仿宋_GB2312" w:cs="仿宋"/>
          <w:sz w:val="30"/>
          <w:szCs w:val="30"/>
          <w:lang w:eastAsia="zh-CN"/>
        </w:rPr>
        <w:t>二级主任科员</w:t>
      </w:r>
      <w:r>
        <w:rPr>
          <w:rFonts w:hint="eastAsia" w:ascii="仿宋_GB2312" w:hAnsi="仿宋" w:eastAsia="仿宋_GB2312" w:cs="仿宋"/>
          <w:sz w:val="30"/>
          <w:szCs w:val="30"/>
          <w:lang w:val="en-US" w:eastAsia="zh-CN"/>
        </w:rPr>
        <w:t>2</w:t>
      </w:r>
      <w:r>
        <w:rPr>
          <w:rFonts w:hint="eastAsia" w:ascii="仿宋_GB2312" w:hAnsi="仿宋" w:eastAsia="仿宋_GB2312" w:cs="仿宋"/>
          <w:sz w:val="30"/>
          <w:szCs w:val="30"/>
        </w:rPr>
        <w:t>名，</w:t>
      </w:r>
      <w:r>
        <w:rPr>
          <w:rFonts w:hint="eastAsia" w:ascii="仿宋_GB2312" w:hAnsi="仿宋" w:eastAsia="仿宋_GB2312" w:cs="仿宋"/>
          <w:sz w:val="30"/>
          <w:szCs w:val="30"/>
          <w:lang w:eastAsia="zh-CN"/>
        </w:rPr>
        <w:t>四级主任科员</w:t>
      </w:r>
      <w:r>
        <w:rPr>
          <w:rFonts w:hint="eastAsia" w:ascii="仿宋_GB2312" w:hAnsi="仿宋" w:eastAsia="仿宋_GB2312" w:cs="仿宋"/>
          <w:sz w:val="30"/>
          <w:szCs w:val="30"/>
          <w:lang w:val="en-US" w:eastAsia="zh-CN"/>
        </w:rPr>
        <w:t>1</w:t>
      </w:r>
      <w:r>
        <w:rPr>
          <w:rFonts w:hint="eastAsia" w:ascii="仿宋_GB2312" w:hAnsi="仿宋" w:eastAsia="仿宋_GB2312" w:cs="仿宋"/>
          <w:sz w:val="30"/>
          <w:szCs w:val="30"/>
        </w:rPr>
        <w:t>名，</w:t>
      </w:r>
      <w:r>
        <w:rPr>
          <w:rFonts w:hint="eastAsia" w:ascii="仿宋_GB2312" w:hAnsi="仿宋" w:eastAsia="仿宋_GB2312" w:cs="仿宋"/>
          <w:sz w:val="30"/>
          <w:szCs w:val="30"/>
          <w:lang w:eastAsia="zh-CN"/>
        </w:rPr>
        <w:t>高级技师</w:t>
      </w:r>
      <w:r>
        <w:rPr>
          <w:rFonts w:hint="eastAsia" w:ascii="仿宋_GB2312" w:hAnsi="仿宋" w:eastAsia="仿宋_GB2312" w:cs="仿宋"/>
          <w:sz w:val="30"/>
          <w:szCs w:val="30"/>
          <w:lang w:val="en-US" w:eastAsia="zh-CN"/>
        </w:rPr>
        <w:t>2</w:t>
      </w:r>
      <w:r>
        <w:rPr>
          <w:rFonts w:hint="eastAsia" w:ascii="仿宋_GB2312" w:hAnsi="仿宋" w:eastAsia="仿宋_GB2312" w:cs="仿宋"/>
          <w:sz w:val="30"/>
          <w:szCs w:val="30"/>
        </w:rPr>
        <w:t>名，</w:t>
      </w:r>
      <w:r>
        <w:rPr>
          <w:rFonts w:hint="eastAsia" w:ascii="仿宋_GB2312" w:hAnsi="仿宋" w:eastAsia="仿宋_GB2312" w:cs="仿宋"/>
          <w:sz w:val="30"/>
          <w:szCs w:val="30"/>
          <w:lang w:eastAsia="zh-CN"/>
        </w:rPr>
        <w:t>中级工</w:t>
      </w:r>
      <w:r>
        <w:rPr>
          <w:rFonts w:hint="eastAsia" w:ascii="仿宋_GB2312" w:hAnsi="仿宋" w:eastAsia="仿宋_GB2312" w:cs="仿宋"/>
          <w:sz w:val="30"/>
          <w:szCs w:val="30"/>
          <w:lang w:val="en-US" w:eastAsia="zh-CN"/>
        </w:rPr>
        <w:t>1名，</w:t>
      </w:r>
      <w:r>
        <w:rPr>
          <w:rFonts w:hint="eastAsia" w:ascii="仿宋_GB2312" w:hAnsi="仿宋" w:eastAsia="仿宋_GB2312" w:cs="仿宋"/>
          <w:sz w:val="30"/>
          <w:szCs w:val="30"/>
          <w:lang w:eastAsia="zh-CN"/>
        </w:rPr>
        <w:t>技术工二级</w:t>
      </w:r>
      <w:r>
        <w:rPr>
          <w:rFonts w:hint="eastAsia" w:ascii="仿宋_GB2312" w:hAnsi="仿宋" w:eastAsia="仿宋_GB2312" w:cs="仿宋"/>
          <w:sz w:val="30"/>
          <w:szCs w:val="30"/>
          <w:lang w:val="en-US" w:eastAsia="zh-CN"/>
        </w:rPr>
        <w:t>1名</w:t>
      </w:r>
      <w:r>
        <w:rPr>
          <w:rFonts w:hint="eastAsia" w:ascii="仿宋_GB2312" w:hAnsi="仿宋" w:eastAsia="仿宋_GB2312" w:cs="仿宋"/>
          <w:sz w:val="30"/>
          <w:szCs w:val="30"/>
        </w:rPr>
        <w:t>，</w:t>
      </w:r>
      <w:r>
        <w:rPr>
          <w:rFonts w:hint="eastAsia" w:ascii="仿宋_GB2312" w:hAnsi="仿宋" w:eastAsia="仿宋_GB2312" w:cs="仿宋"/>
          <w:sz w:val="30"/>
          <w:szCs w:val="30"/>
          <w:lang w:eastAsia="zh-CN"/>
        </w:rPr>
        <w:t>高级农艺师</w:t>
      </w:r>
      <w:r>
        <w:rPr>
          <w:rFonts w:hint="eastAsia" w:ascii="仿宋_GB2312" w:hAnsi="仿宋" w:eastAsia="仿宋_GB2312" w:cs="仿宋"/>
          <w:sz w:val="30"/>
          <w:szCs w:val="30"/>
          <w:lang w:val="en-US" w:eastAsia="zh-CN"/>
        </w:rPr>
        <w:t>1名，中级农艺师1名，助理农艺师2名，</w:t>
      </w:r>
      <w:r>
        <w:rPr>
          <w:rFonts w:hint="eastAsia" w:ascii="仿宋_GB2312" w:hAnsi="仿宋" w:eastAsia="仿宋_GB2312" w:cs="仿宋"/>
          <w:sz w:val="30"/>
          <w:szCs w:val="30"/>
        </w:rPr>
        <w:t>全部为专科以上学历。</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楷体" w:hAnsi="楷体" w:eastAsia="楷体" w:cs="楷体"/>
          <w:b/>
          <w:bCs/>
          <w:sz w:val="30"/>
          <w:szCs w:val="30"/>
        </w:rPr>
      </w:pPr>
      <w:r>
        <w:rPr>
          <w:rFonts w:hint="eastAsia" w:ascii="楷体" w:hAnsi="楷体" w:eastAsia="楷体" w:cs="楷体"/>
          <w:b/>
          <w:bCs/>
          <w:sz w:val="30"/>
          <w:szCs w:val="30"/>
          <w:lang w:val="en-US" w:eastAsia="zh-CN"/>
        </w:rPr>
        <w:t>（二）资金基本情况</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根据湘财预〔2021〕178号《湖南省财政厅关于下达2021年省级财政衔接推进乡村振兴补助资金的通知》下达资金150万元，主要用于江华瑶族自治县沱江镇全域美丽乡村示范创建项目。</w:t>
      </w:r>
    </w:p>
    <w:p>
      <w:pPr>
        <w:spacing w:line="520" w:lineRule="exact"/>
        <w:ind w:firstLine="600" w:firstLineChars="200"/>
        <w:rPr>
          <w:rFonts w:hint="default" w:ascii="仿宋" w:hAnsi="仿宋" w:eastAsia="仿宋" w:cs="仿宋"/>
          <w:b w:val="0"/>
          <w:bCs/>
          <w:sz w:val="30"/>
          <w:szCs w:val="30"/>
          <w:lang w:val="en-US" w:eastAsia="zh-CN"/>
        </w:rPr>
      </w:pPr>
      <w:r>
        <w:rPr>
          <w:rFonts w:hint="eastAsia" w:ascii="仿宋_GB2312" w:hAnsi="仿宋" w:eastAsia="仿宋_GB2312" w:cs="仿宋"/>
          <w:sz w:val="30"/>
          <w:szCs w:val="30"/>
          <w:lang w:val="en-US" w:eastAsia="zh-CN"/>
        </w:rPr>
        <w:t>按照产业兴旺、生态宜居、乡风文明、治理有效、生活富裕的总要求，建立健全城乡融合发展体制机制和政策体系，加快推进农业农村现代化，提升人民生活质量，增强人民生活幸福感。</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楷体" w:hAnsi="楷体" w:eastAsia="楷体" w:cs="楷体"/>
          <w:b/>
          <w:bCs/>
          <w:sz w:val="30"/>
          <w:szCs w:val="30"/>
          <w:lang w:val="en-US" w:eastAsia="zh-CN"/>
        </w:rPr>
      </w:pPr>
      <w:r>
        <w:rPr>
          <w:rFonts w:hint="eastAsia" w:ascii="楷体" w:hAnsi="楷体" w:eastAsia="楷体" w:cs="楷体"/>
          <w:b/>
          <w:bCs/>
          <w:sz w:val="30"/>
          <w:szCs w:val="30"/>
          <w:lang w:val="en-US" w:eastAsia="zh-CN"/>
        </w:rPr>
        <w:t>（三）资金绩效目标</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2021年至2022年度沱江镇全域美丽乡村示范创建投入150万元，通过政府有序组织规划、合理布局、百姓积极参与并投工投劳等方式，进一步改善基础设施建设、提高人居环境质量。</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二、项目资金使用及管理情况</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专项资金总投入150万元，均纳入了2021年度部门预算,资金是通过县财政局直接下达用款指标至县农业农村局。项目资金管理情况：严格按照美丽乡村建设资金管理要求，结合专项资金管理相关政策和制度，使用和监管资金。</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三、项目资金组织实施情况</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沱江镇正在开展全域美丽乡村示范创建镇建设工作，其中山寨村同步创建市级美丽乡村示范村，根据山寨村的实际情况，因地制宜，前期投入已经取得了良好成效。资金通过程序已拨付到沱江镇，由沱江镇人民政府统筹规划因地制宜有效安排使用资金。</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四、预算支出绩效情况</w:t>
      </w:r>
    </w:p>
    <w:p>
      <w:pPr>
        <w:spacing w:line="520" w:lineRule="exact"/>
        <w:ind w:firstLine="602" w:firstLineChars="200"/>
        <w:rPr>
          <w:rFonts w:hint="eastAsia" w:ascii="仿宋_GB2312" w:hAnsi="仿宋" w:eastAsia="仿宋_GB2312" w:cs="仿宋"/>
          <w:sz w:val="30"/>
          <w:szCs w:val="30"/>
          <w:lang w:val="en-US" w:eastAsia="zh-CN"/>
        </w:rPr>
      </w:pPr>
      <w:r>
        <w:rPr>
          <w:rFonts w:hint="eastAsia" w:ascii="楷体" w:hAnsi="楷体" w:eastAsia="楷体" w:cs="楷体"/>
          <w:b/>
          <w:bCs/>
          <w:kern w:val="2"/>
          <w:sz w:val="30"/>
          <w:szCs w:val="30"/>
          <w:lang w:val="en-US" w:eastAsia="zh-CN" w:bidi="ar-SA"/>
        </w:rPr>
        <w:t>（一）产出指标完成情况：</w:t>
      </w:r>
      <w:r>
        <w:rPr>
          <w:rFonts w:hint="eastAsia" w:ascii="仿宋_GB2312" w:hAnsi="仿宋" w:eastAsia="仿宋_GB2312" w:cs="仿宋"/>
          <w:sz w:val="30"/>
          <w:szCs w:val="30"/>
          <w:lang w:val="en-US" w:eastAsia="zh-CN"/>
        </w:rPr>
        <w:t>相关建设项目分别由县里相关职能部门按照固有标准，对其质量进行把关，前期实际投入已经超过项目下达资金，全域美丽乡村示范创建镇建设项目内容包含范围广，建设期限长，在确保项目质量前提下，继续全面实施该项项目。</w:t>
      </w:r>
    </w:p>
    <w:p>
      <w:pPr>
        <w:spacing w:line="520" w:lineRule="exact"/>
        <w:ind w:firstLine="602" w:firstLineChars="200"/>
        <w:rPr>
          <w:rFonts w:hint="eastAsia" w:ascii="仿宋_GB2312" w:hAnsi="仿宋" w:eastAsia="仿宋_GB2312" w:cs="仿宋"/>
          <w:sz w:val="30"/>
          <w:szCs w:val="30"/>
          <w:lang w:val="en-US" w:eastAsia="zh-CN"/>
        </w:rPr>
      </w:pPr>
      <w:r>
        <w:rPr>
          <w:rFonts w:hint="eastAsia" w:ascii="楷体" w:hAnsi="楷体" w:eastAsia="楷体" w:cs="楷体"/>
          <w:b/>
          <w:bCs/>
          <w:kern w:val="2"/>
          <w:sz w:val="30"/>
          <w:szCs w:val="30"/>
          <w:lang w:val="en-US" w:eastAsia="zh-CN" w:bidi="ar-SA"/>
        </w:rPr>
        <w:t>（二）效益指标完成情况：</w:t>
      </w:r>
      <w:r>
        <w:rPr>
          <w:rFonts w:hint="eastAsia" w:ascii="仿宋_GB2312" w:hAnsi="仿宋" w:eastAsia="仿宋_GB2312" w:cs="仿宋"/>
          <w:sz w:val="30"/>
          <w:szCs w:val="30"/>
          <w:lang w:val="en-US" w:eastAsia="zh-CN"/>
        </w:rPr>
        <w:t>通过建设项目村的生态效益、社会效益和经济效益均有明显提高。主要体现在以下几方面：一是绿化、美化和亮化了农村人居生太环境，提升了村民生活质量；二是起到了有效的示范带动作用，推动了全县美丽乡村建设步伐 。</w:t>
      </w:r>
    </w:p>
    <w:p>
      <w:pPr>
        <w:spacing w:line="520" w:lineRule="exact"/>
        <w:ind w:firstLine="602" w:firstLineChars="200"/>
        <w:rPr>
          <w:rFonts w:hint="default" w:ascii="仿宋_GB2312" w:hAnsi="仿宋" w:eastAsia="仿宋_GB2312" w:cs="仿宋"/>
          <w:sz w:val="30"/>
          <w:szCs w:val="30"/>
          <w:lang w:val="en-US" w:eastAsia="zh-CN"/>
        </w:rPr>
      </w:pPr>
      <w:r>
        <w:rPr>
          <w:rFonts w:hint="eastAsia" w:ascii="楷体" w:hAnsi="楷体" w:eastAsia="楷体" w:cs="楷体"/>
          <w:b/>
          <w:bCs/>
          <w:kern w:val="2"/>
          <w:sz w:val="30"/>
          <w:szCs w:val="30"/>
          <w:lang w:val="en-US" w:eastAsia="zh-CN" w:bidi="ar-SA"/>
        </w:rPr>
        <w:t>（三）满意度指标完成情况：</w:t>
      </w:r>
      <w:r>
        <w:rPr>
          <w:rFonts w:hint="eastAsia" w:ascii="仿宋_GB2312" w:hAnsi="仿宋" w:eastAsia="仿宋_GB2312" w:cs="仿宋"/>
          <w:sz w:val="30"/>
          <w:szCs w:val="30"/>
          <w:lang w:val="en-US" w:eastAsia="zh-CN"/>
        </w:rPr>
        <w:t>当前在沱江镇开展的全域美丽乡村示范创建镇建设项目，已初见成效，取得了一定的社会效益，得到广大民众的认可。</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仿宋" w:hAnsi="仿宋" w:eastAsia="仿宋" w:cs="仿宋"/>
          <w:b/>
          <w:bCs w:val="0"/>
          <w:sz w:val="30"/>
          <w:szCs w:val="30"/>
          <w:lang w:val="en-US" w:eastAsia="zh-CN"/>
        </w:rPr>
      </w:pPr>
      <w:r>
        <w:rPr>
          <w:rFonts w:hint="eastAsia" w:ascii="黑体" w:hAnsi="黑体" w:eastAsia="黑体" w:cs="黑体"/>
          <w:b w:val="0"/>
          <w:bCs/>
          <w:sz w:val="30"/>
          <w:szCs w:val="30"/>
          <w:lang w:val="en-US" w:eastAsia="zh-CN"/>
        </w:rPr>
        <w:t>五、主要经验及做法、存在的问题及原因分析</w:t>
      </w:r>
    </w:p>
    <w:p>
      <w:pPr>
        <w:spacing w:line="520" w:lineRule="exact"/>
        <w:ind w:firstLine="602" w:firstLineChars="200"/>
        <w:rPr>
          <w:rFonts w:hint="eastAsia" w:ascii="楷体" w:hAnsi="楷体" w:eastAsia="楷体" w:cs="楷体"/>
          <w:b/>
          <w:bCs/>
          <w:kern w:val="2"/>
          <w:sz w:val="30"/>
          <w:szCs w:val="30"/>
          <w:lang w:val="en-US" w:eastAsia="zh-CN" w:bidi="ar-SA"/>
        </w:rPr>
      </w:pPr>
      <w:r>
        <w:rPr>
          <w:rFonts w:hint="eastAsia" w:ascii="楷体" w:hAnsi="楷体" w:eastAsia="楷体" w:cs="楷体"/>
          <w:b/>
          <w:bCs/>
          <w:kern w:val="2"/>
          <w:sz w:val="30"/>
          <w:szCs w:val="30"/>
          <w:lang w:val="en-US" w:eastAsia="zh-CN" w:bidi="ar-SA"/>
        </w:rPr>
        <w:t>（一）存在的问题及主要原因</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根据《湖南省财政厅关于下达2021年省级财政衔接推进乡村振兴补助资金的通知》，资金下达时间滞后，资金量小，只有150万元，而全镇需要建设的项目多，资金缺口大。全域美丽乡村示范创建镇建设工程是事关老百姓切身利益的民心工程、德政工程，因此建议上级加大资金投入，确保全面实施该项工程。</w:t>
      </w:r>
    </w:p>
    <w:p>
      <w:pPr>
        <w:spacing w:line="520" w:lineRule="exact"/>
        <w:ind w:firstLine="602" w:firstLineChars="200"/>
        <w:rPr>
          <w:rFonts w:hint="eastAsia" w:ascii="楷体" w:hAnsi="楷体" w:eastAsia="楷体" w:cs="楷体"/>
          <w:b/>
          <w:bCs/>
          <w:kern w:val="2"/>
          <w:sz w:val="30"/>
          <w:szCs w:val="30"/>
          <w:lang w:val="en-US" w:eastAsia="zh-CN" w:bidi="ar-SA"/>
        </w:rPr>
      </w:pPr>
      <w:bookmarkStart w:id="0" w:name="_GoBack"/>
      <w:r>
        <w:rPr>
          <w:rFonts w:hint="eastAsia" w:ascii="楷体" w:hAnsi="楷体" w:eastAsia="楷体" w:cs="楷体"/>
          <w:b/>
          <w:bCs/>
          <w:kern w:val="2"/>
          <w:sz w:val="30"/>
          <w:szCs w:val="30"/>
          <w:lang w:val="en-US" w:eastAsia="zh-CN" w:bidi="ar-SA"/>
        </w:rPr>
        <w:t>（二）主要经验及做法</w:t>
      </w:r>
    </w:p>
    <w:bookmarkEnd w:id="0"/>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1.坚持规划先行，统筹推进生态宜居美丽乡村建设。立足各村资源禀赋精准实施、分类推进。</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2.坚持分类推进，重点补齐农村基础设施短板。多方筹措建设资金，大力改善年农村生产生活条件，大力推进农村污水设施建设，大力推进农村“厕所革命“，大力推进“四好公路”建设，大力推进“村村通”自来水工程建设。</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3.坚持示范带动，打造各类特色精品样板村，坚持整镇提升，全域推进人居环境整治。</w:t>
      </w:r>
    </w:p>
    <w:p>
      <w:pPr>
        <w:spacing w:line="520" w:lineRule="exact"/>
        <w:ind w:firstLine="600" w:firstLineChars="2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4.坚持先整治、后提升，聚焦农村乱搭乱建、农村生活垃圾、污水等重点领域，全力整治提升村容村貌。</w:t>
      </w:r>
      <w:r>
        <w:rPr>
          <w:rFonts w:hint="default" w:ascii="仿宋_GB2312" w:hAnsi="仿宋" w:eastAsia="仿宋_GB2312" w:cs="仿宋"/>
          <w:sz w:val="30"/>
          <w:szCs w:val="30"/>
          <w:lang w:val="en-US" w:eastAsia="zh-CN"/>
        </w:rPr>
        <w:t> </w:t>
      </w:r>
    </w:p>
    <w:p>
      <w:pPr>
        <w:spacing w:line="520" w:lineRule="exact"/>
        <w:ind w:firstLine="600" w:firstLineChars="200"/>
        <w:rPr>
          <w:rFonts w:hint="eastAsia" w:ascii="仿宋_GB2312" w:hAnsi="仿宋" w:eastAsia="仿宋_GB2312" w:cs="仿宋"/>
          <w:sz w:val="30"/>
          <w:szCs w:val="3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sz w:val="30"/>
          <w:szCs w:val="30"/>
          <w:lang w:val="en-US" w:eastAsia="zh-CN"/>
        </w:rPr>
      </w:pPr>
    </w:p>
    <w:p>
      <w:pPr>
        <w:spacing w:line="520" w:lineRule="exact"/>
        <w:ind w:firstLine="600" w:firstLineChars="200"/>
        <w:jc w:val="right"/>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江华瑶族自治县农业农村局</w:t>
      </w:r>
    </w:p>
    <w:p>
      <w:pPr>
        <w:spacing w:line="520" w:lineRule="exact"/>
        <w:ind w:firstLine="5100" w:firstLineChars="1700"/>
        <w:rPr>
          <w:rFonts w:hint="eastAsia" w:ascii="仿宋_GB2312" w:hAnsi="仿宋" w:eastAsia="仿宋_GB2312" w:cs="仿宋"/>
          <w:sz w:val="30"/>
          <w:szCs w:val="30"/>
          <w:lang w:val="en-US" w:eastAsia="zh-CN"/>
        </w:rPr>
      </w:pPr>
      <w:r>
        <w:rPr>
          <w:rFonts w:hint="eastAsia" w:ascii="仿宋_GB2312" w:hAnsi="仿宋" w:eastAsia="仿宋_GB2312" w:cs="仿宋"/>
          <w:sz w:val="30"/>
          <w:szCs w:val="30"/>
          <w:lang w:val="en-US" w:eastAsia="zh-CN"/>
        </w:rPr>
        <w:t>2022年5月10日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9F8989"/>
    <w:multiLevelType w:val="singleLevel"/>
    <w:tmpl w:val="E99F898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0OTU5ZjI3NTAxZDI0ZTNkYWZkNTFjNWI5MTBhYzMifQ=="/>
  </w:docVars>
  <w:rsids>
    <w:rsidRoot w:val="00000000"/>
    <w:rsid w:val="03A23BD7"/>
    <w:rsid w:val="17BE1FB9"/>
    <w:rsid w:val="2F0D351E"/>
    <w:rsid w:val="2FA978B1"/>
    <w:rsid w:val="38201BDD"/>
    <w:rsid w:val="41A36CDD"/>
    <w:rsid w:val="43230CEF"/>
    <w:rsid w:val="4ABB2995"/>
    <w:rsid w:val="5CCB18A2"/>
    <w:rsid w:val="7F081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00" w:lineRule="exact"/>
    </w:pPr>
    <w:rPr>
      <w:rFonts w:ascii="仿宋_GB2312" w:eastAsia="仿宋_GB2312"/>
      <w:sz w:val="30"/>
    </w:rPr>
  </w:style>
  <w:style w:type="paragraph" w:styleId="3">
    <w:name w:val="Body Text First Indent"/>
    <w:basedOn w:val="2"/>
    <w:unhideWhenUsed/>
    <w:qFormat/>
    <w:uiPriority w:val="99"/>
    <w:pPr>
      <w:ind w:firstLine="420" w:firstLineChars="100"/>
    </w:pPr>
    <w:rPr>
      <w:rFonts w:ascii="Calibri" w:hAnsi="Calibri" w:eastAsia="微软雅黑"/>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1109</Words>
  <Characters>1136</Characters>
  <Lines>0</Lines>
  <Paragraphs>0</Paragraphs>
  <TotalTime>11</TotalTime>
  <ScaleCrop>false</ScaleCrop>
  <LinksUpToDate>false</LinksUpToDate>
  <CharactersWithSpaces>1139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2021-12-17T09:14:00Z</dcterms:created>
  <dc:creator>Administrator</dc:creator>
  <cp:lastModifiedBy>乐齐天</cp:lastModifiedBy>
  <dcterms:modified xsi:type="dcterms:W3CDTF">2022-05-10T09:54:08Z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AEC8165827EF4C66BF4CF84533AAC219</vt:lpwstr>
  </property>
</Properties>
</file>