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pacing w:line="600" w:lineRule="exact"/>
        <w:jc w:val="center"/>
        <w:textAlignment w:val="auto"/>
        <w:rPr>
          <w:rFonts w:hint="default" w:ascii="Times New Roman" w:hAnsi="Times New Roman" w:eastAsia="方正小标宋_GBK" w:cs="Times New Roman"/>
          <w:sz w:val="44"/>
          <w:szCs w:val="44"/>
        </w:rPr>
      </w:pPr>
      <w:r>
        <w:rPr>
          <w:rFonts w:hint="eastAsia" w:ascii="方正小标宋简体" w:hAnsi="方正小标宋简体" w:eastAsia="方正小标宋简体" w:cs="方正小标宋简体"/>
          <w:sz w:val="44"/>
          <w:szCs w:val="44"/>
        </w:rPr>
        <w:t>江华县</w:t>
      </w:r>
      <w:r>
        <w:rPr>
          <w:rFonts w:hint="default" w:ascii="Times New Roman" w:hAnsi="Times New Roman" w:eastAsia="方正小标宋_GBK" w:cs="Times New Roman"/>
          <w:sz w:val="44"/>
          <w:szCs w:val="44"/>
        </w:rPr>
        <w:t>20</w:t>
      </w:r>
      <w:r>
        <w:rPr>
          <w:rFonts w:hint="default" w:ascii="Times New Roman" w:hAnsi="Times New Roman" w:eastAsia="方正小标宋_GBK" w:cs="Times New Roman"/>
          <w:sz w:val="44"/>
          <w:szCs w:val="44"/>
          <w:lang w:val="en-US" w:eastAsia="zh-CN"/>
        </w:rPr>
        <w:t>2</w:t>
      </w:r>
      <w:r>
        <w:rPr>
          <w:rFonts w:hint="eastAsia"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年度</w:t>
      </w:r>
      <w:r>
        <w:rPr>
          <w:rFonts w:hint="eastAsia" w:ascii="方正小标宋简体" w:hAnsi="方正小标宋简体" w:eastAsia="方正小标宋简体" w:cs="方正小标宋简体"/>
          <w:sz w:val="44"/>
          <w:szCs w:val="44"/>
        </w:rPr>
        <w:t>县委组织部部门整体</w:t>
      </w:r>
    </w:p>
    <w:p>
      <w:pPr>
        <w:widowControl w:val="0"/>
        <w:wordWrap/>
        <w:adjustRightIn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支出绩效评价报告</w:t>
      </w:r>
    </w:p>
    <w:p>
      <w:pPr>
        <w:widowControl w:val="0"/>
        <w:wordWrap/>
        <w:adjustRightInd/>
        <w:spacing w:line="600" w:lineRule="exact"/>
        <w:ind w:firstLine="645"/>
        <w:textAlignment w:val="auto"/>
        <w:rPr>
          <w:rFonts w:hint="default" w:ascii="Times New Roman" w:hAnsi="Times New Roman" w:eastAsia="仿宋_GB2312" w:cs="Times New Roman"/>
          <w:sz w:val="32"/>
          <w:szCs w:val="32"/>
        </w:rPr>
      </w:pPr>
    </w:p>
    <w:p>
      <w:pPr>
        <w:widowControl w:val="0"/>
        <w:wordWrap/>
        <w:adjustRightIn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 w:hAnsi="仿宋" w:eastAsia="仿宋" w:cs="仿宋"/>
          <w:sz w:val="32"/>
          <w:szCs w:val="32"/>
        </w:rPr>
        <w:t>根据《中共中央 国务院关于全面实施预算绩效管理的意见》（中发【2018】34号）、《中共湖南省委办公厅 湖南省人民政府办公厅关于全面实施预算绩效管理的实施意见》（湘办发〔2019〕10号）和《江华瑶族自治县预算绩效管理实施办法》（江办发电【2022】95号）等</w:t>
      </w:r>
      <w:r>
        <w:rPr>
          <w:rFonts w:hint="default" w:ascii="Times New Roman" w:hAnsi="Times New Roman" w:eastAsia="仿宋_GB2312" w:cs="Times New Roman"/>
          <w:sz w:val="32"/>
          <w:szCs w:val="32"/>
        </w:rPr>
        <w:t>文件精神，</w:t>
      </w:r>
      <w:r>
        <w:rPr>
          <w:rFonts w:hint="eastAsia"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认真开展</w:t>
      </w:r>
      <w:r>
        <w:rPr>
          <w:rFonts w:hint="eastAsia" w:ascii="Times New Roman" w:hAnsi="Times New Roman" w:eastAsia="仿宋_GB2312" w:cs="Times New Roman"/>
          <w:sz w:val="32"/>
          <w:szCs w:val="32"/>
          <w:lang w:eastAsia="zh-CN"/>
        </w:rPr>
        <w:t>财政支出</w:t>
      </w:r>
      <w:r>
        <w:rPr>
          <w:rFonts w:hint="default" w:ascii="Times New Roman" w:hAnsi="Times New Roman" w:eastAsia="仿宋_GB2312" w:cs="Times New Roman"/>
          <w:sz w:val="32"/>
          <w:szCs w:val="32"/>
        </w:rPr>
        <w:t>绩效自评工作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现将部门整体支出绩效</w:t>
      </w:r>
      <w:r>
        <w:rPr>
          <w:rFonts w:hint="eastAsia"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rPr>
        <w:t>情况报告如下:</w:t>
      </w:r>
    </w:p>
    <w:p>
      <w:pPr>
        <w:widowControl w:val="0"/>
        <w:numPr>
          <w:numId w:val="0"/>
        </w:numPr>
        <w:wordWrap/>
        <w:adjustRightIn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部门（单位）基本情况</w:t>
      </w:r>
    </w:p>
    <w:p>
      <w:pPr>
        <w:widowControl w:val="0"/>
        <w:wordWrap/>
        <w:adjustRightInd/>
        <w:spacing w:line="600" w:lineRule="exact"/>
        <w:ind w:firstLine="643" w:firstLineChars="200"/>
        <w:jc w:val="both"/>
        <w:textAlignment w:val="auto"/>
        <w:rPr>
          <w:rFonts w:hint="default" w:ascii="Times New Roman" w:hAnsi="Times New Roman" w:eastAsia="楷体_GB2312" w:cs="Times New Roman"/>
          <w:b/>
          <w:snapToGrid w:val="0"/>
          <w:kern w:val="0"/>
          <w:sz w:val="32"/>
          <w:szCs w:val="32"/>
        </w:rPr>
      </w:pPr>
      <w:r>
        <w:rPr>
          <w:rFonts w:hint="default" w:ascii="Times New Roman" w:hAnsi="Times New Roman" w:eastAsia="楷体_GB2312" w:cs="Times New Roman"/>
          <w:b/>
          <w:snapToGrid w:val="0"/>
          <w:kern w:val="0"/>
          <w:sz w:val="32"/>
          <w:szCs w:val="32"/>
        </w:rPr>
        <w:t>（一）部门职能职责</w:t>
      </w:r>
    </w:p>
    <w:p>
      <w:pPr>
        <w:widowControl w:val="0"/>
        <w:wordWrap/>
        <w:adjustRightInd/>
        <w:snapToGrid/>
        <w:spacing w:after="0"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研究和指导全县党的组织特别是党的基层组织建设，提出加强党的思想、组织、作风建设的意见和建议，探索各类新经济组织中党组织的设置和活动方式；协调规划和指导党员的教育工作，主管党员的管理和发展工作；负责党代会的具体组织工作和基层党委党代会的指导工作；会同有关单位对基层单位党委（党组）民主生活会进行指导；组织新时期党的建设的理论研究。</w:t>
      </w:r>
    </w:p>
    <w:p>
      <w:pPr>
        <w:widowControl w:val="0"/>
        <w:wordWrap/>
        <w:adjustRightInd/>
        <w:snapToGrid/>
        <w:spacing w:after="0"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提出关于乡镇，县直部办委局及其它列入县委管理的领导班子调整、配备的意见和建议；负责协助办理市委管理干部的任免、工资、离（退）休、出国（境）探亲呈报手续；负责县委管理干部的考察和办理任免、工资、待遇、离（退）休审批手续；负责管理县委老干部局，宏观协调、指导全县老干部工作；负责乡镇和县直部办委局的干部调配、交流和安置事宜；负责全县干部公开选拔工作的宏观指导，承办副科级以上干部公开选拔的具体工作；承办副营职以上军转干部的安置工作以及部分干部因公出国（境）的审查手续。</w:t>
      </w:r>
    </w:p>
    <w:p>
      <w:pPr>
        <w:widowControl w:val="0"/>
        <w:wordWrap/>
        <w:adjustRightInd/>
        <w:snapToGrid/>
        <w:spacing w:after="0"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指导全县各级领导班子的思想政治、作风建设和民主生活会，负责组织工作和干部工作的检查督促，负责对全县干部监督工作的综合、协调和指导，研究和制定组织部门干部监督的制度和规定，对干部选拔任用工作和科级领导干部进行监督，及时向县委、市委组织部反映重要情况，提出建议。</w:t>
      </w:r>
    </w:p>
    <w:p>
      <w:pPr>
        <w:widowControl w:val="0"/>
        <w:wordWrap/>
        <w:adjustRightInd/>
        <w:snapToGrid/>
        <w:spacing w:after="0"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4、根据党的干部路线、方针、政策，研究制定全县干部队伍建设和领导班子建设的总体规划，组织落实培养选拔中、青年干部和少数民族干部、妇女干部工作。</w:t>
      </w:r>
    </w:p>
    <w:p>
      <w:pPr>
        <w:widowControl w:val="0"/>
        <w:wordWrap/>
        <w:adjustRightInd/>
        <w:snapToGrid/>
        <w:spacing w:after="0"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5、在推进干部人事制度改革中的牵头抓总、宏观指导、统筹协调。从宏观上研究和指导江华瑶族自治县党的组织制度和干部人事制度的改革，制定或参与制定组织、干部、人事工作的制度和规章，并组织实施。</w:t>
      </w:r>
    </w:p>
    <w:p>
      <w:pPr>
        <w:widowControl w:val="0"/>
        <w:wordWrap/>
        <w:adjustRightInd/>
        <w:snapToGrid/>
        <w:spacing w:after="0"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6、宏观指导全县党的机关、人大、政协、法院、检察院、民主党派、人民团体参照试行《国家公务员条例》的相关政策的制定、宏观协调和组织实施。</w:t>
      </w:r>
    </w:p>
    <w:p>
      <w:pPr>
        <w:widowControl w:val="0"/>
        <w:wordWrap/>
        <w:adjustRightInd/>
        <w:snapToGrid/>
        <w:spacing w:after="0"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主管全县干部教育工作，制定干部教育的规划；组织县委管理的干部和一定层次的中、青年干部的培训工作，指导、协调、检查乡镇和县直部办委局的干部教育工作；指导全县干部培训基地、师资队伍建设和教材编写工作。</w:t>
      </w:r>
    </w:p>
    <w:p>
      <w:pPr>
        <w:widowControl w:val="0"/>
        <w:wordWrap/>
        <w:adjustRightInd/>
        <w:snapToGrid/>
        <w:spacing w:after="0"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8、负责党务政务管理人才，企业经营管理人才和科技专家、学科带头人“三支队伍”建设的宏观管理工作，牵头做好知识分子工作；全面掌握全县知识分子情况，参与研究制定有关知识分子政策，并抓好知识分子政策的贯彻落实，进一步完善江华瑶族自治县人才库，联系和组织部分有突出贡献的优秀专家开展活动。</w:t>
      </w:r>
    </w:p>
    <w:p>
      <w:pPr>
        <w:widowControl w:val="0"/>
        <w:wordWrap/>
        <w:adjustRightInd/>
        <w:snapToGrid/>
        <w:spacing w:after="0"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9、研究制定全县组织管理信息系统建设规划，指导全县组织系统信息网络建设；负责全县干部人事档案、党内统计、干部统计工作。</w:t>
      </w:r>
    </w:p>
    <w:p>
      <w:pPr>
        <w:wordWrap/>
        <w:snapToGrid w:val="0"/>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10、承办县委和市委组织部交办的其它事项。</w:t>
      </w:r>
    </w:p>
    <w:p>
      <w:pPr>
        <w:pStyle w:val="4"/>
        <w:rPr>
          <w:rFonts w:hint="default"/>
        </w:rPr>
      </w:pPr>
    </w:p>
    <w:p>
      <w:pPr>
        <w:widowControl w:val="0"/>
        <w:numPr>
          <w:ilvl w:val="0"/>
          <w:numId w:val="1"/>
        </w:numPr>
        <w:wordWrap/>
        <w:adjustRightIn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机构设置情况</w:t>
      </w:r>
    </w:p>
    <w:p>
      <w:pPr>
        <w:wordWrap/>
        <w:snapToGrid w:val="0"/>
        <w:spacing w:line="520" w:lineRule="exact"/>
        <w:ind w:firstLine="640" w:firstLineChars="200"/>
        <w:textAlignment w:val="auto"/>
        <w:rPr>
          <w:rFonts w:hint="default"/>
        </w:rPr>
      </w:pPr>
      <w:r>
        <w:rPr>
          <w:rFonts w:hint="eastAsia" w:ascii="仿宋" w:hAnsi="仿宋" w:eastAsia="仿宋" w:cs="仿宋"/>
          <w:b w:val="0"/>
          <w:bCs/>
          <w:sz w:val="32"/>
          <w:szCs w:val="32"/>
          <w:lang w:val="en-US" w:eastAsia="zh-CN"/>
        </w:rPr>
        <w:t>江华县委组织部为县委工作部门;</w:t>
      </w:r>
      <w:r>
        <w:rPr>
          <w:rFonts w:hint="eastAsia" w:ascii="仿宋_GB2312" w:hAnsi="仿宋_GB2312" w:eastAsia="仿宋_GB2312" w:cs="仿宋_GB2312"/>
          <w:kern w:val="0"/>
          <w:sz w:val="32"/>
          <w:szCs w:val="32"/>
          <w:lang w:val="en-US" w:eastAsia="zh-CN" w:bidi="ar-SA"/>
        </w:rPr>
        <w:t>内设办公室（研究室）、干部室、公务员室、老干部室、人才工作室、干部教育室、干部监督室（举报中心）、干部档案信息室、组织指导室（与县委基层办合署办公）、党员管理室（党代表联络办公室）等10个内设机构，下设4个事业单位：县党员教育中心、县关心下一代委员会、县老干部服务中心、县人才发展服务中心。</w:t>
      </w:r>
    </w:p>
    <w:p>
      <w:pPr>
        <w:pStyle w:val="2"/>
        <w:numPr>
          <w:numId w:val="0"/>
        </w:numPr>
        <w:rPr>
          <w:rFonts w:hint="default"/>
        </w:rPr>
      </w:pPr>
    </w:p>
    <w:p>
      <w:pPr>
        <w:widowControl w:val="0"/>
        <w:wordWrap/>
        <w:adjustRightIn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（三）人员编制情况</w:t>
      </w:r>
    </w:p>
    <w:p>
      <w:pPr>
        <w:widowControl w:val="0"/>
        <w:numPr>
          <w:numId w:val="0"/>
        </w:numPr>
        <w:wordWrap/>
        <w:adjustRightIn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年末，我单位共有编制</w:t>
      </w:r>
      <w:r>
        <w:rPr>
          <w:rFonts w:hint="eastAsia"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人，其中行政编制</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人，事业编制</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人。年末实有在职人员</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人，离休人员</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人。</w:t>
      </w:r>
    </w:p>
    <w:p>
      <w:pPr>
        <w:widowControl w:val="0"/>
        <w:numPr>
          <w:ilvl w:val="0"/>
          <w:numId w:val="2"/>
        </w:numPr>
        <w:wordWrap/>
        <w:adjustRightIn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一般公共预算支出情况</w:t>
      </w:r>
    </w:p>
    <w:p>
      <w:pPr>
        <w:widowControl w:val="0"/>
        <w:numPr>
          <w:numId w:val="0"/>
        </w:numPr>
        <w:wordWrap/>
        <w:adjustRightIn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widowControl w:val="0"/>
        <w:wordWrap/>
        <w:adjustRightIn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基本支出是保障机构正常运转、完成日常工作任务而发</w:t>
      </w:r>
    </w:p>
    <w:p>
      <w:pPr>
        <w:widowControl w:val="0"/>
        <w:wordWrap/>
        <w:adjustRightInd/>
        <w:spacing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生的各项支出，包括用于在职和离退休人员基本工资、津贴</w:t>
      </w:r>
    </w:p>
    <w:p>
      <w:pPr>
        <w:widowControl w:val="0"/>
        <w:wordWrap/>
        <w:adjustRightInd/>
        <w:spacing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补贴等人员经费以及办公费、印刷费、水电费、办公设备购</w:t>
      </w:r>
    </w:p>
    <w:p>
      <w:pPr>
        <w:widowControl w:val="0"/>
        <w:wordWrap/>
        <w:adjustRightInd/>
        <w:spacing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置等日常公用经费。202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年基本支出预算安排(含上年结转)</w:t>
      </w:r>
    </w:p>
    <w:p>
      <w:pPr>
        <w:widowControl w:val="0"/>
        <w:wordWrap/>
        <w:adjustRightInd/>
        <w:spacing w:line="60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1419.97</w:t>
      </w:r>
      <w:r>
        <w:rPr>
          <w:rFonts w:hint="default"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1419.97</w:t>
      </w:r>
      <w:r>
        <w:rPr>
          <w:rFonts w:hint="default" w:ascii="Times New Roman" w:hAnsi="Times New Roman" w:eastAsia="仿宋_GB2312" w:cs="Times New Roman"/>
          <w:sz w:val="32"/>
          <w:szCs w:val="32"/>
        </w:rPr>
        <w:t>万元，完成预算安排的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%。人员经费支出</w:t>
      </w:r>
      <w:r>
        <w:rPr>
          <w:rFonts w:hint="eastAsia" w:ascii="Times New Roman" w:hAnsi="Times New Roman" w:eastAsia="仿宋_GB2312" w:cs="Times New Roman"/>
          <w:sz w:val="32"/>
          <w:szCs w:val="32"/>
          <w:lang w:val="en-US" w:eastAsia="zh-CN"/>
        </w:rPr>
        <w:t>689.38</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48.55</w:t>
      </w:r>
      <w:r>
        <w:rPr>
          <w:rFonts w:hint="default" w:ascii="Times New Roman" w:hAnsi="Times New Roman" w:eastAsia="仿宋_GB2312" w:cs="Times New Roman"/>
          <w:sz w:val="32"/>
          <w:szCs w:val="32"/>
        </w:rPr>
        <w:t>%;日常公用经费支出</w:t>
      </w:r>
      <w:r>
        <w:rPr>
          <w:rFonts w:hint="eastAsia" w:ascii="Times New Roman" w:hAnsi="Times New Roman" w:eastAsia="仿宋_GB2312" w:cs="Times New Roman"/>
          <w:sz w:val="32"/>
          <w:szCs w:val="32"/>
          <w:lang w:val="en-US" w:eastAsia="zh-CN"/>
        </w:rPr>
        <w:t>730.59</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51.45</w:t>
      </w:r>
      <w:r>
        <w:rPr>
          <w:rFonts w:hint="default" w:ascii="Times New Roman" w:hAnsi="Times New Roman" w:eastAsia="仿宋_GB2312" w:cs="Times New Roman"/>
          <w:sz w:val="32"/>
          <w:szCs w:val="32"/>
        </w:rPr>
        <w:t>%。</w:t>
      </w:r>
    </w:p>
    <w:p>
      <w:pPr>
        <w:widowControl w:val="0"/>
        <w:wordWrap/>
        <w:adjustRightIn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pPr>
        <w:widowControl w:val="0"/>
        <w:numPr>
          <w:numId w:val="0"/>
        </w:numPr>
        <w:wordWrap/>
        <w:adjustRightInd/>
        <w:spacing w:line="60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项目支出是单位为完成特定行政工作任务或事业发展</w:t>
      </w:r>
    </w:p>
    <w:p>
      <w:pPr>
        <w:widowControl w:val="0"/>
        <w:numPr>
          <w:numId w:val="0"/>
        </w:numPr>
        <w:wordWrap/>
        <w:adjustRightInd/>
        <w:spacing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目标而发生的支出。202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年项目支出预算安排(含上年结转)</w:t>
      </w:r>
    </w:p>
    <w:p>
      <w:pPr>
        <w:widowControl w:val="0"/>
        <w:numPr>
          <w:numId w:val="0"/>
        </w:numPr>
        <w:wordWrap/>
        <w:adjustRightInd/>
        <w:spacing w:line="60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431.81</w:t>
      </w:r>
      <w:r>
        <w:rPr>
          <w:rFonts w:hint="default"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431.81</w:t>
      </w:r>
      <w:r>
        <w:rPr>
          <w:rFonts w:hint="default" w:ascii="Times New Roman" w:hAnsi="Times New Roman" w:eastAsia="仿宋_GB2312" w:cs="Times New Roman"/>
          <w:sz w:val="32"/>
          <w:szCs w:val="32"/>
        </w:rPr>
        <w:t>万元，完成预算安排的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r>
        <w:rPr>
          <w:rFonts w:hint="eastAsia" w:ascii="Times New Roman" w:hAnsi="Times New Roman" w:eastAsia="仿宋_GB2312" w:cs="Times New Roman"/>
          <w:sz w:val="32"/>
          <w:szCs w:val="32"/>
          <w:lang w:val="en-US" w:eastAsia="zh-CN"/>
        </w:rPr>
        <w:t>农林水项目经费</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年实际支出</w:t>
      </w:r>
      <w:r>
        <w:rPr>
          <w:rFonts w:hint="eastAsia" w:ascii="Times New Roman" w:hAnsi="Times New Roman" w:eastAsia="仿宋_GB2312" w:cs="Times New Roman"/>
          <w:sz w:val="32"/>
          <w:szCs w:val="32"/>
          <w:lang w:val="en-US" w:eastAsia="zh-CN"/>
        </w:rPr>
        <w:t>400</w:t>
      </w:r>
      <w:r>
        <w:rPr>
          <w:rFonts w:hint="default" w:ascii="Times New Roman" w:hAnsi="Times New Roman" w:eastAsia="仿宋_GB2312" w:cs="Times New Roman"/>
          <w:sz w:val="32"/>
          <w:szCs w:val="32"/>
        </w:rPr>
        <w:t>万元，占项目支出的</w:t>
      </w:r>
      <w:r>
        <w:rPr>
          <w:rFonts w:hint="eastAsia" w:ascii="Times New Roman" w:hAnsi="Times New Roman" w:eastAsia="仿宋_GB2312" w:cs="Times New Roman"/>
          <w:sz w:val="32"/>
          <w:szCs w:val="32"/>
          <w:lang w:val="en-US" w:eastAsia="zh-CN"/>
        </w:rPr>
        <w:t>92.63</w:t>
      </w:r>
      <w:r>
        <w:rPr>
          <w:rFonts w:hint="default"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val="en-US" w:eastAsia="zh-CN"/>
        </w:rPr>
        <w:t>农村综合改革</w:t>
      </w:r>
      <w:r>
        <w:rPr>
          <w:rFonts w:hint="default" w:ascii="Times New Roman" w:hAnsi="Times New Roman" w:eastAsia="仿宋_GB2312" w:cs="Times New Roman"/>
          <w:sz w:val="32"/>
          <w:szCs w:val="32"/>
        </w:rPr>
        <w:t>工作等方面。</w:t>
      </w:r>
    </w:p>
    <w:p>
      <w:pPr>
        <w:widowControl w:val="0"/>
        <w:numPr>
          <w:numId w:val="0"/>
        </w:numPr>
        <w:wordWrap/>
        <w:adjustRightInd/>
        <w:spacing w:line="60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高校毕业生到基层任职补助专项资金</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年实际支出</w:t>
      </w:r>
      <w:r>
        <w:rPr>
          <w:rFonts w:hint="eastAsia" w:ascii="Times New Roman" w:hAnsi="Times New Roman" w:eastAsia="仿宋_GB2312" w:cs="Times New Roman"/>
          <w:sz w:val="32"/>
          <w:szCs w:val="32"/>
          <w:lang w:val="en-US" w:eastAsia="zh-CN"/>
        </w:rPr>
        <w:t>31.81</w:t>
      </w:r>
      <w:r>
        <w:rPr>
          <w:rFonts w:hint="default" w:ascii="Times New Roman" w:hAnsi="Times New Roman" w:eastAsia="仿宋_GB2312" w:cs="Times New Roman"/>
          <w:sz w:val="32"/>
          <w:szCs w:val="32"/>
        </w:rPr>
        <w:t>万元，占项目支出的</w:t>
      </w:r>
      <w:r>
        <w:rPr>
          <w:rFonts w:hint="eastAsia" w:ascii="Times New Roman" w:hAnsi="Times New Roman" w:eastAsia="仿宋_GB2312" w:cs="Times New Roman"/>
          <w:sz w:val="32"/>
          <w:szCs w:val="32"/>
          <w:lang w:val="en-US" w:eastAsia="zh-CN"/>
        </w:rPr>
        <w:t>7.37</w:t>
      </w:r>
      <w:r>
        <w:rPr>
          <w:rFonts w:hint="default"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val="en-US" w:eastAsia="zh-CN"/>
        </w:rPr>
        <w:t>高校毕业生到基层任职补助</w:t>
      </w:r>
      <w:r>
        <w:rPr>
          <w:rFonts w:hint="default" w:ascii="Times New Roman" w:hAnsi="Times New Roman" w:eastAsia="仿宋_GB2312" w:cs="Times New Roman"/>
          <w:sz w:val="32"/>
          <w:szCs w:val="32"/>
        </w:rPr>
        <w:t>工作等方面。</w:t>
      </w:r>
    </w:p>
    <w:p>
      <w:pPr>
        <w:pStyle w:val="4"/>
        <w:numPr>
          <w:ilvl w:val="0"/>
          <w:numId w:val="3"/>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政府性基金预算支出情况</w:t>
      </w:r>
    </w:p>
    <w:p>
      <w:pPr>
        <w:pStyle w:val="4"/>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sz w:val="32"/>
          <w:szCs w:val="32"/>
          <w:lang w:eastAsia="zh-CN"/>
        </w:rPr>
        <w:t>我单位</w:t>
      </w:r>
      <w:r>
        <w:rPr>
          <w:rFonts w:hint="eastAsia" w:ascii="仿宋" w:hAnsi="仿宋" w:eastAsia="仿宋" w:cs="仿宋"/>
          <w:sz w:val="32"/>
          <w:szCs w:val="32"/>
        </w:rPr>
        <w:t>未安排政府性基金预算，无政府性基金预算支出。</w:t>
      </w:r>
    </w:p>
    <w:p>
      <w:pPr>
        <w:pStyle w:val="4"/>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国有资本经营预算支出情况</w:t>
      </w:r>
    </w:p>
    <w:p>
      <w:pPr>
        <w:pStyle w:val="4"/>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sz w:val="32"/>
          <w:szCs w:val="32"/>
          <w:lang w:eastAsia="zh-CN"/>
        </w:rPr>
        <w:t>我单位</w:t>
      </w:r>
      <w:r>
        <w:rPr>
          <w:rFonts w:hint="eastAsia" w:ascii="仿宋" w:hAnsi="仿宋" w:eastAsia="仿宋" w:cs="仿宋"/>
          <w:sz w:val="32"/>
          <w:szCs w:val="32"/>
        </w:rPr>
        <w:t>未安排国有资本经营预算，无国有资本经营预算支出。</w:t>
      </w:r>
    </w:p>
    <w:p>
      <w:pPr>
        <w:pStyle w:val="4"/>
        <w:ind w:firstLine="640" w:firstLineChars="200"/>
        <w:rPr>
          <w:rFonts w:hint="eastAsia" w:ascii="黑体" w:hAnsi="黑体" w:eastAsia="黑体" w:cs="黑体"/>
          <w:sz w:val="32"/>
          <w:szCs w:val="32"/>
        </w:rPr>
      </w:pPr>
      <w:r>
        <w:rPr>
          <w:rFonts w:hint="eastAsia" w:ascii="黑体" w:hAnsi="黑体" w:eastAsia="黑体" w:cs="黑体"/>
          <w:sz w:val="32"/>
          <w:szCs w:val="32"/>
        </w:rPr>
        <w:t>五、社会保险基金预算支出情况</w:t>
      </w:r>
    </w:p>
    <w:p>
      <w:pPr>
        <w:pStyle w:val="4"/>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sz w:val="32"/>
          <w:szCs w:val="32"/>
          <w:lang w:eastAsia="zh-CN"/>
        </w:rPr>
        <w:t>我单位</w:t>
      </w:r>
      <w:r>
        <w:rPr>
          <w:rFonts w:hint="eastAsia" w:ascii="仿宋" w:hAnsi="仿宋" w:eastAsia="仿宋" w:cs="仿宋"/>
          <w:sz w:val="32"/>
          <w:szCs w:val="32"/>
        </w:rPr>
        <w:t>未安排社会保险基金预算，无社会保险基金预算支出。</w:t>
      </w:r>
      <w:bookmarkStart w:id="0" w:name="_GoBack"/>
      <w:bookmarkEnd w:id="0"/>
    </w:p>
    <w:p>
      <w:pPr>
        <w:pStyle w:val="4"/>
        <w:rPr>
          <w:rFonts w:hint="default"/>
        </w:rPr>
      </w:pPr>
    </w:p>
    <w:p>
      <w:pPr>
        <w:widowControl w:val="0"/>
        <w:numPr>
          <w:numId w:val="0"/>
        </w:numPr>
        <w:wordWrap/>
        <w:adjustRightInd/>
        <w:spacing w:line="560" w:lineRule="exact"/>
        <w:ind w:leftChars="200" w:firstLine="320" w:firstLineChars="1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部门整体支出绩效情况</w:t>
      </w:r>
    </w:p>
    <w:p>
      <w:pPr>
        <w:wordWrap/>
        <w:snapToGrid w:val="0"/>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部门职责履行情况分析。</w:t>
      </w:r>
    </w:p>
    <w:p>
      <w:pPr>
        <w:wordWrap/>
        <w:snapToGrid w:val="0"/>
        <w:spacing w:line="520" w:lineRule="exact"/>
        <w:ind w:firstLine="560" w:firstLineChars="200"/>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pacing w:val="-20"/>
          <w:sz w:val="32"/>
          <w:szCs w:val="32"/>
          <w:lang w:val="en-US" w:eastAsia="zh-CN"/>
        </w:rPr>
        <w:t>1.</w:t>
      </w:r>
      <w:r>
        <w:rPr>
          <w:rFonts w:hint="eastAsia" w:ascii="仿宋" w:hAnsi="仿宋" w:eastAsia="仿宋" w:cs="仿宋"/>
          <w:b w:val="0"/>
          <w:bCs/>
          <w:color w:val="000000"/>
          <w:sz w:val="32"/>
          <w:szCs w:val="32"/>
          <w:lang w:val="en-US" w:eastAsia="zh-CN"/>
        </w:rPr>
        <w:t>筑</w:t>
      </w:r>
      <w:r>
        <w:rPr>
          <w:rFonts w:ascii="仿宋" w:hAnsi="仿宋" w:eastAsia="仿宋" w:cs="仿宋"/>
          <w:sz w:val="32"/>
          <w:szCs w:val="32"/>
        </w:rPr>
        <w:t>组织</w:t>
      </w:r>
      <w:r>
        <w:rPr>
          <w:rFonts w:hint="eastAsia" w:ascii="仿宋" w:hAnsi="仿宋" w:eastAsia="仿宋" w:cs="仿宋"/>
          <w:sz w:val="32"/>
          <w:szCs w:val="32"/>
        </w:rPr>
        <w:t>全</w:t>
      </w:r>
      <w:r>
        <w:rPr>
          <w:rFonts w:ascii="仿宋" w:hAnsi="仿宋" w:eastAsia="仿宋" w:cs="仿宋"/>
          <w:sz w:val="32"/>
          <w:szCs w:val="32"/>
        </w:rPr>
        <w:t>县党员干部深入开展以“联系项目、企业、小(社)区、创文责任区、村；党员联系到户、民情走访到户、产业联结到户、政策落实到户、精准服务到户”为主要内容的“五联系五到户”主题活动，</w:t>
      </w:r>
      <w:r>
        <w:rPr>
          <w:rFonts w:hint="eastAsia" w:ascii="仿宋" w:hAnsi="仿宋" w:eastAsia="仿宋" w:cs="仿宋"/>
          <w:sz w:val="32"/>
          <w:szCs w:val="32"/>
        </w:rPr>
        <w:t>打通服务群众“最后一步”</w:t>
      </w:r>
      <w:r>
        <w:rPr>
          <w:rFonts w:ascii="仿宋" w:hAnsi="仿宋" w:eastAsia="仿宋" w:cs="仿宋"/>
          <w:sz w:val="32"/>
          <w:szCs w:val="32"/>
        </w:rPr>
        <w:t>。</w:t>
      </w:r>
    </w:p>
    <w:p>
      <w:pPr>
        <w:numPr>
          <w:numId w:val="0"/>
        </w:numPr>
        <w:wordWrap/>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sz w:val="32"/>
          <w:szCs w:val="32"/>
        </w:rPr>
        <w:t>围绕“六议”（一议巩固脱贫攻坚成果和防返贫监测，二议村级‘三资’管理、三议产业发展，四议乡村人居环境整治，五议乡风文明建设事宜，六议村级基础设施和公共服务建设）目标有序推进，深入推进抓党建促乡村振兴、促基层治理，切实保障群众参与公共事务管理的权利，提高其参与乡村公共事务的积极性、主动性、创造性，让群众成为乡村公共事务的参与主体、执行主体和监督主体。</w:t>
      </w:r>
    </w:p>
    <w:p>
      <w:pPr>
        <w:numPr>
          <w:numId w:val="0"/>
        </w:numPr>
        <w:wordWrap/>
        <w:snapToGrid w:val="0"/>
        <w:spacing w:line="52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3.</w:t>
      </w:r>
      <w:r>
        <w:rPr>
          <w:rFonts w:hint="eastAsia" w:ascii="仿宋_GB2312" w:eastAsia="仿宋_GB2312"/>
          <w:sz w:val="32"/>
          <w:szCs w:val="32"/>
        </w:rPr>
        <w:t>在全县范围内开展“党组织书记讲党课”和“优秀红色精品党课视频”活动，引导广大党员干部知本土故事、学精神作风、上精品党课。</w:t>
      </w:r>
      <w:r>
        <w:rPr>
          <w:rFonts w:hint="eastAsia" w:ascii="仿宋_GB2312" w:hAnsi="Arial Black" w:eastAsia="仿宋_GB2312"/>
          <w:sz w:val="32"/>
          <w:szCs w:val="32"/>
        </w:rPr>
        <w:t>创新打造“影院+电台+专栏+基地+服务队”模式，五措并举抓实“红色教育在永州”学习活动，</w:t>
      </w:r>
      <w:r>
        <w:rPr>
          <w:rFonts w:hint="eastAsia" w:ascii="仿宋_GB2312" w:eastAsia="仿宋_GB2312"/>
          <w:kern w:val="0"/>
          <w:sz w:val="32"/>
          <w:szCs w:val="32"/>
        </w:rPr>
        <w:t>拍摄</w:t>
      </w:r>
      <w:r>
        <w:rPr>
          <w:rFonts w:hint="eastAsia" w:ascii="仿宋_GB2312" w:hAnsi="仿宋" w:eastAsia="仿宋_GB2312" w:cs="仿宋"/>
          <w:sz w:val="32"/>
          <w:szCs w:val="32"/>
        </w:rPr>
        <w:t>《初心向阳》《千年瑶寨等你来》等</w:t>
      </w:r>
      <w:r>
        <w:rPr>
          <w:rFonts w:hint="eastAsia" w:ascii="仿宋_GB2312" w:hAnsi="Times New Roman" w:eastAsia="仿宋_GB2312" w:cs="Times New Roman"/>
          <w:kern w:val="0"/>
          <w:sz w:val="32"/>
          <w:szCs w:val="32"/>
        </w:rPr>
        <w:t>红色精品党课视频150余篇</w:t>
      </w:r>
      <w:r>
        <w:rPr>
          <w:rFonts w:hint="eastAsia" w:ascii="仿宋_GB2312" w:eastAsia="仿宋_GB2312"/>
          <w:kern w:val="0"/>
          <w:sz w:val="32"/>
          <w:szCs w:val="32"/>
        </w:rPr>
        <w:t>，</w:t>
      </w:r>
      <w:r>
        <w:rPr>
          <w:rFonts w:hint="eastAsia" w:ascii="仿宋_GB2312" w:hAnsi="Arial Black" w:eastAsia="仿宋_GB2312"/>
          <w:sz w:val="32"/>
          <w:szCs w:val="32"/>
        </w:rPr>
        <w:t>推动红色教育走深走实。</w:t>
      </w:r>
    </w:p>
    <w:p>
      <w:pPr>
        <w:numPr>
          <w:numId w:val="0"/>
        </w:numPr>
        <w:wordWrap/>
        <w:snapToGrid w:val="0"/>
        <w:spacing w:line="520" w:lineRule="exact"/>
        <w:ind w:firstLine="64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sz w:val="32"/>
          <w:szCs w:val="32"/>
          <w:lang w:val="en-US" w:eastAsia="zh-CN"/>
        </w:rPr>
        <w:t>4.</w:t>
      </w:r>
      <w:r>
        <w:rPr>
          <w:rFonts w:hint="eastAsia" w:ascii="仿宋_GB2312" w:hAnsi="楷体" w:eastAsia="仿宋_GB2312" w:cs="楷体"/>
          <w:bCs/>
          <w:sz w:val="32"/>
          <w:szCs w:val="32"/>
        </w:rPr>
        <w:t>持续</w:t>
      </w:r>
      <w:r>
        <w:rPr>
          <w:rFonts w:hint="eastAsia" w:ascii="仿宋_GB2312" w:hAnsi="仿宋" w:eastAsia="仿宋_GB2312" w:cs="仿宋"/>
          <w:sz w:val="32"/>
          <w:szCs w:val="32"/>
        </w:rPr>
        <w:t>擦亮“全省人民满意公务员集体”金字招牌，制定《中共江华瑶族自治县委组织部“满意度”提升年工作实施方案》，不断提升服务能力和水平。坚持把纪律规矩挺在前面，发扬“三盯”精神，保持“三干”作风，对标对表“三表率一模范”的政治机关要求，按照市委组织部“四化三可”的要求，创新组织工作机制，彰显组工担当，全力推动组织工作高质量发展。</w:t>
      </w:r>
    </w:p>
    <w:p>
      <w:pPr>
        <w:numPr>
          <w:numId w:val="0"/>
        </w:numPr>
        <w:wordWrap/>
        <w:snapToGrid w:val="0"/>
        <w:spacing w:line="52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（二）社会经济效益分析</w:t>
      </w:r>
    </w:p>
    <w:p>
      <w:pPr>
        <w:wordWrap/>
        <w:snapToGrid w:val="0"/>
        <w:spacing w:line="520" w:lineRule="exact"/>
        <w:ind w:firstLine="640" w:firstLineChars="200"/>
        <w:textAlignment w:val="auto"/>
        <w:rPr>
          <w:rFonts w:hint="eastAsia" w:ascii="仿宋_GB2312" w:hAnsi="仿宋" w:eastAsia="仿宋_GB2312" w:cs="仿宋"/>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经济效益指标：</w:t>
      </w:r>
      <w:r>
        <w:rPr>
          <w:rFonts w:hint="eastAsia" w:ascii="仿宋_GB2312" w:hAnsi="仿宋" w:eastAsia="仿宋_GB2312" w:cs="仿宋"/>
          <w:bCs/>
          <w:sz w:val="32"/>
          <w:szCs w:val="32"/>
        </w:rPr>
        <w:t>强化贴心服务留才</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持续优化“五心四到”母亲式服务，组建“县+园区+乡镇+社区(村)”四维一体的帮代办联动体系，推动人才服务精细化规范化。落实人才引进培育奖励、企业自主创新奖励政策，为急需紧缺专业人才发放生活补贴、购房补贴</w:t>
      </w:r>
      <w:r>
        <w:rPr>
          <w:rFonts w:hint="eastAsia" w:ascii="仿宋_GB2312" w:hAnsi="仿宋" w:eastAsia="仿宋_GB2312" w:cs="仿宋"/>
          <w:bCs/>
          <w:sz w:val="32"/>
          <w:szCs w:val="32"/>
          <w:lang w:val="en-US" w:eastAsia="zh-CN"/>
        </w:rPr>
        <w:t>80余</w:t>
      </w:r>
      <w:r>
        <w:rPr>
          <w:rFonts w:hint="eastAsia" w:ascii="仿宋_GB2312" w:hAnsi="仿宋" w:eastAsia="仿宋_GB2312" w:cs="仿宋"/>
          <w:bCs/>
          <w:sz w:val="32"/>
          <w:szCs w:val="32"/>
        </w:rPr>
        <w:t>万元。</w:t>
      </w:r>
    </w:p>
    <w:p>
      <w:pPr>
        <w:wordWrap/>
        <w:snapToGrid w:val="0"/>
        <w:spacing w:line="520" w:lineRule="exact"/>
        <w:ind w:firstLine="640" w:firstLineChars="200"/>
        <w:textAlignment w:val="auto"/>
        <w:rPr>
          <w:rFonts w:hint="eastAsia" w:ascii="仿宋_GB2312" w:hAnsi="仿宋" w:eastAsia="仿宋_GB2312" w:cs="仿宋"/>
          <w:color w:val="auto"/>
          <w:sz w:val="32"/>
          <w:szCs w:val="32"/>
          <w:lang w:eastAsia="zh-CN"/>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社会效益指标：</w:t>
      </w:r>
      <w:r>
        <w:rPr>
          <w:rFonts w:hint="eastAsia" w:ascii="仿宋_GB2312" w:hAnsi="仿宋" w:eastAsia="仿宋_GB2312" w:cs="仿宋"/>
          <w:sz w:val="32"/>
          <w:szCs w:val="32"/>
        </w:rPr>
        <w:t>成立广东省湖南江华商会，建立“政府+小分队+商会+乡贤”的引才格局，不断完善江华籍在外优秀人才资源库建设。</w:t>
      </w:r>
      <w:r>
        <w:rPr>
          <w:rFonts w:hint="eastAsia" w:ascii="仿宋_GB2312" w:hAnsi="仿宋" w:eastAsia="仿宋_GB2312" w:cs="仿宋"/>
          <w:sz w:val="32"/>
          <w:szCs w:val="32"/>
          <w:lang w:val="en-US" w:eastAsia="zh-CN"/>
        </w:rPr>
        <w:t>大力实</w:t>
      </w:r>
      <w:r>
        <w:rPr>
          <w:rFonts w:hint="eastAsia" w:ascii="仿宋_GB2312" w:hAnsi="仿宋_GB2312" w:eastAsia="仿宋_GB2312" w:cs="仿宋_GB2312"/>
          <w:sz w:val="32"/>
          <w:szCs w:val="32"/>
          <w:lang w:eastAsia="zh-CN"/>
        </w:rPr>
        <w:t>施“雁归瑶都”工程，升级优惠政策，</w:t>
      </w:r>
      <w:r>
        <w:rPr>
          <w:rFonts w:hint="eastAsia" w:ascii="仿宋_GB2312" w:hAnsi="仿宋_GB2312" w:eastAsia="仿宋_GB2312" w:cs="仿宋_GB2312"/>
          <w:sz w:val="32"/>
          <w:szCs w:val="32"/>
        </w:rPr>
        <w:t>开展“迎老乡、回故乡、建家乡”活动，</w:t>
      </w:r>
      <w:r>
        <w:rPr>
          <w:rFonts w:hint="eastAsia" w:ascii="仿宋_GB2312" w:hAnsi="仿宋_GB2312" w:eastAsia="仿宋_GB2312" w:cs="仿宋_GB2312"/>
          <w:sz w:val="32"/>
          <w:szCs w:val="32"/>
          <w:lang w:val="en-US" w:eastAsia="zh-CN"/>
        </w:rPr>
        <w:t>引导在外优秀农民工、高校毕业生、企业家等返乡创新创业，</w:t>
      </w:r>
      <w:r>
        <w:rPr>
          <w:rFonts w:hint="eastAsia" w:ascii="仿宋_GB2312" w:hAnsi="仿宋" w:eastAsia="仿宋_GB2312" w:cs="仿宋"/>
          <w:bCs/>
          <w:color w:val="auto"/>
          <w:sz w:val="32"/>
          <w:szCs w:val="32"/>
          <w:lang w:eastAsia="zh-CN"/>
        </w:rPr>
        <w:t>为</w:t>
      </w:r>
      <w:r>
        <w:rPr>
          <w:rFonts w:hint="eastAsia" w:ascii="仿宋_GB2312" w:hAnsi="仿宋" w:eastAsia="仿宋_GB2312" w:cs="仿宋"/>
          <w:color w:val="auto"/>
          <w:sz w:val="32"/>
          <w:szCs w:val="32"/>
          <w:lang w:eastAsia="zh-CN"/>
        </w:rPr>
        <w:t>返乡创业者</w:t>
      </w:r>
      <w:r>
        <w:rPr>
          <w:rFonts w:hint="eastAsia" w:ascii="仿宋_GB2312" w:hAnsi="Times New Roman" w:eastAsia="仿宋_GB2312" w:cs="Times New Roman"/>
          <w:color w:val="auto"/>
          <w:kern w:val="2"/>
          <w:sz w:val="32"/>
          <w:szCs w:val="32"/>
          <w:lang w:val="en-US" w:eastAsia="zh-CN" w:bidi="ar-SA"/>
        </w:rPr>
        <w:t>发放</w:t>
      </w:r>
      <w:r>
        <w:rPr>
          <w:rFonts w:hint="eastAsia" w:ascii="仿宋_GB2312" w:hAnsi="仿宋" w:eastAsia="仿宋_GB2312" w:cs="仿宋"/>
          <w:color w:val="auto"/>
          <w:sz w:val="32"/>
          <w:szCs w:val="32"/>
          <w:lang w:eastAsia="zh-CN"/>
        </w:rPr>
        <w:t>创业担保贷款，</w:t>
      </w:r>
      <w:r>
        <w:rPr>
          <w:rFonts w:hint="eastAsia" w:ascii="仿宋_GB2312" w:hAnsi="仿宋_GB2312" w:eastAsia="仿宋_GB2312" w:cs="仿宋_GB2312"/>
          <w:color w:val="auto"/>
          <w:sz w:val="32"/>
          <w:szCs w:val="32"/>
        </w:rPr>
        <w:t>吸引</w:t>
      </w:r>
      <w:r>
        <w:rPr>
          <w:rFonts w:hint="eastAsia" w:ascii="仿宋_GB2312" w:hAnsi="仿宋_GB2312" w:eastAsia="仿宋_GB2312" w:cs="仿宋_GB2312"/>
          <w:color w:val="auto"/>
          <w:sz w:val="32"/>
          <w:szCs w:val="32"/>
          <w:lang w:eastAsia="zh-CN"/>
        </w:rPr>
        <w:t>有志人才回乡创业，</w:t>
      </w:r>
      <w:r>
        <w:rPr>
          <w:rFonts w:hint="eastAsia" w:ascii="仿宋_GB2312" w:hAnsi="仿宋_GB2312" w:eastAsia="仿宋_GB2312" w:cs="仿宋_GB2312"/>
          <w:color w:val="auto"/>
          <w:kern w:val="0"/>
          <w:sz w:val="32"/>
          <w:szCs w:val="32"/>
        </w:rPr>
        <w:t>带动就业</w:t>
      </w:r>
      <w:r>
        <w:rPr>
          <w:rFonts w:hint="eastAsia" w:ascii="仿宋_GB2312" w:hAnsi="仿宋_GB2312" w:eastAsia="仿宋_GB2312" w:cs="仿宋_GB2312"/>
          <w:color w:val="auto"/>
          <w:sz w:val="32"/>
          <w:szCs w:val="32"/>
        </w:rPr>
        <w:t>。</w:t>
      </w:r>
    </w:p>
    <w:p>
      <w:pPr>
        <w:wordWrap/>
        <w:snapToGrid w:val="0"/>
        <w:spacing w:line="520"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可持续影响指标：加强</w:t>
      </w:r>
      <w:r>
        <w:rPr>
          <w:rFonts w:hint="eastAsia" w:ascii="仿宋" w:hAnsi="仿宋" w:eastAsia="仿宋" w:cs="仿宋"/>
          <w:b w:val="0"/>
          <w:bCs/>
          <w:sz w:val="32"/>
          <w:szCs w:val="32"/>
          <w:lang w:eastAsia="zh-CN"/>
        </w:rPr>
        <w:t>党政人才培养</w:t>
      </w:r>
      <w:r>
        <w:rPr>
          <w:rFonts w:hint="eastAsia" w:ascii="仿宋" w:hAnsi="仿宋" w:eastAsia="仿宋" w:cs="仿宋"/>
          <w:b w:val="0"/>
          <w:bCs/>
          <w:sz w:val="32"/>
          <w:szCs w:val="32"/>
        </w:rPr>
        <w:t>，提升群众</w:t>
      </w:r>
      <w:r>
        <w:rPr>
          <w:rFonts w:hint="eastAsia" w:ascii="仿宋" w:hAnsi="仿宋" w:eastAsia="仿宋" w:cs="仿宋"/>
          <w:b w:val="0"/>
          <w:bCs/>
          <w:sz w:val="32"/>
          <w:szCs w:val="32"/>
          <w:lang w:eastAsia="zh-CN"/>
        </w:rPr>
        <w:t>满意度</w:t>
      </w:r>
      <w:r>
        <w:rPr>
          <w:rFonts w:hint="eastAsia" w:ascii="仿宋" w:hAnsi="仿宋" w:eastAsia="仿宋" w:cs="仿宋"/>
          <w:b w:val="0"/>
          <w:bCs/>
          <w:sz w:val="32"/>
          <w:szCs w:val="32"/>
        </w:rPr>
        <w:t>指数</w:t>
      </w:r>
      <w:r>
        <w:rPr>
          <w:rFonts w:hint="eastAsia" w:ascii="仿宋" w:hAnsi="仿宋" w:eastAsia="仿宋" w:cs="仿宋"/>
          <w:b w:val="0"/>
          <w:bCs/>
          <w:sz w:val="32"/>
          <w:szCs w:val="32"/>
          <w:lang w:eastAsia="zh-CN"/>
        </w:rPr>
        <w:t>。</w:t>
      </w:r>
    </w:p>
    <w:p>
      <w:pPr>
        <w:wordWrap/>
        <w:adjustRightInd/>
        <w:snapToGrid w:val="0"/>
        <w:spacing w:after="0" w:line="52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（三）行政效能分析</w:t>
      </w:r>
    </w:p>
    <w:p>
      <w:pPr>
        <w:pStyle w:val="8"/>
        <w:wordWrap/>
        <w:snapToGrid w:val="0"/>
        <w:spacing w:line="520" w:lineRule="exact"/>
        <w:ind w:left="0" w:leftChars="0" w:firstLine="640" w:firstLineChars="200"/>
        <w:jc w:val="left"/>
        <w:textAlignment w:val="auto"/>
        <w:rPr>
          <w:rFonts w:hint="eastAsia" w:ascii="仿宋" w:hAnsi="仿宋" w:eastAsia="仿宋" w:cs="仿宋"/>
          <w:b w:val="0"/>
          <w:bCs/>
          <w:i w:val="0"/>
          <w:caps w:val="0"/>
          <w:color w:val="000000"/>
          <w:spacing w:val="0"/>
          <w:sz w:val="32"/>
          <w:szCs w:val="32"/>
          <w:shd w:val="clear" w:color="auto" w:fill="FFFFFF"/>
          <w:lang w:val="en-US" w:eastAsia="zh-CN"/>
        </w:rPr>
      </w:pPr>
      <w:r>
        <w:rPr>
          <w:rFonts w:hint="eastAsia" w:ascii="仿宋" w:hAnsi="仿宋" w:eastAsia="仿宋" w:cs="仿宋"/>
          <w:b w:val="0"/>
          <w:bCs/>
          <w:sz w:val="32"/>
          <w:szCs w:val="32"/>
          <w:lang w:val="en-US" w:eastAsia="zh-CN"/>
        </w:rPr>
        <w:t>1.</w:t>
      </w:r>
      <w:r>
        <w:rPr>
          <w:rFonts w:hint="eastAsia" w:ascii="仿宋_GB2312" w:hAnsi="仿宋_GB2312" w:eastAsia="仿宋_GB2312" w:cs="仿宋_GB2312"/>
          <w:b w:val="0"/>
          <w:bCs w:val="0"/>
          <w:sz w:val="32"/>
          <w:szCs w:val="32"/>
          <w:lang w:val="en-US" w:eastAsia="zh-CN" w:bidi="ar-SA"/>
        </w:rPr>
        <w:t>始终把政治建设摆在首位，坚持旗帜鲜明讲政治，引导广大党员干部牢记理想信念、勇于担当作为。坚持把新思想、新观点、新论断作为武装头脑、指导实践、推动发展的“先手棋”，通过党校主体班、专题培训班等方式推动新思想、新理念入脑入心。</w:t>
      </w:r>
    </w:p>
    <w:p>
      <w:pPr>
        <w:pStyle w:val="8"/>
        <w:wordWrap/>
        <w:snapToGrid w:val="0"/>
        <w:spacing w:line="52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bidi="ar-SA"/>
        </w:rPr>
      </w:pPr>
      <w:r>
        <w:rPr>
          <w:rFonts w:hint="eastAsia" w:ascii="仿宋" w:hAnsi="仿宋" w:eastAsia="仿宋" w:cs="仿宋"/>
          <w:b w:val="0"/>
          <w:bCs/>
          <w:i w:val="0"/>
          <w:caps w:val="0"/>
          <w:color w:val="000000"/>
          <w:spacing w:val="0"/>
          <w:sz w:val="32"/>
          <w:szCs w:val="32"/>
          <w:shd w:val="clear" w:color="auto" w:fill="FFFFFF"/>
          <w:lang w:val="en-US" w:eastAsia="zh-CN"/>
        </w:rPr>
        <w:t>2.</w:t>
      </w:r>
      <w:r>
        <w:rPr>
          <w:rFonts w:hint="eastAsia" w:ascii="仿宋_GB2312" w:hAnsi="仿宋_GB2312" w:eastAsia="仿宋_GB2312" w:cs="仿宋_GB2312"/>
          <w:b w:val="0"/>
          <w:bCs w:val="0"/>
          <w:sz w:val="32"/>
          <w:szCs w:val="32"/>
          <w:lang w:val="en-US" w:eastAsia="zh-CN" w:bidi="ar-SA"/>
        </w:rPr>
        <w:t>县委高度重视红色资源挖掘工作，先后组织开展“神州瑶都红色足迹采风”“红七军转战江华史料挖掘采访”等大型采风调研活动，并多次组织专家学者对全县红色阵地建管用情况进行全方位调研，高标准打造了以“湖南政法队伍教育基地”江华故里为核心，李启汉故居、中共江华县支部旧址等红色资源为支撑的干部教育培训“红色矩阵”，精心打造了10个市级干部教育示范点，让广大党员干部在学习培训中赓续红色血脉，传承红色基因。</w:t>
      </w:r>
    </w:p>
    <w:p>
      <w:pPr>
        <w:pStyle w:val="8"/>
        <w:wordWrap/>
        <w:snapToGrid w:val="0"/>
        <w:spacing w:line="520" w:lineRule="exact"/>
        <w:ind w:left="0" w:leftChars="0" w:firstLine="640" w:firstLineChars="200"/>
        <w:jc w:val="left"/>
        <w:textAlignment w:val="auto"/>
        <w:rPr>
          <w:rFonts w:hint="eastAsia" w:ascii="仿宋" w:hAnsi="仿宋" w:eastAsia="仿宋" w:cs="仿宋"/>
          <w:b w:val="0"/>
          <w:bCs/>
          <w:color w:val="000000"/>
          <w:sz w:val="32"/>
          <w:szCs w:val="32"/>
        </w:rPr>
      </w:pPr>
      <w:r>
        <w:rPr>
          <w:rFonts w:hint="eastAsia" w:ascii="仿宋" w:hAnsi="仿宋" w:eastAsia="仿宋" w:cs="仿宋"/>
          <w:b w:val="0"/>
          <w:bCs/>
          <w:i w:val="0"/>
          <w:caps w:val="0"/>
          <w:color w:val="000000"/>
          <w:spacing w:val="0"/>
          <w:sz w:val="32"/>
          <w:szCs w:val="32"/>
          <w:shd w:val="clear" w:color="auto" w:fill="FFFFFF"/>
          <w:lang w:val="en-US" w:eastAsia="zh-CN"/>
        </w:rPr>
        <w:t>3.</w:t>
      </w:r>
      <w:r>
        <w:rPr>
          <w:rFonts w:hint="eastAsia" w:ascii="仿宋" w:hAnsi="仿宋" w:eastAsia="仿宋" w:cs="仿宋"/>
          <w:b w:val="0"/>
          <w:bCs/>
          <w:color w:val="000000"/>
          <w:sz w:val="32"/>
          <w:szCs w:val="32"/>
        </w:rPr>
        <w:t>加强对省市县财政预算资金管理方面制度的学习培训，及时</w:t>
      </w:r>
      <w:r>
        <w:rPr>
          <w:rFonts w:hint="eastAsia" w:ascii="仿宋" w:hAnsi="仿宋" w:eastAsia="仿宋" w:cs="仿宋"/>
          <w:b w:val="0"/>
          <w:bCs/>
          <w:color w:val="000000"/>
          <w:sz w:val="32"/>
          <w:szCs w:val="32"/>
          <w:lang w:eastAsia="zh-CN"/>
        </w:rPr>
        <w:t>组织财务人员</w:t>
      </w:r>
      <w:r>
        <w:rPr>
          <w:rFonts w:hint="eastAsia" w:ascii="仿宋" w:hAnsi="仿宋" w:eastAsia="仿宋" w:cs="仿宋"/>
          <w:b w:val="0"/>
          <w:bCs/>
          <w:color w:val="000000"/>
          <w:sz w:val="32"/>
          <w:szCs w:val="32"/>
        </w:rPr>
        <w:t>学习培训费、会议费、差旅费等相关制度的学</w:t>
      </w:r>
      <w:r>
        <w:rPr>
          <w:rFonts w:hint="eastAsia" w:ascii="仿宋" w:hAnsi="仿宋" w:eastAsia="仿宋" w:cs="仿宋"/>
          <w:b w:val="0"/>
          <w:bCs/>
          <w:color w:val="000000"/>
          <w:sz w:val="32"/>
          <w:szCs w:val="32"/>
          <w:lang w:eastAsia="zh-CN"/>
        </w:rPr>
        <w:t>习</w:t>
      </w:r>
      <w:r>
        <w:rPr>
          <w:rFonts w:hint="eastAsia" w:ascii="仿宋" w:hAnsi="仿宋" w:eastAsia="仿宋" w:cs="仿宋"/>
          <w:b w:val="0"/>
          <w:bCs/>
          <w:color w:val="000000"/>
          <w:sz w:val="32"/>
          <w:szCs w:val="32"/>
        </w:rPr>
        <w:t>。</w:t>
      </w:r>
    </w:p>
    <w:p>
      <w:pPr>
        <w:widowControl/>
        <w:shd w:val="clear" w:color="auto" w:fill="FFFFFF"/>
        <w:wordWrap/>
        <w:adjustRightInd w:val="0"/>
        <w:snapToGrid w:val="0"/>
        <w:spacing w:after="0" w:line="520" w:lineRule="exact"/>
        <w:ind w:firstLine="640"/>
        <w:textAlignment w:val="auto"/>
        <w:rPr>
          <w:rFonts w:hint="eastAsia"/>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严格制度执行，特别是“三公”经费的预算控制。严格</w:t>
      </w:r>
      <w:r>
        <w:rPr>
          <w:rFonts w:hint="eastAsia" w:ascii="仿宋" w:hAnsi="仿宋" w:eastAsia="仿宋" w:cs="仿宋"/>
          <w:b w:val="0"/>
          <w:bCs/>
          <w:color w:val="000000"/>
          <w:sz w:val="32"/>
          <w:szCs w:val="32"/>
          <w:lang w:eastAsia="zh-CN"/>
        </w:rPr>
        <w:t>公务接待</w:t>
      </w:r>
      <w:r>
        <w:rPr>
          <w:rFonts w:hint="eastAsia" w:ascii="仿宋" w:hAnsi="仿宋" w:eastAsia="仿宋" w:cs="仿宋"/>
          <w:b w:val="0"/>
          <w:bCs/>
          <w:color w:val="000000"/>
          <w:sz w:val="32"/>
          <w:szCs w:val="32"/>
        </w:rPr>
        <w:t>费用审核审批程序，“三公”经费较好地控制在预算范围之内。</w:t>
      </w:r>
    </w:p>
    <w:p>
      <w:pPr>
        <w:pStyle w:val="4"/>
        <w:widowControl w:val="0"/>
        <w:numPr>
          <w:numId w:val="0"/>
        </w:numPr>
        <w:wordWrap/>
        <w:adjustRightInd/>
        <w:spacing w:line="560" w:lineRule="exact"/>
        <w:ind w:leftChars="200" w:firstLine="320" w:firstLineChars="100"/>
        <w:jc w:val="left"/>
        <w:textAlignment w:val="auto"/>
        <w:rPr>
          <w:rFonts w:hint="eastAsia" w:ascii="仿宋" w:hAnsi="仿宋" w:eastAsia="仿宋" w:cs="仿宋"/>
          <w:b w:val="0"/>
          <w:bCs w:val="0"/>
          <w:sz w:val="32"/>
          <w:szCs w:val="32"/>
          <w:lang w:eastAsia="zh-CN"/>
        </w:rPr>
      </w:pPr>
    </w:p>
    <w:p>
      <w:pPr>
        <w:widowControl w:val="0"/>
        <w:wordWrap/>
        <w:adjustRightInd/>
        <w:spacing w:line="56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、存在的问题</w:t>
      </w:r>
    </w:p>
    <w:p>
      <w:pPr>
        <w:wordWrap/>
        <w:snapToGrid w:val="0"/>
        <w:spacing w:line="520" w:lineRule="exact"/>
        <w:ind w:firstLine="640" w:firstLineChars="200"/>
        <w:textAlignment w:val="auto"/>
        <w:rPr>
          <w:rFonts w:hint="eastAsia" w:ascii="仿宋" w:hAnsi="仿宋" w:eastAsia="仿宋" w:cs="仿宋"/>
          <w:b w:val="0"/>
          <w:bCs/>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eastAsia="zh-CN"/>
        </w:rPr>
        <w:t>是</w:t>
      </w:r>
      <w:r>
        <w:rPr>
          <w:rFonts w:hint="eastAsia" w:ascii="仿宋_GB2312" w:hAnsi="仿宋" w:eastAsia="仿宋_GB2312" w:cs="仿宋"/>
          <w:sz w:val="32"/>
          <w:szCs w:val="32"/>
        </w:rPr>
        <w:t>虽制定了《财务管理制度》，但未能具体对相关制度细化、创新，未能突出财务精细化管理要求。</w:t>
      </w:r>
    </w:p>
    <w:p>
      <w:pPr>
        <w:widowControl w:val="0"/>
        <w:numPr>
          <w:numId w:val="0"/>
        </w:numPr>
        <w:wordWrap/>
        <w:adjustRightIn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二是绩效目标设置有待继续优化。主要是部分业务处室</w:t>
      </w:r>
    </w:p>
    <w:p>
      <w:pPr>
        <w:widowControl w:val="0"/>
        <w:numPr>
          <w:numId w:val="0"/>
        </w:numPr>
        <w:wordWrap/>
        <w:adjustRightInd/>
        <w:spacing w:line="600" w:lineRule="exact"/>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对预算绩效目标的设定和各项指标的理解不到位，针对一级指标，很难形成行之有效的二级指标和三级指标，以致无法衡量项目</w:t>
      </w:r>
      <w:r>
        <w:rPr>
          <w:rFonts w:hint="eastAsia" w:ascii="Times New Roman" w:hAnsi="Times New Roman" w:eastAsia="仿宋_GB2312" w:cs="Times New Roman"/>
          <w:sz w:val="32"/>
          <w:szCs w:val="32"/>
          <w:lang w:eastAsia="zh-CN"/>
        </w:rPr>
        <w:t>。</w:t>
      </w:r>
    </w:p>
    <w:p>
      <w:pPr>
        <w:widowControl w:val="0"/>
        <w:numPr>
          <w:numId w:val="0"/>
        </w:numPr>
        <w:wordWrap/>
        <w:adjustRightInd/>
        <w:spacing w:line="600" w:lineRule="exact"/>
        <w:ind w:firstLine="640" w:firstLineChars="200"/>
        <w:jc w:val="both"/>
        <w:textAlignment w:val="auto"/>
        <w:rPr>
          <w:rFonts w:hint="default"/>
          <w:lang w:eastAsia="zh-CN"/>
        </w:rPr>
      </w:pPr>
      <w:r>
        <w:rPr>
          <w:rFonts w:hint="default" w:ascii="Times New Roman" w:hAnsi="Times New Roman" w:eastAsia="仿宋_GB2312" w:cs="Times New Roman"/>
          <w:sz w:val="32"/>
          <w:szCs w:val="32"/>
          <w:lang w:eastAsia="zh-CN"/>
        </w:rPr>
        <w:t>三是绩效评价应用有待继续加强。绩效评价通常在项目完成后进行，绩效评价结果很难改变预算使用效果。效果，影响客观评价。</w:t>
      </w:r>
    </w:p>
    <w:p>
      <w:pPr>
        <w:widowControl w:val="0"/>
        <w:numPr>
          <w:numId w:val="0"/>
        </w:numPr>
        <w:wordWrap/>
        <w:adjustRightInd/>
        <w:spacing w:line="60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rPr>
        <w:t>下一步改进措施</w:t>
      </w:r>
    </w:p>
    <w:p>
      <w:pPr>
        <w:wordWrap/>
        <w:snapToGrid w:val="0"/>
        <w:spacing w:line="520" w:lineRule="exact"/>
        <w:ind w:firstLine="643" w:firstLineChars="200"/>
        <w:textAlignment w:val="auto"/>
        <w:rPr>
          <w:rFonts w:hint="eastAsia" w:ascii="仿宋" w:hAnsi="仿宋" w:eastAsia="仿宋" w:cs="仿宋"/>
          <w:b w:val="0"/>
          <w:bCs/>
          <w:sz w:val="32"/>
          <w:szCs w:val="32"/>
        </w:rPr>
      </w:pPr>
      <w:r>
        <w:rPr>
          <w:rFonts w:hint="default" w:ascii="Times New Roman" w:hAnsi="Times New Roman" w:eastAsia="楷体_GB2312" w:cs="Times New Roman"/>
          <w:b/>
          <w:bCs w:val="0"/>
          <w:sz w:val="32"/>
          <w:szCs w:val="32"/>
          <w:lang w:val="en-US" w:eastAsia="zh-CN"/>
        </w:rPr>
        <w:t>（一）</w:t>
      </w:r>
      <w:r>
        <w:rPr>
          <w:rFonts w:hint="eastAsia" w:ascii="仿宋" w:hAnsi="仿宋" w:eastAsia="仿宋" w:cs="仿宋"/>
          <w:b w:val="0"/>
          <w:bCs/>
          <w:sz w:val="32"/>
          <w:szCs w:val="32"/>
        </w:rPr>
        <w:t>加强财务管理，严格财务审核。在费用报账支付时，按照预算规定的费用项目和用途进行资金使用审核、列报支付、财务核算，杜绝超支现象的发生。</w:t>
      </w:r>
    </w:p>
    <w:p>
      <w:pPr>
        <w:wordWrap/>
        <w:snapToGrid w:val="0"/>
        <w:spacing w:line="520" w:lineRule="exact"/>
        <w:ind w:firstLine="643" w:firstLineChars="200"/>
        <w:textAlignment w:val="auto"/>
        <w:rPr>
          <w:rFonts w:hint="eastAsia" w:ascii="仿宋" w:hAnsi="仿宋" w:eastAsia="仿宋" w:cs="仿宋"/>
          <w:b w:val="0"/>
          <w:bCs/>
          <w:sz w:val="32"/>
          <w:szCs w:val="32"/>
        </w:rPr>
      </w:pPr>
      <w:r>
        <w:rPr>
          <w:rFonts w:hint="default" w:ascii="Times New Roman" w:hAnsi="Times New Roman" w:eastAsia="楷体_GB2312" w:cs="Times New Roman"/>
          <w:b/>
          <w:bCs w:val="0"/>
          <w:sz w:val="32"/>
          <w:szCs w:val="32"/>
          <w:lang w:val="en-US" w:eastAsia="zh-CN"/>
        </w:rPr>
        <w:t>（</w:t>
      </w:r>
      <w:r>
        <w:rPr>
          <w:rFonts w:hint="eastAsia" w:ascii="Times New Roman" w:hAnsi="Times New Roman" w:eastAsia="楷体_GB2312" w:cs="Times New Roman"/>
          <w:b/>
          <w:bCs w:val="0"/>
          <w:sz w:val="32"/>
          <w:szCs w:val="32"/>
          <w:lang w:val="en-US" w:eastAsia="zh-CN"/>
        </w:rPr>
        <w:t>二</w:t>
      </w:r>
      <w:r>
        <w:rPr>
          <w:rFonts w:hint="default" w:ascii="Times New Roman" w:hAnsi="Times New Roman" w:eastAsia="楷体_GB2312" w:cs="Times New Roman"/>
          <w:b/>
          <w:bCs w:val="0"/>
          <w:sz w:val="32"/>
          <w:szCs w:val="32"/>
          <w:lang w:val="en-US" w:eastAsia="zh-CN"/>
        </w:rPr>
        <w:t>）</w:t>
      </w:r>
      <w:r>
        <w:rPr>
          <w:rFonts w:hint="eastAsia" w:ascii="仿宋" w:hAnsi="仿宋" w:eastAsia="仿宋" w:cs="仿宋"/>
          <w:b w:val="0"/>
          <w:bCs/>
          <w:sz w:val="32"/>
          <w:szCs w:val="32"/>
        </w:rPr>
        <w:t>持续抓好“三公”经费控制管理。严格控制“三公”经费的规模和比例，把关“三公”经费支出的审核、审批，杜绝挪用和挤占其他预算资金行为；进一步细化“三公”经费的管理，合理压缩“三公”经费支出。</w:t>
      </w:r>
    </w:p>
    <w:p>
      <w:pPr>
        <w:wordWrap/>
        <w:snapToGrid w:val="0"/>
        <w:spacing w:line="520" w:lineRule="exact"/>
        <w:ind w:firstLine="643" w:firstLineChars="200"/>
        <w:textAlignment w:val="auto"/>
        <w:rPr>
          <w:rFonts w:hint="eastAsia" w:ascii="仿宋" w:hAnsi="仿宋" w:eastAsia="仿宋" w:cs="仿宋"/>
          <w:b w:val="0"/>
          <w:bCs/>
          <w:sz w:val="32"/>
          <w:szCs w:val="32"/>
        </w:rPr>
      </w:pPr>
      <w:r>
        <w:rPr>
          <w:rFonts w:hint="default" w:ascii="Times New Roman" w:hAnsi="Times New Roman" w:eastAsia="楷体_GB2312" w:cs="Times New Roman"/>
          <w:b/>
          <w:bCs w:val="0"/>
          <w:sz w:val="32"/>
          <w:szCs w:val="32"/>
          <w:lang w:val="en-US" w:eastAsia="zh-CN"/>
        </w:rPr>
        <w:t>（</w:t>
      </w:r>
      <w:r>
        <w:rPr>
          <w:rFonts w:hint="eastAsia" w:ascii="Times New Roman" w:hAnsi="Times New Roman" w:eastAsia="楷体_GB2312" w:cs="Times New Roman"/>
          <w:b/>
          <w:bCs w:val="0"/>
          <w:sz w:val="32"/>
          <w:szCs w:val="32"/>
          <w:lang w:val="en-US" w:eastAsia="zh-CN"/>
        </w:rPr>
        <w:t>三</w:t>
      </w:r>
      <w:r>
        <w:rPr>
          <w:rFonts w:hint="default" w:ascii="Times New Roman" w:hAnsi="Times New Roman" w:eastAsia="楷体_GB2312" w:cs="Times New Roman"/>
          <w:b/>
          <w:bCs w:val="0"/>
          <w:sz w:val="32"/>
          <w:szCs w:val="32"/>
          <w:lang w:val="en-US" w:eastAsia="zh-CN"/>
        </w:rPr>
        <w:t>）</w:t>
      </w:r>
      <w:r>
        <w:rPr>
          <w:rFonts w:hint="eastAsia" w:ascii="仿宋" w:hAnsi="仿宋" w:eastAsia="仿宋" w:cs="仿宋"/>
          <w:b w:val="0"/>
          <w:bCs/>
          <w:sz w:val="32"/>
          <w:szCs w:val="32"/>
        </w:rPr>
        <w:t>加强项目开展进度的跟踪，开展项目绩效评价，确保项目绩效目标的完成。</w:t>
      </w:r>
    </w:p>
    <w:p>
      <w:pPr>
        <w:widowControl w:val="0"/>
        <w:numPr>
          <w:numId w:val="0"/>
        </w:numPr>
        <w:wordWrap/>
        <w:adjustRightIn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widowControl w:val="0"/>
        <w:wordWrap/>
        <w:adjustRightIn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九</w:t>
      </w:r>
      <w:r>
        <w:rPr>
          <w:rFonts w:hint="default" w:ascii="Times New Roman" w:hAnsi="Times New Roman" w:eastAsia="黑体" w:cs="Times New Roman"/>
          <w:sz w:val="32"/>
          <w:szCs w:val="32"/>
        </w:rPr>
        <w:t>、部门整体支出绩效自评结果拟应用和公开情况</w:t>
      </w:r>
    </w:p>
    <w:p>
      <w:pPr>
        <w:widowControl w:val="0"/>
        <w:wordWrap/>
        <w:adjustRightIn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绩效自评结果将作为下年部门预算安排的重要依据，与预算调整和项目安排挂钩。拟于</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前</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江华县政府网站</w:t>
      </w:r>
      <w:r>
        <w:rPr>
          <w:rFonts w:hint="default" w:ascii="Times New Roman" w:hAnsi="Times New Roman" w:eastAsia="仿宋_GB2312" w:cs="Times New Roman"/>
          <w:sz w:val="32"/>
          <w:szCs w:val="32"/>
          <w:lang w:val="en-US" w:eastAsia="zh-CN"/>
        </w:rPr>
        <w:t>公开。</w:t>
      </w:r>
    </w:p>
    <w:p>
      <w:pPr>
        <w:pStyle w:val="4"/>
        <w:ind w:firstLine="640" w:firstLineChars="200"/>
        <w:rPr>
          <w:rFonts w:hint="eastAsia" w:ascii="黑体" w:hAnsi="黑体" w:eastAsia="黑体" w:cs="黑体"/>
          <w:b w:val="0"/>
          <w:bCs w:val="0"/>
          <w:lang w:val="en-US" w:eastAsia="zh-CN"/>
        </w:rPr>
      </w:pPr>
      <w:r>
        <w:rPr>
          <w:rFonts w:hint="eastAsia" w:ascii="黑体" w:hAnsi="黑体" w:eastAsia="黑体" w:cs="黑体"/>
          <w:b w:val="0"/>
          <w:bCs w:val="0"/>
          <w:sz w:val="32"/>
          <w:szCs w:val="32"/>
          <w:lang w:val="en-US" w:eastAsia="zh-CN"/>
        </w:rPr>
        <w:t>十、其他需要说明的情况</w:t>
      </w:r>
    </w:p>
    <w:p/>
    <w:p>
      <w:pPr>
        <w:pStyle w:val="4"/>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无</w:t>
      </w:r>
    </w:p>
    <w:p>
      <w:pPr>
        <w:rPr>
          <w:rFonts w:hint="eastAsia" w:eastAsia="宋体"/>
          <w:lang w:eastAsia="zh-CN"/>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19974641">
    <w:nsid w:val="6684BAF1"/>
    <w:multiLevelType w:val="singleLevel"/>
    <w:tmpl w:val="6684BAF1"/>
    <w:lvl w:ilvl="0" w:tentative="1">
      <w:start w:val="3"/>
      <w:numFmt w:val="chineseCounting"/>
      <w:suff w:val="nothing"/>
      <w:lvlText w:val="%1、"/>
      <w:lvlJc w:val="left"/>
    </w:lvl>
  </w:abstractNum>
  <w:abstractNum w:abstractNumId="1719372106">
    <w:nsid w:val="667B894A"/>
    <w:multiLevelType w:val="singleLevel"/>
    <w:tmpl w:val="667B894A"/>
    <w:lvl w:ilvl="0" w:tentative="1">
      <w:start w:val="2"/>
      <w:numFmt w:val="chineseCounting"/>
      <w:suff w:val="nothing"/>
      <w:lvlText w:val="（%1）"/>
      <w:lvlJc w:val="left"/>
    </w:lvl>
  </w:abstractNum>
  <w:abstractNum w:abstractNumId="4130983153">
    <w:nsid w:val="F639CCF1"/>
    <w:multiLevelType w:val="singleLevel"/>
    <w:tmpl w:val="F639CCF1"/>
    <w:lvl w:ilvl="0" w:tentative="1">
      <w:start w:val="2"/>
      <w:numFmt w:val="chineseCounting"/>
      <w:suff w:val="nothing"/>
      <w:lvlText w:val="%1、"/>
      <w:lvlJc w:val="left"/>
      <w:rPr>
        <w:rFonts w:hint="eastAsia"/>
      </w:rPr>
    </w:lvl>
  </w:abstractNum>
  <w:abstractNum w:abstractNumId="1719974661">
    <w:nsid w:val="6684BB05"/>
    <w:multiLevelType w:val="singleLevel"/>
    <w:tmpl w:val="6684BB05"/>
    <w:lvl w:ilvl="0" w:tentative="1">
      <w:start w:val="4"/>
      <w:numFmt w:val="chineseCounting"/>
      <w:suff w:val="nothing"/>
      <w:lvlText w:val="%1、"/>
      <w:lvlJc w:val="left"/>
    </w:lvl>
  </w:abstractNum>
  <w:num w:numId="1">
    <w:abstractNumId w:val="1719372106"/>
  </w:num>
  <w:num w:numId="2">
    <w:abstractNumId w:val="4130983153"/>
  </w:num>
  <w:num w:numId="3">
    <w:abstractNumId w:val="1719974641"/>
  </w:num>
  <w:num w:numId="4">
    <w:abstractNumId w:val="17199746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paragraph" w:customStyle="1" w:styleId="2">
    <w:name w:val="List Paragraph"/>
    <w:basedOn w:val="1"/>
    <w:unhideWhenUsed/>
    <w:qFormat/>
    <w:uiPriority w:val="99"/>
    <w:pPr>
      <w:ind w:firstLine="420" w:firstLineChars="200"/>
    </w:pPr>
  </w:style>
  <w:style w:type="paragraph" w:styleId="3">
    <w:name w:val="footer"/>
    <w:basedOn w:val="1"/>
    <w:uiPriority w:val="0"/>
    <w:pPr>
      <w:tabs>
        <w:tab w:val="center" w:pos="4153"/>
        <w:tab w:val="right" w:pos="8306"/>
      </w:tabs>
    </w:pPr>
    <w:rPr>
      <w:sz w:val="18"/>
      <w:szCs w:val="18"/>
    </w:rPr>
  </w:style>
  <w:style w:type="paragraph" w:styleId="4">
    <w:name w:val="footnote text"/>
    <w:basedOn w:val="1"/>
    <w:next w:val="1"/>
    <w:qFormat/>
    <w:uiPriority w:val="0"/>
    <w:pPr>
      <w:snapToGrid w:val="0"/>
      <w:jc w:val="left"/>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rPr/>
  </w:style>
  <w:style w:type="paragraph" w:customStyle="1" w:styleId="8">
    <w:name w:val="样式2"/>
    <w:basedOn w:val="1"/>
    <w:qFormat/>
    <w:uiPriority w:val="99"/>
    <w:pPr>
      <w:widowControl/>
      <w:shd w:val="clear" w:color="auto" w:fill="FFFFFF"/>
      <w:spacing w:before="100" w:beforeAutospacing="1" w:after="100" w:afterAutospacing="1"/>
      <w:ind w:left="562"/>
      <w:jc w:val="center"/>
    </w:pPr>
    <w:rPr>
      <w:rFonts w:ascii="宋体"/>
      <w:b/>
      <w:bCs/>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1397</Words>
  <Characters>1453</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2023-06-30T10:42:00Z</dcterms:created>
  <dc:creator>李伟 null</dc:creator>
  <cp:lastModifiedBy>Administrator</cp:lastModifiedBy>
  <cp:lastPrinted>2024-03-20T01:42:00Z</cp:lastPrinted>
  <dcterms:modified xsi:type="dcterms:W3CDTF">2024-07-03T02:43:35Z</dcterms:modified>
  <dc:title>江华县2023年度县委组织部部门整体</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F97D46FC71C8425482692DC0CF289C8C_13</vt:lpwstr>
  </property>
</Properties>
</file>