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2EFF9">
      <w:pPr>
        <w:pStyle w:val="2"/>
        <w:spacing w:after="0" w:line="320" w:lineRule="exact"/>
        <w:rPr>
          <w:rFonts w:eastAsia="方正黑体_GBK"/>
          <w:sz w:val="32"/>
          <w:szCs w:val="32"/>
        </w:rPr>
      </w:pPr>
      <w:r>
        <w:rPr>
          <w:rFonts w:eastAsia="方正黑体_GBK"/>
          <w:sz w:val="32"/>
          <w:szCs w:val="32"/>
        </w:rPr>
        <w:t>附件4</w:t>
      </w:r>
    </w:p>
    <w:p w14:paraId="32D641E8">
      <w:pPr>
        <w:pStyle w:val="2"/>
        <w:spacing w:after="0" w:line="560" w:lineRule="exact"/>
        <w:rPr>
          <w:rFonts w:eastAsia="仿宋_GB2312"/>
          <w:sz w:val="24"/>
        </w:rPr>
      </w:pPr>
    </w:p>
    <w:p w14:paraId="01EB7190">
      <w:pPr>
        <w:pStyle w:val="2"/>
        <w:spacing w:after="0" w:line="560" w:lineRule="exact"/>
        <w:jc w:val="center"/>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lang w:eastAsia="zh-CN"/>
        </w:rPr>
        <w:t>道县</w:t>
      </w:r>
      <w:r>
        <w:rPr>
          <w:rFonts w:hint="eastAsia" w:ascii="方正小标宋简体" w:hAnsi="方正小标宋简体" w:eastAsia="方正小标宋简体" w:cs="方正小标宋简体"/>
          <w:sz w:val="44"/>
          <w:szCs w:val="44"/>
        </w:rPr>
        <w:t>应急管理行政执法事项清单（行政强制2项）</w:t>
      </w:r>
    </w:p>
    <w:bookmarkEnd w:id="0"/>
    <w:tbl>
      <w:tblPr>
        <w:tblStyle w:val="3"/>
        <w:tblW w:w="5240" w:type="pct"/>
        <w:jc w:val="center"/>
        <w:tblLayout w:type="fixed"/>
        <w:tblCellMar>
          <w:top w:w="0" w:type="dxa"/>
          <w:left w:w="108" w:type="dxa"/>
          <w:bottom w:w="0" w:type="dxa"/>
          <w:right w:w="108" w:type="dxa"/>
        </w:tblCellMar>
      </w:tblPr>
      <w:tblGrid>
        <w:gridCol w:w="723"/>
        <w:gridCol w:w="2491"/>
        <w:gridCol w:w="6067"/>
        <w:gridCol w:w="1836"/>
        <w:gridCol w:w="1851"/>
        <w:gridCol w:w="1886"/>
      </w:tblGrid>
      <w:tr w14:paraId="3A0078FE">
        <w:tblPrEx>
          <w:tblCellMar>
            <w:top w:w="0" w:type="dxa"/>
            <w:left w:w="108" w:type="dxa"/>
            <w:bottom w:w="0" w:type="dxa"/>
            <w:right w:w="108" w:type="dxa"/>
          </w:tblCellMar>
        </w:tblPrEx>
        <w:trPr>
          <w:trHeight w:val="168" w:hRule="atLeast"/>
          <w:tblHeader/>
          <w:jc w:val="center"/>
        </w:trPr>
        <w:tc>
          <w:tcPr>
            <w:tcW w:w="243" w:type="pct"/>
            <w:vMerge w:val="restart"/>
            <w:tcBorders>
              <w:top w:val="single" w:color="auto" w:sz="4" w:space="0"/>
              <w:left w:val="single" w:color="000000" w:sz="4" w:space="0"/>
              <w:bottom w:val="single" w:color="auto" w:sz="4" w:space="0"/>
              <w:right w:val="single" w:color="000000" w:sz="4" w:space="0"/>
            </w:tcBorders>
            <w:noWrap/>
            <w:vAlign w:val="center"/>
          </w:tcPr>
          <w:p w14:paraId="0A9EA372">
            <w:pPr>
              <w:topLinePunct/>
              <w:adjustRightInd w:val="0"/>
              <w:snapToGrid w:val="0"/>
              <w:spacing w:line="360" w:lineRule="exact"/>
              <w:jc w:val="center"/>
              <w:textAlignment w:val="center"/>
              <w:rPr>
                <w:rFonts w:eastAsia="黑体"/>
                <w:color w:val="000000"/>
                <w:sz w:val="24"/>
              </w:rPr>
            </w:pPr>
            <w:r>
              <w:rPr>
                <w:rFonts w:eastAsia="黑体"/>
                <w:color w:val="000000"/>
                <w:kern w:val="0"/>
                <w:sz w:val="24"/>
                <w:lang w:bidi="ar"/>
              </w:rPr>
              <w:t>序号</w:t>
            </w:r>
          </w:p>
        </w:tc>
        <w:tc>
          <w:tcPr>
            <w:tcW w:w="838" w:type="pct"/>
            <w:vMerge w:val="restart"/>
            <w:tcBorders>
              <w:top w:val="single" w:color="auto" w:sz="4" w:space="0"/>
              <w:left w:val="single" w:color="000000" w:sz="4" w:space="0"/>
              <w:bottom w:val="single" w:color="auto" w:sz="4" w:space="0"/>
              <w:right w:val="single" w:color="000000" w:sz="4" w:space="0"/>
            </w:tcBorders>
            <w:noWrap/>
            <w:vAlign w:val="center"/>
          </w:tcPr>
          <w:p w14:paraId="138AFD40">
            <w:pPr>
              <w:topLinePunct/>
              <w:adjustRightInd w:val="0"/>
              <w:snapToGrid w:val="0"/>
              <w:spacing w:line="360" w:lineRule="exact"/>
              <w:jc w:val="center"/>
              <w:textAlignment w:val="center"/>
              <w:rPr>
                <w:rFonts w:eastAsia="黑体"/>
                <w:color w:val="000000"/>
                <w:sz w:val="24"/>
              </w:rPr>
            </w:pPr>
            <w:r>
              <w:rPr>
                <w:rFonts w:eastAsia="黑体"/>
                <w:color w:val="000000"/>
                <w:kern w:val="0"/>
                <w:sz w:val="24"/>
                <w:lang w:bidi="ar"/>
              </w:rPr>
              <w:t>事项名称</w:t>
            </w:r>
          </w:p>
        </w:tc>
        <w:tc>
          <w:tcPr>
            <w:tcW w:w="2041" w:type="pct"/>
            <w:vMerge w:val="restart"/>
            <w:tcBorders>
              <w:top w:val="single" w:color="auto" w:sz="4" w:space="0"/>
              <w:left w:val="single" w:color="000000" w:sz="4" w:space="0"/>
              <w:bottom w:val="single" w:color="auto" w:sz="4" w:space="0"/>
              <w:right w:val="single" w:color="000000" w:sz="4" w:space="0"/>
            </w:tcBorders>
            <w:noWrap/>
            <w:vAlign w:val="center"/>
          </w:tcPr>
          <w:p w14:paraId="3562E3D1">
            <w:pPr>
              <w:topLinePunct/>
              <w:adjustRightInd w:val="0"/>
              <w:snapToGrid w:val="0"/>
              <w:spacing w:line="360" w:lineRule="exact"/>
              <w:jc w:val="center"/>
              <w:textAlignment w:val="center"/>
              <w:rPr>
                <w:rFonts w:eastAsia="黑体"/>
                <w:color w:val="000000"/>
                <w:sz w:val="24"/>
              </w:rPr>
            </w:pPr>
            <w:r>
              <w:rPr>
                <w:rFonts w:eastAsia="黑体"/>
                <w:color w:val="000000"/>
                <w:kern w:val="0"/>
                <w:sz w:val="24"/>
                <w:lang w:bidi="ar"/>
              </w:rPr>
              <w:t>实施依据</w:t>
            </w:r>
          </w:p>
        </w:tc>
        <w:tc>
          <w:tcPr>
            <w:tcW w:w="1876" w:type="pct"/>
            <w:gridSpan w:val="3"/>
            <w:tcBorders>
              <w:top w:val="single" w:color="auto" w:sz="4" w:space="0"/>
              <w:left w:val="single" w:color="000000" w:sz="4" w:space="0"/>
              <w:bottom w:val="single" w:color="auto" w:sz="4" w:space="0"/>
              <w:right w:val="single" w:color="000000" w:sz="4" w:space="0"/>
            </w:tcBorders>
            <w:noWrap/>
            <w:vAlign w:val="center"/>
          </w:tcPr>
          <w:p w14:paraId="67580D4F">
            <w:pPr>
              <w:topLinePunct/>
              <w:adjustRightInd w:val="0"/>
              <w:snapToGrid w:val="0"/>
              <w:spacing w:line="360" w:lineRule="exact"/>
              <w:jc w:val="center"/>
              <w:textAlignment w:val="center"/>
              <w:rPr>
                <w:rFonts w:eastAsia="黑体"/>
                <w:color w:val="000000"/>
                <w:sz w:val="24"/>
              </w:rPr>
            </w:pPr>
            <w:r>
              <w:rPr>
                <w:rFonts w:eastAsia="黑体"/>
                <w:color w:val="000000"/>
                <w:kern w:val="0"/>
                <w:sz w:val="24"/>
                <w:lang w:bidi="ar"/>
              </w:rPr>
              <w:t>实施主体</w:t>
            </w:r>
          </w:p>
        </w:tc>
      </w:tr>
      <w:tr w14:paraId="413E225B">
        <w:tblPrEx>
          <w:tblCellMar>
            <w:top w:w="0" w:type="dxa"/>
            <w:left w:w="108" w:type="dxa"/>
            <w:bottom w:w="0" w:type="dxa"/>
            <w:right w:w="108" w:type="dxa"/>
          </w:tblCellMar>
        </w:tblPrEx>
        <w:trPr>
          <w:trHeight w:val="304" w:hRule="atLeast"/>
          <w:tblHeader/>
          <w:jc w:val="center"/>
        </w:trPr>
        <w:tc>
          <w:tcPr>
            <w:tcW w:w="243" w:type="pct"/>
            <w:vMerge w:val="continue"/>
            <w:tcBorders>
              <w:top w:val="single" w:color="auto" w:sz="4" w:space="0"/>
              <w:left w:val="single" w:color="000000" w:sz="4" w:space="0"/>
              <w:bottom w:val="single" w:color="000000" w:sz="4" w:space="0"/>
              <w:right w:val="single" w:color="000000" w:sz="4" w:space="0"/>
            </w:tcBorders>
            <w:noWrap/>
            <w:vAlign w:val="center"/>
          </w:tcPr>
          <w:p w14:paraId="4D02A109">
            <w:pPr>
              <w:topLinePunct/>
              <w:adjustRightInd w:val="0"/>
              <w:snapToGrid w:val="0"/>
              <w:spacing w:line="360" w:lineRule="exact"/>
              <w:jc w:val="center"/>
              <w:rPr>
                <w:rFonts w:eastAsia="黑体"/>
                <w:color w:val="000000"/>
                <w:sz w:val="24"/>
              </w:rPr>
            </w:pPr>
          </w:p>
        </w:tc>
        <w:tc>
          <w:tcPr>
            <w:tcW w:w="838" w:type="pct"/>
            <w:vMerge w:val="continue"/>
            <w:tcBorders>
              <w:top w:val="single" w:color="auto" w:sz="4" w:space="0"/>
              <w:left w:val="single" w:color="000000" w:sz="4" w:space="0"/>
              <w:bottom w:val="single" w:color="000000" w:sz="4" w:space="0"/>
              <w:right w:val="single" w:color="000000" w:sz="4" w:space="0"/>
            </w:tcBorders>
            <w:noWrap/>
            <w:vAlign w:val="center"/>
          </w:tcPr>
          <w:p w14:paraId="08C2AF5E">
            <w:pPr>
              <w:topLinePunct/>
              <w:adjustRightInd w:val="0"/>
              <w:snapToGrid w:val="0"/>
              <w:spacing w:line="360" w:lineRule="exact"/>
              <w:rPr>
                <w:rFonts w:eastAsia="黑体"/>
                <w:color w:val="000000"/>
                <w:sz w:val="24"/>
              </w:rPr>
            </w:pPr>
          </w:p>
        </w:tc>
        <w:tc>
          <w:tcPr>
            <w:tcW w:w="2041" w:type="pct"/>
            <w:vMerge w:val="continue"/>
            <w:tcBorders>
              <w:top w:val="single" w:color="auto" w:sz="4" w:space="0"/>
              <w:left w:val="single" w:color="000000" w:sz="4" w:space="0"/>
              <w:bottom w:val="single" w:color="000000" w:sz="4" w:space="0"/>
              <w:right w:val="single" w:color="000000" w:sz="4" w:space="0"/>
            </w:tcBorders>
            <w:noWrap/>
            <w:vAlign w:val="center"/>
          </w:tcPr>
          <w:p w14:paraId="2E07E5CA">
            <w:pPr>
              <w:topLinePunct/>
              <w:adjustRightInd w:val="0"/>
              <w:snapToGrid w:val="0"/>
              <w:spacing w:line="360" w:lineRule="exact"/>
              <w:rPr>
                <w:rFonts w:eastAsia="黑体"/>
                <w:color w:val="000000"/>
                <w:sz w:val="24"/>
              </w:rPr>
            </w:pPr>
          </w:p>
        </w:tc>
        <w:tc>
          <w:tcPr>
            <w:tcW w:w="618" w:type="pct"/>
            <w:tcBorders>
              <w:top w:val="single" w:color="auto" w:sz="4" w:space="0"/>
              <w:left w:val="single" w:color="000000" w:sz="4" w:space="0"/>
              <w:bottom w:val="single" w:color="000000" w:sz="4" w:space="0"/>
              <w:right w:val="single" w:color="000000" w:sz="4" w:space="0"/>
            </w:tcBorders>
            <w:noWrap/>
            <w:vAlign w:val="center"/>
          </w:tcPr>
          <w:p w14:paraId="79CCE50C">
            <w:pPr>
              <w:topLinePunct/>
              <w:adjustRightInd w:val="0"/>
              <w:snapToGrid w:val="0"/>
              <w:spacing w:line="360" w:lineRule="exact"/>
              <w:jc w:val="center"/>
              <w:textAlignment w:val="center"/>
              <w:rPr>
                <w:rFonts w:eastAsia="黑体"/>
                <w:color w:val="000000"/>
                <w:sz w:val="24"/>
              </w:rPr>
            </w:pPr>
            <w:r>
              <w:rPr>
                <w:rFonts w:eastAsia="黑体"/>
                <w:color w:val="000000"/>
                <w:kern w:val="0"/>
                <w:sz w:val="24"/>
                <w:lang w:bidi="ar"/>
              </w:rPr>
              <w:t>法定实施主体</w:t>
            </w:r>
          </w:p>
        </w:tc>
        <w:tc>
          <w:tcPr>
            <w:tcW w:w="623" w:type="pct"/>
            <w:tcBorders>
              <w:top w:val="single" w:color="auto" w:sz="4" w:space="0"/>
              <w:left w:val="single" w:color="000000" w:sz="4" w:space="0"/>
              <w:bottom w:val="single" w:color="000000" w:sz="4" w:space="0"/>
              <w:right w:val="single" w:color="000000" w:sz="4" w:space="0"/>
            </w:tcBorders>
            <w:noWrap/>
            <w:vAlign w:val="center"/>
          </w:tcPr>
          <w:p w14:paraId="1926A6E9">
            <w:pPr>
              <w:topLinePunct/>
              <w:adjustRightInd w:val="0"/>
              <w:snapToGrid w:val="0"/>
              <w:spacing w:line="360" w:lineRule="exact"/>
              <w:jc w:val="center"/>
              <w:textAlignment w:val="center"/>
              <w:rPr>
                <w:rFonts w:eastAsia="黑体"/>
                <w:color w:val="000000"/>
                <w:sz w:val="24"/>
              </w:rPr>
            </w:pPr>
            <w:r>
              <w:rPr>
                <w:rFonts w:eastAsia="黑体"/>
                <w:color w:val="000000"/>
                <w:kern w:val="0"/>
                <w:sz w:val="24"/>
                <w:lang w:bidi="ar"/>
              </w:rPr>
              <w:t>行使层级</w:t>
            </w:r>
          </w:p>
        </w:tc>
        <w:tc>
          <w:tcPr>
            <w:tcW w:w="634" w:type="pct"/>
            <w:tcBorders>
              <w:top w:val="single" w:color="auto" w:sz="4" w:space="0"/>
              <w:left w:val="single" w:color="000000" w:sz="4" w:space="0"/>
              <w:bottom w:val="single" w:color="000000" w:sz="4" w:space="0"/>
              <w:right w:val="single" w:color="000000" w:sz="4" w:space="0"/>
            </w:tcBorders>
            <w:noWrap/>
            <w:vAlign w:val="center"/>
          </w:tcPr>
          <w:p w14:paraId="2332FE75">
            <w:pPr>
              <w:topLinePunct/>
              <w:adjustRightInd w:val="0"/>
              <w:snapToGrid w:val="0"/>
              <w:spacing w:line="360" w:lineRule="exact"/>
              <w:jc w:val="center"/>
              <w:textAlignment w:val="center"/>
              <w:rPr>
                <w:rFonts w:eastAsia="黑体"/>
                <w:color w:val="000000"/>
                <w:sz w:val="24"/>
              </w:rPr>
            </w:pPr>
            <w:r>
              <w:rPr>
                <w:rFonts w:eastAsia="黑体"/>
                <w:color w:val="000000"/>
                <w:kern w:val="0"/>
                <w:sz w:val="24"/>
                <w:lang w:bidi="ar"/>
              </w:rPr>
              <w:t>第一责任层级</w:t>
            </w:r>
          </w:p>
        </w:tc>
      </w:tr>
      <w:tr w14:paraId="62A66BB3">
        <w:tblPrEx>
          <w:tblCellMar>
            <w:top w:w="0" w:type="dxa"/>
            <w:left w:w="108" w:type="dxa"/>
            <w:bottom w:w="0" w:type="dxa"/>
            <w:right w:w="108" w:type="dxa"/>
          </w:tblCellMar>
        </w:tblPrEx>
        <w:trPr>
          <w:trHeight w:val="560" w:hRule="atLeast"/>
          <w:jc w:val="center"/>
        </w:trPr>
        <w:tc>
          <w:tcPr>
            <w:tcW w:w="243" w:type="pct"/>
            <w:tcBorders>
              <w:top w:val="single" w:color="000000" w:sz="4" w:space="0"/>
              <w:left w:val="single" w:color="000000" w:sz="4" w:space="0"/>
              <w:bottom w:val="single" w:color="000000" w:sz="4" w:space="0"/>
              <w:right w:val="single" w:color="000000" w:sz="4" w:space="0"/>
            </w:tcBorders>
            <w:noWrap/>
            <w:vAlign w:val="center"/>
          </w:tcPr>
          <w:p w14:paraId="22255E41">
            <w:pPr>
              <w:topLinePunct/>
              <w:adjustRightInd w:val="0"/>
              <w:snapToGrid w:val="0"/>
              <w:spacing w:line="360" w:lineRule="exact"/>
              <w:jc w:val="center"/>
              <w:textAlignment w:val="center"/>
              <w:rPr>
                <w:rFonts w:eastAsia="仿宋"/>
                <w:color w:val="000000"/>
                <w:sz w:val="24"/>
              </w:rPr>
            </w:pPr>
            <w:r>
              <w:rPr>
                <w:rFonts w:eastAsia="仿宋"/>
                <w:color w:val="000000"/>
                <w:kern w:val="0"/>
                <w:sz w:val="24"/>
                <w:lang w:bidi="ar"/>
              </w:rPr>
              <w:t>1</w:t>
            </w:r>
          </w:p>
        </w:tc>
        <w:tc>
          <w:tcPr>
            <w:tcW w:w="838" w:type="pct"/>
            <w:tcBorders>
              <w:top w:val="single" w:color="000000" w:sz="4" w:space="0"/>
              <w:left w:val="single" w:color="000000" w:sz="4" w:space="0"/>
              <w:bottom w:val="single" w:color="000000" w:sz="4" w:space="0"/>
              <w:right w:val="single" w:color="000000" w:sz="4" w:space="0"/>
            </w:tcBorders>
            <w:vAlign w:val="center"/>
          </w:tcPr>
          <w:p w14:paraId="08C8FC16">
            <w:pPr>
              <w:topLinePunct/>
              <w:adjustRightInd w:val="0"/>
              <w:snapToGrid w:val="0"/>
              <w:spacing w:line="360" w:lineRule="exact"/>
              <w:textAlignment w:val="center"/>
              <w:rPr>
                <w:rFonts w:eastAsia="仿宋_GB2312"/>
                <w:color w:val="000000"/>
                <w:sz w:val="24"/>
              </w:rPr>
            </w:pPr>
            <w:r>
              <w:rPr>
                <w:rFonts w:eastAsia="仿宋_GB2312"/>
                <w:color w:val="000000"/>
                <w:kern w:val="0"/>
                <w:sz w:val="24"/>
                <w:lang w:bidi="ar"/>
              </w:rPr>
              <w:t>对生产经营单位有不符合标准的设施、设备、器材以及违法生产、储存、使用、经营的危险化学品和烟花爆竹及有关作业场所的行政强制</w:t>
            </w:r>
          </w:p>
        </w:tc>
        <w:tc>
          <w:tcPr>
            <w:tcW w:w="2041" w:type="pct"/>
            <w:tcBorders>
              <w:top w:val="single" w:color="000000" w:sz="4" w:space="0"/>
              <w:left w:val="single" w:color="000000" w:sz="4" w:space="0"/>
              <w:bottom w:val="single" w:color="000000" w:sz="4" w:space="0"/>
              <w:right w:val="single" w:color="000000" w:sz="4" w:space="0"/>
            </w:tcBorders>
            <w:vAlign w:val="center"/>
          </w:tcPr>
          <w:p w14:paraId="5D03E7E0">
            <w:pPr>
              <w:topLinePunct/>
              <w:adjustRightInd w:val="0"/>
              <w:snapToGrid w:val="0"/>
              <w:spacing w:line="360" w:lineRule="exact"/>
              <w:textAlignment w:val="center"/>
              <w:rPr>
                <w:rFonts w:eastAsia="仿宋_GB2312"/>
                <w:color w:val="000000"/>
                <w:sz w:val="24"/>
              </w:rPr>
            </w:pPr>
            <w:r>
              <w:rPr>
                <w:rFonts w:eastAsia="仿宋_GB2312"/>
                <w:b/>
                <w:bCs/>
                <w:color w:val="000000"/>
                <w:kern w:val="0"/>
                <w:sz w:val="24"/>
                <w:lang w:bidi="ar"/>
              </w:rPr>
              <w:t>《中华人民共和国安全生产法》</w:t>
            </w:r>
            <w:r>
              <w:rPr>
                <w:rFonts w:eastAsia="仿宋_GB2312"/>
                <w:color w:val="000000"/>
                <w:kern w:val="0"/>
                <w:sz w:val="24"/>
                <w:lang w:bidi="ar"/>
              </w:rPr>
              <w:br w:type="textWrapping"/>
            </w:r>
            <w:r>
              <w:rPr>
                <w:rFonts w:eastAsia="仿宋_GB2312"/>
                <w:color w:val="000000"/>
                <w:kern w:val="0"/>
                <w:sz w:val="24"/>
                <w:lang w:bidi="ar"/>
              </w:rPr>
              <w:t>第六十五条第四项  应急管理部门和其他负有安全生产监督管理职责的部门依法开展安全生产行政执法工作，对生产经营单位执行有关安全生产的法律、法规和国家标准或者行业标准的情况进行监督检查，行使以下职权：（四）对有根据认为不符合保障安全生产的国家标准或者行业标准的设施、设备、器材以及违法生产、储存、使用、经营、运输的危险物品予以查封或者扣押，对违法生产、储存、使用、经营危险物品的作业场所予以查封，并依法作出处理决定。</w:t>
            </w:r>
          </w:p>
        </w:tc>
        <w:tc>
          <w:tcPr>
            <w:tcW w:w="618" w:type="pct"/>
            <w:tcBorders>
              <w:top w:val="single" w:color="000000" w:sz="4" w:space="0"/>
              <w:left w:val="single" w:color="000000" w:sz="4" w:space="0"/>
              <w:bottom w:val="single" w:color="000000" w:sz="4" w:space="0"/>
              <w:right w:val="single" w:color="000000" w:sz="4" w:space="0"/>
            </w:tcBorders>
            <w:noWrap/>
            <w:vAlign w:val="center"/>
          </w:tcPr>
          <w:p w14:paraId="7DF9930C">
            <w:pPr>
              <w:topLinePunct/>
              <w:adjustRightInd w:val="0"/>
              <w:snapToGrid w:val="0"/>
              <w:spacing w:line="360" w:lineRule="exact"/>
              <w:jc w:val="center"/>
              <w:textAlignment w:val="center"/>
              <w:rPr>
                <w:rFonts w:eastAsia="仿宋_GB2312"/>
                <w:color w:val="000000"/>
                <w:sz w:val="24"/>
              </w:rPr>
            </w:pPr>
            <w:r>
              <w:rPr>
                <w:rFonts w:eastAsia="仿宋_GB2312"/>
                <w:color w:val="000000"/>
                <w:kern w:val="0"/>
                <w:sz w:val="24"/>
                <w:lang w:bidi="ar"/>
              </w:rPr>
              <w:t>应急管理部门</w:t>
            </w:r>
          </w:p>
        </w:tc>
        <w:tc>
          <w:tcPr>
            <w:tcW w:w="623" w:type="pct"/>
            <w:tcBorders>
              <w:top w:val="single" w:color="000000" w:sz="4" w:space="0"/>
              <w:left w:val="single" w:color="000000" w:sz="4" w:space="0"/>
              <w:bottom w:val="single" w:color="000000" w:sz="4" w:space="0"/>
              <w:right w:val="single" w:color="000000" w:sz="4" w:space="0"/>
            </w:tcBorders>
            <w:vAlign w:val="center"/>
          </w:tcPr>
          <w:p w14:paraId="05B0A1EF">
            <w:pPr>
              <w:topLinePunct/>
              <w:adjustRightInd w:val="0"/>
              <w:snapToGrid w:val="0"/>
              <w:spacing w:line="360" w:lineRule="exact"/>
              <w:jc w:val="center"/>
              <w:textAlignment w:val="center"/>
              <w:rPr>
                <w:rFonts w:eastAsia="仿宋_GB2312"/>
                <w:color w:val="000000"/>
                <w:sz w:val="24"/>
              </w:rPr>
            </w:pPr>
            <w:r>
              <w:rPr>
                <w:rFonts w:eastAsia="仿宋_GB2312"/>
                <w:color w:val="000000"/>
                <w:kern w:val="0"/>
                <w:sz w:val="24"/>
                <w:lang w:bidi="ar"/>
              </w:rPr>
              <w:t>省级、市级、县级</w:t>
            </w:r>
          </w:p>
        </w:tc>
        <w:tc>
          <w:tcPr>
            <w:tcW w:w="634" w:type="pct"/>
            <w:tcBorders>
              <w:top w:val="single" w:color="000000" w:sz="4" w:space="0"/>
              <w:left w:val="single" w:color="000000" w:sz="4" w:space="0"/>
              <w:bottom w:val="single" w:color="000000" w:sz="4" w:space="0"/>
              <w:right w:val="single" w:color="000000" w:sz="4" w:space="0"/>
            </w:tcBorders>
            <w:vAlign w:val="center"/>
          </w:tcPr>
          <w:p w14:paraId="05F3F3E1">
            <w:pPr>
              <w:topLinePunct/>
              <w:adjustRightInd w:val="0"/>
              <w:snapToGrid w:val="0"/>
              <w:spacing w:line="360" w:lineRule="exact"/>
              <w:jc w:val="center"/>
              <w:textAlignment w:val="center"/>
              <w:rPr>
                <w:rFonts w:eastAsia="仿宋_GB2312"/>
                <w:color w:val="000000"/>
                <w:sz w:val="24"/>
              </w:rPr>
            </w:pPr>
            <w:r>
              <w:rPr>
                <w:rFonts w:eastAsia="仿宋_GB2312"/>
                <w:color w:val="000000"/>
                <w:kern w:val="0"/>
                <w:sz w:val="24"/>
                <w:lang w:bidi="ar"/>
              </w:rPr>
              <w:t>县级</w:t>
            </w:r>
          </w:p>
        </w:tc>
      </w:tr>
      <w:tr w14:paraId="2C7FB10E">
        <w:tblPrEx>
          <w:tblCellMar>
            <w:top w:w="0" w:type="dxa"/>
            <w:left w:w="108" w:type="dxa"/>
            <w:bottom w:w="0" w:type="dxa"/>
            <w:right w:w="108" w:type="dxa"/>
          </w:tblCellMar>
        </w:tblPrEx>
        <w:trPr>
          <w:trHeight w:val="3547" w:hRule="atLeast"/>
          <w:jc w:val="center"/>
        </w:trPr>
        <w:tc>
          <w:tcPr>
            <w:tcW w:w="243" w:type="pct"/>
            <w:tcBorders>
              <w:top w:val="single" w:color="000000" w:sz="4" w:space="0"/>
              <w:left w:val="single" w:color="000000" w:sz="4" w:space="0"/>
              <w:bottom w:val="single" w:color="000000" w:sz="4" w:space="0"/>
              <w:right w:val="single" w:color="000000" w:sz="4" w:space="0"/>
            </w:tcBorders>
            <w:noWrap/>
            <w:vAlign w:val="center"/>
          </w:tcPr>
          <w:p w14:paraId="288C57F3">
            <w:pPr>
              <w:topLinePunct/>
              <w:adjustRightInd w:val="0"/>
              <w:snapToGrid w:val="0"/>
              <w:spacing w:line="360" w:lineRule="exact"/>
              <w:jc w:val="center"/>
              <w:textAlignment w:val="center"/>
              <w:rPr>
                <w:rFonts w:eastAsia="仿宋"/>
                <w:color w:val="000000"/>
                <w:sz w:val="24"/>
              </w:rPr>
            </w:pPr>
            <w:r>
              <w:rPr>
                <w:rFonts w:eastAsia="仿宋"/>
                <w:color w:val="000000"/>
                <w:kern w:val="0"/>
                <w:sz w:val="24"/>
                <w:lang w:bidi="ar"/>
              </w:rPr>
              <w:t>2</w:t>
            </w:r>
          </w:p>
        </w:tc>
        <w:tc>
          <w:tcPr>
            <w:tcW w:w="838" w:type="pct"/>
            <w:tcBorders>
              <w:top w:val="single" w:color="000000" w:sz="4" w:space="0"/>
              <w:left w:val="single" w:color="000000" w:sz="4" w:space="0"/>
              <w:bottom w:val="single" w:color="000000" w:sz="4" w:space="0"/>
              <w:right w:val="single" w:color="000000" w:sz="4" w:space="0"/>
            </w:tcBorders>
            <w:vAlign w:val="center"/>
          </w:tcPr>
          <w:p w14:paraId="75F0EA38">
            <w:pPr>
              <w:topLinePunct/>
              <w:adjustRightInd w:val="0"/>
              <w:snapToGrid w:val="0"/>
              <w:spacing w:line="360" w:lineRule="exact"/>
              <w:textAlignment w:val="center"/>
              <w:rPr>
                <w:rFonts w:eastAsia="仿宋_GB2312"/>
                <w:color w:val="000000"/>
                <w:sz w:val="24"/>
              </w:rPr>
            </w:pPr>
            <w:r>
              <w:rPr>
                <w:rFonts w:eastAsia="仿宋_GB2312"/>
                <w:color w:val="000000"/>
                <w:kern w:val="0"/>
                <w:sz w:val="24"/>
                <w:lang w:bidi="ar"/>
              </w:rPr>
              <w:t>对生产经营单位拒不执行停产停业、停止施工、停止使用相关设施或者设备的决定，有发生生产安全事故的现实危险的行政强制</w:t>
            </w:r>
          </w:p>
        </w:tc>
        <w:tc>
          <w:tcPr>
            <w:tcW w:w="2041" w:type="pct"/>
            <w:tcBorders>
              <w:top w:val="single" w:color="000000" w:sz="4" w:space="0"/>
              <w:left w:val="single" w:color="000000" w:sz="4" w:space="0"/>
              <w:bottom w:val="single" w:color="000000" w:sz="4" w:space="0"/>
              <w:right w:val="single" w:color="000000" w:sz="4" w:space="0"/>
            </w:tcBorders>
            <w:vAlign w:val="center"/>
          </w:tcPr>
          <w:p w14:paraId="51439B92">
            <w:pPr>
              <w:topLinePunct/>
              <w:adjustRightInd w:val="0"/>
              <w:snapToGrid w:val="0"/>
              <w:spacing w:line="360" w:lineRule="exact"/>
              <w:textAlignment w:val="center"/>
              <w:rPr>
                <w:rFonts w:eastAsia="仿宋_GB2312"/>
                <w:color w:val="000000"/>
                <w:sz w:val="24"/>
              </w:rPr>
            </w:pPr>
            <w:r>
              <w:rPr>
                <w:rFonts w:eastAsia="仿宋_GB2312"/>
                <w:b/>
                <w:bCs/>
                <w:color w:val="000000"/>
                <w:kern w:val="0"/>
                <w:sz w:val="24"/>
                <w:lang w:bidi="ar"/>
              </w:rPr>
              <w:t>《中华人民共和国安全生产法》</w:t>
            </w:r>
            <w:r>
              <w:rPr>
                <w:rFonts w:eastAsia="仿宋_GB2312"/>
                <w:color w:val="000000"/>
                <w:kern w:val="0"/>
                <w:sz w:val="24"/>
                <w:lang w:bidi="ar"/>
              </w:rPr>
              <w:br w:type="textWrapping"/>
            </w:r>
            <w:r>
              <w:rPr>
                <w:rFonts w:eastAsia="仿宋_GB2312"/>
                <w:color w:val="000000"/>
                <w:kern w:val="0"/>
                <w:sz w:val="24"/>
                <w:lang w:bidi="ar"/>
              </w:rPr>
              <w:t>第七十条第一款  负有安全生产监督管理职责的部门依法对存在重大事故隐患的生产经营单位作出停产停业、停止施工、停止使用相关设施或者设备的决定，生产经营单位应当依法执行，及时消除事故隐患。生产经营单位拒不执行，有发生生产安全事故的现实危险的，在保证安全的前提下，经本部门主要负责人批准，负有安全生产监督管理职责的部门可以采取通知有关单位停止供电、停止供应民用爆炸物品等措施，强制生产经营单位履行决定。通知应当采用书面形式，有关单位应当予以配合。</w:t>
            </w:r>
          </w:p>
        </w:tc>
        <w:tc>
          <w:tcPr>
            <w:tcW w:w="618" w:type="pct"/>
            <w:tcBorders>
              <w:top w:val="single" w:color="000000" w:sz="4" w:space="0"/>
              <w:left w:val="single" w:color="000000" w:sz="4" w:space="0"/>
              <w:bottom w:val="single" w:color="000000" w:sz="4" w:space="0"/>
              <w:right w:val="single" w:color="000000" w:sz="4" w:space="0"/>
            </w:tcBorders>
            <w:noWrap/>
            <w:vAlign w:val="center"/>
          </w:tcPr>
          <w:p w14:paraId="21D9909B">
            <w:pPr>
              <w:topLinePunct/>
              <w:adjustRightInd w:val="0"/>
              <w:snapToGrid w:val="0"/>
              <w:spacing w:line="360" w:lineRule="exact"/>
              <w:jc w:val="center"/>
              <w:textAlignment w:val="center"/>
              <w:rPr>
                <w:rFonts w:eastAsia="仿宋_GB2312"/>
                <w:color w:val="000000"/>
                <w:sz w:val="24"/>
              </w:rPr>
            </w:pPr>
            <w:r>
              <w:rPr>
                <w:rFonts w:eastAsia="仿宋_GB2312"/>
                <w:color w:val="000000"/>
                <w:kern w:val="0"/>
                <w:sz w:val="24"/>
                <w:lang w:bidi="ar"/>
              </w:rPr>
              <w:t>应急管理部门</w:t>
            </w:r>
          </w:p>
        </w:tc>
        <w:tc>
          <w:tcPr>
            <w:tcW w:w="623" w:type="pct"/>
            <w:tcBorders>
              <w:top w:val="single" w:color="000000" w:sz="4" w:space="0"/>
              <w:left w:val="single" w:color="000000" w:sz="4" w:space="0"/>
              <w:bottom w:val="single" w:color="000000" w:sz="4" w:space="0"/>
              <w:right w:val="single" w:color="000000" w:sz="4" w:space="0"/>
            </w:tcBorders>
            <w:vAlign w:val="center"/>
          </w:tcPr>
          <w:p w14:paraId="636AA5ED">
            <w:pPr>
              <w:topLinePunct/>
              <w:adjustRightInd w:val="0"/>
              <w:snapToGrid w:val="0"/>
              <w:spacing w:line="360" w:lineRule="exact"/>
              <w:jc w:val="center"/>
              <w:textAlignment w:val="center"/>
              <w:rPr>
                <w:rFonts w:eastAsia="仿宋_GB2312"/>
                <w:color w:val="000000"/>
                <w:sz w:val="24"/>
              </w:rPr>
            </w:pPr>
            <w:r>
              <w:rPr>
                <w:rFonts w:eastAsia="仿宋_GB2312"/>
                <w:color w:val="000000"/>
                <w:kern w:val="0"/>
                <w:sz w:val="24"/>
                <w:lang w:bidi="ar"/>
              </w:rPr>
              <w:t>省级、市级、县级</w:t>
            </w:r>
          </w:p>
        </w:tc>
        <w:tc>
          <w:tcPr>
            <w:tcW w:w="634" w:type="pct"/>
            <w:tcBorders>
              <w:top w:val="single" w:color="000000" w:sz="4" w:space="0"/>
              <w:left w:val="single" w:color="000000" w:sz="4" w:space="0"/>
              <w:bottom w:val="single" w:color="000000" w:sz="4" w:space="0"/>
              <w:right w:val="single" w:color="000000" w:sz="4" w:space="0"/>
            </w:tcBorders>
            <w:vAlign w:val="center"/>
          </w:tcPr>
          <w:p w14:paraId="5A86F04B">
            <w:pPr>
              <w:topLinePunct/>
              <w:adjustRightInd w:val="0"/>
              <w:snapToGrid w:val="0"/>
              <w:spacing w:line="360" w:lineRule="exact"/>
              <w:jc w:val="center"/>
              <w:textAlignment w:val="center"/>
              <w:rPr>
                <w:rFonts w:eastAsia="仿宋_GB2312"/>
                <w:color w:val="000000"/>
                <w:sz w:val="24"/>
              </w:rPr>
            </w:pPr>
            <w:r>
              <w:rPr>
                <w:rFonts w:eastAsia="仿宋_GB2312"/>
                <w:color w:val="000000"/>
                <w:kern w:val="0"/>
                <w:sz w:val="24"/>
                <w:lang w:bidi="ar"/>
              </w:rPr>
              <w:t>县级</w:t>
            </w:r>
          </w:p>
        </w:tc>
      </w:tr>
    </w:tbl>
    <w:p w14:paraId="04BFE197"/>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E744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2025-04-17T07:44:15Z</dcterms:created>
  <dc:creator>Administrator</dc:creator>
  <cp:lastModifiedBy>风华</cp:lastModifiedBy>
  <dcterms:modified xsi:type="dcterms:W3CDTF">2025-04-17T07:44:34Z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eyJoZGlkIjoiZTE1NDI3YzljODU0NTAzMzIxZmViZWMxOGU3ODIxMDQiLCJ1c2VySWQiOiI3ODEyMDUzMjcifQ==</vt:lpwstr>
  </property>
  <property fmtid="{D5CDD505-2E9C-101B-9397-08002B2CF9AE}" pid="4" name="ICV">
    <vt:lpwstr>DFC77138300646929A6AB71CE154C325_12</vt:lpwstr>
  </property>
</Properties>
</file>