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92121D">
      <w:pPr>
        <w:widowControl/>
        <w:textAlignment w:val="center"/>
        <w:rPr>
          <w:rFonts w:eastAsia="黑体"/>
          <w:color w:val="000000"/>
          <w:kern w:val="0"/>
          <w:sz w:val="32"/>
          <w:szCs w:val="32"/>
          <w:lang w:val="en" w:bidi="ar"/>
        </w:rPr>
      </w:pPr>
      <w:r>
        <w:rPr>
          <w:rFonts w:eastAsia="黑体"/>
          <w:color w:val="000000"/>
          <w:kern w:val="0"/>
          <w:sz w:val="32"/>
          <w:szCs w:val="32"/>
          <w:lang w:bidi="ar"/>
        </w:rPr>
        <w:t>附件1</w:t>
      </w:r>
    </w:p>
    <w:p w14:paraId="47BE817D">
      <w:pPr>
        <w:widowControl/>
        <w:jc w:val="center"/>
        <w:textAlignment w:val="center"/>
        <w:rPr>
          <w:rFonts w:hint="eastAsia" w:ascii="方正小标宋简体" w:hAnsi="方正小标宋简体" w:eastAsia="方正小标宋简体" w:cs="方正小标宋简体"/>
          <w:b w:val="0"/>
          <w:bCs w:val="0"/>
          <w:color w:val="000000"/>
          <w:kern w:val="0"/>
          <w:sz w:val="44"/>
          <w:szCs w:val="44"/>
          <w:lang w:bidi="ar"/>
        </w:rPr>
      </w:pPr>
      <w:bookmarkStart w:id="0" w:name="_GoBack"/>
      <w:r>
        <w:rPr>
          <w:rFonts w:hint="eastAsia" w:ascii="方正小标宋简体" w:hAnsi="方正小标宋简体" w:eastAsia="方正小标宋简体" w:cs="方正小标宋简体"/>
          <w:b w:val="0"/>
          <w:bCs w:val="0"/>
          <w:color w:val="000000"/>
          <w:kern w:val="0"/>
          <w:sz w:val="44"/>
          <w:szCs w:val="44"/>
          <w:lang w:eastAsia="zh-CN" w:bidi="ar"/>
        </w:rPr>
        <w:t>道县</w:t>
      </w:r>
      <w:r>
        <w:rPr>
          <w:rFonts w:hint="eastAsia" w:ascii="方正小标宋简体" w:hAnsi="方正小标宋简体" w:eastAsia="方正小标宋简体" w:cs="方正小标宋简体"/>
          <w:b w:val="0"/>
          <w:bCs w:val="0"/>
          <w:color w:val="000000"/>
          <w:kern w:val="0"/>
          <w:sz w:val="44"/>
          <w:szCs w:val="44"/>
          <w:lang w:bidi="ar"/>
        </w:rPr>
        <w:t>应急管理</w:t>
      </w:r>
      <w:r>
        <w:rPr>
          <w:rFonts w:hint="eastAsia" w:ascii="方正小标宋简体" w:hAnsi="方正小标宋简体" w:eastAsia="方正小标宋简体" w:cs="方正小标宋简体"/>
          <w:b w:val="0"/>
          <w:bCs w:val="0"/>
          <w:color w:val="000000"/>
          <w:kern w:val="0"/>
          <w:sz w:val="44"/>
          <w:szCs w:val="44"/>
          <w:lang w:eastAsia="zh-CN" w:bidi="ar"/>
        </w:rPr>
        <w:t>局</w:t>
      </w:r>
      <w:r>
        <w:rPr>
          <w:rFonts w:hint="eastAsia" w:ascii="方正小标宋简体" w:hAnsi="方正小标宋简体" w:eastAsia="方正小标宋简体" w:cs="方正小标宋简体"/>
          <w:b w:val="0"/>
          <w:bCs w:val="0"/>
          <w:color w:val="000000"/>
          <w:kern w:val="0"/>
          <w:sz w:val="44"/>
          <w:szCs w:val="44"/>
          <w:lang w:bidi="ar"/>
        </w:rPr>
        <w:t>行政执法事项清单</w:t>
      </w:r>
      <w:r>
        <w:rPr>
          <w:rFonts w:hint="eastAsia" w:ascii="方正小标宋简体" w:hAnsi="方正小标宋简体" w:eastAsia="方正小标宋简体" w:cs="方正小标宋简体"/>
          <w:b w:val="0"/>
          <w:bCs w:val="0"/>
          <w:color w:val="000000"/>
          <w:kern w:val="0"/>
          <w:sz w:val="44"/>
          <w:szCs w:val="44"/>
          <w:lang w:val="en" w:bidi="ar"/>
        </w:rPr>
        <w:t>（行政处罚</w:t>
      </w:r>
      <w:r>
        <w:rPr>
          <w:rFonts w:hint="eastAsia" w:ascii="方正小标宋简体" w:hAnsi="方正小标宋简体" w:eastAsia="方正小标宋简体" w:cs="方正小标宋简体"/>
          <w:b w:val="0"/>
          <w:bCs w:val="0"/>
          <w:color w:val="000000"/>
          <w:kern w:val="0"/>
          <w:sz w:val="44"/>
          <w:szCs w:val="44"/>
          <w:lang w:val="en-US" w:eastAsia="zh-CN" w:bidi="ar"/>
        </w:rPr>
        <w:t>362</w:t>
      </w:r>
      <w:r>
        <w:rPr>
          <w:rFonts w:hint="eastAsia" w:ascii="方正小标宋简体" w:hAnsi="方正小标宋简体" w:eastAsia="方正小标宋简体" w:cs="方正小标宋简体"/>
          <w:b w:val="0"/>
          <w:bCs w:val="0"/>
          <w:color w:val="000000"/>
          <w:kern w:val="0"/>
          <w:sz w:val="44"/>
          <w:szCs w:val="44"/>
          <w:lang w:bidi="ar"/>
        </w:rPr>
        <w:t>项</w:t>
      </w:r>
      <w:r>
        <w:rPr>
          <w:rFonts w:hint="eastAsia" w:ascii="方正小标宋简体" w:hAnsi="方正小标宋简体" w:eastAsia="方正小标宋简体" w:cs="方正小标宋简体"/>
          <w:b w:val="0"/>
          <w:bCs w:val="0"/>
          <w:color w:val="000000"/>
          <w:kern w:val="0"/>
          <w:sz w:val="44"/>
          <w:szCs w:val="44"/>
          <w:lang w:val="en" w:bidi="ar"/>
        </w:rPr>
        <w:t>）</w:t>
      </w:r>
    </w:p>
    <w:bookmarkEnd w:id="0"/>
    <w:tbl>
      <w:tblPr>
        <w:tblStyle w:val="4"/>
        <w:tblW w:w="5238" w:type="pct"/>
        <w:jc w:val="center"/>
        <w:tblLayout w:type="fixed"/>
        <w:tblCellMar>
          <w:top w:w="0" w:type="dxa"/>
          <w:left w:w="108" w:type="dxa"/>
          <w:bottom w:w="0" w:type="dxa"/>
          <w:right w:w="108" w:type="dxa"/>
        </w:tblCellMar>
      </w:tblPr>
      <w:tblGrid>
        <w:gridCol w:w="724"/>
        <w:gridCol w:w="2490"/>
        <w:gridCol w:w="7286"/>
        <w:gridCol w:w="1416"/>
        <w:gridCol w:w="1600"/>
        <w:gridCol w:w="1334"/>
      </w:tblGrid>
      <w:tr w14:paraId="5D42B490">
        <w:tblPrEx>
          <w:tblCellMar>
            <w:top w:w="0" w:type="dxa"/>
            <w:left w:w="108" w:type="dxa"/>
            <w:bottom w:w="0" w:type="dxa"/>
            <w:right w:w="108" w:type="dxa"/>
          </w:tblCellMar>
        </w:tblPrEx>
        <w:trPr>
          <w:trHeight w:val="384" w:hRule="atLeast"/>
          <w:tblHeader/>
          <w:jc w:val="center"/>
        </w:trPr>
        <w:tc>
          <w:tcPr>
            <w:tcW w:w="243" w:type="pct"/>
            <w:vMerge w:val="restart"/>
            <w:tcBorders>
              <w:top w:val="single" w:color="000000" w:sz="4" w:space="0"/>
              <w:left w:val="single" w:color="000000" w:sz="4" w:space="0"/>
              <w:bottom w:val="single" w:color="000000" w:sz="4" w:space="0"/>
              <w:right w:val="single" w:color="000000" w:sz="4" w:space="0"/>
            </w:tcBorders>
            <w:noWrap/>
            <w:vAlign w:val="center"/>
          </w:tcPr>
          <w:p w14:paraId="58890E21">
            <w:pPr>
              <w:topLinePunct/>
              <w:adjustRightInd w:val="0"/>
              <w:snapToGrid w:val="0"/>
              <w:jc w:val="center"/>
              <w:textAlignment w:val="center"/>
              <w:rPr>
                <w:rFonts w:eastAsia="黑体"/>
                <w:color w:val="000000"/>
                <w:sz w:val="24"/>
              </w:rPr>
            </w:pPr>
            <w:r>
              <w:rPr>
                <w:rFonts w:eastAsia="黑体"/>
                <w:color w:val="000000"/>
                <w:kern w:val="0"/>
                <w:sz w:val="24"/>
                <w:lang w:bidi="ar"/>
              </w:rPr>
              <w:t>序号</w:t>
            </w:r>
          </w:p>
        </w:tc>
        <w:tc>
          <w:tcPr>
            <w:tcW w:w="838" w:type="pct"/>
            <w:vMerge w:val="restart"/>
            <w:tcBorders>
              <w:top w:val="single" w:color="000000" w:sz="4" w:space="0"/>
              <w:left w:val="single" w:color="000000" w:sz="4" w:space="0"/>
              <w:bottom w:val="single" w:color="000000" w:sz="4" w:space="0"/>
              <w:right w:val="single" w:color="000000" w:sz="4" w:space="0"/>
            </w:tcBorders>
            <w:noWrap/>
            <w:vAlign w:val="center"/>
          </w:tcPr>
          <w:p w14:paraId="5CA0B750">
            <w:pPr>
              <w:jc w:val="center"/>
            </w:pPr>
            <w:r>
              <w:t>事项名称</w:t>
            </w:r>
          </w:p>
        </w:tc>
        <w:tc>
          <w:tcPr>
            <w:tcW w:w="2453" w:type="pct"/>
            <w:vMerge w:val="restart"/>
            <w:tcBorders>
              <w:top w:val="single" w:color="000000" w:sz="4" w:space="0"/>
              <w:left w:val="single" w:color="000000" w:sz="4" w:space="0"/>
              <w:bottom w:val="single" w:color="000000" w:sz="4" w:space="0"/>
              <w:right w:val="single" w:color="000000" w:sz="4" w:space="0"/>
            </w:tcBorders>
            <w:noWrap/>
            <w:vAlign w:val="center"/>
          </w:tcPr>
          <w:p w14:paraId="123B8C12">
            <w:pPr>
              <w:jc w:val="center"/>
            </w:pPr>
          </w:p>
          <w:p w14:paraId="79805F79">
            <w:pPr>
              <w:jc w:val="center"/>
            </w:pPr>
            <w:r>
              <w:drawing>
                <wp:anchor distT="0" distB="0" distL="114300" distR="114300" simplePos="0" relativeHeight="251710464" behindDoc="0" locked="0" layoutInCell="1" allowOverlap="1">
                  <wp:simplePos x="0" y="0"/>
                  <wp:positionH relativeFrom="column">
                    <wp:posOffset>76200</wp:posOffset>
                  </wp:positionH>
                  <wp:positionV relativeFrom="paragraph">
                    <wp:posOffset>314325</wp:posOffset>
                  </wp:positionV>
                  <wp:extent cx="299720" cy="788670"/>
                  <wp:effectExtent l="0" t="0" r="0" b="0"/>
                  <wp:wrapNone/>
                  <wp:docPr id="109" name="图片 109"/>
                  <wp:cNvGraphicFramePr/>
                  <a:graphic xmlns:a="http://schemas.openxmlformats.org/drawingml/2006/main">
                    <a:graphicData uri="http://schemas.openxmlformats.org/drawingml/2006/picture">
                      <pic:pic xmlns:pic="http://schemas.openxmlformats.org/drawingml/2006/picture">
                        <pic:nvPicPr>
                          <pic:cNvPr id="109" name="图片 109"/>
                          <pic:cNvPicPr>
                            <a:picLocks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299720" cy="788670"/>
                          </a:xfrm>
                          <a:prstGeom prst="rect">
                            <a:avLst/>
                          </a:prstGeom>
                          <a:noFill/>
                          <a:ln>
                            <a:noFill/>
                          </a:ln>
                          <a:effectLst/>
                        </pic:spPr>
                      </pic:pic>
                    </a:graphicData>
                  </a:graphic>
                </wp:anchor>
              </w:drawing>
            </w:r>
            <w:r>
              <w:t>实施依据</w:t>
            </w:r>
          </w:p>
        </w:tc>
        <w:tc>
          <w:tcPr>
            <w:tcW w:w="1464" w:type="pct"/>
            <w:gridSpan w:val="3"/>
            <w:tcBorders>
              <w:top w:val="single" w:color="000000" w:sz="4" w:space="0"/>
              <w:left w:val="single" w:color="000000" w:sz="4" w:space="0"/>
              <w:bottom w:val="single" w:color="000000" w:sz="4" w:space="0"/>
              <w:right w:val="single" w:color="000000" w:sz="4" w:space="0"/>
            </w:tcBorders>
            <w:noWrap/>
            <w:vAlign w:val="center"/>
          </w:tcPr>
          <w:p w14:paraId="472FE8C9">
            <w:pPr>
              <w:topLinePunct/>
              <w:adjustRightInd w:val="0"/>
              <w:snapToGrid w:val="0"/>
              <w:jc w:val="center"/>
              <w:textAlignment w:val="center"/>
              <w:rPr>
                <w:rFonts w:eastAsia="黑体"/>
                <w:color w:val="000000"/>
                <w:sz w:val="21"/>
                <w:szCs w:val="21"/>
              </w:rPr>
            </w:pPr>
            <w:r>
              <w:rPr>
                <w:rFonts w:eastAsia="黑体"/>
                <w:color w:val="000000"/>
                <w:kern w:val="0"/>
                <w:sz w:val="21"/>
                <w:szCs w:val="21"/>
                <w:lang w:bidi="ar"/>
              </w:rPr>
              <w:t>实施主体</w:t>
            </w:r>
          </w:p>
        </w:tc>
      </w:tr>
      <w:tr w14:paraId="006AF7F1">
        <w:tblPrEx>
          <w:tblCellMar>
            <w:top w:w="0" w:type="dxa"/>
            <w:left w:w="108" w:type="dxa"/>
            <w:bottom w:w="0" w:type="dxa"/>
            <w:right w:w="108" w:type="dxa"/>
          </w:tblCellMar>
        </w:tblPrEx>
        <w:trPr>
          <w:trHeight w:val="90" w:hRule="atLeast"/>
          <w:tblHeader/>
          <w:jc w:val="center"/>
        </w:trPr>
        <w:tc>
          <w:tcPr>
            <w:tcW w:w="243" w:type="pct"/>
            <w:vMerge w:val="continue"/>
            <w:tcBorders>
              <w:top w:val="single" w:color="000000" w:sz="4" w:space="0"/>
              <w:left w:val="single" w:color="000000" w:sz="4" w:space="0"/>
              <w:bottom w:val="single" w:color="auto" w:sz="4" w:space="0"/>
              <w:right w:val="single" w:color="000000" w:sz="4" w:space="0"/>
            </w:tcBorders>
            <w:noWrap/>
            <w:vAlign w:val="center"/>
          </w:tcPr>
          <w:p w14:paraId="29BB32C8">
            <w:pPr>
              <w:topLinePunct/>
              <w:adjustRightInd w:val="0"/>
              <w:snapToGrid w:val="0"/>
              <w:jc w:val="center"/>
              <w:rPr>
                <w:rFonts w:eastAsia="黑体"/>
                <w:color w:val="000000"/>
                <w:sz w:val="24"/>
              </w:rPr>
            </w:pPr>
          </w:p>
        </w:tc>
        <w:tc>
          <w:tcPr>
            <w:tcW w:w="838" w:type="pct"/>
            <w:vMerge w:val="continue"/>
            <w:tcBorders>
              <w:top w:val="single" w:color="000000" w:sz="4" w:space="0"/>
              <w:left w:val="single" w:color="000000" w:sz="4" w:space="0"/>
              <w:bottom w:val="single" w:color="auto" w:sz="4" w:space="0"/>
              <w:right w:val="single" w:color="000000" w:sz="4" w:space="0"/>
            </w:tcBorders>
            <w:noWrap/>
            <w:vAlign w:val="center"/>
          </w:tcPr>
          <w:p w14:paraId="30459C19">
            <w:pPr>
              <w:topLinePunct/>
              <w:adjustRightInd w:val="0"/>
              <w:snapToGrid w:val="0"/>
              <w:jc w:val="center"/>
              <w:rPr>
                <w:rFonts w:eastAsia="黑体"/>
                <w:color w:val="000000"/>
                <w:sz w:val="24"/>
              </w:rPr>
            </w:pPr>
          </w:p>
        </w:tc>
        <w:tc>
          <w:tcPr>
            <w:tcW w:w="2453" w:type="pct"/>
            <w:vMerge w:val="continue"/>
            <w:tcBorders>
              <w:top w:val="single" w:color="000000" w:sz="4" w:space="0"/>
              <w:left w:val="single" w:color="000000" w:sz="4" w:space="0"/>
              <w:bottom w:val="single" w:color="auto" w:sz="4" w:space="0"/>
              <w:right w:val="single" w:color="000000" w:sz="4" w:space="0"/>
            </w:tcBorders>
            <w:noWrap/>
            <w:vAlign w:val="center"/>
          </w:tcPr>
          <w:p w14:paraId="38F0D103">
            <w:pPr>
              <w:topLinePunct/>
              <w:adjustRightInd w:val="0"/>
              <w:snapToGrid w:val="0"/>
              <w:jc w:val="center"/>
              <w:rPr>
                <w:rFonts w:eastAsia="黑体"/>
                <w:color w:val="000000"/>
                <w:sz w:val="24"/>
              </w:rPr>
            </w:pPr>
          </w:p>
        </w:tc>
        <w:tc>
          <w:tcPr>
            <w:tcW w:w="476" w:type="pct"/>
            <w:tcBorders>
              <w:top w:val="single" w:color="000000" w:sz="4" w:space="0"/>
              <w:left w:val="single" w:color="000000" w:sz="4" w:space="0"/>
              <w:bottom w:val="single" w:color="auto" w:sz="4" w:space="0"/>
              <w:right w:val="single" w:color="000000" w:sz="4" w:space="0"/>
            </w:tcBorders>
            <w:noWrap/>
            <w:vAlign w:val="center"/>
          </w:tcPr>
          <w:p w14:paraId="4916694F">
            <w:pPr>
              <w:topLinePunct/>
              <w:adjustRightInd w:val="0"/>
              <w:snapToGrid w:val="0"/>
              <w:jc w:val="center"/>
              <w:textAlignment w:val="center"/>
              <w:rPr>
                <w:rFonts w:eastAsia="黑体"/>
                <w:color w:val="000000"/>
                <w:sz w:val="21"/>
                <w:szCs w:val="21"/>
              </w:rPr>
            </w:pPr>
            <w:r>
              <w:rPr>
                <w:rFonts w:eastAsia="黑体"/>
                <w:color w:val="000000"/>
                <w:kern w:val="0"/>
                <w:sz w:val="21"/>
                <w:szCs w:val="21"/>
                <w:lang w:bidi="ar"/>
              </w:rPr>
              <w:t>法定实施主体</w:t>
            </w:r>
          </w:p>
        </w:tc>
        <w:tc>
          <w:tcPr>
            <w:tcW w:w="538" w:type="pct"/>
            <w:tcBorders>
              <w:top w:val="single" w:color="000000" w:sz="4" w:space="0"/>
              <w:left w:val="single" w:color="000000" w:sz="4" w:space="0"/>
              <w:bottom w:val="single" w:color="auto" w:sz="4" w:space="0"/>
              <w:right w:val="single" w:color="000000" w:sz="4" w:space="0"/>
            </w:tcBorders>
            <w:noWrap/>
            <w:vAlign w:val="center"/>
          </w:tcPr>
          <w:p w14:paraId="3C94095A">
            <w:pPr>
              <w:topLinePunct/>
              <w:adjustRightInd w:val="0"/>
              <w:snapToGrid w:val="0"/>
              <w:jc w:val="center"/>
              <w:textAlignment w:val="center"/>
              <w:rPr>
                <w:rFonts w:eastAsia="黑体"/>
                <w:color w:val="000000"/>
                <w:sz w:val="21"/>
                <w:szCs w:val="21"/>
              </w:rPr>
            </w:pPr>
            <w:r>
              <w:rPr>
                <w:rFonts w:eastAsia="黑体"/>
                <w:color w:val="000000"/>
                <w:kern w:val="0"/>
                <w:sz w:val="21"/>
                <w:szCs w:val="21"/>
                <w:lang w:bidi="ar"/>
              </w:rPr>
              <w:t>法定行使层级</w:t>
            </w:r>
          </w:p>
        </w:tc>
        <w:tc>
          <w:tcPr>
            <w:tcW w:w="449" w:type="pct"/>
            <w:tcBorders>
              <w:top w:val="single" w:color="000000" w:sz="4" w:space="0"/>
              <w:left w:val="single" w:color="000000" w:sz="4" w:space="0"/>
              <w:bottom w:val="single" w:color="auto" w:sz="4" w:space="0"/>
              <w:right w:val="single" w:color="000000" w:sz="4" w:space="0"/>
            </w:tcBorders>
            <w:noWrap/>
            <w:vAlign w:val="center"/>
          </w:tcPr>
          <w:p w14:paraId="4785D81D">
            <w:pPr>
              <w:topLinePunct/>
              <w:adjustRightInd w:val="0"/>
              <w:snapToGrid w:val="0"/>
              <w:jc w:val="center"/>
              <w:textAlignment w:val="center"/>
              <w:rPr>
                <w:rFonts w:eastAsia="黑体"/>
                <w:color w:val="000000"/>
                <w:sz w:val="21"/>
                <w:szCs w:val="21"/>
              </w:rPr>
            </w:pPr>
            <w:r>
              <w:rPr>
                <w:rFonts w:eastAsia="黑体"/>
                <w:color w:val="000000"/>
                <w:kern w:val="0"/>
                <w:sz w:val="21"/>
                <w:szCs w:val="21"/>
                <w:lang w:bidi="ar"/>
              </w:rPr>
              <w:t>第一责任层级</w:t>
            </w:r>
          </w:p>
        </w:tc>
      </w:tr>
      <w:tr w14:paraId="7FE63912">
        <w:tblPrEx>
          <w:tblCellMar>
            <w:top w:w="0" w:type="dxa"/>
            <w:left w:w="108" w:type="dxa"/>
            <w:bottom w:w="0" w:type="dxa"/>
            <w:right w:w="108" w:type="dxa"/>
          </w:tblCellMar>
        </w:tblPrEx>
        <w:trPr>
          <w:trHeight w:val="329" w:hRule="atLeast"/>
          <w:jc w:val="center"/>
        </w:trPr>
        <w:tc>
          <w:tcPr>
            <w:tcW w:w="243" w:type="pct"/>
            <w:tcBorders>
              <w:top w:val="single" w:color="auto" w:sz="4" w:space="0"/>
              <w:left w:val="single" w:color="000000" w:sz="4" w:space="0"/>
              <w:bottom w:val="single" w:color="000000" w:sz="4" w:space="0"/>
              <w:right w:val="single" w:color="000000" w:sz="4" w:space="0"/>
            </w:tcBorders>
            <w:vAlign w:val="center"/>
          </w:tcPr>
          <w:p w14:paraId="2D7EA353">
            <w:pPr>
              <w:topLinePunct/>
              <w:adjustRightInd w:val="0"/>
              <w:snapToGrid w:val="0"/>
              <w:jc w:val="center"/>
              <w:textAlignment w:val="center"/>
              <w:rPr>
                <w:rFonts w:eastAsia="仿宋"/>
                <w:color w:val="000000"/>
                <w:sz w:val="24"/>
              </w:rPr>
            </w:pPr>
            <w:r>
              <w:rPr>
                <w:rFonts w:eastAsia="仿宋"/>
                <w:color w:val="000000"/>
                <w:kern w:val="0"/>
                <w:sz w:val="24"/>
              </w:rPr>
              <w:drawing>
                <wp:anchor distT="0" distB="0" distL="114300" distR="114300" simplePos="0" relativeHeight="251659264" behindDoc="0" locked="0" layoutInCell="1" allowOverlap="1">
                  <wp:simplePos x="0" y="0"/>
                  <wp:positionH relativeFrom="column">
                    <wp:posOffset>392430</wp:posOffset>
                  </wp:positionH>
                  <wp:positionV relativeFrom="paragraph">
                    <wp:posOffset>0</wp:posOffset>
                  </wp:positionV>
                  <wp:extent cx="43815" cy="185420"/>
                  <wp:effectExtent l="0" t="0" r="0" b="0"/>
                  <wp:wrapNone/>
                  <wp:docPr id="159" name="图片 159"/>
                  <wp:cNvGraphicFramePr/>
                  <a:graphic xmlns:a="http://schemas.openxmlformats.org/drawingml/2006/main">
                    <a:graphicData uri="http://schemas.openxmlformats.org/drawingml/2006/picture">
                      <pic:pic xmlns:pic="http://schemas.openxmlformats.org/drawingml/2006/picture">
                        <pic:nvPicPr>
                          <pic:cNvPr id="159" name="图片 159"/>
                          <pic:cNvPicPr>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43815" cy="185420"/>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660288" behindDoc="0" locked="0" layoutInCell="1" allowOverlap="1">
                  <wp:simplePos x="0" y="0"/>
                  <wp:positionH relativeFrom="column">
                    <wp:posOffset>392430</wp:posOffset>
                  </wp:positionH>
                  <wp:positionV relativeFrom="paragraph">
                    <wp:posOffset>0</wp:posOffset>
                  </wp:positionV>
                  <wp:extent cx="43815" cy="185420"/>
                  <wp:effectExtent l="0" t="0" r="0" b="0"/>
                  <wp:wrapNone/>
                  <wp:docPr id="158" name="图片 158"/>
                  <wp:cNvGraphicFramePr/>
                  <a:graphic xmlns:a="http://schemas.openxmlformats.org/drawingml/2006/main">
                    <a:graphicData uri="http://schemas.openxmlformats.org/drawingml/2006/picture">
                      <pic:pic xmlns:pic="http://schemas.openxmlformats.org/drawingml/2006/picture">
                        <pic:nvPicPr>
                          <pic:cNvPr id="158" name="图片 158"/>
                          <pic:cNvPicPr>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43815" cy="185420"/>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661312" behindDoc="0" locked="0" layoutInCell="1" allowOverlap="1">
                  <wp:simplePos x="0" y="0"/>
                  <wp:positionH relativeFrom="column">
                    <wp:posOffset>392430</wp:posOffset>
                  </wp:positionH>
                  <wp:positionV relativeFrom="paragraph">
                    <wp:posOffset>0</wp:posOffset>
                  </wp:positionV>
                  <wp:extent cx="43815" cy="185420"/>
                  <wp:effectExtent l="0" t="0" r="0" b="0"/>
                  <wp:wrapNone/>
                  <wp:docPr id="157" name="图片 157"/>
                  <wp:cNvGraphicFramePr/>
                  <a:graphic xmlns:a="http://schemas.openxmlformats.org/drawingml/2006/main">
                    <a:graphicData uri="http://schemas.openxmlformats.org/drawingml/2006/picture">
                      <pic:pic xmlns:pic="http://schemas.openxmlformats.org/drawingml/2006/picture">
                        <pic:nvPicPr>
                          <pic:cNvPr id="157" name="图片 157"/>
                          <pic:cNvPicPr>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43815" cy="185420"/>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662336" behindDoc="0" locked="0" layoutInCell="1" allowOverlap="1">
                  <wp:simplePos x="0" y="0"/>
                  <wp:positionH relativeFrom="column">
                    <wp:posOffset>392430</wp:posOffset>
                  </wp:positionH>
                  <wp:positionV relativeFrom="paragraph">
                    <wp:posOffset>0</wp:posOffset>
                  </wp:positionV>
                  <wp:extent cx="43815" cy="185420"/>
                  <wp:effectExtent l="0" t="0" r="0" b="0"/>
                  <wp:wrapNone/>
                  <wp:docPr id="156" name="图片 156"/>
                  <wp:cNvGraphicFramePr/>
                  <a:graphic xmlns:a="http://schemas.openxmlformats.org/drawingml/2006/main">
                    <a:graphicData uri="http://schemas.openxmlformats.org/drawingml/2006/picture">
                      <pic:pic xmlns:pic="http://schemas.openxmlformats.org/drawingml/2006/picture">
                        <pic:nvPicPr>
                          <pic:cNvPr id="156" name="图片 156"/>
                          <pic:cNvPicPr>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43815" cy="185420"/>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663360" behindDoc="0" locked="0" layoutInCell="1" allowOverlap="1">
                  <wp:simplePos x="0" y="0"/>
                  <wp:positionH relativeFrom="column">
                    <wp:posOffset>392430</wp:posOffset>
                  </wp:positionH>
                  <wp:positionV relativeFrom="paragraph">
                    <wp:posOffset>0</wp:posOffset>
                  </wp:positionV>
                  <wp:extent cx="43815" cy="185420"/>
                  <wp:effectExtent l="0" t="0" r="0" b="0"/>
                  <wp:wrapNone/>
                  <wp:docPr id="155" name="图片 155"/>
                  <wp:cNvGraphicFramePr/>
                  <a:graphic xmlns:a="http://schemas.openxmlformats.org/drawingml/2006/main">
                    <a:graphicData uri="http://schemas.openxmlformats.org/drawingml/2006/picture">
                      <pic:pic xmlns:pic="http://schemas.openxmlformats.org/drawingml/2006/picture">
                        <pic:nvPicPr>
                          <pic:cNvPr id="155" name="图片 155"/>
                          <pic:cNvPicPr>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43815" cy="185420"/>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664384" behindDoc="0" locked="0" layoutInCell="1" allowOverlap="1">
                  <wp:simplePos x="0" y="0"/>
                  <wp:positionH relativeFrom="column">
                    <wp:posOffset>392430</wp:posOffset>
                  </wp:positionH>
                  <wp:positionV relativeFrom="paragraph">
                    <wp:posOffset>0</wp:posOffset>
                  </wp:positionV>
                  <wp:extent cx="43815" cy="185420"/>
                  <wp:effectExtent l="0" t="0" r="0" b="0"/>
                  <wp:wrapNone/>
                  <wp:docPr id="154" name="图片 154"/>
                  <wp:cNvGraphicFramePr/>
                  <a:graphic xmlns:a="http://schemas.openxmlformats.org/drawingml/2006/main">
                    <a:graphicData uri="http://schemas.openxmlformats.org/drawingml/2006/picture">
                      <pic:pic xmlns:pic="http://schemas.openxmlformats.org/drawingml/2006/picture">
                        <pic:nvPicPr>
                          <pic:cNvPr id="154" name="图片 154"/>
                          <pic:cNvPicPr>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43815" cy="185420"/>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665408" behindDoc="0" locked="0" layoutInCell="1" allowOverlap="1">
                  <wp:simplePos x="0" y="0"/>
                  <wp:positionH relativeFrom="column">
                    <wp:posOffset>392430</wp:posOffset>
                  </wp:positionH>
                  <wp:positionV relativeFrom="paragraph">
                    <wp:posOffset>0</wp:posOffset>
                  </wp:positionV>
                  <wp:extent cx="43815" cy="185420"/>
                  <wp:effectExtent l="0" t="0" r="0" b="0"/>
                  <wp:wrapNone/>
                  <wp:docPr id="153" name="图片 153"/>
                  <wp:cNvGraphicFramePr/>
                  <a:graphic xmlns:a="http://schemas.openxmlformats.org/drawingml/2006/main">
                    <a:graphicData uri="http://schemas.openxmlformats.org/drawingml/2006/picture">
                      <pic:pic xmlns:pic="http://schemas.openxmlformats.org/drawingml/2006/picture">
                        <pic:nvPicPr>
                          <pic:cNvPr id="153" name="图片 153"/>
                          <pic:cNvPicPr>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43815" cy="185420"/>
                          </a:xfrm>
                          <a:prstGeom prst="rect">
                            <a:avLst/>
                          </a:prstGeom>
                          <a:noFill/>
                          <a:ln>
                            <a:noFill/>
                          </a:ln>
                          <a:effectLst/>
                        </pic:spPr>
                      </pic:pic>
                    </a:graphicData>
                  </a:graphic>
                </wp:anchor>
              </w:drawing>
            </w:r>
            <w:r>
              <w:rPr>
                <w:rFonts w:eastAsia="仿宋"/>
                <w:color w:val="000000"/>
                <w:kern w:val="0"/>
                <w:sz w:val="24"/>
                <w:lang w:bidi="ar"/>
              </w:rPr>
              <w:t>1</w:t>
            </w:r>
          </w:p>
        </w:tc>
        <w:tc>
          <w:tcPr>
            <w:tcW w:w="838" w:type="pct"/>
            <w:tcBorders>
              <w:top w:val="single" w:color="auto" w:sz="4" w:space="0"/>
              <w:left w:val="single" w:color="000000" w:sz="4" w:space="0"/>
              <w:bottom w:val="single" w:color="000000" w:sz="4" w:space="0"/>
              <w:right w:val="single" w:color="000000" w:sz="4" w:space="0"/>
            </w:tcBorders>
            <w:vAlign w:val="center"/>
          </w:tcPr>
          <w:p w14:paraId="75D065B9">
            <w:pPr>
              <w:topLinePunct/>
              <w:adjustRightInd w:val="0"/>
              <w:snapToGrid w:val="0"/>
              <w:textAlignment w:val="center"/>
              <w:rPr>
                <w:rFonts w:eastAsia="仿宋"/>
                <w:color w:val="000000"/>
                <w:sz w:val="24"/>
              </w:rPr>
            </w:pPr>
            <w:r>
              <w:rPr>
                <w:rFonts w:eastAsia="仿宋"/>
                <w:color w:val="000000"/>
                <w:kern w:val="0"/>
                <w:sz w:val="24"/>
                <w:lang w:bidi="ar"/>
              </w:rPr>
              <w:t>对生产经营单位主要负责人未履行法定的安全生产管理职责的行政处罚</w:t>
            </w:r>
            <w:r>
              <w:rPr>
                <w:rFonts w:eastAsia="楷体"/>
                <w:spacing w:val="16"/>
                <w:sz w:val="24"/>
              </w:rPr>
              <w:t>(</w:t>
            </w:r>
            <w:r>
              <w:rPr>
                <w:rFonts w:eastAsia="楷体"/>
                <w:spacing w:val="15"/>
                <w:sz w:val="24"/>
              </w:rPr>
              <w:t>本目录涉及生产</w:t>
            </w:r>
            <w:r>
              <w:rPr>
                <w:rFonts w:eastAsia="楷体"/>
                <w:spacing w:val="10"/>
                <w:sz w:val="24"/>
              </w:rPr>
              <w:t>经</w:t>
            </w:r>
            <w:r>
              <w:rPr>
                <w:rFonts w:eastAsia="楷体"/>
                <w:spacing w:val="6"/>
                <w:sz w:val="24"/>
              </w:rPr>
              <w:t>营</w:t>
            </w:r>
            <w:r>
              <w:rPr>
                <w:rFonts w:eastAsia="楷体"/>
                <w:spacing w:val="5"/>
                <w:sz w:val="24"/>
              </w:rPr>
              <w:t>单位的事项，限</w:t>
            </w:r>
            <w:r>
              <w:rPr>
                <w:rFonts w:eastAsia="楷体"/>
                <w:spacing w:val="17"/>
                <w:sz w:val="24"/>
              </w:rPr>
              <w:t>于应急管理部门</w:t>
            </w:r>
            <w:r>
              <w:rPr>
                <w:rFonts w:eastAsia="楷体"/>
                <w:spacing w:val="15"/>
                <w:sz w:val="24"/>
              </w:rPr>
              <w:t>监</w:t>
            </w:r>
            <w:r>
              <w:rPr>
                <w:rFonts w:eastAsia="楷体"/>
                <w:spacing w:val="6"/>
                <w:sz w:val="24"/>
              </w:rPr>
              <w:t>管</w:t>
            </w:r>
            <w:r>
              <w:rPr>
                <w:rFonts w:eastAsia="楷体"/>
                <w:spacing w:val="5"/>
                <w:sz w:val="24"/>
              </w:rPr>
              <w:t>职责范围内的生</w:t>
            </w:r>
            <w:r>
              <w:rPr>
                <w:rFonts w:eastAsia="楷体"/>
                <w:spacing w:val="-1"/>
                <w:sz w:val="24"/>
              </w:rPr>
              <w:t>产经</w:t>
            </w:r>
            <w:r>
              <w:rPr>
                <w:rFonts w:eastAsia="楷体"/>
                <w:sz w:val="24"/>
              </w:rPr>
              <w:t>营单位；下同)</w:t>
            </w:r>
          </w:p>
        </w:tc>
        <w:tc>
          <w:tcPr>
            <w:tcW w:w="2453" w:type="pct"/>
            <w:tcBorders>
              <w:top w:val="single" w:color="auto" w:sz="4" w:space="0"/>
              <w:left w:val="single" w:color="000000" w:sz="4" w:space="0"/>
              <w:bottom w:val="single" w:color="000000" w:sz="4" w:space="0"/>
              <w:right w:val="single" w:color="000000" w:sz="4" w:space="0"/>
            </w:tcBorders>
            <w:vAlign w:val="center"/>
          </w:tcPr>
          <w:p w14:paraId="50B29F2A">
            <w:pPr>
              <w:topLinePunct/>
              <w:adjustRightInd w:val="0"/>
              <w:snapToGrid w:val="0"/>
              <w:jc w:val="left"/>
              <w:textAlignment w:val="center"/>
              <w:rPr>
                <w:rFonts w:eastAsia="仿宋"/>
                <w:color w:val="000000"/>
                <w:sz w:val="24"/>
              </w:rPr>
            </w:pPr>
            <w:r>
              <w:rPr>
                <w:rFonts w:eastAsia="仿宋"/>
                <w:color w:val="000000"/>
                <w:kern w:val="0"/>
                <w:sz w:val="24"/>
              </w:rPr>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299720" cy="937260"/>
                  <wp:effectExtent l="0" t="0" r="0" b="0"/>
                  <wp:wrapNone/>
                  <wp:docPr id="152" name="图片 152"/>
                  <wp:cNvGraphicFramePr/>
                  <a:graphic xmlns:a="http://schemas.openxmlformats.org/drawingml/2006/main">
                    <a:graphicData uri="http://schemas.openxmlformats.org/drawingml/2006/picture">
                      <pic:pic xmlns:pic="http://schemas.openxmlformats.org/drawingml/2006/picture">
                        <pic:nvPicPr>
                          <pic:cNvPr id="152" name="图片 152"/>
                          <pic:cNvPicPr>
                            <a:picLocks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299720" cy="937260"/>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299720" cy="788670"/>
                  <wp:effectExtent l="0" t="0" r="0" b="0"/>
                  <wp:wrapNone/>
                  <wp:docPr id="151" name="图片 151"/>
                  <wp:cNvGraphicFramePr/>
                  <a:graphic xmlns:a="http://schemas.openxmlformats.org/drawingml/2006/main">
                    <a:graphicData uri="http://schemas.openxmlformats.org/drawingml/2006/picture">
                      <pic:pic xmlns:pic="http://schemas.openxmlformats.org/drawingml/2006/picture">
                        <pic:nvPicPr>
                          <pic:cNvPr id="151" name="图片 151"/>
                          <pic:cNvPicPr>
                            <a:picLocks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299720" cy="788670"/>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668480" behindDoc="0" locked="0" layoutInCell="1" allowOverlap="1">
                  <wp:simplePos x="0" y="0"/>
                  <wp:positionH relativeFrom="column">
                    <wp:posOffset>0</wp:posOffset>
                  </wp:positionH>
                  <wp:positionV relativeFrom="paragraph">
                    <wp:posOffset>0</wp:posOffset>
                  </wp:positionV>
                  <wp:extent cx="299720" cy="937260"/>
                  <wp:effectExtent l="0" t="0" r="0" b="0"/>
                  <wp:wrapNone/>
                  <wp:docPr id="150" name="图片 150"/>
                  <wp:cNvGraphicFramePr/>
                  <a:graphic xmlns:a="http://schemas.openxmlformats.org/drawingml/2006/main">
                    <a:graphicData uri="http://schemas.openxmlformats.org/drawingml/2006/picture">
                      <pic:pic xmlns:pic="http://schemas.openxmlformats.org/drawingml/2006/picture">
                        <pic:nvPicPr>
                          <pic:cNvPr id="150" name="图片 150"/>
                          <pic:cNvPicPr>
                            <a:picLocks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299720" cy="937260"/>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11430" cy="9525"/>
                  <wp:effectExtent l="0" t="0" r="0" b="0"/>
                  <wp:wrapNone/>
                  <wp:docPr id="149" name="图片 149"/>
                  <wp:cNvGraphicFramePr/>
                  <a:graphic xmlns:a="http://schemas.openxmlformats.org/drawingml/2006/main">
                    <a:graphicData uri="http://schemas.openxmlformats.org/drawingml/2006/picture">
                      <pic:pic xmlns:pic="http://schemas.openxmlformats.org/drawingml/2006/picture">
                        <pic:nvPicPr>
                          <pic:cNvPr id="149" name="图片 149"/>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670528" behindDoc="0" locked="0" layoutInCell="1" allowOverlap="1">
                  <wp:simplePos x="0" y="0"/>
                  <wp:positionH relativeFrom="column">
                    <wp:posOffset>0</wp:posOffset>
                  </wp:positionH>
                  <wp:positionV relativeFrom="paragraph">
                    <wp:posOffset>0</wp:posOffset>
                  </wp:positionV>
                  <wp:extent cx="11430" cy="9525"/>
                  <wp:effectExtent l="0" t="0" r="0" b="0"/>
                  <wp:wrapNone/>
                  <wp:docPr id="148" name="图片 148"/>
                  <wp:cNvGraphicFramePr/>
                  <a:graphic xmlns:a="http://schemas.openxmlformats.org/drawingml/2006/main">
                    <a:graphicData uri="http://schemas.openxmlformats.org/drawingml/2006/picture">
                      <pic:pic xmlns:pic="http://schemas.openxmlformats.org/drawingml/2006/picture">
                        <pic:nvPicPr>
                          <pic:cNvPr id="148" name="图片 148"/>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671552" behindDoc="0" locked="0" layoutInCell="1" allowOverlap="1">
                  <wp:simplePos x="0" y="0"/>
                  <wp:positionH relativeFrom="column">
                    <wp:posOffset>0</wp:posOffset>
                  </wp:positionH>
                  <wp:positionV relativeFrom="paragraph">
                    <wp:posOffset>0</wp:posOffset>
                  </wp:positionV>
                  <wp:extent cx="11430" cy="9525"/>
                  <wp:effectExtent l="0" t="0" r="0" b="0"/>
                  <wp:wrapNone/>
                  <wp:docPr id="147" name="图片 147"/>
                  <wp:cNvGraphicFramePr/>
                  <a:graphic xmlns:a="http://schemas.openxmlformats.org/drawingml/2006/main">
                    <a:graphicData uri="http://schemas.openxmlformats.org/drawingml/2006/picture">
                      <pic:pic xmlns:pic="http://schemas.openxmlformats.org/drawingml/2006/picture">
                        <pic:nvPicPr>
                          <pic:cNvPr id="147" name="图片 147"/>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672576" behindDoc="0" locked="0" layoutInCell="1" allowOverlap="1">
                  <wp:simplePos x="0" y="0"/>
                  <wp:positionH relativeFrom="column">
                    <wp:posOffset>0</wp:posOffset>
                  </wp:positionH>
                  <wp:positionV relativeFrom="paragraph">
                    <wp:posOffset>0</wp:posOffset>
                  </wp:positionV>
                  <wp:extent cx="11430" cy="9525"/>
                  <wp:effectExtent l="0" t="0" r="0" b="0"/>
                  <wp:wrapNone/>
                  <wp:docPr id="146" name="图片 146"/>
                  <wp:cNvGraphicFramePr/>
                  <a:graphic xmlns:a="http://schemas.openxmlformats.org/drawingml/2006/main">
                    <a:graphicData uri="http://schemas.openxmlformats.org/drawingml/2006/picture">
                      <pic:pic xmlns:pic="http://schemas.openxmlformats.org/drawingml/2006/picture">
                        <pic:nvPicPr>
                          <pic:cNvPr id="146" name="图片 146"/>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673600" behindDoc="0" locked="0" layoutInCell="1" allowOverlap="1">
                  <wp:simplePos x="0" y="0"/>
                  <wp:positionH relativeFrom="column">
                    <wp:posOffset>0</wp:posOffset>
                  </wp:positionH>
                  <wp:positionV relativeFrom="paragraph">
                    <wp:posOffset>0</wp:posOffset>
                  </wp:positionV>
                  <wp:extent cx="11430" cy="9525"/>
                  <wp:effectExtent l="0" t="0" r="0" b="0"/>
                  <wp:wrapNone/>
                  <wp:docPr id="145" name="图片 145"/>
                  <wp:cNvGraphicFramePr/>
                  <a:graphic xmlns:a="http://schemas.openxmlformats.org/drawingml/2006/main">
                    <a:graphicData uri="http://schemas.openxmlformats.org/drawingml/2006/picture">
                      <pic:pic xmlns:pic="http://schemas.openxmlformats.org/drawingml/2006/picture">
                        <pic:nvPicPr>
                          <pic:cNvPr id="145" name="图片 145"/>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674624" behindDoc="0" locked="0" layoutInCell="1" allowOverlap="1">
                  <wp:simplePos x="0" y="0"/>
                  <wp:positionH relativeFrom="column">
                    <wp:posOffset>0</wp:posOffset>
                  </wp:positionH>
                  <wp:positionV relativeFrom="paragraph">
                    <wp:posOffset>0</wp:posOffset>
                  </wp:positionV>
                  <wp:extent cx="11430" cy="9525"/>
                  <wp:effectExtent l="0" t="0" r="0" b="0"/>
                  <wp:wrapNone/>
                  <wp:docPr id="144" name="图片 144"/>
                  <wp:cNvGraphicFramePr/>
                  <a:graphic xmlns:a="http://schemas.openxmlformats.org/drawingml/2006/main">
                    <a:graphicData uri="http://schemas.openxmlformats.org/drawingml/2006/picture">
                      <pic:pic xmlns:pic="http://schemas.openxmlformats.org/drawingml/2006/picture">
                        <pic:nvPicPr>
                          <pic:cNvPr id="144" name="图片 144"/>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675648" behindDoc="0" locked="0" layoutInCell="1" allowOverlap="1">
                  <wp:simplePos x="0" y="0"/>
                  <wp:positionH relativeFrom="column">
                    <wp:posOffset>0</wp:posOffset>
                  </wp:positionH>
                  <wp:positionV relativeFrom="paragraph">
                    <wp:posOffset>0</wp:posOffset>
                  </wp:positionV>
                  <wp:extent cx="299720" cy="937260"/>
                  <wp:effectExtent l="0" t="0" r="0" b="0"/>
                  <wp:wrapNone/>
                  <wp:docPr id="143" name="图片 143"/>
                  <wp:cNvGraphicFramePr/>
                  <a:graphic xmlns:a="http://schemas.openxmlformats.org/drawingml/2006/main">
                    <a:graphicData uri="http://schemas.openxmlformats.org/drawingml/2006/picture">
                      <pic:pic xmlns:pic="http://schemas.openxmlformats.org/drawingml/2006/picture">
                        <pic:nvPicPr>
                          <pic:cNvPr id="143" name="图片 143"/>
                          <pic:cNvPicPr>
                            <a:picLocks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299720" cy="937260"/>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676672" behindDoc="0" locked="0" layoutInCell="1" allowOverlap="1">
                  <wp:simplePos x="0" y="0"/>
                  <wp:positionH relativeFrom="column">
                    <wp:posOffset>0</wp:posOffset>
                  </wp:positionH>
                  <wp:positionV relativeFrom="paragraph">
                    <wp:posOffset>0</wp:posOffset>
                  </wp:positionV>
                  <wp:extent cx="11430" cy="9525"/>
                  <wp:effectExtent l="0" t="0" r="0" b="0"/>
                  <wp:wrapNone/>
                  <wp:docPr id="142" name="图片 142"/>
                  <wp:cNvGraphicFramePr/>
                  <a:graphic xmlns:a="http://schemas.openxmlformats.org/drawingml/2006/main">
                    <a:graphicData uri="http://schemas.openxmlformats.org/drawingml/2006/picture">
                      <pic:pic xmlns:pic="http://schemas.openxmlformats.org/drawingml/2006/picture">
                        <pic:nvPicPr>
                          <pic:cNvPr id="142" name="图片 142"/>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677696" behindDoc="0" locked="0" layoutInCell="1" allowOverlap="1">
                  <wp:simplePos x="0" y="0"/>
                  <wp:positionH relativeFrom="column">
                    <wp:posOffset>0</wp:posOffset>
                  </wp:positionH>
                  <wp:positionV relativeFrom="paragraph">
                    <wp:posOffset>0</wp:posOffset>
                  </wp:positionV>
                  <wp:extent cx="11430" cy="9525"/>
                  <wp:effectExtent l="0" t="0" r="0" b="0"/>
                  <wp:wrapNone/>
                  <wp:docPr id="141" name="图片 141"/>
                  <wp:cNvGraphicFramePr/>
                  <a:graphic xmlns:a="http://schemas.openxmlformats.org/drawingml/2006/main">
                    <a:graphicData uri="http://schemas.openxmlformats.org/drawingml/2006/picture">
                      <pic:pic xmlns:pic="http://schemas.openxmlformats.org/drawingml/2006/picture">
                        <pic:nvPicPr>
                          <pic:cNvPr id="141" name="图片 141"/>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678720" behindDoc="0" locked="0" layoutInCell="1" allowOverlap="1">
                  <wp:simplePos x="0" y="0"/>
                  <wp:positionH relativeFrom="column">
                    <wp:posOffset>0</wp:posOffset>
                  </wp:positionH>
                  <wp:positionV relativeFrom="paragraph">
                    <wp:posOffset>0</wp:posOffset>
                  </wp:positionV>
                  <wp:extent cx="11430" cy="9525"/>
                  <wp:effectExtent l="0" t="0" r="0" b="0"/>
                  <wp:wrapNone/>
                  <wp:docPr id="140" name="图片 140"/>
                  <wp:cNvGraphicFramePr/>
                  <a:graphic xmlns:a="http://schemas.openxmlformats.org/drawingml/2006/main">
                    <a:graphicData uri="http://schemas.openxmlformats.org/drawingml/2006/picture">
                      <pic:pic xmlns:pic="http://schemas.openxmlformats.org/drawingml/2006/picture">
                        <pic:nvPicPr>
                          <pic:cNvPr id="140" name="图片 140"/>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679744" behindDoc="0" locked="0" layoutInCell="1" allowOverlap="1">
                  <wp:simplePos x="0" y="0"/>
                  <wp:positionH relativeFrom="column">
                    <wp:posOffset>0</wp:posOffset>
                  </wp:positionH>
                  <wp:positionV relativeFrom="paragraph">
                    <wp:posOffset>0</wp:posOffset>
                  </wp:positionV>
                  <wp:extent cx="11430" cy="9525"/>
                  <wp:effectExtent l="0" t="0" r="0" b="0"/>
                  <wp:wrapNone/>
                  <wp:docPr id="139" name="图片 139"/>
                  <wp:cNvGraphicFramePr/>
                  <a:graphic xmlns:a="http://schemas.openxmlformats.org/drawingml/2006/main">
                    <a:graphicData uri="http://schemas.openxmlformats.org/drawingml/2006/picture">
                      <pic:pic xmlns:pic="http://schemas.openxmlformats.org/drawingml/2006/picture">
                        <pic:nvPicPr>
                          <pic:cNvPr id="139" name="图片 139"/>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680768" behindDoc="0" locked="0" layoutInCell="1" allowOverlap="1">
                  <wp:simplePos x="0" y="0"/>
                  <wp:positionH relativeFrom="column">
                    <wp:posOffset>0</wp:posOffset>
                  </wp:positionH>
                  <wp:positionV relativeFrom="paragraph">
                    <wp:posOffset>0</wp:posOffset>
                  </wp:positionV>
                  <wp:extent cx="11430" cy="9525"/>
                  <wp:effectExtent l="0" t="0" r="0" b="0"/>
                  <wp:wrapNone/>
                  <wp:docPr id="138" name="图片 138"/>
                  <wp:cNvGraphicFramePr/>
                  <a:graphic xmlns:a="http://schemas.openxmlformats.org/drawingml/2006/main">
                    <a:graphicData uri="http://schemas.openxmlformats.org/drawingml/2006/picture">
                      <pic:pic xmlns:pic="http://schemas.openxmlformats.org/drawingml/2006/picture">
                        <pic:nvPicPr>
                          <pic:cNvPr id="138" name="图片 138"/>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681792" behindDoc="0" locked="0" layoutInCell="1" allowOverlap="1">
                  <wp:simplePos x="0" y="0"/>
                  <wp:positionH relativeFrom="column">
                    <wp:posOffset>0</wp:posOffset>
                  </wp:positionH>
                  <wp:positionV relativeFrom="paragraph">
                    <wp:posOffset>0</wp:posOffset>
                  </wp:positionV>
                  <wp:extent cx="299720" cy="788670"/>
                  <wp:effectExtent l="0" t="0" r="0" b="0"/>
                  <wp:wrapNone/>
                  <wp:docPr id="137" name="图片 137"/>
                  <wp:cNvGraphicFramePr/>
                  <a:graphic xmlns:a="http://schemas.openxmlformats.org/drawingml/2006/main">
                    <a:graphicData uri="http://schemas.openxmlformats.org/drawingml/2006/picture">
                      <pic:pic xmlns:pic="http://schemas.openxmlformats.org/drawingml/2006/picture">
                        <pic:nvPicPr>
                          <pic:cNvPr id="137" name="图片 137"/>
                          <pic:cNvPicPr>
                            <a:picLocks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299720" cy="788670"/>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682816" behindDoc="0" locked="0" layoutInCell="1" allowOverlap="1">
                  <wp:simplePos x="0" y="0"/>
                  <wp:positionH relativeFrom="column">
                    <wp:posOffset>0</wp:posOffset>
                  </wp:positionH>
                  <wp:positionV relativeFrom="paragraph">
                    <wp:posOffset>0</wp:posOffset>
                  </wp:positionV>
                  <wp:extent cx="299720" cy="788670"/>
                  <wp:effectExtent l="0" t="0" r="0" b="0"/>
                  <wp:wrapNone/>
                  <wp:docPr id="136" name="图片 136"/>
                  <wp:cNvGraphicFramePr/>
                  <a:graphic xmlns:a="http://schemas.openxmlformats.org/drawingml/2006/main">
                    <a:graphicData uri="http://schemas.openxmlformats.org/drawingml/2006/picture">
                      <pic:pic xmlns:pic="http://schemas.openxmlformats.org/drawingml/2006/picture">
                        <pic:nvPicPr>
                          <pic:cNvPr id="136" name="图片 136"/>
                          <pic:cNvPicPr>
                            <a:picLocks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299720" cy="788670"/>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683840" behindDoc="0" locked="0" layoutInCell="1" allowOverlap="1">
                  <wp:simplePos x="0" y="0"/>
                  <wp:positionH relativeFrom="column">
                    <wp:posOffset>0</wp:posOffset>
                  </wp:positionH>
                  <wp:positionV relativeFrom="paragraph">
                    <wp:posOffset>0</wp:posOffset>
                  </wp:positionV>
                  <wp:extent cx="299720" cy="937260"/>
                  <wp:effectExtent l="0" t="0" r="0" b="0"/>
                  <wp:wrapNone/>
                  <wp:docPr id="135" name="图片 135"/>
                  <wp:cNvGraphicFramePr/>
                  <a:graphic xmlns:a="http://schemas.openxmlformats.org/drawingml/2006/main">
                    <a:graphicData uri="http://schemas.openxmlformats.org/drawingml/2006/picture">
                      <pic:pic xmlns:pic="http://schemas.openxmlformats.org/drawingml/2006/picture">
                        <pic:nvPicPr>
                          <pic:cNvPr id="135" name="图片 135"/>
                          <pic:cNvPicPr>
                            <a:picLocks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299720" cy="937260"/>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684864" behindDoc="0" locked="0" layoutInCell="1" allowOverlap="1">
                  <wp:simplePos x="0" y="0"/>
                  <wp:positionH relativeFrom="column">
                    <wp:posOffset>0</wp:posOffset>
                  </wp:positionH>
                  <wp:positionV relativeFrom="paragraph">
                    <wp:posOffset>0</wp:posOffset>
                  </wp:positionV>
                  <wp:extent cx="11430" cy="9525"/>
                  <wp:effectExtent l="0" t="0" r="0" b="0"/>
                  <wp:wrapNone/>
                  <wp:docPr id="134" name="图片 134"/>
                  <wp:cNvGraphicFramePr/>
                  <a:graphic xmlns:a="http://schemas.openxmlformats.org/drawingml/2006/main">
                    <a:graphicData uri="http://schemas.openxmlformats.org/drawingml/2006/picture">
                      <pic:pic xmlns:pic="http://schemas.openxmlformats.org/drawingml/2006/picture">
                        <pic:nvPicPr>
                          <pic:cNvPr id="134" name="图片 134"/>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685888" behindDoc="0" locked="0" layoutInCell="1" allowOverlap="1">
                  <wp:simplePos x="0" y="0"/>
                  <wp:positionH relativeFrom="column">
                    <wp:posOffset>0</wp:posOffset>
                  </wp:positionH>
                  <wp:positionV relativeFrom="paragraph">
                    <wp:posOffset>0</wp:posOffset>
                  </wp:positionV>
                  <wp:extent cx="11430" cy="9525"/>
                  <wp:effectExtent l="0" t="0" r="0" b="0"/>
                  <wp:wrapNone/>
                  <wp:docPr id="133" name="图片 133"/>
                  <wp:cNvGraphicFramePr/>
                  <a:graphic xmlns:a="http://schemas.openxmlformats.org/drawingml/2006/main">
                    <a:graphicData uri="http://schemas.openxmlformats.org/drawingml/2006/picture">
                      <pic:pic xmlns:pic="http://schemas.openxmlformats.org/drawingml/2006/picture">
                        <pic:nvPicPr>
                          <pic:cNvPr id="133" name="图片 133"/>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1430" cy="9525"/>
                  <wp:effectExtent l="0" t="0" r="0" b="0"/>
                  <wp:wrapNone/>
                  <wp:docPr id="132" name="图片 132"/>
                  <wp:cNvGraphicFramePr/>
                  <a:graphic xmlns:a="http://schemas.openxmlformats.org/drawingml/2006/main">
                    <a:graphicData uri="http://schemas.openxmlformats.org/drawingml/2006/picture">
                      <pic:pic xmlns:pic="http://schemas.openxmlformats.org/drawingml/2006/picture">
                        <pic:nvPicPr>
                          <pic:cNvPr id="132" name="图片 132"/>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687936" behindDoc="0" locked="0" layoutInCell="1" allowOverlap="1">
                  <wp:simplePos x="0" y="0"/>
                  <wp:positionH relativeFrom="column">
                    <wp:posOffset>0</wp:posOffset>
                  </wp:positionH>
                  <wp:positionV relativeFrom="paragraph">
                    <wp:posOffset>0</wp:posOffset>
                  </wp:positionV>
                  <wp:extent cx="11430" cy="9525"/>
                  <wp:effectExtent l="0" t="0" r="0" b="0"/>
                  <wp:wrapNone/>
                  <wp:docPr id="131" name="图片 131"/>
                  <wp:cNvGraphicFramePr/>
                  <a:graphic xmlns:a="http://schemas.openxmlformats.org/drawingml/2006/main">
                    <a:graphicData uri="http://schemas.openxmlformats.org/drawingml/2006/picture">
                      <pic:pic xmlns:pic="http://schemas.openxmlformats.org/drawingml/2006/picture">
                        <pic:nvPicPr>
                          <pic:cNvPr id="131" name="图片 131"/>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688960" behindDoc="0" locked="0" layoutInCell="1" allowOverlap="1">
                  <wp:simplePos x="0" y="0"/>
                  <wp:positionH relativeFrom="column">
                    <wp:posOffset>0</wp:posOffset>
                  </wp:positionH>
                  <wp:positionV relativeFrom="paragraph">
                    <wp:posOffset>0</wp:posOffset>
                  </wp:positionV>
                  <wp:extent cx="11430" cy="9525"/>
                  <wp:effectExtent l="0" t="0" r="0" b="0"/>
                  <wp:wrapNone/>
                  <wp:docPr id="130" name="图片 130"/>
                  <wp:cNvGraphicFramePr/>
                  <a:graphic xmlns:a="http://schemas.openxmlformats.org/drawingml/2006/main">
                    <a:graphicData uri="http://schemas.openxmlformats.org/drawingml/2006/picture">
                      <pic:pic xmlns:pic="http://schemas.openxmlformats.org/drawingml/2006/picture">
                        <pic:nvPicPr>
                          <pic:cNvPr id="130" name="图片 130"/>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299720" cy="937260"/>
                  <wp:effectExtent l="0" t="0" r="0" b="0"/>
                  <wp:wrapNone/>
                  <wp:docPr id="129" name="图片 129"/>
                  <wp:cNvGraphicFramePr/>
                  <a:graphic xmlns:a="http://schemas.openxmlformats.org/drawingml/2006/main">
                    <a:graphicData uri="http://schemas.openxmlformats.org/drawingml/2006/picture">
                      <pic:pic xmlns:pic="http://schemas.openxmlformats.org/drawingml/2006/picture">
                        <pic:nvPicPr>
                          <pic:cNvPr id="129" name="图片 129"/>
                          <pic:cNvPicPr>
                            <a:picLocks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299720" cy="937260"/>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691008" behindDoc="0" locked="0" layoutInCell="1" allowOverlap="1">
                  <wp:simplePos x="0" y="0"/>
                  <wp:positionH relativeFrom="column">
                    <wp:posOffset>0</wp:posOffset>
                  </wp:positionH>
                  <wp:positionV relativeFrom="paragraph">
                    <wp:posOffset>0</wp:posOffset>
                  </wp:positionV>
                  <wp:extent cx="11430" cy="9525"/>
                  <wp:effectExtent l="0" t="0" r="0" b="0"/>
                  <wp:wrapNone/>
                  <wp:docPr id="128" name="图片 128"/>
                  <wp:cNvGraphicFramePr/>
                  <a:graphic xmlns:a="http://schemas.openxmlformats.org/drawingml/2006/main">
                    <a:graphicData uri="http://schemas.openxmlformats.org/drawingml/2006/picture">
                      <pic:pic xmlns:pic="http://schemas.openxmlformats.org/drawingml/2006/picture">
                        <pic:nvPicPr>
                          <pic:cNvPr id="128" name="图片 128"/>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1430" cy="9525"/>
                  <wp:effectExtent l="0" t="0" r="0" b="0"/>
                  <wp:wrapNone/>
                  <wp:docPr id="127" name="图片 127"/>
                  <wp:cNvGraphicFramePr/>
                  <a:graphic xmlns:a="http://schemas.openxmlformats.org/drawingml/2006/main">
                    <a:graphicData uri="http://schemas.openxmlformats.org/drawingml/2006/picture">
                      <pic:pic xmlns:pic="http://schemas.openxmlformats.org/drawingml/2006/picture">
                        <pic:nvPicPr>
                          <pic:cNvPr id="127" name="图片 127"/>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693056" behindDoc="0" locked="0" layoutInCell="1" allowOverlap="1">
                  <wp:simplePos x="0" y="0"/>
                  <wp:positionH relativeFrom="column">
                    <wp:posOffset>0</wp:posOffset>
                  </wp:positionH>
                  <wp:positionV relativeFrom="paragraph">
                    <wp:posOffset>0</wp:posOffset>
                  </wp:positionV>
                  <wp:extent cx="11430" cy="9525"/>
                  <wp:effectExtent l="0" t="0" r="0" b="0"/>
                  <wp:wrapNone/>
                  <wp:docPr id="126" name="图片 126"/>
                  <wp:cNvGraphicFramePr/>
                  <a:graphic xmlns:a="http://schemas.openxmlformats.org/drawingml/2006/main">
                    <a:graphicData uri="http://schemas.openxmlformats.org/drawingml/2006/picture">
                      <pic:pic xmlns:pic="http://schemas.openxmlformats.org/drawingml/2006/picture">
                        <pic:nvPicPr>
                          <pic:cNvPr id="126" name="图片 126"/>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694080" behindDoc="0" locked="0" layoutInCell="1" allowOverlap="1">
                  <wp:simplePos x="0" y="0"/>
                  <wp:positionH relativeFrom="column">
                    <wp:posOffset>0</wp:posOffset>
                  </wp:positionH>
                  <wp:positionV relativeFrom="paragraph">
                    <wp:posOffset>0</wp:posOffset>
                  </wp:positionV>
                  <wp:extent cx="11430" cy="9525"/>
                  <wp:effectExtent l="0" t="0" r="0" b="0"/>
                  <wp:wrapNone/>
                  <wp:docPr id="125" name="图片 125"/>
                  <wp:cNvGraphicFramePr/>
                  <a:graphic xmlns:a="http://schemas.openxmlformats.org/drawingml/2006/main">
                    <a:graphicData uri="http://schemas.openxmlformats.org/drawingml/2006/picture">
                      <pic:pic xmlns:pic="http://schemas.openxmlformats.org/drawingml/2006/picture">
                        <pic:nvPicPr>
                          <pic:cNvPr id="125" name="图片 125"/>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695104" behindDoc="0" locked="0" layoutInCell="1" allowOverlap="1">
                  <wp:simplePos x="0" y="0"/>
                  <wp:positionH relativeFrom="column">
                    <wp:posOffset>0</wp:posOffset>
                  </wp:positionH>
                  <wp:positionV relativeFrom="paragraph">
                    <wp:posOffset>0</wp:posOffset>
                  </wp:positionV>
                  <wp:extent cx="11430" cy="9525"/>
                  <wp:effectExtent l="0" t="0" r="0" b="0"/>
                  <wp:wrapNone/>
                  <wp:docPr id="124" name="图片 124"/>
                  <wp:cNvGraphicFramePr/>
                  <a:graphic xmlns:a="http://schemas.openxmlformats.org/drawingml/2006/main">
                    <a:graphicData uri="http://schemas.openxmlformats.org/drawingml/2006/picture">
                      <pic:pic xmlns:pic="http://schemas.openxmlformats.org/drawingml/2006/picture">
                        <pic:nvPicPr>
                          <pic:cNvPr id="124" name="图片 124"/>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696128" behindDoc="0" locked="0" layoutInCell="1" allowOverlap="1">
                  <wp:simplePos x="0" y="0"/>
                  <wp:positionH relativeFrom="column">
                    <wp:posOffset>0</wp:posOffset>
                  </wp:positionH>
                  <wp:positionV relativeFrom="paragraph">
                    <wp:posOffset>0</wp:posOffset>
                  </wp:positionV>
                  <wp:extent cx="11430" cy="9525"/>
                  <wp:effectExtent l="0" t="0" r="0" b="0"/>
                  <wp:wrapNone/>
                  <wp:docPr id="123" name="图片 123"/>
                  <wp:cNvGraphicFramePr/>
                  <a:graphic xmlns:a="http://schemas.openxmlformats.org/drawingml/2006/main">
                    <a:graphicData uri="http://schemas.openxmlformats.org/drawingml/2006/picture">
                      <pic:pic xmlns:pic="http://schemas.openxmlformats.org/drawingml/2006/picture">
                        <pic:nvPicPr>
                          <pic:cNvPr id="123" name="图片 123"/>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697152" behindDoc="0" locked="0" layoutInCell="1" allowOverlap="1">
                  <wp:simplePos x="0" y="0"/>
                  <wp:positionH relativeFrom="column">
                    <wp:posOffset>0</wp:posOffset>
                  </wp:positionH>
                  <wp:positionV relativeFrom="paragraph">
                    <wp:posOffset>0</wp:posOffset>
                  </wp:positionV>
                  <wp:extent cx="11430" cy="9525"/>
                  <wp:effectExtent l="0" t="0" r="0" b="0"/>
                  <wp:wrapNone/>
                  <wp:docPr id="122" name="图片 122"/>
                  <wp:cNvGraphicFramePr/>
                  <a:graphic xmlns:a="http://schemas.openxmlformats.org/drawingml/2006/main">
                    <a:graphicData uri="http://schemas.openxmlformats.org/drawingml/2006/picture">
                      <pic:pic xmlns:pic="http://schemas.openxmlformats.org/drawingml/2006/picture">
                        <pic:nvPicPr>
                          <pic:cNvPr id="122" name="图片 122"/>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698176" behindDoc="0" locked="0" layoutInCell="1" allowOverlap="1">
                  <wp:simplePos x="0" y="0"/>
                  <wp:positionH relativeFrom="column">
                    <wp:posOffset>0</wp:posOffset>
                  </wp:positionH>
                  <wp:positionV relativeFrom="paragraph">
                    <wp:posOffset>0</wp:posOffset>
                  </wp:positionV>
                  <wp:extent cx="299720" cy="937260"/>
                  <wp:effectExtent l="0" t="0" r="0" b="0"/>
                  <wp:wrapNone/>
                  <wp:docPr id="121" name="图片 121"/>
                  <wp:cNvGraphicFramePr/>
                  <a:graphic xmlns:a="http://schemas.openxmlformats.org/drawingml/2006/main">
                    <a:graphicData uri="http://schemas.openxmlformats.org/drawingml/2006/picture">
                      <pic:pic xmlns:pic="http://schemas.openxmlformats.org/drawingml/2006/picture">
                        <pic:nvPicPr>
                          <pic:cNvPr id="121" name="图片 121"/>
                          <pic:cNvPicPr>
                            <a:picLocks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299720" cy="937260"/>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699200" behindDoc="0" locked="0" layoutInCell="1" allowOverlap="1">
                  <wp:simplePos x="0" y="0"/>
                  <wp:positionH relativeFrom="column">
                    <wp:posOffset>0</wp:posOffset>
                  </wp:positionH>
                  <wp:positionV relativeFrom="paragraph">
                    <wp:posOffset>0</wp:posOffset>
                  </wp:positionV>
                  <wp:extent cx="299720" cy="937260"/>
                  <wp:effectExtent l="0" t="0" r="0" b="0"/>
                  <wp:wrapNone/>
                  <wp:docPr id="120" name="图片 120"/>
                  <wp:cNvGraphicFramePr/>
                  <a:graphic xmlns:a="http://schemas.openxmlformats.org/drawingml/2006/main">
                    <a:graphicData uri="http://schemas.openxmlformats.org/drawingml/2006/picture">
                      <pic:pic xmlns:pic="http://schemas.openxmlformats.org/drawingml/2006/picture">
                        <pic:nvPicPr>
                          <pic:cNvPr id="120" name="图片 120"/>
                          <pic:cNvPicPr>
                            <a:picLocks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299720" cy="937260"/>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1430" cy="9525"/>
                  <wp:effectExtent l="0" t="0" r="0" b="0"/>
                  <wp:wrapNone/>
                  <wp:docPr id="119" name="图片 119"/>
                  <wp:cNvGraphicFramePr/>
                  <a:graphic xmlns:a="http://schemas.openxmlformats.org/drawingml/2006/main">
                    <a:graphicData uri="http://schemas.openxmlformats.org/drawingml/2006/picture">
                      <pic:pic xmlns:pic="http://schemas.openxmlformats.org/drawingml/2006/picture">
                        <pic:nvPicPr>
                          <pic:cNvPr id="119" name="图片 119"/>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01248" behindDoc="0" locked="0" layoutInCell="1" allowOverlap="1">
                  <wp:simplePos x="0" y="0"/>
                  <wp:positionH relativeFrom="column">
                    <wp:posOffset>0</wp:posOffset>
                  </wp:positionH>
                  <wp:positionV relativeFrom="paragraph">
                    <wp:posOffset>0</wp:posOffset>
                  </wp:positionV>
                  <wp:extent cx="11430" cy="9525"/>
                  <wp:effectExtent l="0" t="0" r="0" b="0"/>
                  <wp:wrapNone/>
                  <wp:docPr id="118" name="图片 118"/>
                  <wp:cNvGraphicFramePr/>
                  <a:graphic xmlns:a="http://schemas.openxmlformats.org/drawingml/2006/main">
                    <a:graphicData uri="http://schemas.openxmlformats.org/drawingml/2006/picture">
                      <pic:pic xmlns:pic="http://schemas.openxmlformats.org/drawingml/2006/picture">
                        <pic:nvPicPr>
                          <pic:cNvPr id="118" name="图片 118"/>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02272" behindDoc="0" locked="0" layoutInCell="1" allowOverlap="1">
                  <wp:simplePos x="0" y="0"/>
                  <wp:positionH relativeFrom="column">
                    <wp:posOffset>0</wp:posOffset>
                  </wp:positionH>
                  <wp:positionV relativeFrom="paragraph">
                    <wp:posOffset>0</wp:posOffset>
                  </wp:positionV>
                  <wp:extent cx="11430" cy="9525"/>
                  <wp:effectExtent l="0" t="0" r="0" b="0"/>
                  <wp:wrapNone/>
                  <wp:docPr id="117" name="图片 117"/>
                  <wp:cNvGraphicFramePr/>
                  <a:graphic xmlns:a="http://schemas.openxmlformats.org/drawingml/2006/main">
                    <a:graphicData uri="http://schemas.openxmlformats.org/drawingml/2006/picture">
                      <pic:pic xmlns:pic="http://schemas.openxmlformats.org/drawingml/2006/picture">
                        <pic:nvPicPr>
                          <pic:cNvPr id="117" name="图片 117"/>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03296" behindDoc="0" locked="0" layoutInCell="1" allowOverlap="1">
                  <wp:simplePos x="0" y="0"/>
                  <wp:positionH relativeFrom="column">
                    <wp:posOffset>0</wp:posOffset>
                  </wp:positionH>
                  <wp:positionV relativeFrom="paragraph">
                    <wp:posOffset>0</wp:posOffset>
                  </wp:positionV>
                  <wp:extent cx="299720" cy="788670"/>
                  <wp:effectExtent l="0" t="0" r="0" b="0"/>
                  <wp:wrapNone/>
                  <wp:docPr id="116" name="图片 116"/>
                  <wp:cNvGraphicFramePr/>
                  <a:graphic xmlns:a="http://schemas.openxmlformats.org/drawingml/2006/main">
                    <a:graphicData uri="http://schemas.openxmlformats.org/drawingml/2006/picture">
                      <pic:pic xmlns:pic="http://schemas.openxmlformats.org/drawingml/2006/picture">
                        <pic:nvPicPr>
                          <pic:cNvPr id="116" name="图片 116"/>
                          <pic:cNvPicPr>
                            <a:picLocks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299720" cy="788670"/>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04320" behindDoc="0" locked="0" layoutInCell="1" allowOverlap="1">
                  <wp:simplePos x="0" y="0"/>
                  <wp:positionH relativeFrom="column">
                    <wp:posOffset>0</wp:posOffset>
                  </wp:positionH>
                  <wp:positionV relativeFrom="paragraph">
                    <wp:posOffset>0</wp:posOffset>
                  </wp:positionV>
                  <wp:extent cx="11430" cy="9525"/>
                  <wp:effectExtent l="0" t="0" r="0" b="0"/>
                  <wp:wrapNone/>
                  <wp:docPr id="115" name="图片 115"/>
                  <wp:cNvGraphicFramePr/>
                  <a:graphic xmlns:a="http://schemas.openxmlformats.org/drawingml/2006/main">
                    <a:graphicData uri="http://schemas.openxmlformats.org/drawingml/2006/picture">
                      <pic:pic xmlns:pic="http://schemas.openxmlformats.org/drawingml/2006/picture">
                        <pic:nvPicPr>
                          <pic:cNvPr id="115" name="图片 115"/>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05344" behindDoc="0" locked="0" layoutInCell="1" allowOverlap="1">
                  <wp:simplePos x="0" y="0"/>
                  <wp:positionH relativeFrom="column">
                    <wp:posOffset>0</wp:posOffset>
                  </wp:positionH>
                  <wp:positionV relativeFrom="paragraph">
                    <wp:posOffset>0</wp:posOffset>
                  </wp:positionV>
                  <wp:extent cx="11430" cy="9525"/>
                  <wp:effectExtent l="0" t="0" r="0" b="0"/>
                  <wp:wrapNone/>
                  <wp:docPr id="114" name="图片 114"/>
                  <wp:cNvGraphicFramePr/>
                  <a:graphic xmlns:a="http://schemas.openxmlformats.org/drawingml/2006/main">
                    <a:graphicData uri="http://schemas.openxmlformats.org/drawingml/2006/picture">
                      <pic:pic xmlns:pic="http://schemas.openxmlformats.org/drawingml/2006/picture">
                        <pic:nvPicPr>
                          <pic:cNvPr id="114" name="图片 114"/>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06368" behindDoc="0" locked="0" layoutInCell="1" allowOverlap="1">
                  <wp:simplePos x="0" y="0"/>
                  <wp:positionH relativeFrom="column">
                    <wp:posOffset>0</wp:posOffset>
                  </wp:positionH>
                  <wp:positionV relativeFrom="paragraph">
                    <wp:posOffset>0</wp:posOffset>
                  </wp:positionV>
                  <wp:extent cx="11430" cy="9525"/>
                  <wp:effectExtent l="0" t="0" r="0" b="0"/>
                  <wp:wrapNone/>
                  <wp:docPr id="113" name="图片 113"/>
                  <wp:cNvGraphicFramePr/>
                  <a:graphic xmlns:a="http://schemas.openxmlformats.org/drawingml/2006/main">
                    <a:graphicData uri="http://schemas.openxmlformats.org/drawingml/2006/picture">
                      <pic:pic xmlns:pic="http://schemas.openxmlformats.org/drawingml/2006/picture">
                        <pic:nvPicPr>
                          <pic:cNvPr id="113" name="图片 113"/>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1430" cy="9525"/>
                  <wp:effectExtent l="0" t="0" r="0" b="0"/>
                  <wp:wrapNone/>
                  <wp:docPr id="112" name="图片 112"/>
                  <wp:cNvGraphicFramePr/>
                  <a:graphic xmlns:a="http://schemas.openxmlformats.org/drawingml/2006/main">
                    <a:graphicData uri="http://schemas.openxmlformats.org/drawingml/2006/picture">
                      <pic:pic xmlns:pic="http://schemas.openxmlformats.org/drawingml/2006/picture">
                        <pic:nvPicPr>
                          <pic:cNvPr id="112" name="图片 112"/>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08416" behindDoc="0" locked="0" layoutInCell="1" allowOverlap="1">
                  <wp:simplePos x="0" y="0"/>
                  <wp:positionH relativeFrom="column">
                    <wp:posOffset>0</wp:posOffset>
                  </wp:positionH>
                  <wp:positionV relativeFrom="paragraph">
                    <wp:posOffset>0</wp:posOffset>
                  </wp:positionV>
                  <wp:extent cx="299720" cy="788670"/>
                  <wp:effectExtent l="0" t="0" r="0" b="0"/>
                  <wp:wrapNone/>
                  <wp:docPr id="111" name="图片 111"/>
                  <wp:cNvGraphicFramePr/>
                  <a:graphic xmlns:a="http://schemas.openxmlformats.org/drawingml/2006/main">
                    <a:graphicData uri="http://schemas.openxmlformats.org/drawingml/2006/picture">
                      <pic:pic xmlns:pic="http://schemas.openxmlformats.org/drawingml/2006/picture">
                        <pic:nvPicPr>
                          <pic:cNvPr id="111" name="图片 111"/>
                          <pic:cNvPicPr>
                            <a:picLocks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299720" cy="788670"/>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09440" behindDoc="0" locked="0" layoutInCell="1" allowOverlap="1">
                  <wp:simplePos x="0" y="0"/>
                  <wp:positionH relativeFrom="column">
                    <wp:posOffset>0</wp:posOffset>
                  </wp:positionH>
                  <wp:positionV relativeFrom="paragraph">
                    <wp:posOffset>0</wp:posOffset>
                  </wp:positionV>
                  <wp:extent cx="11430" cy="9525"/>
                  <wp:effectExtent l="0" t="0" r="0" b="0"/>
                  <wp:wrapNone/>
                  <wp:docPr id="110" name="图片 110"/>
                  <wp:cNvGraphicFramePr/>
                  <a:graphic xmlns:a="http://schemas.openxmlformats.org/drawingml/2006/main">
                    <a:graphicData uri="http://schemas.openxmlformats.org/drawingml/2006/picture">
                      <pic:pic xmlns:pic="http://schemas.openxmlformats.org/drawingml/2006/picture">
                        <pic:nvPicPr>
                          <pic:cNvPr id="110" name="图片 110"/>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11488" behindDoc="0" locked="0" layoutInCell="1" allowOverlap="1">
                  <wp:simplePos x="0" y="0"/>
                  <wp:positionH relativeFrom="column">
                    <wp:posOffset>0</wp:posOffset>
                  </wp:positionH>
                  <wp:positionV relativeFrom="paragraph">
                    <wp:posOffset>0</wp:posOffset>
                  </wp:positionV>
                  <wp:extent cx="11430" cy="9525"/>
                  <wp:effectExtent l="0" t="0" r="0" b="0"/>
                  <wp:wrapNone/>
                  <wp:docPr id="108" name="图片 108"/>
                  <wp:cNvGraphicFramePr/>
                  <a:graphic xmlns:a="http://schemas.openxmlformats.org/drawingml/2006/main">
                    <a:graphicData uri="http://schemas.openxmlformats.org/drawingml/2006/picture">
                      <pic:pic xmlns:pic="http://schemas.openxmlformats.org/drawingml/2006/picture">
                        <pic:nvPicPr>
                          <pic:cNvPr id="108" name="图片 108"/>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12512" behindDoc="0" locked="0" layoutInCell="1" allowOverlap="1">
                  <wp:simplePos x="0" y="0"/>
                  <wp:positionH relativeFrom="column">
                    <wp:posOffset>0</wp:posOffset>
                  </wp:positionH>
                  <wp:positionV relativeFrom="paragraph">
                    <wp:posOffset>0</wp:posOffset>
                  </wp:positionV>
                  <wp:extent cx="11430" cy="9525"/>
                  <wp:effectExtent l="0" t="0" r="0" b="0"/>
                  <wp:wrapNone/>
                  <wp:docPr id="107" name="图片 107"/>
                  <wp:cNvGraphicFramePr/>
                  <a:graphic xmlns:a="http://schemas.openxmlformats.org/drawingml/2006/main">
                    <a:graphicData uri="http://schemas.openxmlformats.org/drawingml/2006/picture">
                      <pic:pic xmlns:pic="http://schemas.openxmlformats.org/drawingml/2006/picture">
                        <pic:nvPicPr>
                          <pic:cNvPr id="107" name="图片 107"/>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13536" behindDoc="0" locked="0" layoutInCell="1" allowOverlap="1">
                  <wp:simplePos x="0" y="0"/>
                  <wp:positionH relativeFrom="column">
                    <wp:posOffset>0</wp:posOffset>
                  </wp:positionH>
                  <wp:positionV relativeFrom="paragraph">
                    <wp:posOffset>0</wp:posOffset>
                  </wp:positionV>
                  <wp:extent cx="11430" cy="9525"/>
                  <wp:effectExtent l="0" t="0" r="0" b="0"/>
                  <wp:wrapNone/>
                  <wp:docPr id="106" name="图片 106"/>
                  <wp:cNvGraphicFramePr/>
                  <a:graphic xmlns:a="http://schemas.openxmlformats.org/drawingml/2006/main">
                    <a:graphicData uri="http://schemas.openxmlformats.org/drawingml/2006/picture">
                      <pic:pic xmlns:pic="http://schemas.openxmlformats.org/drawingml/2006/picture">
                        <pic:nvPicPr>
                          <pic:cNvPr id="106" name="图片 106"/>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14560" behindDoc="0" locked="0" layoutInCell="1" allowOverlap="1">
                  <wp:simplePos x="0" y="0"/>
                  <wp:positionH relativeFrom="column">
                    <wp:posOffset>0</wp:posOffset>
                  </wp:positionH>
                  <wp:positionV relativeFrom="paragraph">
                    <wp:posOffset>0</wp:posOffset>
                  </wp:positionV>
                  <wp:extent cx="11430" cy="9525"/>
                  <wp:effectExtent l="0" t="0" r="0" b="0"/>
                  <wp:wrapNone/>
                  <wp:docPr id="105" name="图片 105"/>
                  <wp:cNvGraphicFramePr/>
                  <a:graphic xmlns:a="http://schemas.openxmlformats.org/drawingml/2006/main">
                    <a:graphicData uri="http://schemas.openxmlformats.org/drawingml/2006/picture">
                      <pic:pic xmlns:pic="http://schemas.openxmlformats.org/drawingml/2006/picture">
                        <pic:nvPicPr>
                          <pic:cNvPr id="105" name="图片 105"/>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15584" behindDoc="0" locked="0" layoutInCell="1" allowOverlap="1">
                  <wp:simplePos x="0" y="0"/>
                  <wp:positionH relativeFrom="column">
                    <wp:posOffset>0</wp:posOffset>
                  </wp:positionH>
                  <wp:positionV relativeFrom="paragraph">
                    <wp:posOffset>0</wp:posOffset>
                  </wp:positionV>
                  <wp:extent cx="11430" cy="9525"/>
                  <wp:effectExtent l="0" t="0" r="0" b="0"/>
                  <wp:wrapNone/>
                  <wp:docPr id="104" name="图片 104"/>
                  <wp:cNvGraphicFramePr/>
                  <a:graphic xmlns:a="http://schemas.openxmlformats.org/drawingml/2006/main">
                    <a:graphicData uri="http://schemas.openxmlformats.org/drawingml/2006/picture">
                      <pic:pic xmlns:pic="http://schemas.openxmlformats.org/drawingml/2006/picture">
                        <pic:nvPicPr>
                          <pic:cNvPr id="104" name="图片 104"/>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16608" behindDoc="0" locked="0" layoutInCell="1" allowOverlap="1">
                  <wp:simplePos x="0" y="0"/>
                  <wp:positionH relativeFrom="column">
                    <wp:posOffset>0</wp:posOffset>
                  </wp:positionH>
                  <wp:positionV relativeFrom="paragraph">
                    <wp:posOffset>0</wp:posOffset>
                  </wp:positionV>
                  <wp:extent cx="11430" cy="9525"/>
                  <wp:effectExtent l="0" t="0" r="0" b="0"/>
                  <wp:wrapNone/>
                  <wp:docPr id="103" name="图片 103"/>
                  <wp:cNvGraphicFramePr/>
                  <a:graphic xmlns:a="http://schemas.openxmlformats.org/drawingml/2006/main">
                    <a:graphicData uri="http://schemas.openxmlformats.org/drawingml/2006/picture">
                      <pic:pic xmlns:pic="http://schemas.openxmlformats.org/drawingml/2006/picture">
                        <pic:nvPicPr>
                          <pic:cNvPr id="103" name="图片 103"/>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17632" behindDoc="0" locked="0" layoutInCell="1" allowOverlap="1">
                  <wp:simplePos x="0" y="0"/>
                  <wp:positionH relativeFrom="column">
                    <wp:posOffset>0</wp:posOffset>
                  </wp:positionH>
                  <wp:positionV relativeFrom="paragraph">
                    <wp:posOffset>0</wp:posOffset>
                  </wp:positionV>
                  <wp:extent cx="11430" cy="9525"/>
                  <wp:effectExtent l="0" t="0" r="0" b="0"/>
                  <wp:wrapNone/>
                  <wp:docPr id="102" name="图片 102"/>
                  <wp:cNvGraphicFramePr/>
                  <a:graphic xmlns:a="http://schemas.openxmlformats.org/drawingml/2006/main">
                    <a:graphicData uri="http://schemas.openxmlformats.org/drawingml/2006/picture">
                      <pic:pic xmlns:pic="http://schemas.openxmlformats.org/drawingml/2006/picture">
                        <pic:nvPicPr>
                          <pic:cNvPr id="102" name="图片 102"/>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18656" behindDoc="0" locked="0" layoutInCell="1" allowOverlap="1">
                  <wp:simplePos x="0" y="0"/>
                  <wp:positionH relativeFrom="column">
                    <wp:posOffset>0</wp:posOffset>
                  </wp:positionH>
                  <wp:positionV relativeFrom="paragraph">
                    <wp:posOffset>0</wp:posOffset>
                  </wp:positionV>
                  <wp:extent cx="11430" cy="9525"/>
                  <wp:effectExtent l="0" t="0" r="0" b="0"/>
                  <wp:wrapNone/>
                  <wp:docPr id="95" name="图片 95"/>
                  <wp:cNvGraphicFramePr/>
                  <a:graphic xmlns:a="http://schemas.openxmlformats.org/drawingml/2006/main">
                    <a:graphicData uri="http://schemas.openxmlformats.org/drawingml/2006/picture">
                      <pic:pic xmlns:pic="http://schemas.openxmlformats.org/drawingml/2006/picture">
                        <pic:nvPicPr>
                          <pic:cNvPr id="95" name="图片 95"/>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19680" behindDoc="0" locked="0" layoutInCell="1" allowOverlap="1">
                  <wp:simplePos x="0" y="0"/>
                  <wp:positionH relativeFrom="column">
                    <wp:posOffset>0</wp:posOffset>
                  </wp:positionH>
                  <wp:positionV relativeFrom="paragraph">
                    <wp:posOffset>0</wp:posOffset>
                  </wp:positionV>
                  <wp:extent cx="11430" cy="9525"/>
                  <wp:effectExtent l="0" t="0" r="0" b="0"/>
                  <wp:wrapNone/>
                  <wp:docPr id="94" name="图片 94"/>
                  <wp:cNvGraphicFramePr/>
                  <a:graphic xmlns:a="http://schemas.openxmlformats.org/drawingml/2006/main">
                    <a:graphicData uri="http://schemas.openxmlformats.org/drawingml/2006/picture">
                      <pic:pic xmlns:pic="http://schemas.openxmlformats.org/drawingml/2006/picture">
                        <pic:nvPicPr>
                          <pic:cNvPr id="94" name="图片 94"/>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20704" behindDoc="0" locked="0" layoutInCell="1" allowOverlap="1">
                  <wp:simplePos x="0" y="0"/>
                  <wp:positionH relativeFrom="column">
                    <wp:posOffset>0</wp:posOffset>
                  </wp:positionH>
                  <wp:positionV relativeFrom="paragraph">
                    <wp:posOffset>0</wp:posOffset>
                  </wp:positionV>
                  <wp:extent cx="11430" cy="9525"/>
                  <wp:effectExtent l="0" t="0" r="0" b="0"/>
                  <wp:wrapNone/>
                  <wp:docPr id="92" name="图片 92"/>
                  <wp:cNvGraphicFramePr/>
                  <a:graphic xmlns:a="http://schemas.openxmlformats.org/drawingml/2006/main">
                    <a:graphicData uri="http://schemas.openxmlformats.org/drawingml/2006/picture">
                      <pic:pic xmlns:pic="http://schemas.openxmlformats.org/drawingml/2006/picture">
                        <pic:nvPicPr>
                          <pic:cNvPr id="92" name="图片 92"/>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21728" behindDoc="0" locked="0" layoutInCell="1" allowOverlap="1">
                  <wp:simplePos x="0" y="0"/>
                  <wp:positionH relativeFrom="column">
                    <wp:posOffset>0</wp:posOffset>
                  </wp:positionH>
                  <wp:positionV relativeFrom="paragraph">
                    <wp:posOffset>0</wp:posOffset>
                  </wp:positionV>
                  <wp:extent cx="11430" cy="9525"/>
                  <wp:effectExtent l="0" t="0" r="0" b="0"/>
                  <wp:wrapNone/>
                  <wp:docPr id="91" name="图片 91"/>
                  <wp:cNvGraphicFramePr/>
                  <a:graphic xmlns:a="http://schemas.openxmlformats.org/drawingml/2006/main">
                    <a:graphicData uri="http://schemas.openxmlformats.org/drawingml/2006/picture">
                      <pic:pic xmlns:pic="http://schemas.openxmlformats.org/drawingml/2006/picture">
                        <pic:nvPicPr>
                          <pic:cNvPr id="91" name="图片 91"/>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22752" behindDoc="0" locked="0" layoutInCell="1" allowOverlap="1">
                  <wp:simplePos x="0" y="0"/>
                  <wp:positionH relativeFrom="column">
                    <wp:posOffset>0</wp:posOffset>
                  </wp:positionH>
                  <wp:positionV relativeFrom="paragraph">
                    <wp:posOffset>0</wp:posOffset>
                  </wp:positionV>
                  <wp:extent cx="11430" cy="9525"/>
                  <wp:effectExtent l="0" t="0" r="0" b="0"/>
                  <wp:wrapNone/>
                  <wp:docPr id="90" name="图片 90"/>
                  <wp:cNvGraphicFramePr/>
                  <a:graphic xmlns:a="http://schemas.openxmlformats.org/drawingml/2006/main">
                    <a:graphicData uri="http://schemas.openxmlformats.org/drawingml/2006/picture">
                      <pic:pic xmlns:pic="http://schemas.openxmlformats.org/drawingml/2006/picture">
                        <pic:nvPicPr>
                          <pic:cNvPr id="90" name="图片 90"/>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23776" behindDoc="0" locked="0" layoutInCell="1" allowOverlap="1">
                  <wp:simplePos x="0" y="0"/>
                  <wp:positionH relativeFrom="column">
                    <wp:posOffset>0</wp:posOffset>
                  </wp:positionH>
                  <wp:positionV relativeFrom="paragraph">
                    <wp:posOffset>0</wp:posOffset>
                  </wp:positionV>
                  <wp:extent cx="11430" cy="9525"/>
                  <wp:effectExtent l="0" t="0" r="0" b="0"/>
                  <wp:wrapNone/>
                  <wp:docPr id="89" name="图片 89"/>
                  <wp:cNvGraphicFramePr/>
                  <a:graphic xmlns:a="http://schemas.openxmlformats.org/drawingml/2006/main">
                    <a:graphicData uri="http://schemas.openxmlformats.org/drawingml/2006/picture">
                      <pic:pic xmlns:pic="http://schemas.openxmlformats.org/drawingml/2006/picture">
                        <pic:nvPicPr>
                          <pic:cNvPr id="89" name="图片 89"/>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24800" behindDoc="0" locked="0" layoutInCell="1" allowOverlap="1">
                  <wp:simplePos x="0" y="0"/>
                  <wp:positionH relativeFrom="column">
                    <wp:posOffset>675005</wp:posOffset>
                  </wp:positionH>
                  <wp:positionV relativeFrom="paragraph">
                    <wp:posOffset>0</wp:posOffset>
                  </wp:positionV>
                  <wp:extent cx="11430" cy="9525"/>
                  <wp:effectExtent l="0" t="0" r="0" b="0"/>
                  <wp:wrapNone/>
                  <wp:docPr id="88" name="图片 88"/>
                  <wp:cNvGraphicFramePr/>
                  <a:graphic xmlns:a="http://schemas.openxmlformats.org/drawingml/2006/main">
                    <a:graphicData uri="http://schemas.openxmlformats.org/drawingml/2006/picture">
                      <pic:pic xmlns:pic="http://schemas.openxmlformats.org/drawingml/2006/picture">
                        <pic:nvPicPr>
                          <pic:cNvPr id="88" name="图片 88"/>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25824" behindDoc="0" locked="0" layoutInCell="1" allowOverlap="1">
                  <wp:simplePos x="0" y="0"/>
                  <wp:positionH relativeFrom="column">
                    <wp:posOffset>675005</wp:posOffset>
                  </wp:positionH>
                  <wp:positionV relativeFrom="paragraph">
                    <wp:posOffset>0</wp:posOffset>
                  </wp:positionV>
                  <wp:extent cx="11430" cy="9525"/>
                  <wp:effectExtent l="0" t="0" r="0" b="0"/>
                  <wp:wrapNone/>
                  <wp:docPr id="87" name="图片 87"/>
                  <wp:cNvGraphicFramePr/>
                  <a:graphic xmlns:a="http://schemas.openxmlformats.org/drawingml/2006/main">
                    <a:graphicData uri="http://schemas.openxmlformats.org/drawingml/2006/picture">
                      <pic:pic xmlns:pic="http://schemas.openxmlformats.org/drawingml/2006/picture">
                        <pic:nvPicPr>
                          <pic:cNvPr id="87" name="图片 87"/>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26848" behindDoc="0" locked="0" layoutInCell="1" allowOverlap="1">
                  <wp:simplePos x="0" y="0"/>
                  <wp:positionH relativeFrom="column">
                    <wp:posOffset>675005</wp:posOffset>
                  </wp:positionH>
                  <wp:positionV relativeFrom="paragraph">
                    <wp:posOffset>0</wp:posOffset>
                  </wp:positionV>
                  <wp:extent cx="11430" cy="9525"/>
                  <wp:effectExtent l="0" t="0" r="0" b="0"/>
                  <wp:wrapNone/>
                  <wp:docPr id="86" name="图片 86"/>
                  <wp:cNvGraphicFramePr/>
                  <a:graphic xmlns:a="http://schemas.openxmlformats.org/drawingml/2006/main">
                    <a:graphicData uri="http://schemas.openxmlformats.org/drawingml/2006/picture">
                      <pic:pic xmlns:pic="http://schemas.openxmlformats.org/drawingml/2006/picture">
                        <pic:nvPicPr>
                          <pic:cNvPr id="86" name="图片 86"/>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27872" behindDoc="0" locked="0" layoutInCell="1" allowOverlap="1">
                  <wp:simplePos x="0" y="0"/>
                  <wp:positionH relativeFrom="column">
                    <wp:posOffset>675005</wp:posOffset>
                  </wp:positionH>
                  <wp:positionV relativeFrom="paragraph">
                    <wp:posOffset>0</wp:posOffset>
                  </wp:positionV>
                  <wp:extent cx="11430" cy="9525"/>
                  <wp:effectExtent l="0" t="0" r="0" b="0"/>
                  <wp:wrapNone/>
                  <wp:docPr id="85" name="图片 85"/>
                  <wp:cNvGraphicFramePr/>
                  <a:graphic xmlns:a="http://schemas.openxmlformats.org/drawingml/2006/main">
                    <a:graphicData uri="http://schemas.openxmlformats.org/drawingml/2006/picture">
                      <pic:pic xmlns:pic="http://schemas.openxmlformats.org/drawingml/2006/picture">
                        <pic:nvPicPr>
                          <pic:cNvPr id="85" name="图片 85"/>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28896" behindDoc="0" locked="0" layoutInCell="1" allowOverlap="1">
                  <wp:simplePos x="0" y="0"/>
                  <wp:positionH relativeFrom="column">
                    <wp:posOffset>675005</wp:posOffset>
                  </wp:positionH>
                  <wp:positionV relativeFrom="paragraph">
                    <wp:posOffset>0</wp:posOffset>
                  </wp:positionV>
                  <wp:extent cx="11430" cy="9525"/>
                  <wp:effectExtent l="0" t="0" r="0" b="0"/>
                  <wp:wrapNone/>
                  <wp:docPr id="84" name="图片 84"/>
                  <wp:cNvGraphicFramePr/>
                  <a:graphic xmlns:a="http://schemas.openxmlformats.org/drawingml/2006/main">
                    <a:graphicData uri="http://schemas.openxmlformats.org/drawingml/2006/picture">
                      <pic:pic xmlns:pic="http://schemas.openxmlformats.org/drawingml/2006/picture">
                        <pic:nvPicPr>
                          <pic:cNvPr id="84" name="图片 84"/>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29920" behindDoc="0" locked="0" layoutInCell="1" allowOverlap="1">
                  <wp:simplePos x="0" y="0"/>
                  <wp:positionH relativeFrom="column">
                    <wp:posOffset>675005</wp:posOffset>
                  </wp:positionH>
                  <wp:positionV relativeFrom="paragraph">
                    <wp:posOffset>0</wp:posOffset>
                  </wp:positionV>
                  <wp:extent cx="11430" cy="9525"/>
                  <wp:effectExtent l="0" t="0" r="0" b="0"/>
                  <wp:wrapNone/>
                  <wp:docPr id="83" name="图片 83"/>
                  <wp:cNvGraphicFramePr/>
                  <a:graphic xmlns:a="http://schemas.openxmlformats.org/drawingml/2006/main">
                    <a:graphicData uri="http://schemas.openxmlformats.org/drawingml/2006/picture">
                      <pic:pic xmlns:pic="http://schemas.openxmlformats.org/drawingml/2006/picture">
                        <pic:nvPicPr>
                          <pic:cNvPr id="83" name="图片 83"/>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30944" behindDoc="0" locked="0" layoutInCell="1" allowOverlap="1">
                  <wp:simplePos x="0" y="0"/>
                  <wp:positionH relativeFrom="column">
                    <wp:posOffset>675005</wp:posOffset>
                  </wp:positionH>
                  <wp:positionV relativeFrom="paragraph">
                    <wp:posOffset>0</wp:posOffset>
                  </wp:positionV>
                  <wp:extent cx="11430" cy="9525"/>
                  <wp:effectExtent l="0" t="0" r="0" b="0"/>
                  <wp:wrapNone/>
                  <wp:docPr id="82" name="图片 82"/>
                  <wp:cNvGraphicFramePr/>
                  <a:graphic xmlns:a="http://schemas.openxmlformats.org/drawingml/2006/main">
                    <a:graphicData uri="http://schemas.openxmlformats.org/drawingml/2006/picture">
                      <pic:pic xmlns:pic="http://schemas.openxmlformats.org/drawingml/2006/picture">
                        <pic:nvPicPr>
                          <pic:cNvPr id="82" name="图片 82"/>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31968" behindDoc="0" locked="0" layoutInCell="1" allowOverlap="1">
                  <wp:simplePos x="0" y="0"/>
                  <wp:positionH relativeFrom="column">
                    <wp:posOffset>675005</wp:posOffset>
                  </wp:positionH>
                  <wp:positionV relativeFrom="paragraph">
                    <wp:posOffset>0</wp:posOffset>
                  </wp:positionV>
                  <wp:extent cx="11430" cy="9525"/>
                  <wp:effectExtent l="0" t="0" r="0" b="0"/>
                  <wp:wrapNone/>
                  <wp:docPr id="81" name="图片 81"/>
                  <wp:cNvGraphicFramePr/>
                  <a:graphic xmlns:a="http://schemas.openxmlformats.org/drawingml/2006/main">
                    <a:graphicData uri="http://schemas.openxmlformats.org/drawingml/2006/picture">
                      <pic:pic xmlns:pic="http://schemas.openxmlformats.org/drawingml/2006/picture">
                        <pic:nvPicPr>
                          <pic:cNvPr id="81" name="图片 81"/>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32992"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80" name="图片 80"/>
                  <wp:cNvGraphicFramePr/>
                  <a:graphic xmlns:a="http://schemas.openxmlformats.org/drawingml/2006/main">
                    <a:graphicData uri="http://schemas.openxmlformats.org/drawingml/2006/picture">
                      <pic:pic xmlns:pic="http://schemas.openxmlformats.org/drawingml/2006/picture">
                        <pic:nvPicPr>
                          <pic:cNvPr id="80" name="图片 80"/>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34016"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79" name="图片 79"/>
                  <wp:cNvGraphicFramePr/>
                  <a:graphic xmlns:a="http://schemas.openxmlformats.org/drawingml/2006/main">
                    <a:graphicData uri="http://schemas.openxmlformats.org/drawingml/2006/picture">
                      <pic:pic xmlns:pic="http://schemas.openxmlformats.org/drawingml/2006/picture">
                        <pic:nvPicPr>
                          <pic:cNvPr id="79" name="图片 79"/>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35040"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78" name="图片 78"/>
                  <wp:cNvGraphicFramePr/>
                  <a:graphic xmlns:a="http://schemas.openxmlformats.org/drawingml/2006/main">
                    <a:graphicData uri="http://schemas.openxmlformats.org/drawingml/2006/picture">
                      <pic:pic xmlns:pic="http://schemas.openxmlformats.org/drawingml/2006/picture">
                        <pic:nvPicPr>
                          <pic:cNvPr id="78" name="图片 78"/>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36064"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77" name="图片 77"/>
                  <wp:cNvGraphicFramePr/>
                  <a:graphic xmlns:a="http://schemas.openxmlformats.org/drawingml/2006/main">
                    <a:graphicData uri="http://schemas.openxmlformats.org/drawingml/2006/picture">
                      <pic:pic xmlns:pic="http://schemas.openxmlformats.org/drawingml/2006/picture">
                        <pic:nvPicPr>
                          <pic:cNvPr id="77" name="图片 77"/>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37088"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76" name="图片 76"/>
                  <wp:cNvGraphicFramePr/>
                  <a:graphic xmlns:a="http://schemas.openxmlformats.org/drawingml/2006/main">
                    <a:graphicData uri="http://schemas.openxmlformats.org/drawingml/2006/picture">
                      <pic:pic xmlns:pic="http://schemas.openxmlformats.org/drawingml/2006/picture">
                        <pic:nvPicPr>
                          <pic:cNvPr id="76" name="图片 76"/>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38112"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75" name="图片 75"/>
                  <wp:cNvGraphicFramePr/>
                  <a:graphic xmlns:a="http://schemas.openxmlformats.org/drawingml/2006/main">
                    <a:graphicData uri="http://schemas.openxmlformats.org/drawingml/2006/picture">
                      <pic:pic xmlns:pic="http://schemas.openxmlformats.org/drawingml/2006/picture">
                        <pic:nvPicPr>
                          <pic:cNvPr id="75" name="图片 75"/>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39136"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74" name="图片 74"/>
                  <wp:cNvGraphicFramePr/>
                  <a:graphic xmlns:a="http://schemas.openxmlformats.org/drawingml/2006/main">
                    <a:graphicData uri="http://schemas.openxmlformats.org/drawingml/2006/picture">
                      <pic:pic xmlns:pic="http://schemas.openxmlformats.org/drawingml/2006/picture">
                        <pic:nvPicPr>
                          <pic:cNvPr id="74" name="图片 74"/>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40160"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73" name="图片 73"/>
                  <wp:cNvGraphicFramePr/>
                  <a:graphic xmlns:a="http://schemas.openxmlformats.org/drawingml/2006/main">
                    <a:graphicData uri="http://schemas.openxmlformats.org/drawingml/2006/picture">
                      <pic:pic xmlns:pic="http://schemas.openxmlformats.org/drawingml/2006/picture">
                        <pic:nvPicPr>
                          <pic:cNvPr id="73" name="图片 73"/>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41184"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72" name="图片 72"/>
                  <wp:cNvGraphicFramePr/>
                  <a:graphic xmlns:a="http://schemas.openxmlformats.org/drawingml/2006/main">
                    <a:graphicData uri="http://schemas.openxmlformats.org/drawingml/2006/picture">
                      <pic:pic xmlns:pic="http://schemas.openxmlformats.org/drawingml/2006/picture">
                        <pic:nvPicPr>
                          <pic:cNvPr id="72" name="图片 72"/>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42208"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71" name="图片 71"/>
                  <wp:cNvGraphicFramePr/>
                  <a:graphic xmlns:a="http://schemas.openxmlformats.org/drawingml/2006/main">
                    <a:graphicData uri="http://schemas.openxmlformats.org/drawingml/2006/picture">
                      <pic:pic xmlns:pic="http://schemas.openxmlformats.org/drawingml/2006/picture">
                        <pic:nvPicPr>
                          <pic:cNvPr id="71" name="图片 71"/>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43232"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70" name="图片 70"/>
                  <wp:cNvGraphicFramePr/>
                  <a:graphic xmlns:a="http://schemas.openxmlformats.org/drawingml/2006/main">
                    <a:graphicData uri="http://schemas.openxmlformats.org/drawingml/2006/picture">
                      <pic:pic xmlns:pic="http://schemas.openxmlformats.org/drawingml/2006/picture">
                        <pic:nvPicPr>
                          <pic:cNvPr id="70" name="图片 70"/>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44256"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69" name="图片 69"/>
                  <wp:cNvGraphicFramePr/>
                  <a:graphic xmlns:a="http://schemas.openxmlformats.org/drawingml/2006/main">
                    <a:graphicData uri="http://schemas.openxmlformats.org/drawingml/2006/picture">
                      <pic:pic xmlns:pic="http://schemas.openxmlformats.org/drawingml/2006/picture">
                        <pic:nvPicPr>
                          <pic:cNvPr id="69" name="图片 69"/>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45280"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68" name="图片 68"/>
                  <wp:cNvGraphicFramePr/>
                  <a:graphic xmlns:a="http://schemas.openxmlformats.org/drawingml/2006/main">
                    <a:graphicData uri="http://schemas.openxmlformats.org/drawingml/2006/picture">
                      <pic:pic xmlns:pic="http://schemas.openxmlformats.org/drawingml/2006/picture">
                        <pic:nvPicPr>
                          <pic:cNvPr id="68" name="图片 68"/>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46304"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67" name="图片 67"/>
                  <wp:cNvGraphicFramePr/>
                  <a:graphic xmlns:a="http://schemas.openxmlformats.org/drawingml/2006/main">
                    <a:graphicData uri="http://schemas.openxmlformats.org/drawingml/2006/picture">
                      <pic:pic xmlns:pic="http://schemas.openxmlformats.org/drawingml/2006/picture">
                        <pic:nvPicPr>
                          <pic:cNvPr id="67" name="图片 67"/>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47328"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66" name="图片 66"/>
                  <wp:cNvGraphicFramePr/>
                  <a:graphic xmlns:a="http://schemas.openxmlformats.org/drawingml/2006/main">
                    <a:graphicData uri="http://schemas.openxmlformats.org/drawingml/2006/picture">
                      <pic:pic xmlns:pic="http://schemas.openxmlformats.org/drawingml/2006/picture">
                        <pic:nvPicPr>
                          <pic:cNvPr id="66" name="图片 66"/>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48352"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65" name="图片 65"/>
                  <wp:cNvGraphicFramePr/>
                  <a:graphic xmlns:a="http://schemas.openxmlformats.org/drawingml/2006/main">
                    <a:graphicData uri="http://schemas.openxmlformats.org/drawingml/2006/picture">
                      <pic:pic xmlns:pic="http://schemas.openxmlformats.org/drawingml/2006/picture">
                        <pic:nvPicPr>
                          <pic:cNvPr id="65" name="图片 65"/>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49376"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64" name="图片 64"/>
                  <wp:cNvGraphicFramePr/>
                  <a:graphic xmlns:a="http://schemas.openxmlformats.org/drawingml/2006/main">
                    <a:graphicData uri="http://schemas.openxmlformats.org/drawingml/2006/picture">
                      <pic:pic xmlns:pic="http://schemas.openxmlformats.org/drawingml/2006/picture">
                        <pic:nvPicPr>
                          <pic:cNvPr id="64" name="图片 64"/>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50400"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63" name="图片 63"/>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51424"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62" name="图片 62"/>
                  <wp:cNvGraphicFramePr/>
                  <a:graphic xmlns:a="http://schemas.openxmlformats.org/drawingml/2006/main">
                    <a:graphicData uri="http://schemas.openxmlformats.org/drawingml/2006/picture">
                      <pic:pic xmlns:pic="http://schemas.openxmlformats.org/drawingml/2006/picture">
                        <pic:nvPicPr>
                          <pic:cNvPr id="62" name="图片 62"/>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52448"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61" name="图片 61"/>
                  <wp:cNvGraphicFramePr/>
                  <a:graphic xmlns:a="http://schemas.openxmlformats.org/drawingml/2006/main">
                    <a:graphicData uri="http://schemas.openxmlformats.org/drawingml/2006/picture">
                      <pic:pic xmlns:pic="http://schemas.openxmlformats.org/drawingml/2006/picture">
                        <pic:nvPicPr>
                          <pic:cNvPr id="61" name="图片 61"/>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53472"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60" name="图片 60"/>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54496"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59" name="图片 59"/>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55520"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58" name="图片 58"/>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56544"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57" name="图片 57"/>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57568"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56" name="图片 56"/>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58592"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55" name="图片 55"/>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59616"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54" name="图片 54"/>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60640"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53" name="图片 53"/>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61664"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52" name="图片 52"/>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62688"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51" name="图片 5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63712"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50" name="图片 50"/>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64736"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49" name="图片 49"/>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65760"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48" name="图片 48"/>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66784"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47" name="图片 47"/>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67808"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46" name="图片 46"/>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68832"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45" name="图片 45"/>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69856"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44" name="图片 44"/>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70880"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43" name="图片 43"/>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71904"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42" name="图片 42"/>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72928"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41" name="图片 4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73952"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40" name="图片 40"/>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74976"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39" name="图片 39"/>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76000"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38" name="图片 38"/>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77024"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37" name="图片 37"/>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78048"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36" name="图片 36"/>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79072"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35" name="图片 35"/>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80096"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34" name="图片 34"/>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81120"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33" name="图片 33"/>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82144"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32" name="图片 32"/>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83168"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31" name="图片 3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84192"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30" name="图片 30"/>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85216"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29" name="图片 29"/>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86240"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28" name="图片 28"/>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87264"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27" name="图片 27"/>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88288"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26" name="图片 26"/>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89312"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25" name="图片 25"/>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90336"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24" name="图片 24"/>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91360"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23" name="图片 23"/>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92384"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22" name="图片 22"/>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93408"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21" name="图片 2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94432"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20" name="图片 20"/>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95456"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19" name="图片 19"/>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96480"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18" name="图片 18"/>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97504"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17" name="图片 17"/>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98528"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16" name="图片 16"/>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799552"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15" name="图片 15"/>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800576"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14" name="图片 14"/>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801600"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13" name="图片 13"/>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802624"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12" name="图片 12"/>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803648"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11" name="图片 1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804672"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10" name="图片 10"/>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805696"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9" name="图片 9"/>
                  <wp:cNvGraphicFramePr/>
                  <a:graphic xmlns:a="http://schemas.openxmlformats.org/drawingml/2006/main">
                    <a:graphicData uri="http://schemas.openxmlformats.org/drawingml/2006/picture">
                      <pic:pic xmlns:pic="http://schemas.openxmlformats.org/drawingml/2006/picture">
                        <pic:nvPicPr>
                          <pic:cNvPr id="9" name="图片 9"/>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806720"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8" name="图片 8"/>
                  <wp:cNvGraphicFramePr/>
                  <a:graphic xmlns:a="http://schemas.openxmlformats.org/drawingml/2006/main">
                    <a:graphicData uri="http://schemas.openxmlformats.org/drawingml/2006/picture">
                      <pic:pic xmlns:pic="http://schemas.openxmlformats.org/drawingml/2006/picture">
                        <pic:nvPicPr>
                          <pic:cNvPr id="8" name="图片 8"/>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807744"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7" name="图片 7"/>
                  <wp:cNvGraphicFramePr/>
                  <a:graphic xmlns:a="http://schemas.openxmlformats.org/drawingml/2006/main">
                    <a:graphicData uri="http://schemas.openxmlformats.org/drawingml/2006/picture">
                      <pic:pic xmlns:pic="http://schemas.openxmlformats.org/drawingml/2006/picture">
                        <pic:nvPicPr>
                          <pic:cNvPr id="7" name="图片 7"/>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808768"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6" name="图片 6"/>
                  <wp:cNvGraphicFramePr/>
                  <a:graphic xmlns:a="http://schemas.openxmlformats.org/drawingml/2006/main">
                    <a:graphicData uri="http://schemas.openxmlformats.org/drawingml/2006/picture">
                      <pic:pic xmlns:pic="http://schemas.openxmlformats.org/drawingml/2006/picture">
                        <pic:nvPicPr>
                          <pic:cNvPr id="6" name="图片 6"/>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809792"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5" name="图片 5"/>
                  <wp:cNvGraphicFramePr/>
                  <a:graphic xmlns:a="http://schemas.openxmlformats.org/drawingml/2006/main">
                    <a:graphicData uri="http://schemas.openxmlformats.org/drawingml/2006/picture">
                      <pic:pic xmlns:pic="http://schemas.openxmlformats.org/drawingml/2006/picture">
                        <pic:nvPicPr>
                          <pic:cNvPr id="5" name="图片 5"/>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810816"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811840"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812864"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rPr>
              <w:drawing>
                <wp:anchor distT="0" distB="0" distL="114300" distR="114300" simplePos="0" relativeHeight="251813888" behindDoc="0" locked="0" layoutInCell="1" allowOverlap="1">
                  <wp:simplePos x="0" y="0"/>
                  <wp:positionH relativeFrom="column">
                    <wp:posOffset>680720</wp:posOffset>
                  </wp:positionH>
                  <wp:positionV relativeFrom="paragraph">
                    <wp:posOffset>0</wp:posOffset>
                  </wp:positionV>
                  <wp:extent cx="11430" cy="9525"/>
                  <wp:effectExtent l="0" t="0" r="0" b="0"/>
                  <wp:wrapNone/>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a:effectLst/>
                        </pic:spPr>
                      </pic:pic>
                    </a:graphicData>
                  </a:graphic>
                </wp:anchor>
              </w:drawing>
            </w:r>
            <w:r>
              <w:rPr>
                <w:rFonts w:eastAsia="仿宋"/>
                <w:color w:val="000000"/>
                <w:kern w:val="0"/>
                <w:sz w:val="24"/>
                <w:lang w:bidi="ar"/>
              </w:rPr>
              <w:t>1.《中华人民共和国安全生产法》</w:t>
            </w:r>
            <w:r>
              <w:rPr>
                <w:rFonts w:eastAsia="仿宋"/>
                <w:color w:val="000000"/>
                <w:kern w:val="0"/>
                <w:sz w:val="24"/>
                <w:lang w:bidi="ar"/>
              </w:rPr>
              <w:br w:type="textWrapping"/>
            </w:r>
            <w:r>
              <w:rPr>
                <w:rFonts w:eastAsia="仿宋"/>
                <w:color w:val="000000"/>
                <w:kern w:val="0"/>
                <w:sz w:val="24"/>
                <w:lang w:bidi="ar"/>
              </w:rPr>
              <w:t>第九十四条第一款、第三款  生产经营单位的主要负责人未履行本法规定的安全生产管理职责的，责令限期改正，处二万元以上五万元以下的罚款；逾期未改正的，处五万元以上十万元以下的罚款，责令生产经营单位停产停业整顿。生产经营单位的主要负责人依照前款规定受刑事处罚或者撤职处分的，自刑罚执行完毕或者受处分之日起，五年内不得担任任何生产经营单位的主要负责人；对重大、特别重大生产安全事故负有责任的，终身不得担任本行业生产经营单位的主要负责人。第一百一十五条  本法规定的行政处罚，由应急管理部门和其他负有安全生产监督管理职责的部门按照职责分工决定；其中，根据本法第九十五条、第一百一十条、第一百一十四条的规定应当给予民航、铁路、电力行业的生产经营单位及其主要负责人行政处罚的，也可以由主管的负有安全生产监督管理职责的部门进行处罚。予以关闭的行政处罚，由负有安全生产监督管理职责的部门报请县级以上人民政府按照国务院规定的权限决定；给予拘留的行政处罚，由公安机关依照治安管理处罚的规定决定。</w:t>
            </w:r>
          </w:p>
        </w:tc>
        <w:tc>
          <w:tcPr>
            <w:tcW w:w="476" w:type="pct"/>
            <w:tcBorders>
              <w:top w:val="single" w:color="auto" w:sz="4" w:space="0"/>
              <w:left w:val="single" w:color="000000" w:sz="4" w:space="0"/>
              <w:bottom w:val="single" w:color="000000" w:sz="4" w:space="0"/>
              <w:right w:val="single" w:color="000000" w:sz="4" w:space="0"/>
            </w:tcBorders>
            <w:vAlign w:val="center"/>
          </w:tcPr>
          <w:p w14:paraId="618E1B18">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auto" w:sz="4" w:space="0"/>
              <w:left w:val="single" w:color="000000" w:sz="4" w:space="0"/>
              <w:bottom w:val="single" w:color="000000" w:sz="4" w:space="0"/>
              <w:right w:val="single" w:color="000000" w:sz="4" w:space="0"/>
            </w:tcBorders>
            <w:vAlign w:val="center"/>
          </w:tcPr>
          <w:p w14:paraId="17C08A40">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auto" w:sz="4" w:space="0"/>
              <w:left w:val="single" w:color="000000" w:sz="4" w:space="0"/>
              <w:bottom w:val="single" w:color="000000" w:sz="4" w:space="0"/>
              <w:right w:val="single" w:color="000000" w:sz="4" w:space="0"/>
            </w:tcBorders>
            <w:vAlign w:val="center"/>
          </w:tcPr>
          <w:p w14:paraId="6D00A04E">
            <w:pPr>
              <w:topLinePunct/>
              <w:adjustRightInd w:val="0"/>
              <w:snapToGrid w:val="0"/>
              <w:jc w:val="left"/>
              <w:textAlignment w:val="center"/>
              <w:rPr>
                <w:rFonts w:eastAsia="仿宋"/>
                <w:color w:val="000000"/>
                <w:sz w:val="24"/>
              </w:rPr>
            </w:pPr>
            <w:r>
              <w:rPr>
                <w:rFonts w:eastAsia="仿宋"/>
                <w:color w:val="000000"/>
                <w:kern w:val="0"/>
                <w:sz w:val="24"/>
                <w:lang w:bidi="ar"/>
              </w:rPr>
              <w:t>县级</w:t>
            </w:r>
          </w:p>
        </w:tc>
      </w:tr>
      <w:tr w14:paraId="3E76B685">
        <w:tblPrEx>
          <w:tblCellMar>
            <w:top w:w="0" w:type="dxa"/>
            <w:left w:w="108" w:type="dxa"/>
            <w:bottom w:w="0" w:type="dxa"/>
            <w:right w:w="108" w:type="dxa"/>
          </w:tblCellMar>
        </w:tblPrEx>
        <w:trPr>
          <w:trHeight w:val="354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58C07F40">
            <w:pPr>
              <w:topLinePunct/>
              <w:adjustRightInd w:val="0"/>
              <w:snapToGrid w:val="0"/>
              <w:jc w:val="center"/>
              <w:textAlignment w:val="center"/>
              <w:rPr>
                <w:rFonts w:eastAsia="仿宋"/>
                <w:color w:val="000000"/>
                <w:sz w:val="24"/>
              </w:rPr>
            </w:pPr>
            <w:r>
              <w:rPr>
                <w:rFonts w:eastAsia="仿宋"/>
                <w:color w:val="000000"/>
                <w:kern w:val="0"/>
                <w:sz w:val="24"/>
                <w:lang w:bidi="ar"/>
              </w:rPr>
              <w:t>2</w:t>
            </w:r>
          </w:p>
        </w:tc>
        <w:tc>
          <w:tcPr>
            <w:tcW w:w="838" w:type="pct"/>
            <w:tcBorders>
              <w:top w:val="single" w:color="000000" w:sz="4" w:space="0"/>
              <w:left w:val="single" w:color="000000" w:sz="4" w:space="0"/>
              <w:bottom w:val="single" w:color="000000" w:sz="4" w:space="0"/>
              <w:right w:val="single" w:color="000000" w:sz="4" w:space="0"/>
            </w:tcBorders>
            <w:vAlign w:val="center"/>
          </w:tcPr>
          <w:p w14:paraId="0A32C1FA">
            <w:pPr>
              <w:topLinePunct/>
              <w:adjustRightInd w:val="0"/>
              <w:snapToGrid w:val="0"/>
              <w:textAlignment w:val="center"/>
              <w:rPr>
                <w:rFonts w:eastAsia="仿宋"/>
                <w:color w:val="000000"/>
                <w:sz w:val="24"/>
              </w:rPr>
            </w:pPr>
            <w:r>
              <w:rPr>
                <w:rFonts w:eastAsia="仿宋"/>
                <w:color w:val="000000"/>
                <w:kern w:val="0"/>
                <w:sz w:val="24"/>
                <w:lang w:bidi="ar"/>
              </w:rPr>
              <w:t>对生产经营单位的其他负责人和安全生产管理人员未履行安全生产管理职责的行政处罚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26D8C3EC">
            <w:pPr>
              <w:topLinePunct/>
              <w:adjustRightInd w:val="0"/>
              <w:snapToGrid w:val="0"/>
              <w:jc w:val="left"/>
              <w:textAlignment w:val="center"/>
              <w:rPr>
                <w:rFonts w:eastAsia="仿宋"/>
                <w:color w:val="000000"/>
                <w:sz w:val="24"/>
              </w:rPr>
            </w:pPr>
            <w:r>
              <w:rPr>
                <w:rFonts w:eastAsia="仿宋"/>
                <w:color w:val="000000"/>
                <w:kern w:val="0"/>
                <w:sz w:val="24"/>
                <w:lang w:bidi="ar"/>
              </w:rPr>
              <w:t>《中华人民共和国安全生产法》第九十六条  生产经营单位的其他负责人和安全生产管理人员未履行本法规定的安全生产管理职责的，责令限期改正，处一万元以上三万元以下的罚款；导致发生生产安全事故的，暂停或者吊销其与安全生产有关的资格，并处上一年年收入百分之二十以上百分之五十以下的罚款；构成犯罪的，依照刑法有关规定追究刑事责任。</w:t>
            </w:r>
            <w:r>
              <w:rPr>
                <w:rFonts w:eastAsia="仿宋"/>
                <w:color w:val="000000"/>
                <w:kern w:val="0"/>
                <w:sz w:val="24"/>
                <w:lang w:bidi="ar"/>
              </w:rPr>
              <w:br w:type="textWrapping"/>
            </w:r>
            <w:r>
              <w:rPr>
                <w:rFonts w:eastAsia="仿宋"/>
                <w:color w:val="000000"/>
                <w:kern w:val="0"/>
                <w:sz w:val="24"/>
                <w:lang w:bidi="ar"/>
              </w:rPr>
              <w:t>第一百一十五条  本法规定的行政处罚，由应急管理部门和其他负有安全生产监督管理职责的部门按照职责分工决定；其中，根据本法第九十五条、第一百一十条、第一百一十四条的规定应当给予民航、铁路、电力行业的生产经营单位及其主要负责人行政处罚的，也可以由主管的负有安全生产监督管理职责的部门进行处罚。予以关闭的行政处罚，由负有安全生产监督管理职责的部门报请县级以上人民政府按照国务院规定的权限决定；给予拘留的行政处罚，由公安机关依照治安管理处罚的规定决定。</w:t>
            </w:r>
          </w:p>
        </w:tc>
        <w:tc>
          <w:tcPr>
            <w:tcW w:w="476" w:type="pct"/>
            <w:tcBorders>
              <w:top w:val="single" w:color="000000" w:sz="4" w:space="0"/>
              <w:left w:val="single" w:color="000000" w:sz="4" w:space="0"/>
              <w:bottom w:val="single" w:color="000000" w:sz="4" w:space="0"/>
              <w:right w:val="single" w:color="000000" w:sz="4" w:space="0"/>
            </w:tcBorders>
            <w:vAlign w:val="center"/>
          </w:tcPr>
          <w:p w14:paraId="49E9A709">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6F3FFD1C">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0F4C3313">
            <w:pPr>
              <w:topLinePunct/>
              <w:adjustRightInd w:val="0"/>
              <w:snapToGrid w:val="0"/>
              <w:jc w:val="center"/>
              <w:textAlignment w:val="center"/>
              <w:rPr>
                <w:rFonts w:eastAsia="仿宋"/>
                <w:color w:val="000000"/>
                <w:sz w:val="24"/>
              </w:rPr>
            </w:pPr>
            <w:r>
              <w:rPr>
                <w:rFonts w:eastAsia="仿宋"/>
                <w:color w:val="000000"/>
                <w:kern w:val="0"/>
                <w:sz w:val="24"/>
                <w:lang w:bidi="ar"/>
              </w:rPr>
              <w:t>县级</w:t>
            </w:r>
          </w:p>
        </w:tc>
      </w:tr>
      <w:tr w14:paraId="70E7C23A">
        <w:tblPrEx>
          <w:tblCellMar>
            <w:top w:w="0" w:type="dxa"/>
            <w:left w:w="108" w:type="dxa"/>
            <w:bottom w:w="0" w:type="dxa"/>
            <w:right w:w="108" w:type="dxa"/>
          </w:tblCellMar>
        </w:tblPrEx>
        <w:trPr>
          <w:trHeight w:val="9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7581A3FD">
            <w:pPr>
              <w:topLinePunct/>
              <w:adjustRightInd w:val="0"/>
              <w:snapToGrid w:val="0"/>
              <w:jc w:val="center"/>
              <w:textAlignment w:val="center"/>
              <w:rPr>
                <w:rFonts w:eastAsia="仿宋"/>
                <w:color w:val="000000"/>
                <w:sz w:val="24"/>
              </w:rPr>
            </w:pPr>
            <w:r>
              <w:rPr>
                <w:rFonts w:eastAsia="仿宋"/>
                <w:color w:val="000000"/>
                <w:kern w:val="0"/>
                <w:sz w:val="24"/>
                <w:lang w:bidi="ar"/>
              </w:rPr>
              <w:t>3</w:t>
            </w:r>
          </w:p>
        </w:tc>
        <w:tc>
          <w:tcPr>
            <w:tcW w:w="838" w:type="pct"/>
            <w:tcBorders>
              <w:top w:val="single" w:color="000000" w:sz="4" w:space="0"/>
              <w:left w:val="single" w:color="000000" w:sz="4" w:space="0"/>
              <w:bottom w:val="single" w:color="000000" w:sz="4" w:space="0"/>
              <w:right w:val="single" w:color="000000" w:sz="4" w:space="0"/>
            </w:tcBorders>
            <w:vAlign w:val="center"/>
          </w:tcPr>
          <w:p w14:paraId="3F7C636C">
            <w:pPr>
              <w:topLinePunct/>
              <w:adjustRightInd w:val="0"/>
              <w:snapToGrid w:val="0"/>
              <w:textAlignment w:val="center"/>
              <w:rPr>
                <w:rFonts w:eastAsia="仿宋"/>
                <w:color w:val="000000"/>
                <w:sz w:val="24"/>
              </w:rPr>
            </w:pPr>
            <w:r>
              <w:rPr>
                <w:rFonts w:eastAsia="仿宋"/>
                <w:color w:val="000000"/>
                <w:kern w:val="0"/>
                <w:sz w:val="24"/>
                <w:lang w:bidi="ar"/>
              </w:rPr>
              <w:t>对生产经营单位及其主要负责人或者其他人员有违反操作规程或者安全管理规定作业等行为的行政处罚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2216C927">
            <w:pPr>
              <w:topLinePunct/>
              <w:adjustRightInd w:val="0"/>
              <w:snapToGrid w:val="0"/>
              <w:ind w:firstLine="480" w:firstLineChars="200"/>
              <w:jc w:val="left"/>
              <w:textAlignment w:val="center"/>
              <w:rPr>
                <w:rFonts w:eastAsia="仿宋"/>
                <w:color w:val="000000"/>
                <w:sz w:val="24"/>
              </w:rPr>
            </w:pPr>
            <w:r>
              <w:rPr>
                <w:rFonts w:eastAsia="仿宋"/>
                <w:color w:val="000000"/>
                <w:kern w:val="0"/>
                <w:sz w:val="24"/>
                <w:lang w:bidi="ar"/>
              </w:rPr>
              <w:t>《安全生产违法行为行政处罚办法》第四十五条  生产经营单位及其主要负责人或者其他人员有下列行为之一的，给予警告，并可以对生产经营单位处1万元以上3万元以下罚款，对其主要负责人、其他有关人员处1千元以上1万元以下的罚款：（一）违反操作规程或者安全管理规定作业的；（二）违章指挥从业人员或者强令从业人员违章、冒险作业的；（三）发现从业人员违章作业不加制止的；（四）超过核定的生产能力、强度或者定员进行生产的；（五）对被查封或者扣押的设施、设备、器材、危险物品和作业场所，擅自启封或者使用的；（六）故意提供虚假情况或者隐瞒存在的事故隐患以及其他安全问题的；（七）拒不执行安全监管监察部门依法下达的安全监管监察指令的。</w:t>
            </w:r>
          </w:p>
        </w:tc>
        <w:tc>
          <w:tcPr>
            <w:tcW w:w="476" w:type="pct"/>
            <w:tcBorders>
              <w:top w:val="single" w:color="000000" w:sz="4" w:space="0"/>
              <w:left w:val="single" w:color="000000" w:sz="4" w:space="0"/>
              <w:bottom w:val="single" w:color="000000" w:sz="4" w:space="0"/>
              <w:right w:val="single" w:color="000000" w:sz="4" w:space="0"/>
            </w:tcBorders>
            <w:vAlign w:val="center"/>
          </w:tcPr>
          <w:p w14:paraId="4CD6E3B3">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0ABE0A7B">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3A7BF0C1">
            <w:pPr>
              <w:topLinePunct/>
              <w:adjustRightInd w:val="0"/>
              <w:snapToGrid w:val="0"/>
              <w:jc w:val="center"/>
              <w:textAlignment w:val="center"/>
              <w:rPr>
                <w:rFonts w:eastAsia="仿宋"/>
                <w:color w:val="000000"/>
                <w:sz w:val="24"/>
              </w:rPr>
            </w:pPr>
            <w:r>
              <w:rPr>
                <w:rFonts w:eastAsia="仿宋"/>
                <w:color w:val="000000"/>
                <w:kern w:val="0"/>
                <w:sz w:val="24"/>
                <w:lang w:bidi="ar"/>
              </w:rPr>
              <w:t>县级</w:t>
            </w:r>
          </w:p>
        </w:tc>
      </w:tr>
      <w:tr w14:paraId="2ED3C94C">
        <w:tblPrEx>
          <w:tblCellMar>
            <w:top w:w="0" w:type="dxa"/>
            <w:left w:w="108" w:type="dxa"/>
            <w:bottom w:w="0" w:type="dxa"/>
            <w:right w:w="108" w:type="dxa"/>
          </w:tblCellMar>
        </w:tblPrEx>
        <w:trPr>
          <w:trHeight w:val="29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38A5F7DA">
            <w:pPr>
              <w:topLinePunct/>
              <w:adjustRightInd w:val="0"/>
              <w:snapToGrid w:val="0"/>
              <w:jc w:val="center"/>
              <w:textAlignment w:val="center"/>
              <w:rPr>
                <w:rFonts w:eastAsia="仿宋"/>
                <w:color w:val="000000"/>
                <w:sz w:val="24"/>
              </w:rPr>
            </w:pPr>
            <w:r>
              <w:rPr>
                <w:rFonts w:eastAsia="仿宋"/>
                <w:color w:val="000000"/>
                <w:kern w:val="0"/>
                <w:sz w:val="24"/>
                <w:lang w:bidi="ar"/>
              </w:rPr>
              <w:t>4</w:t>
            </w:r>
          </w:p>
        </w:tc>
        <w:tc>
          <w:tcPr>
            <w:tcW w:w="838" w:type="pct"/>
            <w:tcBorders>
              <w:top w:val="single" w:color="000000" w:sz="4" w:space="0"/>
              <w:left w:val="single" w:color="000000" w:sz="4" w:space="0"/>
              <w:bottom w:val="single" w:color="000000" w:sz="4" w:space="0"/>
              <w:right w:val="single" w:color="000000" w:sz="4" w:space="0"/>
            </w:tcBorders>
            <w:vAlign w:val="center"/>
          </w:tcPr>
          <w:p w14:paraId="4707F9B6">
            <w:pPr>
              <w:topLinePunct/>
              <w:adjustRightInd w:val="0"/>
              <w:snapToGrid w:val="0"/>
              <w:textAlignment w:val="center"/>
              <w:rPr>
                <w:rFonts w:eastAsia="仿宋"/>
                <w:color w:val="000000"/>
                <w:sz w:val="24"/>
              </w:rPr>
            </w:pPr>
            <w:r>
              <w:rPr>
                <w:rFonts w:eastAsia="仿宋"/>
                <w:color w:val="000000"/>
                <w:kern w:val="0"/>
                <w:sz w:val="24"/>
                <w:lang w:bidi="ar"/>
              </w:rPr>
              <w:t>对未按规定保证安全生产所必需的资金投入致使生产经营单位不具备安全生产条件以及导致发生生产安全事故的行政处罚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3D0475E3">
            <w:pPr>
              <w:topLinePunct/>
              <w:adjustRightInd w:val="0"/>
              <w:snapToGrid w:val="0"/>
              <w:jc w:val="left"/>
              <w:textAlignment w:val="center"/>
              <w:rPr>
                <w:rFonts w:eastAsia="仿宋"/>
                <w:color w:val="000000"/>
                <w:sz w:val="24"/>
              </w:rPr>
            </w:pPr>
            <w:r>
              <w:rPr>
                <w:rFonts w:eastAsia="仿宋"/>
                <w:color w:val="000000"/>
                <w:kern w:val="0"/>
                <w:sz w:val="24"/>
                <w:lang w:bidi="ar"/>
              </w:rPr>
              <w:t>1.《中华人民共和国安全生产法》第九十三条 生产经营单位的决策机构、主要负责人或者个人经营的投资人不依照本法规定保证安全生产所必需的资金投入，致使生产经营单位不具备安全生产条件的，责令限期改正，提供必需的资金；逾期未改正的，责令生产经营单位停产停业整顿。</w:t>
            </w:r>
            <w:r>
              <w:rPr>
                <w:rFonts w:eastAsia="仿宋"/>
                <w:color w:val="000000"/>
                <w:kern w:val="0"/>
                <w:sz w:val="24"/>
                <w:lang w:bidi="ar"/>
              </w:rPr>
              <w:br w:type="textWrapping"/>
            </w:r>
            <w:r>
              <w:rPr>
                <w:rFonts w:hint="eastAsia" w:eastAsia="仿宋"/>
                <w:color w:val="000000"/>
                <w:kern w:val="0"/>
                <w:sz w:val="24"/>
                <w:lang w:val="en-US" w:eastAsia="zh-CN" w:bidi="ar"/>
              </w:rPr>
              <w:t xml:space="preserve">  </w:t>
            </w:r>
            <w:r>
              <w:rPr>
                <w:rFonts w:eastAsia="仿宋"/>
                <w:color w:val="000000"/>
                <w:kern w:val="0"/>
                <w:sz w:val="24"/>
                <w:lang w:bidi="ar"/>
              </w:rPr>
              <w:t>有前款违法行为，导致发生生产安全事故的，对生产经营单位的主要负责人给予撤职处分，对个人经营的投资人处二万元以上二十万元以下的罚款；构成犯罪的，依照刑法有关规定追究刑事责任。</w:t>
            </w:r>
            <w:r>
              <w:rPr>
                <w:rFonts w:eastAsia="仿宋"/>
                <w:color w:val="000000"/>
                <w:kern w:val="0"/>
                <w:sz w:val="24"/>
                <w:lang w:bidi="ar"/>
              </w:rPr>
              <w:br w:type="textWrapping"/>
            </w:r>
            <w:r>
              <w:rPr>
                <w:rFonts w:hint="eastAsia" w:eastAsia="仿宋"/>
                <w:color w:val="000000"/>
                <w:kern w:val="0"/>
                <w:sz w:val="24"/>
                <w:lang w:val="en-US" w:eastAsia="zh-CN" w:bidi="ar"/>
              </w:rPr>
              <w:t xml:space="preserve">  </w:t>
            </w:r>
            <w:r>
              <w:rPr>
                <w:rFonts w:eastAsia="仿宋"/>
                <w:color w:val="000000"/>
                <w:kern w:val="0"/>
                <w:sz w:val="24"/>
                <w:lang w:bidi="ar"/>
              </w:rPr>
              <w:t>第一百一十五条 本法规定的行政处罚，由应急管理部门和其他负有安全生产监督管理职责的部门按照职责分工决定；其中，根据本法第九十五条、第一百一十条、第一百一十四条的规定应当给予民航、铁路、电力行业的生产经营单位及其主要负责人行政处罚的，也可以由主管的负有安全生产监督管理职责的部门进行处罚。予以关闭的行政处罚，由负有安全生产监督管理职责的部门报请县级以上人民政府按照国务院规定的权限决定；给予拘留的行政处罚，由公安机关依照治安管理处罚的规定决定。</w:t>
            </w:r>
            <w:r>
              <w:rPr>
                <w:rFonts w:eastAsia="仿宋"/>
                <w:color w:val="000000"/>
                <w:kern w:val="0"/>
                <w:sz w:val="24"/>
                <w:lang w:bidi="ar"/>
              </w:rPr>
              <w:br w:type="textWrapping"/>
            </w:r>
            <w:r>
              <w:rPr>
                <w:rFonts w:eastAsia="仿宋"/>
                <w:color w:val="000000"/>
                <w:kern w:val="0"/>
                <w:sz w:val="24"/>
                <w:lang w:bidi="ar"/>
              </w:rPr>
              <w:t>2.《生产经营单位安全培训规定》第二十九条第一项 生产经营单位有下列行为之一的，由安全生产监管监察部门责令其限期改正，可以处1万元以上3万元以下的罚款：（一）未将安全培训工作纳入本单位工作计划并保证安全培训工作所需资金的。</w:t>
            </w:r>
          </w:p>
        </w:tc>
        <w:tc>
          <w:tcPr>
            <w:tcW w:w="476" w:type="pct"/>
            <w:tcBorders>
              <w:top w:val="single" w:color="000000" w:sz="4" w:space="0"/>
              <w:left w:val="single" w:color="000000" w:sz="4" w:space="0"/>
              <w:bottom w:val="single" w:color="000000" w:sz="4" w:space="0"/>
              <w:right w:val="single" w:color="000000" w:sz="4" w:space="0"/>
            </w:tcBorders>
            <w:vAlign w:val="center"/>
          </w:tcPr>
          <w:p w14:paraId="4FFA63A9">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02D47535">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28D1D631">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269D53CE">
        <w:tblPrEx>
          <w:tblCellMar>
            <w:top w:w="0" w:type="dxa"/>
            <w:left w:w="108" w:type="dxa"/>
            <w:bottom w:w="0" w:type="dxa"/>
            <w:right w:w="108" w:type="dxa"/>
          </w:tblCellMar>
        </w:tblPrEx>
        <w:trPr>
          <w:trHeight w:val="5481"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42B1C5F4">
            <w:pPr>
              <w:topLinePunct/>
              <w:adjustRightInd w:val="0"/>
              <w:snapToGrid w:val="0"/>
              <w:jc w:val="center"/>
              <w:textAlignment w:val="center"/>
              <w:rPr>
                <w:rFonts w:eastAsia="仿宋"/>
                <w:color w:val="000000"/>
                <w:sz w:val="24"/>
              </w:rPr>
            </w:pPr>
            <w:r>
              <w:rPr>
                <w:rFonts w:eastAsia="仿宋"/>
                <w:color w:val="000000"/>
                <w:kern w:val="0"/>
                <w:sz w:val="24"/>
                <w:lang w:bidi="ar"/>
              </w:rPr>
              <w:t>5</w:t>
            </w:r>
          </w:p>
        </w:tc>
        <w:tc>
          <w:tcPr>
            <w:tcW w:w="838" w:type="pct"/>
            <w:tcBorders>
              <w:top w:val="single" w:color="000000" w:sz="4" w:space="0"/>
              <w:left w:val="single" w:color="000000" w:sz="4" w:space="0"/>
              <w:bottom w:val="single" w:color="000000" w:sz="4" w:space="0"/>
              <w:right w:val="single" w:color="000000" w:sz="4" w:space="0"/>
            </w:tcBorders>
            <w:vAlign w:val="center"/>
          </w:tcPr>
          <w:p w14:paraId="52FF6637">
            <w:pPr>
              <w:topLinePunct/>
              <w:adjustRightInd w:val="0"/>
              <w:snapToGrid w:val="0"/>
              <w:textAlignment w:val="center"/>
              <w:rPr>
                <w:rFonts w:eastAsia="仿宋"/>
                <w:color w:val="000000"/>
                <w:sz w:val="24"/>
              </w:rPr>
            </w:pPr>
            <w:r>
              <w:rPr>
                <w:rFonts w:eastAsia="仿宋"/>
                <w:color w:val="000000"/>
                <w:kern w:val="0"/>
                <w:sz w:val="24"/>
                <w:lang w:bidi="ar"/>
              </w:rPr>
              <w:t>对生产经营单位未按规定设置安全生产管理机构或者配备安全生产管理人员、注册安全工程师的行政处罚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2F2E6940">
            <w:pPr>
              <w:topLinePunct/>
              <w:adjustRightInd w:val="0"/>
              <w:snapToGrid w:val="0"/>
              <w:jc w:val="left"/>
              <w:textAlignment w:val="center"/>
              <w:rPr>
                <w:rFonts w:eastAsia="仿宋"/>
                <w:color w:val="000000"/>
                <w:sz w:val="24"/>
              </w:rPr>
            </w:pPr>
            <w:r>
              <w:rPr>
                <w:rFonts w:eastAsia="仿宋"/>
                <w:color w:val="000000"/>
                <w:kern w:val="0"/>
                <w:sz w:val="24"/>
                <w:lang w:bidi="ar"/>
              </w:rPr>
              <w:t>《中华人民共和国安全生产法》第九十七条第一项  生产经营单位有下列行为之一的，责令限期改正，处十万元以下的罚款；逾期未改正的，责令停产停业整顿，并处十万元以上二十万元以下的罚款，对其直接负责的主管人员和其他直接责任人员处二万元以上五万元以下的罚款：（一）未按照规定设置安全生产管理机构或者配备安全生产管理人员、注册安全工程师的；</w:t>
            </w:r>
            <w:r>
              <w:rPr>
                <w:rFonts w:eastAsia="仿宋"/>
                <w:color w:val="000000"/>
                <w:kern w:val="0"/>
                <w:sz w:val="24"/>
                <w:lang w:bidi="ar"/>
              </w:rPr>
              <w:br w:type="textWrapping"/>
            </w:r>
            <w:r>
              <w:rPr>
                <w:rFonts w:hint="eastAsia" w:eastAsia="仿宋"/>
                <w:color w:val="000000"/>
                <w:kern w:val="0"/>
                <w:sz w:val="24"/>
                <w:lang w:val="en-US" w:eastAsia="zh-CN" w:bidi="ar"/>
              </w:rPr>
              <w:t xml:space="preserve">  </w:t>
            </w:r>
            <w:r>
              <w:rPr>
                <w:rFonts w:eastAsia="仿宋"/>
                <w:color w:val="000000"/>
                <w:kern w:val="0"/>
                <w:sz w:val="24"/>
                <w:lang w:bidi="ar"/>
              </w:rPr>
              <w:t>第一百一十五条  本法规定的行政处罚，由应急管理部门和其他负有安全生产监督管理职责的部门按照职责分工决定；其中，根据本法第九十五条、第一百一十条、第一百一十四条的规定应当给予民航、铁路、电力行业的生产经营单位及其主要负责人行政处罚的，也可以由主管的负有安全生产监督管理职责的部门进行处罚。予以关闭的行政处罚，由负有安全生产监督管理职责的部门报请县级以上人民政府按照国务院规定的权限决定；给予拘留的行政处罚，由公安机关依照治安管理处罚的规定决定。</w:t>
            </w:r>
          </w:p>
        </w:tc>
        <w:tc>
          <w:tcPr>
            <w:tcW w:w="476" w:type="pct"/>
            <w:tcBorders>
              <w:top w:val="single" w:color="000000" w:sz="4" w:space="0"/>
              <w:left w:val="single" w:color="000000" w:sz="4" w:space="0"/>
              <w:bottom w:val="single" w:color="000000" w:sz="4" w:space="0"/>
              <w:right w:val="single" w:color="000000" w:sz="4" w:space="0"/>
            </w:tcBorders>
            <w:vAlign w:val="center"/>
          </w:tcPr>
          <w:p w14:paraId="32F3E439">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70BA3C03">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313986A0">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2CB802D5">
        <w:tblPrEx>
          <w:tblCellMar>
            <w:top w:w="0" w:type="dxa"/>
            <w:left w:w="108" w:type="dxa"/>
            <w:bottom w:w="0" w:type="dxa"/>
            <w:right w:w="108" w:type="dxa"/>
          </w:tblCellMar>
        </w:tblPrEx>
        <w:trPr>
          <w:trHeight w:val="56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1B8FB415">
            <w:pPr>
              <w:topLinePunct/>
              <w:adjustRightInd w:val="0"/>
              <w:snapToGrid w:val="0"/>
              <w:jc w:val="center"/>
              <w:textAlignment w:val="center"/>
              <w:rPr>
                <w:rFonts w:eastAsia="仿宋"/>
                <w:color w:val="000000"/>
                <w:sz w:val="24"/>
              </w:rPr>
            </w:pPr>
            <w:r>
              <w:rPr>
                <w:rFonts w:eastAsia="仿宋"/>
                <w:color w:val="000000"/>
                <w:kern w:val="0"/>
                <w:sz w:val="24"/>
                <w:lang w:bidi="ar"/>
              </w:rPr>
              <w:t>6</w:t>
            </w:r>
          </w:p>
        </w:tc>
        <w:tc>
          <w:tcPr>
            <w:tcW w:w="838" w:type="pct"/>
            <w:tcBorders>
              <w:top w:val="single" w:color="000000" w:sz="4" w:space="0"/>
              <w:left w:val="single" w:color="000000" w:sz="4" w:space="0"/>
              <w:bottom w:val="single" w:color="000000" w:sz="4" w:space="0"/>
              <w:right w:val="single" w:color="000000" w:sz="4" w:space="0"/>
            </w:tcBorders>
            <w:vAlign w:val="center"/>
          </w:tcPr>
          <w:p w14:paraId="0163E406">
            <w:pPr>
              <w:topLinePunct/>
              <w:adjustRightInd w:val="0"/>
              <w:snapToGrid w:val="0"/>
              <w:textAlignment w:val="center"/>
              <w:rPr>
                <w:rFonts w:eastAsia="仿宋"/>
                <w:color w:val="000000"/>
                <w:sz w:val="24"/>
              </w:rPr>
            </w:pPr>
            <w:r>
              <w:rPr>
                <w:rFonts w:eastAsia="仿宋"/>
                <w:color w:val="000000"/>
                <w:kern w:val="0"/>
                <w:sz w:val="24"/>
                <w:lang w:bidi="ar"/>
              </w:rPr>
              <w:t>对生产经营单位未建立专门安全管理制度、未采取可靠的安全措施的行政处罚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77FDB16F">
            <w:pPr>
              <w:topLinePunct/>
              <w:adjustRightInd w:val="0"/>
              <w:snapToGrid w:val="0"/>
              <w:jc w:val="left"/>
              <w:textAlignment w:val="center"/>
              <w:rPr>
                <w:rFonts w:eastAsia="仿宋"/>
                <w:color w:val="000000"/>
                <w:sz w:val="24"/>
              </w:rPr>
            </w:pPr>
            <w:r>
              <w:rPr>
                <w:rFonts w:eastAsia="仿宋"/>
                <w:color w:val="000000"/>
                <w:kern w:val="0"/>
                <w:sz w:val="24"/>
                <w:lang w:bidi="ar"/>
              </w:rPr>
              <w:t>《中华人民共和国安全生产法》第一百零一条第一项  生产经营单位有下列行为之一的，责令限期改正，处十万元以下的罚款；逾期未改正的，责令停产停业整顿，并处十万元以上二十万元以下的罚款，对其直接负责的主管人员和其他直接责任人员处二万元以上五万元以下的罚款；构成犯罪的，依照刑法有关规定追究刑事责任：（一）生产、经营、运输、储存、使用危险物品或者处置废弃危险物品，未建立专门安全管理制度、未采取可靠的安全措施的；</w:t>
            </w:r>
            <w:r>
              <w:rPr>
                <w:rFonts w:eastAsia="仿宋"/>
                <w:color w:val="000000"/>
                <w:kern w:val="0"/>
                <w:sz w:val="24"/>
                <w:lang w:bidi="ar"/>
              </w:rPr>
              <w:br w:type="textWrapping"/>
            </w:r>
            <w:r>
              <w:rPr>
                <w:rFonts w:eastAsia="仿宋"/>
                <w:color w:val="000000"/>
                <w:kern w:val="0"/>
                <w:sz w:val="24"/>
                <w:lang w:bidi="ar"/>
              </w:rPr>
              <w:t>第一百一十五条  本法规定的行政处罚，由应急管理部门和其他负有安全生产监督管理职责的部门按照职责分工决定；其中，根据本法第九十五条、第一百一十条、第一百一十四条的规定应当给予民航、铁路、电力行业的生产经营单位及其主要负责人行政处罚的，也可以由主管的负有安全生产监督管理职责的部门进行处罚。予以关闭的行政处罚，由负有安全生产监督管理职责的部门报请县级以上人民政府按照国务院规定的权限决定；给予拘留的行政处罚，由公安机关依照治安管理处罚的规定决定。</w:t>
            </w:r>
          </w:p>
        </w:tc>
        <w:tc>
          <w:tcPr>
            <w:tcW w:w="476" w:type="pct"/>
            <w:tcBorders>
              <w:top w:val="single" w:color="000000" w:sz="4" w:space="0"/>
              <w:left w:val="single" w:color="000000" w:sz="4" w:space="0"/>
              <w:bottom w:val="single" w:color="000000" w:sz="4" w:space="0"/>
              <w:right w:val="single" w:color="000000" w:sz="4" w:space="0"/>
            </w:tcBorders>
            <w:vAlign w:val="center"/>
          </w:tcPr>
          <w:p w14:paraId="0B5A04EC">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4A95E284">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3CF20E74">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4E41792B">
        <w:tblPrEx>
          <w:tblCellMar>
            <w:top w:w="0" w:type="dxa"/>
            <w:left w:w="108" w:type="dxa"/>
            <w:bottom w:w="0" w:type="dxa"/>
            <w:right w:w="108" w:type="dxa"/>
          </w:tblCellMar>
        </w:tblPrEx>
        <w:trPr>
          <w:trHeight w:val="9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47F4082D">
            <w:pPr>
              <w:topLinePunct/>
              <w:adjustRightInd w:val="0"/>
              <w:snapToGrid w:val="0"/>
              <w:jc w:val="center"/>
              <w:textAlignment w:val="center"/>
              <w:rPr>
                <w:rFonts w:eastAsia="仿宋"/>
                <w:color w:val="000000"/>
                <w:sz w:val="24"/>
              </w:rPr>
            </w:pPr>
            <w:r>
              <w:rPr>
                <w:rFonts w:eastAsia="仿宋"/>
                <w:color w:val="000000"/>
                <w:kern w:val="0"/>
                <w:sz w:val="24"/>
                <w:lang w:bidi="ar"/>
              </w:rPr>
              <w:t>7</w:t>
            </w:r>
          </w:p>
        </w:tc>
        <w:tc>
          <w:tcPr>
            <w:tcW w:w="838" w:type="pct"/>
            <w:tcBorders>
              <w:top w:val="single" w:color="000000" w:sz="4" w:space="0"/>
              <w:left w:val="single" w:color="000000" w:sz="4" w:space="0"/>
              <w:bottom w:val="single" w:color="000000" w:sz="4" w:space="0"/>
              <w:right w:val="single" w:color="000000" w:sz="4" w:space="0"/>
            </w:tcBorders>
            <w:vAlign w:val="center"/>
          </w:tcPr>
          <w:p w14:paraId="76C0167E">
            <w:pPr>
              <w:topLinePunct/>
              <w:adjustRightInd w:val="0"/>
              <w:snapToGrid w:val="0"/>
              <w:textAlignment w:val="center"/>
              <w:rPr>
                <w:rFonts w:eastAsia="仿宋"/>
                <w:color w:val="000000"/>
                <w:sz w:val="24"/>
              </w:rPr>
            </w:pPr>
            <w:r>
              <w:rPr>
                <w:rFonts w:eastAsia="仿宋"/>
                <w:color w:val="000000"/>
                <w:kern w:val="0"/>
                <w:sz w:val="24"/>
                <w:lang w:bidi="ar"/>
              </w:rPr>
              <w:t>对生产经营单位未建立应急值班制度或者配备应急值班人员的行政处罚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092553B0">
            <w:pPr>
              <w:topLinePunct/>
              <w:adjustRightInd w:val="0"/>
              <w:snapToGrid w:val="0"/>
              <w:jc w:val="left"/>
              <w:textAlignment w:val="center"/>
              <w:rPr>
                <w:rFonts w:eastAsia="仿宋"/>
                <w:color w:val="000000"/>
                <w:sz w:val="24"/>
              </w:rPr>
            </w:pPr>
            <w:r>
              <w:rPr>
                <w:rFonts w:eastAsia="仿宋"/>
                <w:color w:val="000000"/>
                <w:kern w:val="0"/>
                <w:sz w:val="24"/>
                <w:lang w:bidi="ar"/>
              </w:rPr>
              <w:t>《生产安全事故应急条例》第十四条  下列单位应当建立应急值班制度，配备应急值班人员：（一）县级以上人民政府及其负有安全生产监督管理职责的部门；（二）危险物品的生产、经营、储存、运输单位以及矿山、金属冶炼、城市轨道交通运营、建筑施工单位；（三）应急救援队伍。规模较大、危险性较高的易燃易爆物品、危险化学品等危险物品的生产、经营、储存、运输单位应当成立应急处置技术组，实行24小时应急值班。</w:t>
            </w:r>
            <w:r>
              <w:rPr>
                <w:rFonts w:eastAsia="仿宋"/>
                <w:color w:val="000000"/>
                <w:kern w:val="0"/>
                <w:sz w:val="24"/>
                <w:lang w:bidi="ar"/>
              </w:rPr>
              <w:br w:type="textWrapping"/>
            </w:r>
            <w:r>
              <w:rPr>
                <w:rFonts w:hint="eastAsia" w:eastAsia="仿宋"/>
                <w:color w:val="000000"/>
                <w:kern w:val="0"/>
                <w:sz w:val="24"/>
                <w:lang w:val="en-US" w:eastAsia="zh-CN" w:bidi="ar"/>
              </w:rPr>
              <w:t xml:space="preserve">  </w:t>
            </w:r>
            <w:r>
              <w:rPr>
                <w:rFonts w:eastAsia="仿宋"/>
                <w:color w:val="000000"/>
                <w:kern w:val="0"/>
                <w:sz w:val="24"/>
                <w:lang w:bidi="ar"/>
              </w:rPr>
              <w:t>第三十二条  生产经营单位未将生产安全事故应急救援预案报送备案、未建立应急值班制度或者配备应急值班人员的，由县级以上人民政府负有安全生产监督管理职责的部门责令限期改正；逾期未改正的，处3万元以上5万元以下的罚款，对直接负责的主管人员和其他直接责任人员处1万元以上2万元以下的罚款。</w:t>
            </w:r>
          </w:p>
        </w:tc>
        <w:tc>
          <w:tcPr>
            <w:tcW w:w="476" w:type="pct"/>
            <w:tcBorders>
              <w:top w:val="single" w:color="000000" w:sz="4" w:space="0"/>
              <w:left w:val="single" w:color="000000" w:sz="4" w:space="0"/>
              <w:bottom w:val="single" w:color="000000" w:sz="4" w:space="0"/>
              <w:right w:val="single" w:color="000000" w:sz="4" w:space="0"/>
            </w:tcBorders>
            <w:vAlign w:val="center"/>
          </w:tcPr>
          <w:p w14:paraId="24DC1AA0">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5E380A2E">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3C086288">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236D8695">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067B3E43">
            <w:pPr>
              <w:topLinePunct/>
              <w:adjustRightInd w:val="0"/>
              <w:snapToGrid w:val="0"/>
              <w:jc w:val="center"/>
              <w:textAlignment w:val="center"/>
              <w:rPr>
                <w:rFonts w:eastAsia="仿宋"/>
                <w:color w:val="000000"/>
                <w:sz w:val="24"/>
              </w:rPr>
            </w:pPr>
            <w:r>
              <w:rPr>
                <w:rFonts w:eastAsia="仿宋"/>
                <w:color w:val="000000"/>
                <w:kern w:val="0"/>
                <w:sz w:val="24"/>
                <w:lang w:bidi="ar"/>
              </w:rPr>
              <w:t>8</w:t>
            </w:r>
          </w:p>
        </w:tc>
        <w:tc>
          <w:tcPr>
            <w:tcW w:w="838" w:type="pct"/>
            <w:tcBorders>
              <w:top w:val="single" w:color="000000" w:sz="4" w:space="0"/>
              <w:left w:val="single" w:color="000000" w:sz="4" w:space="0"/>
              <w:bottom w:val="single" w:color="000000" w:sz="4" w:space="0"/>
              <w:right w:val="single" w:color="000000" w:sz="4" w:space="0"/>
            </w:tcBorders>
            <w:vAlign w:val="center"/>
          </w:tcPr>
          <w:p w14:paraId="47CFD98E">
            <w:pPr>
              <w:topLinePunct/>
              <w:adjustRightInd w:val="0"/>
              <w:snapToGrid w:val="0"/>
              <w:textAlignment w:val="center"/>
              <w:rPr>
                <w:rFonts w:eastAsia="仿宋"/>
                <w:color w:val="000000"/>
                <w:sz w:val="24"/>
              </w:rPr>
            </w:pPr>
            <w:r>
              <w:rPr>
                <w:rFonts w:eastAsia="仿宋"/>
                <w:color w:val="000000"/>
                <w:kern w:val="0"/>
                <w:sz w:val="24"/>
                <w:lang w:bidi="ar"/>
              </w:rPr>
              <w:t>对生产经营单位主要负责人和安全生产管理人员未按照规定经考核合格的行政处罚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490A3F08">
            <w:pPr>
              <w:topLinePunct/>
              <w:adjustRightInd w:val="0"/>
              <w:snapToGrid w:val="0"/>
              <w:jc w:val="left"/>
              <w:textAlignment w:val="center"/>
              <w:rPr>
                <w:rFonts w:eastAsia="仿宋"/>
                <w:color w:val="000000"/>
                <w:sz w:val="24"/>
              </w:rPr>
            </w:pPr>
            <w:r>
              <w:rPr>
                <w:rFonts w:eastAsia="仿宋"/>
                <w:color w:val="000000"/>
                <w:kern w:val="0"/>
                <w:sz w:val="24"/>
                <w:lang w:bidi="ar"/>
              </w:rPr>
              <w:t>《中华人民共和国安全生产法》第九十七条第二项  生产经营单位有下列行为之一的，责令限期改正，处十万元以下的罚款；逾期未改正的，责令停产停业整顿，并处十万元以上二十万元以下的罚款，对其直接负责的主管人员和其他直接责任人员处二万元以上五万元以下的罚款：（二）危险物品的生产、经营、储存、装卸单位以及矿山、金属冶炼、建筑施工、运输单位的主要负责人和安全生产管理人员未按照规定经考核合格的；</w:t>
            </w:r>
            <w:r>
              <w:rPr>
                <w:rFonts w:eastAsia="仿宋"/>
                <w:color w:val="000000"/>
                <w:kern w:val="0"/>
                <w:sz w:val="24"/>
                <w:lang w:bidi="ar"/>
              </w:rPr>
              <w:br w:type="textWrapping"/>
            </w:r>
            <w:r>
              <w:rPr>
                <w:rFonts w:eastAsia="仿宋"/>
                <w:color w:val="000000"/>
                <w:kern w:val="0"/>
                <w:sz w:val="24"/>
                <w:lang w:bidi="ar"/>
              </w:rPr>
              <w:t>第一百一十五条  本法规定的行政处罚，由应急管理部门和其他负有安全生产监督管理职责的部门按照职责分工决定；其中，根据本法第九十五条、第一百一十条、第一百一十四条的规定应当给予民航、铁路、电力行业的生产经营单位及其主要负责人行政处罚的，也可以由主管的负有安全生产监督管理职责的部门进行处罚。予以关闭的行政处罚，由负有安全生产监督管理职责的部门报请县级以上人民政府按照国务院规定的权限决定；给予拘留的行政处罚，由公安机关依照治安管理处罚的规定决定。</w:t>
            </w:r>
          </w:p>
        </w:tc>
        <w:tc>
          <w:tcPr>
            <w:tcW w:w="476" w:type="pct"/>
            <w:tcBorders>
              <w:top w:val="single" w:color="000000" w:sz="4" w:space="0"/>
              <w:left w:val="single" w:color="000000" w:sz="4" w:space="0"/>
              <w:bottom w:val="single" w:color="000000" w:sz="4" w:space="0"/>
              <w:right w:val="single" w:color="000000" w:sz="4" w:space="0"/>
            </w:tcBorders>
            <w:vAlign w:val="center"/>
          </w:tcPr>
          <w:p w14:paraId="32DAA33D">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383E0DD2">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0D33276F">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12D7F025">
        <w:tblPrEx>
          <w:tblCellMar>
            <w:top w:w="0" w:type="dxa"/>
            <w:left w:w="108" w:type="dxa"/>
            <w:bottom w:w="0" w:type="dxa"/>
            <w:right w:w="108" w:type="dxa"/>
          </w:tblCellMar>
        </w:tblPrEx>
        <w:trPr>
          <w:trHeight w:val="249"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64335FAE">
            <w:pPr>
              <w:topLinePunct/>
              <w:adjustRightInd w:val="0"/>
              <w:snapToGrid w:val="0"/>
              <w:jc w:val="center"/>
              <w:textAlignment w:val="center"/>
              <w:rPr>
                <w:rFonts w:eastAsia="仿宋"/>
                <w:color w:val="000000"/>
                <w:sz w:val="24"/>
              </w:rPr>
            </w:pPr>
            <w:r>
              <w:rPr>
                <w:rFonts w:eastAsia="仿宋"/>
                <w:color w:val="000000"/>
                <w:kern w:val="0"/>
                <w:sz w:val="24"/>
                <w:lang w:bidi="ar"/>
              </w:rPr>
              <w:t>9</w:t>
            </w:r>
          </w:p>
        </w:tc>
        <w:tc>
          <w:tcPr>
            <w:tcW w:w="838" w:type="pct"/>
            <w:tcBorders>
              <w:top w:val="single" w:color="000000" w:sz="4" w:space="0"/>
              <w:left w:val="single" w:color="000000" w:sz="4" w:space="0"/>
              <w:bottom w:val="single" w:color="000000" w:sz="4" w:space="0"/>
              <w:right w:val="single" w:color="000000" w:sz="4" w:space="0"/>
            </w:tcBorders>
            <w:vAlign w:val="center"/>
          </w:tcPr>
          <w:p w14:paraId="30D8121F">
            <w:pPr>
              <w:topLinePunct/>
              <w:adjustRightInd w:val="0"/>
              <w:snapToGrid w:val="0"/>
              <w:textAlignment w:val="center"/>
              <w:rPr>
                <w:rFonts w:eastAsia="仿宋"/>
                <w:color w:val="000000"/>
                <w:sz w:val="24"/>
              </w:rPr>
            </w:pPr>
            <w:r>
              <w:rPr>
                <w:rFonts w:eastAsia="仿宋"/>
                <w:color w:val="000000"/>
                <w:kern w:val="0"/>
                <w:sz w:val="24"/>
                <w:lang w:bidi="ar"/>
              </w:rPr>
              <w:t>对生产经营单位未按规定对从业人员、被派遣劳动者、实习学生进行教育培训或者未按规定如实告知有关安全生产事项的行政处罚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5B138136">
            <w:pPr>
              <w:topLinePunct/>
              <w:adjustRightInd w:val="0"/>
              <w:snapToGrid w:val="0"/>
              <w:ind w:firstLine="480" w:firstLineChars="200"/>
              <w:jc w:val="left"/>
              <w:textAlignment w:val="center"/>
              <w:rPr>
                <w:rFonts w:eastAsia="仿宋"/>
                <w:color w:val="000000"/>
                <w:sz w:val="24"/>
              </w:rPr>
            </w:pPr>
            <w:r>
              <w:rPr>
                <w:rFonts w:eastAsia="仿宋"/>
                <w:color w:val="000000"/>
                <w:kern w:val="0"/>
                <w:sz w:val="24"/>
                <w:lang w:bidi="ar"/>
              </w:rPr>
              <w:t>《中华人民共和国安全生产法》第九十七条第三项  生产经营单位有下列行为之一的，责令限期改正，处十万元以下的罚款；逾期未改正的，责令停产停业整顿，并处十万元以上二十万元以下的罚款，对其直接负责的主管人员和其他直接责任人员处二万元以上五万元以下的罚款：（三）未按照规定对从业人员、被派遣劳动者、实习学生进行安全生产教育和培训，或者未按照规定如实告知有关的安全生产事项的；</w:t>
            </w:r>
            <w:r>
              <w:rPr>
                <w:rFonts w:eastAsia="仿宋"/>
                <w:color w:val="000000"/>
                <w:kern w:val="0"/>
                <w:sz w:val="24"/>
                <w:lang w:bidi="ar"/>
              </w:rPr>
              <w:br w:type="textWrapping"/>
            </w:r>
            <w:r>
              <w:rPr>
                <w:rFonts w:hint="eastAsia" w:eastAsia="仿宋"/>
                <w:color w:val="000000"/>
                <w:kern w:val="0"/>
                <w:sz w:val="24"/>
                <w:lang w:val="en-US" w:eastAsia="zh-CN" w:bidi="ar"/>
              </w:rPr>
              <w:t xml:space="preserve">   </w:t>
            </w:r>
            <w:r>
              <w:rPr>
                <w:rFonts w:eastAsia="仿宋"/>
                <w:color w:val="000000"/>
                <w:kern w:val="0"/>
                <w:sz w:val="24"/>
                <w:lang w:bidi="ar"/>
              </w:rPr>
              <w:t>第一百一十五条  本法规定的行政处罚，由应急管理部门和其他负有安全生产监督管理职责的部门按照职责分工决定；其中，根据本法第九十五条、第一百一十条、第一百一十四条的规定应当给予民航、铁路、电力行业的生产经营单位及其主要负责人行政处罚的，也可以由主管的负有安全生产监督管理职责的部门进行处罚。予以关闭的行政处罚，由负有安全生产监督管理职责的部门报请县级以上人民政府按照国务院规定的权限决定；给予拘留的行政处罚，由公安机关依照治安管理处罚的规定决定。</w:t>
            </w:r>
          </w:p>
        </w:tc>
        <w:tc>
          <w:tcPr>
            <w:tcW w:w="476" w:type="pct"/>
            <w:tcBorders>
              <w:top w:val="single" w:color="000000" w:sz="4" w:space="0"/>
              <w:left w:val="single" w:color="000000" w:sz="4" w:space="0"/>
              <w:bottom w:val="single" w:color="000000" w:sz="4" w:space="0"/>
              <w:right w:val="single" w:color="000000" w:sz="4" w:space="0"/>
            </w:tcBorders>
            <w:vAlign w:val="center"/>
          </w:tcPr>
          <w:p w14:paraId="040C578F">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483CC3F2">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511F0FD5">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3C7A9ED6">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1C5D4DA1">
            <w:pPr>
              <w:topLinePunct/>
              <w:adjustRightInd w:val="0"/>
              <w:snapToGrid w:val="0"/>
              <w:jc w:val="center"/>
              <w:textAlignment w:val="center"/>
              <w:rPr>
                <w:rFonts w:eastAsia="仿宋"/>
                <w:color w:val="000000"/>
                <w:sz w:val="24"/>
              </w:rPr>
            </w:pPr>
            <w:r>
              <w:rPr>
                <w:rFonts w:eastAsia="仿宋"/>
                <w:color w:val="000000"/>
                <w:kern w:val="0"/>
                <w:sz w:val="24"/>
                <w:lang w:bidi="ar"/>
              </w:rPr>
              <w:t>10</w:t>
            </w:r>
          </w:p>
        </w:tc>
        <w:tc>
          <w:tcPr>
            <w:tcW w:w="838" w:type="pct"/>
            <w:tcBorders>
              <w:top w:val="single" w:color="000000" w:sz="4" w:space="0"/>
              <w:left w:val="single" w:color="000000" w:sz="4" w:space="0"/>
              <w:bottom w:val="single" w:color="000000" w:sz="4" w:space="0"/>
              <w:right w:val="single" w:color="000000" w:sz="4" w:space="0"/>
            </w:tcBorders>
            <w:vAlign w:val="center"/>
          </w:tcPr>
          <w:p w14:paraId="34200BE2">
            <w:pPr>
              <w:topLinePunct/>
              <w:adjustRightInd w:val="0"/>
              <w:snapToGrid w:val="0"/>
              <w:textAlignment w:val="center"/>
              <w:rPr>
                <w:rFonts w:eastAsia="仿宋"/>
                <w:color w:val="000000"/>
                <w:sz w:val="24"/>
              </w:rPr>
            </w:pPr>
            <w:r>
              <w:rPr>
                <w:rFonts w:eastAsia="仿宋"/>
                <w:color w:val="000000"/>
                <w:kern w:val="0"/>
                <w:sz w:val="24"/>
                <w:lang w:bidi="ar"/>
              </w:rPr>
              <w:t>对生产经营单位未如实记录安全生产教育和培训情况的行政处罚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3777BC1C">
            <w:pPr>
              <w:widowControl/>
              <w:spacing w:line="320" w:lineRule="exact"/>
              <w:jc w:val="left"/>
              <w:rPr>
                <w:rFonts w:eastAsia="仿宋"/>
                <w:color w:val="000000"/>
                <w:sz w:val="24"/>
              </w:rPr>
            </w:pPr>
            <w:r>
              <w:rPr>
                <w:rFonts w:eastAsia="仿宋"/>
                <w:color w:val="000000"/>
                <w:kern w:val="0"/>
                <w:sz w:val="24"/>
                <w:lang w:bidi="ar"/>
              </w:rPr>
              <w:t>1.《中华人民共和国安全生产法》第九十七条第四项  生产经营单位有下列行为之一的，责令限期改正，处十万元以下的罚款；逾期未改正的，责令停产停业整顿，并处十万元以上二十万元以下的罚款，对其直接负责的主管人员和其他直接责任人员处二万元以上五万元以下的罚款：（四）未如实记录安全生产教育和培训情况的；</w:t>
            </w:r>
            <w:r>
              <w:rPr>
                <w:rFonts w:eastAsia="仿宋"/>
                <w:color w:val="000000"/>
                <w:kern w:val="0"/>
                <w:sz w:val="24"/>
                <w:lang w:bidi="ar"/>
              </w:rPr>
              <w:br w:type="textWrapping"/>
            </w:r>
            <w:r>
              <w:rPr>
                <w:rFonts w:eastAsia="仿宋"/>
                <w:color w:val="000000"/>
                <w:kern w:val="0"/>
                <w:sz w:val="24"/>
                <w:lang w:bidi="ar"/>
              </w:rPr>
              <w:t>第一百一十五条  本法规定的行政处罚，由应急管理部门和其他负有安全生产监督管理职</w:t>
            </w:r>
            <w:r>
              <w:rPr>
                <w:kern w:val="0"/>
                <w:sz w:val="24"/>
                <w:lang w:bidi="ar"/>
              </w:rPr>
              <w:t>&lt;</w:t>
            </w:r>
            <w:r>
              <w:rPr>
                <w:rFonts w:eastAsia="仿宋"/>
                <w:color w:val="000000"/>
                <w:kern w:val="0"/>
                <w:sz w:val="24"/>
                <w:lang w:bidi="ar"/>
              </w:rPr>
              <w:t>责的部门按照职责分工决定；其中，根据本法第九十五条、第一百一十条、第一百一十四条的规定应当给予民航、铁路、电力行业的生产经营单位及其主要负责人行政处罚的，也可以由主管的负有安全生产监督管理职责的部门进行处罚。予以关闭的行政处罚，由负有安全生产监督管理职责的部门报请县级以上人民政府按照国务院规定的权限决定；给予拘留的行政处罚，由公安机关依照治安管理处罚的规定决定。</w:t>
            </w:r>
            <w:r>
              <w:rPr>
                <w:rFonts w:eastAsia="仿宋"/>
                <w:color w:val="000000"/>
                <w:kern w:val="0"/>
                <w:sz w:val="24"/>
                <w:lang w:bidi="ar"/>
              </w:rPr>
              <w:br w:type="textWrapping"/>
            </w:r>
            <w:r>
              <w:rPr>
                <w:rFonts w:eastAsia="仿宋"/>
                <w:color w:val="000000"/>
                <w:kern w:val="0"/>
                <w:sz w:val="24"/>
                <w:lang w:bidi="ar"/>
              </w:rPr>
              <w:t>2.《工贸企业粉尘防爆安全规定》第二十八条第一项  粉尘涉爆企业有下列行为之一的，由负责粉尘涉爆企业安全监管的部门依照《中华人民共和国安全生产法》有关规定，责令限期改正，处10万元以下的罚款；逾期未改正的，责令停产停业整顿，并处10万元以上20万元以下的罚款，对其直接负责的主管人员和其他直接责任人员处2万元以上5万元以下的罚款：（一）未按照规定对有关负责人和粉尘作业岗位相关从业人员进行粉尘防爆专项安全生产教育和培训，或者未如实记录专项安全生产教育和培训情况的。</w:t>
            </w:r>
          </w:p>
        </w:tc>
        <w:tc>
          <w:tcPr>
            <w:tcW w:w="476" w:type="pct"/>
            <w:tcBorders>
              <w:top w:val="single" w:color="000000" w:sz="4" w:space="0"/>
              <w:left w:val="single" w:color="000000" w:sz="4" w:space="0"/>
              <w:bottom w:val="single" w:color="000000" w:sz="4" w:space="0"/>
              <w:right w:val="single" w:color="000000" w:sz="4" w:space="0"/>
            </w:tcBorders>
            <w:vAlign w:val="center"/>
          </w:tcPr>
          <w:p w14:paraId="7D140ECE">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0A5D29C6">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36D48214">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2824683B">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74201E88">
            <w:pPr>
              <w:topLinePunct/>
              <w:adjustRightInd w:val="0"/>
              <w:snapToGrid w:val="0"/>
              <w:jc w:val="center"/>
              <w:textAlignment w:val="center"/>
              <w:rPr>
                <w:rFonts w:eastAsia="仿宋"/>
                <w:color w:val="000000"/>
                <w:sz w:val="24"/>
              </w:rPr>
            </w:pPr>
            <w:r>
              <w:rPr>
                <w:rFonts w:eastAsia="仿宋"/>
                <w:color w:val="000000"/>
                <w:kern w:val="0"/>
                <w:sz w:val="24"/>
                <w:lang w:bidi="ar"/>
              </w:rPr>
              <w:t>11</w:t>
            </w:r>
          </w:p>
        </w:tc>
        <w:tc>
          <w:tcPr>
            <w:tcW w:w="838" w:type="pct"/>
            <w:tcBorders>
              <w:top w:val="single" w:color="000000" w:sz="4" w:space="0"/>
              <w:left w:val="single" w:color="000000" w:sz="4" w:space="0"/>
              <w:bottom w:val="single" w:color="000000" w:sz="4" w:space="0"/>
              <w:right w:val="single" w:color="000000" w:sz="4" w:space="0"/>
            </w:tcBorders>
            <w:vAlign w:val="center"/>
          </w:tcPr>
          <w:p w14:paraId="7AB16352">
            <w:pPr>
              <w:topLinePunct/>
              <w:adjustRightInd w:val="0"/>
              <w:snapToGrid w:val="0"/>
              <w:textAlignment w:val="center"/>
              <w:rPr>
                <w:rFonts w:eastAsia="仿宋"/>
                <w:color w:val="000000"/>
                <w:sz w:val="24"/>
              </w:rPr>
            </w:pPr>
            <w:r>
              <w:rPr>
                <w:rFonts w:eastAsia="仿宋"/>
                <w:color w:val="000000"/>
                <w:kern w:val="0"/>
                <w:sz w:val="24"/>
                <w:lang w:bidi="ar"/>
              </w:rPr>
              <w:t>对生产经营单位未支付从业人员安全培训期间工资及安全培训费用的行政处罚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105FD926">
            <w:pPr>
              <w:topLinePunct/>
              <w:adjustRightInd w:val="0"/>
              <w:snapToGrid w:val="0"/>
              <w:jc w:val="left"/>
              <w:textAlignment w:val="center"/>
              <w:rPr>
                <w:rFonts w:eastAsia="仿宋"/>
                <w:color w:val="000000"/>
                <w:sz w:val="24"/>
              </w:rPr>
            </w:pPr>
            <w:r>
              <w:rPr>
                <w:rFonts w:eastAsia="仿宋"/>
                <w:color w:val="000000"/>
                <w:kern w:val="0"/>
                <w:sz w:val="24"/>
                <w:lang w:bidi="ar"/>
              </w:rPr>
              <w:t>《生产经营单位安全培训规定》第二十九条第二项  生产经营单位有下列行为之一的，由安全生产监管监察部门责令其限期改正，可以处1万元以上3万元以下的罚款：（二）从业人员进行安全培训期间未支付工资并承担安全培训费用的。</w:t>
            </w:r>
          </w:p>
        </w:tc>
        <w:tc>
          <w:tcPr>
            <w:tcW w:w="476" w:type="pct"/>
            <w:tcBorders>
              <w:top w:val="single" w:color="000000" w:sz="4" w:space="0"/>
              <w:left w:val="single" w:color="000000" w:sz="4" w:space="0"/>
              <w:bottom w:val="single" w:color="000000" w:sz="4" w:space="0"/>
              <w:right w:val="single" w:color="000000" w:sz="4" w:space="0"/>
            </w:tcBorders>
            <w:vAlign w:val="center"/>
          </w:tcPr>
          <w:p w14:paraId="3B594A08">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30994B42">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3960D6E0">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5261AC9B">
        <w:tblPrEx>
          <w:tblCellMar>
            <w:top w:w="0" w:type="dxa"/>
            <w:left w:w="108" w:type="dxa"/>
            <w:bottom w:w="0" w:type="dxa"/>
            <w:right w:w="108" w:type="dxa"/>
          </w:tblCellMar>
        </w:tblPrEx>
        <w:trPr>
          <w:trHeight w:val="23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5DCBCDCF">
            <w:pPr>
              <w:topLinePunct/>
              <w:adjustRightInd w:val="0"/>
              <w:snapToGrid w:val="0"/>
              <w:jc w:val="center"/>
              <w:textAlignment w:val="center"/>
              <w:rPr>
                <w:rFonts w:eastAsia="仿宋"/>
                <w:color w:val="000000"/>
                <w:sz w:val="24"/>
              </w:rPr>
            </w:pPr>
            <w:r>
              <w:rPr>
                <w:rFonts w:eastAsia="仿宋"/>
                <w:color w:val="000000"/>
                <w:kern w:val="0"/>
                <w:sz w:val="24"/>
                <w:lang w:bidi="ar"/>
              </w:rPr>
              <w:t>12</w:t>
            </w:r>
          </w:p>
        </w:tc>
        <w:tc>
          <w:tcPr>
            <w:tcW w:w="838" w:type="pct"/>
            <w:tcBorders>
              <w:top w:val="single" w:color="000000" w:sz="4" w:space="0"/>
              <w:left w:val="single" w:color="000000" w:sz="4" w:space="0"/>
              <w:bottom w:val="single" w:color="000000" w:sz="4" w:space="0"/>
              <w:right w:val="single" w:color="000000" w:sz="4" w:space="0"/>
            </w:tcBorders>
            <w:vAlign w:val="center"/>
          </w:tcPr>
          <w:p w14:paraId="22CE5BC3">
            <w:pPr>
              <w:topLinePunct/>
              <w:adjustRightInd w:val="0"/>
              <w:snapToGrid w:val="0"/>
              <w:textAlignment w:val="center"/>
              <w:rPr>
                <w:rFonts w:eastAsia="仿宋"/>
                <w:color w:val="000000"/>
                <w:sz w:val="24"/>
              </w:rPr>
            </w:pPr>
            <w:r>
              <w:rPr>
                <w:rFonts w:eastAsia="仿宋"/>
                <w:color w:val="000000"/>
                <w:kern w:val="0"/>
                <w:sz w:val="24"/>
                <w:lang w:bidi="ar"/>
              </w:rPr>
              <w:t>对生产经营单位从业人员培训的时间不符合规定的行政处罚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77D4CFA1">
            <w:pPr>
              <w:topLinePunct/>
              <w:adjustRightInd w:val="0"/>
              <w:snapToGrid w:val="0"/>
              <w:jc w:val="left"/>
              <w:textAlignment w:val="center"/>
              <w:rPr>
                <w:rFonts w:eastAsia="仿宋"/>
                <w:color w:val="000000"/>
                <w:sz w:val="24"/>
              </w:rPr>
            </w:pPr>
            <w:r>
              <w:rPr>
                <w:rFonts w:eastAsia="仿宋"/>
                <w:color w:val="000000"/>
                <w:kern w:val="0"/>
                <w:sz w:val="24"/>
                <w:lang w:bidi="ar"/>
              </w:rPr>
              <w:t>1.《生产经营单位安全培训规定》第九条  生产经营单位主要负责人和安全生产管理人员初次安全培训时间不得少于32学时。每年再培训时间不得少于12学时。</w:t>
            </w:r>
            <w:r>
              <w:rPr>
                <w:rFonts w:eastAsia="仿宋"/>
                <w:color w:val="000000"/>
                <w:kern w:val="0"/>
                <w:sz w:val="24"/>
                <w:lang w:bidi="ar"/>
              </w:rPr>
              <w:br w:type="textWrapping"/>
            </w:r>
            <w:r>
              <w:rPr>
                <w:rFonts w:eastAsia="仿宋"/>
                <w:color w:val="000000"/>
                <w:kern w:val="0"/>
                <w:sz w:val="24"/>
                <w:lang w:bidi="ar"/>
              </w:rPr>
              <w:t>煤矿、非煤矿山、危险化学品、烟花爆竹、金属冶炼等生产经营单位主要负责人和安全生产管理人员初次安全培训时间不得少于48学时，每年再培训时间不得少于16学时。</w:t>
            </w:r>
            <w:r>
              <w:rPr>
                <w:rFonts w:eastAsia="仿宋"/>
                <w:color w:val="000000"/>
                <w:kern w:val="0"/>
                <w:sz w:val="24"/>
                <w:lang w:bidi="ar"/>
              </w:rPr>
              <w:br w:type="textWrapping"/>
            </w:r>
            <w:r>
              <w:rPr>
                <w:rFonts w:eastAsia="仿宋"/>
                <w:color w:val="000000"/>
                <w:kern w:val="0"/>
                <w:sz w:val="24"/>
                <w:lang w:bidi="ar"/>
              </w:rPr>
              <w:t>第十三条  生产经营单位新上岗的从业人员，岗前安全培训时间不得少于24学时。煤矿、非煤矿山、危险化学品、烟花爆竹、金属冶炼等生产经营单位新上岗的从业人员安全培训时间不得少于72学时，每年再培训的时间不得少于20学时。</w:t>
            </w:r>
            <w:r>
              <w:rPr>
                <w:rFonts w:eastAsia="仿宋"/>
                <w:color w:val="000000"/>
                <w:kern w:val="0"/>
                <w:sz w:val="24"/>
                <w:lang w:bidi="ar"/>
              </w:rPr>
              <w:br w:type="textWrapping"/>
            </w:r>
            <w:r>
              <w:rPr>
                <w:rFonts w:eastAsia="仿宋"/>
                <w:color w:val="000000"/>
                <w:kern w:val="0"/>
                <w:sz w:val="24"/>
                <w:lang w:bidi="ar"/>
              </w:rPr>
              <w:t>2.《安全生产培训管理办法》第三十六条第一项  生产经营单位有下列情形之一的，责令改正，处3万元以下的罚款：（一）从业人员安全培训的时间少于《生产经营单位安全培训规定》或者有关标准规定的。</w:t>
            </w:r>
          </w:p>
        </w:tc>
        <w:tc>
          <w:tcPr>
            <w:tcW w:w="476" w:type="pct"/>
            <w:tcBorders>
              <w:top w:val="single" w:color="000000" w:sz="4" w:space="0"/>
              <w:left w:val="single" w:color="000000" w:sz="4" w:space="0"/>
              <w:bottom w:val="single" w:color="000000" w:sz="4" w:space="0"/>
              <w:right w:val="single" w:color="000000" w:sz="4" w:space="0"/>
            </w:tcBorders>
            <w:vAlign w:val="center"/>
          </w:tcPr>
          <w:p w14:paraId="32973617">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7D4B668C">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20435A54">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6A5A4096">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12E64D02">
            <w:pPr>
              <w:topLinePunct/>
              <w:adjustRightInd w:val="0"/>
              <w:snapToGrid w:val="0"/>
              <w:jc w:val="center"/>
              <w:textAlignment w:val="center"/>
              <w:rPr>
                <w:rFonts w:eastAsia="仿宋"/>
                <w:color w:val="000000"/>
                <w:sz w:val="24"/>
              </w:rPr>
            </w:pPr>
            <w:r>
              <w:rPr>
                <w:rFonts w:eastAsia="仿宋"/>
                <w:color w:val="000000"/>
                <w:kern w:val="0"/>
                <w:sz w:val="24"/>
                <w:lang w:bidi="ar"/>
              </w:rPr>
              <w:t>13</w:t>
            </w:r>
          </w:p>
        </w:tc>
        <w:tc>
          <w:tcPr>
            <w:tcW w:w="838" w:type="pct"/>
            <w:tcBorders>
              <w:top w:val="single" w:color="000000" w:sz="4" w:space="0"/>
              <w:left w:val="single" w:color="000000" w:sz="4" w:space="0"/>
              <w:bottom w:val="single" w:color="000000" w:sz="4" w:space="0"/>
              <w:right w:val="single" w:color="000000" w:sz="4" w:space="0"/>
            </w:tcBorders>
            <w:vAlign w:val="center"/>
          </w:tcPr>
          <w:p w14:paraId="2DEB1E2B">
            <w:pPr>
              <w:topLinePunct/>
              <w:adjustRightInd w:val="0"/>
              <w:snapToGrid w:val="0"/>
              <w:textAlignment w:val="center"/>
              <w:rPr>
                <w:rFonts w:eastAsia="仿宋"/>
                <w:color w:val="000000"/>
                <w:sz w:val="24"/>
              </w:rPr>
            </w:pPr>
            <w:r>
              <w:rPr>
                <w:rFonts w:eastAsia="仿宋"/>
                <w:color w:val="000000"/>
                <w:kern w:val="0"/>
                <w:sz w:val="24"/>
                <w:lang w:bidi="ar"/>
              </w:rPr>
              <w:t>对矿山新招的井下作业人员和危险物品生产经营单位新招的危险工艺操作岗位人员，未经实习期满独立上岗作业的行政处罚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641D6B18">
            <w:pPr>
              <w:topLinePunct/>
              <w:adjustRightInd w:val="0"/>
              <w:snapToGrid w:val="0"/>
              <w:jc w:val="left"/>
              <w:textAlignment w:val="center"/>
              <w:rPr>
                <w:rFonts w:eastAsia="仿宋"/>
                <w:color w:val="000000"/>
                <w:sz w:val="24"/>
              </w:rPr>
            </w:pPr>
            <w:r>
              <w:rPr>
                <w:rFonts w:eastAsia="仿宋"/>
                <w:color w:val="000000"/>
                <w:kern w:val="0"/>
                <w:sz w:val="24"/>
                <w:lang w:bidi="ar"/>
              </w:rPr>
              <w:t>《安全生产培训管理办法》第三十六条第二项  生产经营单位有下列情形之一的，责令改正，处3万元以下的罚款：（二）矿山新招的井下作业人员和危险物品生产经营单位新招的危险工艺操作岗位人员，未经实习期满独立上岗作业的；</w:t>
            </w:r>
          </w:p>
        </w:tc>
        <w:tc>
          <w:tcPr>
            <w:tcW w:w="476" w:type="pct"/>
            <w:tcBorders>
              <w:top w:val="single" w:color="000000" w:sz="4" w:space="0"/>
              <w:left w:val="single" w:color="000000" w:sz="4" w:space="0"/>
              <w:bottom w:val="single" w:color="000000" w:sz="4" w:space="0"/>
              <w:right w:val="single" w:color="000000" w:sz="4" w:space="0"/>
            </w:tcBorders>
            <w:vAlign w:val="center"/>
          </w:tcPr>
          <w:p w14:paraId="3E8500B7">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78560C43">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69E7CC1F">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133FE420">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711A369F">
            <w:pPr>
              <w:topLinePunct/>
              <w:adjustRightInd w:val="0"/>
              <w:snapToGrid w:val="0"/>
              <w:jc w:val="center"/>
              <w:textAlignment w:val="center"/>
              <w:rPr>
                <w:rFonts w:eastAsia="仿宋"/>
                <w:color w:val="000000"/>
                <w:sz w:val="24"/>
              </w:rPr>
            </w:pPr>
            <w:r>
              <w:rPr>
                <w:rFonts w:eastAsia="仿宋"/>
                <w:color w:val="000000"/>
                <w:kern w:val="0"/>
                <w:sz w:val="24"/>
                <w:lang w:bidi="ar"/>
              </w:rPr>
              <w:t>14</w:t>
            </w:r>
          </w:p>
        </w:tc>
        <w:tc>
          <w:tcPr>
            <w:tcW w:w="838" w:type="pct"/>
            <w:tcBorders>
              <w:top w:val="single" w:color="000000" w:sz="4" w:space="0"/>
              <w:left w:val="single" w:color="000000" w:sz="4" w:space="0"/>
              <w:bottom w:val="single" w:color="000000" w:sz="4" w:space="0"/>
              <w:right w:val="single" w:color="000000" w:sz="4" w:space="0"/>
            </w:tcBorders>
            <w:vAlign w:val="center"/>
          </w:tcPr>
          <w:p w14:paraId="209C679C">
            <w:pPr>
              <w:topLinePunct/>
              <w:adjustRightInd w:val="0"/>
              <w:snapToGrid w:val="0"/>
              <w:textAlignment w:val="center"/>
              <w:rPr>
                <w:rFonts w:eastAsia="仿宋"/>
                <w:color w:val="000000"/>
                <w:sz w:val="24"/>
              </w:rPr>
            </w:pPr>
            <w:r>
              <w:rPr>
                <w:rFonts w:eastAsia="仿宋"/>
                <w:color w:val="000000"/>
                <w:kern w:val="0"/>
                <w:sz w:val="24"/>
                <w:lang w:bidi="ar"/>
              </w:rPr>
              <w:t>对生产经营单位出现法定情形，相关人员未按照规定重新参加安全培训的行政处罚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543CA00E">
            <w:pPr>
              <w:topLinePunct/>
              <w:adjustRightInd w:val="0"/>
              <w:snapToGrid w:val="0"/>
              <w:jc w:val="left"/>
              <w:textAlignment w:val="center"/>
              <w:rPr>
                <w:rFonts w:eastAsia="仿宋"/>
                <w:color w:val="000000"/>
                <w:sz w:val="24"/>
              </w:rPr>
            </w:pPr>
            <w:r>
              <w:rPr>
                <w:rFonts w:eastAsia="仿宋"/>
                <w:color w:val="000000"/>
                <w:kern w:val="0"/>
                <w:sz w:val="24"/>
                <w:lang w:bidi="ar"/>
              </w:rPr>
              <w:t>《安全生产培训管理办法》第十二条  中央企业的分公司、子公司及其所属单位和其他生产经营单位，发生造成人员死亡的生产安全事故的，其主要负责人和安全生产管理人员应当重新参加安全培训。</w:t>
            </w:r>
            <w:r>
              <w:rPr>
                <w:rFonts w:eastAsia="仿宋"/>
                <w:color w:val="000000"/>
                <w:kern w:val="0"/>
                <w:sz w:val="24"/>
                <w:lang w:bidi="ar"/>
              </w:rPr>
              <w:br w:type="textWrapping"/>
            </w:r>
            <w:r>
              <w:rPr>
                <w:rFonts w:hint="eastAsia" w:eastAsia="仿宋"/>
                <w:color w:val="000000"/>
                <w:kern w:val="0"/>
                <w:sz w:val="24"/>
                <w:lang w:val="en-US" w:eastAsia="zh-CN" w:bidi="ar"/>
              </w:rPr>
              <w:t xml:space="preserve">  </w:t>
            </w:r>
            <w:r>
              <w:rPr>
                <w:rFonts w:eastAsia="仿宋"/>
                <w:color w:val="000000"/>
                <w:kern w:val="0"/>
                <w:sz w:val="24"/>
                <w:lang w:bidi="ar"/>
              </w:rPr>
              <w:t>特种作业人员对造成人员死亡的生产安全事故负有直接责任的，应当按照《特种作业人员安全技术培训考核管理规定》重新参加安全培训。</w:t>
            </w:r>
            <w:r>
              <w:rPr>
                <w:rFonts w:eastAsia="仿宋"/>
                <w:color w:val="000000"/>
                <w:kern w:val="0"/>
                <w:sz w:val="24"/>
                <w:lang w:bidi="ar"/>
              </w:rPr>
              <w:br w:type="textWrapping"/>
            </w:r>
            <w:r>
              <w:rPr>
                <w:rFonts w:eastAsia="仿宋"/>
                <w:color w:val="000000"/>
                <w:kern w:val="0"/>
                <w:sz w:val="24"/>
                <w:lang w:bidi="ar"/>
              </w:rPr>
              <w:t>第三十六条第三项  生产经营单位有下列情形之一的，责令改正，处3万元以下的罚款：（三）相关人员未按照本办法第十二条规定重新参加安全培训的。</w:t>
            </w:r>
          </w:p>
        </w:tc>
        <w:tc>
          <w:tcPr>
            <w:tcW w:w="476" w:type="pct"/>
            <w:tcBorders>
              <w:top w:val="single" w:color="000000" w:sz="4" w:space="0"/>
              <w:left w:val="single" w:color="000000" w:sz="4" w:space="0"/>
              <w:bottom w:val="single" w:color="000000" w:sz="4" w:space="0"/>
              <w:right w:val="single" w:color="000000" w:sz="4" w:space="0"/>
            </w:tcBorders>
            <w:vAlign w:val="center"/>
          </w:tcPr>
          <w:p w14:paraId="12FDB035">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3E28537B">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57072C0D">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4D5DC755">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0B80C423">
            <w:pPr>
              <w:topLinePunct/>
              <w:adjustRightInd w:val="0"/>
              <w:snapToGrid w:val="0"/>
              <w:jc w:val="center"/>
              <w:textAlignment w:val="center"/>
              <w:rPr>
                <w:rFonts w:eastAsia="仿宋"/>
                <w:color w:val="000000"/>
                <w:sz w:val="24"/>
              </w:rPr>
            </w:pPr>
            <w:r>
              <w:rPr>
                <w:rFonts w:eastAsia="仿宋"/>
                <w:color w:val="000000"/>
                <w:kern w:val="0"/>
                <w:sz w:val="24"/>
                <w:lang w:bidi="ar"/>
              </w:rPr>
              <w:t>15</w:t>
            </w:r>
          </w:p>
        </w:tc>
        <w:tc>
          <w:tcPr>
            <w:tcW w:w="838" w:type="pct"/>
            <w:tcBorders>
              <w:top w:val="single" w:color="000000" w:sz="4" w:space="0"/>
              <w:left w:val="single" w:color="000000" w:sz="4" w:space="0"/>
              <w:bottom w:val="single" w:color="000000" w:sz="4" w:space="0"/>
              <w:right w:val="single" w:color="000000" w:sz="4" w:space="0"/>
            </w:tcBorders>
            <w:vAlign w:val="center"/>
          </w:tcPr>
          <w:p w14:paraId="37C30A48">
            <w:pPr>
              <w:topLinePunct/>
              <w:adjustRightInd w:val="0"/>
              <w:snapToGrid w:val="0"/>
              <w:textAlignment w:val="center"/>
              <w:rPr>
                <w:rFonts w:eastAsia="仿宋"/>
                <w:color w:val="000000"/>
                <w:sz w:val="24"/>
              </w:rPr>
            </w:pPr>
            <w:r>
              <w:rPr>
                <w:rFonts w:eastAsia="仿宋"/>
                <w:color w:val="000000"/>
                <w:kern w:val="0"/>
                <w:sz w:val="24"/>
                <w:lang w:bidi="ar"/>
              </w:rPr>
              <w:t>对安全培训机构有不具备安全培训条件等情形的行政处罚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1A942B13">
            <w:pPr>
              <w:topLinePunct/>
              <w:adjustRightInd w:val="0"/>
              <w:snapToGrid w:val="0"/>
              <w:jc w:val="left"/>
              <w:textAlignment w:val="center"/>
              <w:rPr>
                <w:rFonts w:eastAsia="仿宋"/>
                <w:color w:val="000000"/>
                <w:sz w:val="24"/>
              </w:rPr>
            </w:pPr>
            <w:r>
              <w:rPr>
                <w:rFonts w:eastAsia="仿宋"/>
                <w:color w:val="000000"/>
                <w:kern w:val="0"/>
                <w:sz w:val="24"/>
                <w:lang w:bidi="ar"/>
              </w:rPr>
              <w:t>《安全生产培训管理办法》第三十四条第一款  安全培训机构有下列情形之一的，责令限期改正，处1万元以下的罚款；逾期未改正的，给予警告，处1万元以上3万元以下的罚款：（一）不具备安全培训条件的；（二）未按照统一的培训大纲组织教学培训的；（三）未建立培训档案或者培训档案管理不规范的；</w:t>
            </w:r>
          </w:p>
        </w:tc>
        <w:tc>
          <w:tcPr>
            <w:tcW w:w="476" w:type="pct"/>
            <w:tcBorders>
              <w:top w:val="single" w:color="000000" w:sz="4" w:space="0"/>
              <w:left w:val="single" w:color="000000" w:sz="4" w:space="0"/>
              <w:bottom w:val="single" w:color="000000" w:sz="4" w:space="0"/>
              <w:right w:val="single" w:color="000000" w:sz="4" w:space="0"/>
            </w:tcBorders>
            <w:vAlign w:val="center"/>
          </w:tcPr>
          <w:p w14:paraId="33BE1537">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4BCB5D1A">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2F97C636">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1A2DF3A7">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23DEF1BC">
            <w:pPr>
              <w:topLinePunct/>
              <w:adjustRightInd w:val="0"/>
              <w:snapToGrid w:val="0"/>
              <w:jc w:val="center"/>
              <w:textAlignment w:val="center"/>
              <w:rPr>
                <w:rFonts w:eastAsia="仿宋"/>
                <w:color w:val="000000"/>
                <w:sz w:val="24"/>
              </w:rPr>
            </w:pPr>
            <w:r>
              <w:rPr>
                <w:rFonts w:eastAsia="仿宋"/>
                <w:color w:val="000000"/>
                <w:kern w:val="0"/>
                <w:sz w:val="24"/>
                <w:lang w:bidi="ar"/>
              </w:rPr>
              <w:t>16</w:t>
            </w:r>
          </w:p>
        </w:tc>
        <w:tc>
          <w:tcPr>
            <w:tcW w:w="838" w:type="pct"/>
            <w:tcBorders>
              <w:top w:val="single" w:color="000000" w:sz="4" w:space="0"/>
              <w:left w:val="single" w:color="000000" w:sz="4" w:space="0"/>
              <w:bottom w:val="single" w:color="000000" w:sz="4" w:space="0"/>
              <w:right w:val="single" w:color="000000" w:sz="4" w:space="0"/>
            </w:tcBorders>
            <w:vAlign w:val="center"/>
          </w:tcPr>
          <w:p w14:paraId="5563F0AF">
            <w:pPr>
              <w:topLinePunct/>
              <w:adjustRightInd w:val="0"/>
              <w:snapToGrid w:val="0"/>
              <w:textAlignment w:val="center"/>
              <w:rPr>
                <w:rFonts w:eastAsia="仿宋"/>
                <w:color w:val="000000"/>
                <w:sz w:val="24"/>
              </w:rPr>
            </w:pPr>
            <w:r>
              <w:rPr>
                <w:rFonts w:eastAsia="仿宋"/>
                <w:color w:val="000000"/>
                <w:kern w:val="0"/>
                <w:sz w:val="24"/>
                <w:lang w:bidi="ar"/>
              </w:rPr>
              <w:t>对生产经营单位特种作业人员未按规定经专门的安全作业培训并取得相应资格，上岗作业的行政处罚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39B344D7">
            <w:pPr>
              <w:topLinePunct/>
              <w:adjustRightInd w:val="0"/>
              <w:snapToGrid w:val="0"/>
              <w:jc w:val="left"/>
              <w:textAlignment w:val="center"/>
              <w:rPr>
                <w:rFonts w:eastAsia="仿宋"/>
                <w:color w:val="000000"/>
                <w:sz w:val="24"/>
              </w:rPr>
            </w:pPr>
            <w:r>
              <w:rPr>
                <w:rFonts w:eastAsia="仿宋"/>
                <w:color w:val="000000"/>
                <w:kern w:val="0"/>
                <w:sz w:val="24"/>
                <w:lang w:bidi="ar"/>
              </w:rPr>
              <w:t>《中华人民共和国安全生产法》第九十七条第七项  生产经营单位有下列行为之一的，责令限期改正，处十万元以下的罚款；逾期未改正的，责令停产停业整顿，并处十万元以上二十万元以下的罚款，对其直接负责的主管人员和其他直接责任人员处二万元以上五万元以下的罚款：（七）特种作业人员未按照规定经专门的安全作业培训并取得相应资格，上岗作业的。</w:t>
            </w:r>
            <w:r>
              <w:rPr>
                <w:rFonts w:eastAsia="仿宋"/>
                <w:color w:val="000000"/>
                <w:kern w:val="0"/>
                <w:sz w:val="24"/>
                <w:lang w:bidi="ar"/>
              </w:rPr>
              <w:br w:type="textWrapping"/>
            </w:r>
            <w:r>
              <w:rPr>
                <w:rFonts w:eastAsia="仿宋"/>
                <w:color w:val="000000"/>
                <w:kern w:val="0"/>
                <w:sz w:val="24"/>
                <w:lang w:bidi="ar"/>
              </w:rPr>
              <w:t>第一百一十五条  本法规定的行政处罚，由应急管理部门和其他负有安全生产监督管理职责的部门按照职责分工决定；其中，根据本法第九十五条、第一百一十条、第一百一十四条的规定应当给予民航、铁路、电力行业的生产经营单位及其主要负责人行政处罚的，也可以由主管的负有安全生产监督管理职责的部门进行处罚。予以关闭的行政处罚，由负有安全生产监督管理职责的部门报请县级以上人民政府按照国务院规定的权限决定；给予拘留的行政处罚，由公安机关依照治安管理处罚的规定决定。</w:t>
            </w:r>
          </w:p>
        </w:tc>
        <w:tc>
          <w:tcPr>
            <w:tcW w:w="476" w:type="pct"/>
            <w:tcBorders>
              <w:top w:val="single" w:color="000000" w:sz="4" w:space="0"/>
              <w:left w:val="single" w:color="000000" w:sz="4" w:space="0"/>
              <w:bottom w:val="single" w:color="000000" w:sz="4" w:space="0"/>
              <w:right w:val="single" w:color="000000" w:sz="4" w:space="0"/>
            </w:tcBorders>
            <w:vAlign w:val="center"/>
          </w:tcPr>
          <w:p w14:paraId="033A9584">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5BA6DCB6">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69781DBB">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661BBBF6">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40550377">
            <w:pPr>
              <w:topLinePunct/>
              <w:adjustRightInd w:val="0"/>
              <w:snapToGrid w:val="0"/>
              <w:jc w:val="center"/>
              <w:textAlignment w:val="center"/>
              <w:rPr>
                <w:rFonts w:eastAsia="仿宋"/>
                <w:color w:val="000000"/>
                <w:sz w:val="24"/>
              </w:rPr>
            </w:pPr>
            <w:r>
              <w:rPr>
                <w:rFonts w:eastAsia="仿宋"/>
                <w:color w:val="000000"/>
                <w:kern w:val="0"/>
                <w:sz w:val="24"/>
                <w:lang w:bidi="ar"/>
              </w:rPr>
              <w:t>17</w:t>
            </w:r>
          </w:p>
        </w:tc>
        <w:tc>
          <w:tcPr>
            <w:tcW w:w="838" w:type="pct"/>
            <w:tcBorders>
              <w:top w:val="single" w:color="000000" w:sz="4" w:space="0"/>
              <w:left w:val="single" w:color="000000" w:sz="4" w:space="0"/>
              <w:bottom w:val="single" w:color="000000" w:sz="4" w:space="0"/>
              <w:right w:val="single" w:color="000000" w:sz="4" w:space="0"/>
            </w:tcBorders>
            <w:vAlign w:val="center"/>
          </w:tcPr>
          <w:p w14:paraId="5F04AA11">
            <w:pPr>
              <w:topLinePunct/>
              <w:adjustRightInd w:val="0"/>
              <w:snapToGrid w:val="0"/>
              <w:textAlignment w:val="center"/>
              <w:rPr>
                <w:rFonts w:eastAsia="仿宋"/>
                <w:color w:val="000000"/>
                <w:sz w:val="24"/>
              </w:rPr>
            </w:pPr>
            <w:r>
              <w:rPr>
                <w:rFonts w:eastAsia="仿宋"/>
                <w:color w:val="000000"/>
                <w:kern w:val="0"/>
                <w:sz w:val="24"/>
                <w:lang w:bidi="ar"/>
              </w:rPr>
              <w:t>对生产经营单位未建立健全特种作业人员档案的行政处罚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3933B07D">
            <w:pPr>
              <w:topLinePunct/>
              <w:adjustRightInd w:val="0"/>
              <w:snapToGrid w:val="0"/>
              <w:jc w:val="left"/>
              <w:textAlignment w:val="center"/>
              <w:rPr>
                <w:rFonts w:eastAsia="仿宋"/>
                <w:color w:val="000000"/>
                <w:sz w:val="24"/>
              </w:rPr>
            </w:pPr>
            <w:r>
              <w:rPr>
                <w:rFonts w:eastAsia="仿宋"/>
                <w:color w:val="000000"/>
                <w:kern w:val="0"/>
                <w:sz w:val="24"/>
                <w:lang w:bidi="ar"/>
              </w:rPr>
              <w:t>《特种作业人员安全技术培训考核管理规定》</w:t>
            </w:r>
            <w:r>
              <w:rPr>
                <w:rFonts w:eastAsia="仿宋"/>
                <w:color w:val="000000"/>
                <w:kern w:val="0"/>
                <w:sz w:val="24"/>
                <w:lang w:bidi="ar"/>
              </w:rPr>
              <w:br w:type="textWrapping"/>
            </w:r>
            <w:r>
              <w:rPr>
                <w:rFonts w:eastAsia="仿宋"/>
                <w:color w:val="000000"/>
                <w:kern w:val="0"/>
                <w:sz w:val="24"/>
                <w:lang w:bidi="ar"/>
              </w:rPr>
              <w:t>第三十八条  生产经营单位未建立健全特种作业人员档案的，给予警告，并处1万元以下的罚款。</w:t>
            </w:r>
          </w:p>
        </w:tc>
        <w:tc>
          <w:tcPr>
            <w:tcW w:w="476" w:type="pct"/>
            <w:tcBorders>
              <w:top w:val="single" w:color="000000" w:sz="4" w:space="0"/>
              <w:left w:val="single" w:color="000000" w:sz="4" w:space="0"/>
              <w:bottom w:val="single" w:color="000000" w:sz="4" w:space="0"/>
              <w:right w:val="single" w:color="000000" w:sz="4" w:space="0"/>
            </w:tcBorders>
            <w:vAlign w:val="center"/>
          </w:tcPr>
          <w:p w14:paraId="1262149D">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423B436F">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782DA5BE">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04839102">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3C3D67FE">
            <w:pPr>
              <w:topLinePunct/>
              <w:adjustRightInd w:val="0"/>
              <w:snapToGrid w:val="0"/>
              <w:jc w:val="center"/>
              <w:textAlignment w:val="center"/>
              <w:rPr>
                <w:rFonts w:eastAsia="仿宋"/>
                <w:color w:val="000000"/>
                <w:sz w:val="24"/>
              </w:rPr>
            </w:pPr>
            <w:r>
              <w:rPr>
                <w:rFonts w:eastAsia="仿宋"/>
                <w:color w:val="000000"/>
                <w:kern w:val="0"/>
                <w:sz w:val="24"/>
                <w:lang w:bidi="ar"/>
              </w:rPr>
              <w:t>18</w:t>
            </w:r>
          </w:p>
        </w:tc>
        <w:tc>
          <w:tcPr>
            <w:tcW w:w="838" w:type="pct"/>
            <w:tcBorders>
              <w:top w:val="single" w:color="000000" w:sz="4" w:space="0"/>
              <w:left w:val="single" w:color="000000" w:sz="4" w:space="0"/>
              <w:bottom w:val="single" w:color="000000" w:sz="4" w:space="0"/>
              <w:right w:val="single" w:color="000000" w:sz="4" w:space="0"/>
            </w:tcBorders>
            <w:vAlign w:val="center"/>
          </w:tcPr>
          <w:p w14:paraId="7AAAFE2F">
            <w:pPr>
              <w:topLinePunct/>
              <w:adjustRightInd w:val="0"/>
              <w:snapToGrid w:val="0"/>
              <w:textAlignment w:val="center"/>
              <w:rPr>
                <w:rFonts w:eastAsia="仿宋"/>
                <w:color w:val="000000"/>
                <w:sz w:val="24"/>
              </w:rPr>
            </w:pPr>
            <w:r>
              <w:rPr>
                <w:rFonts w:eastAsia="仿宋"/>
                <w:color w:val="000000"/>
                <w:kern w:val="0"/>
                <w:sz w:val="24"/>
                <w:lang w:bidi="ar"/>
              </w:rPr>
              <w:t>对生产经营单位非法印制、伪造、倒卖特种作业操作证，或者使用非法印制、伪造、倒卖的特种作业操作证的行政处罚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10652D65">
            <w:pPr>
              <w:topLinePunct/>
              <w:adjustRightInd w:val="0"/>
              <w:snapToGrid w:val="0"/>
              <w:jc w:val="left"/>
              <w:textAlignment w:val="center"/>
              <w:rPr>
                <w:rFonts w:eastAsia="仿宋"/>
                <w:color w:val="000000"/>
                <w:sz w:val="24"/>
              </w:rPr>
            </w:pPr>
            <w:r>
              <w:rPr>
                <w:rFonts w:eastAsia="仿宋"/>
                <w:color w:val="000000"/>
                <w:kern w:val="0"/>
                <w:sz w:val="24"/>
                <w:lang w:bidi="ar"/>
              </w:rPr>
              <w:t>《特种作业人员安全技术培训考核管理规定》第四十条  生产经营单位非法印制、伪造、倒卖特种作业操作证，或者使用非法印制、伪造、倒卖的特种作业操作证的，给予警告，并处1万元以上3万元以下的罚款；构成犯罪的，依法追究刑事责任。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055BA9E7">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0B9789EA">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4ECDF779">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65083E8D">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1E70C71D">
            <w:pPr>
              <w:topLinePunct/>
              <w:adjustRightInd w:val="0"/>
              <w:snapToGrid w:val="0"/>
              <w:jc w:val="center"/>
              <w:textAlignment w:val="center"/>
              <w:rPr>
                <w:rFonts w:eastAsia="仿宋"/>
                <w:color w:val="000000"/>
                <w:sz w:val="24"/>
              </w:rPr>
            </w:pPr>
            <w:r>
              <w:rPr>
                <w:rFonts w:eastAsia="仿宋"/>
                <w:color w:val="000000"/>
                <w:kern w:val="0"/>
                <w:sz w:val="24"/>
                <w:lang w:bidi="ar"/>
              </w:rPr>
              <w:t>19</w:t>
            </w:r>
          </w:p>
        </w:tc>
        <w:tc>
          <w:tcPr>
            <w:tcW w:w="838" w:type="pct"/>
            <w:tcBorders>
              <w:top w:val="single" w:color="000000" w:sz="4" w:space="0"/>
              <w:left w:val="single" w:color="000000" w:sz="4" w:space="0"/>
              <w:bottom w:val="single" w:color="000000" w:sz="4" w:space="0"/>
              <w:right w:val="single" w:color="000000" w:sz="4" w:space="0"/>
            </w:tcBorders>
            <w:vAlign w:val="center"/>
          </w:tcPr>
          <w:p w14:paraId="17E5D061">
            <w:pPr>
              <w:topLinePunct/>
              <w:adjustRightInd w:val="0"/>
              <w:snapToGrid w:val="0"/>
              <w:textAlignment w:val="center"/>
              <w:rPr>
                <w:rFonts w:eastAsia="仿宋"/>
                <w:color w:val="000000"/>
                <w:sz w:val="24"/>
              </w:rPr>
            </w:pPr>
            <w:r>
              <w:rPr>
                <w:rFonts w:eastAsia="仿宋"/>
                <w:color w:val="000000"/>
                <w:kern w:val="0"/>
                <w:sz w:val="24"/>
                <w:lang w:bidi="ar"/>
              </w:rPr>
              <w:t>对特种作业人员伪造、涂改特种作业操作证等行为的行政处罚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2F15EF6D">
            <w:pPr>
              <w:topLinePunct/>
              <w:adjustRightInd w:val="0"/>
              <w:snapToGrid w:val="0"/>
              <w:jc w:val="left"/>
              <w:textAlignment w:val="center"/>
              <w:rPr>
                <w:rFonts w:eastAsia="仿宋"/>
                <w:color w:val="000000"/>
                <w:sz w:val="24"/>
              </w:rPr>
            </w:pPr>
            <w:r>
              <w:rPr>
                <w:rFonts w:eastAsia="仿宋"/>
                <w:color w:val="000000"/>
                <w:kern w:val="0"/>
                <w:sz w:val="24"/>
                <w:lang w:bidi="ar"/>
              </w:rPr>
              <w:t>《特种作业人员安全技术培训考核管理规定》第四十一条  特种作业人员伪造、涂改特种作业操作证或者使用伪造的特种作业操作证的，给予警告，并处1000元以上5000元以下的罚款。</w:t>
            </w:r>
            <w:r>
              <w:rPr>
                <w:rFonts w:eastAsia="仿宋"/>
                <w:color w:val="000000"/>
                <w:kern w:val="0"/>
                <w:sz w:val="24"/>
                <w:lang w:bidi="ar"/>
              </w:rPr>
              <w:br w:type="textWrapping"/>
            </w:r>
            <w:r>
              <w:rPr>
                <w:rFonts w:eastAsia="仿宋"/>
                <w:color w:val="000000"/>
                <w:kern w:val="0"/>
                <w:sz w:val="24"/>
                <w:lang w:bidi="ar"/>
              </w:rPr>
              <w:t>特种作业人员转借、转让、冒用特种作业操作证的，给予警告，并处2000元以上1万元以下的罚款。</w:t>
            </w:r>
          </w:p>
        </w:tc>
        <w:tc>
          <w:tcPr>
            <w:tcW w:w="476" w:type="pct"/>
            <w:tcBorders>
              <w:top w:val="single" w:color="000000" w:sz="4" w:space="0"/>
              <w:left w:val="single" w:color="000000" w:sz="4" w:space="0"/>
              <w:bottom w:val="single" w:color="000000" w:sz="4" w:space="0"/>
              <w:right w:val="single" w:color="000000" w:sz="4" w:space="0"/>
            </w:tcBorders>
            <w:vAlign w:val="center"/>
          </w:tcPr>
          <w:p w14:paraId="4962A9DF">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514F15DA">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596B5A05">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0E377A86">
        <w:tblPrEx>
          <w:tblCellMar>
            <w:top w:w="0" w:type="dxa"/>
            <w:left w:w="108" w:type="dxa"/>
            <w:bottom w:w="0" w:type="dxa"/>
            <w:right w:w="108" w:type="dxa"/>
          </w:tblCellMar>
        </w:tblPrEx>
        <w:trPr>
          <w:trHeight w:val="32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346EF6AC">
            <w:pPr>
              <w:topLinePunct/>
              <w:adjustRightInd w:val="0"/>
              <w:snapToGrid w:val="0"/>
              <w:jc w:val="center"/>
              <w:textAlignment w:val="center"/>
              <w:rPr>
                <w:rFonts w:eastAsia="仿宋"/>
                <w:color w:val="000000"/>
                <w:sz w:val="24"/>
              </w:rPr>
            </w:pPr>
            <w:r>
              <w:rPr>
                <w:rFonts w:eastAsia="仿宋"/>
                <w:color w:val="000000"/>
                <w:kern w:val="0"/>
                <w:sz w:val="24"/>
                <w:lang w:bidi="ar"/>
              </w:rPr>
              <w:t>20</w:t>
            </w:r>
          </w:p>
        </w:tc>
        <w:tc>
          <w:tcPr>
            <w:tcW w:w="838" w:type="pct"/>
            <w:tcBorders>
              <w:top w:val="single" w:color="000000" w:sz="4" w:space="0"/>
              <w:left w:val="single" w:color="000000" w:sz="4" w:space="0"/>
              <w:bottom w:val="single" w:color="000000" w:sz="4" w:space="0"/>
              <w:right w:val="single" w:color="000000" w:sz="4" w:space="0"/>
            </w:tcBorders>
            <w:vAlign w:val="center"/>
          </w:tcPr>
          <w:p w14:paraId="2757749B">
            <w:pPr>
              <w:topLinePunct/>
              <w:adjustRightInd w:val="0"/>
              <w:snapToGrid w:val="0"/>
              <w:textAlignment w:val="center"/>
              <w:rPr>
                <w:rFonts w:eastAsia="仿宋"/>
                <w:color w:val="000000"/>
                <w:sz w:val="24"/>
              </w:rPr>
            </w:pPr>
            <w:r>
              <w:rPr>
                <w:rFonts w:eastAsia="仿宋"/>
                <w:color w:val="000000"/>
                <w:kern w:val="0"/>
                <w:sz w:val="24"/>
                <w:lang w:bidi="ar"/>
              </w:rPr>
              <w:t>对生产经营单位未按规定对矿山、金属冶炼建设项目或者用于生产、储存危险化学品、烟花爆竹的建设项目进行安全评价的行政处罚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76513FED">
            <w:pPr>
              <w:topLinePunct/>
              <w:adjustRightInd w:val="0"/>
              <w:snapToGrid w:val="0"/>
              <w:jc w:val="left"/>
              <w:textAlignment w:val="center"/>
              <w:rPr>
                <w:rFonts w:eastAsia="仿宋"/>
                <w:color w:val="000000"/>
                <w:sz w:val="24"/>
              </w:rPr>
            </w:pPr>
            <w:r>
              <w:rPr>
                <w:rFonts w:eastAsia="仿宋"/>
                <w:color w:val="000000"/>
                <w:kern w:val="0"/>
                <w:sz w:val="24"/>
                <w:lang w:bidi="ar"/>
              </w:rPr>
              <w:t>《中华人民共和国安全生产法》第九十八条第一项  生产经营单位有下列行为之一的，责令停止建设或者停产停业整顿，限期改正，并处十万元以上五十万元以下的罚款，对其直接负责的主管人员和其他直接责任人员处二万元以上五万元以下的罚款；逾期未改正的，处五十万元以上一百万元以下的罚款，对其直接负责的主管人员和其他直接责任人员处五万元以上十万元以下的罚款；构成犯罪的，依照刑法有关规定追究刑事责任：（一）未按照规定对矿山、金属冶炼建设项目或者用于生产、储存、装卸危险物品的建设项目进行安全评价的；</w:t>
            </w:r>
            <w:r>
              <w:rPr>
                <w:rFonts w:eastAsia="仿宋"/>
                <w:color w:val="000000"/>
                <w:kern w:val="0"/>
                <w:sz w:val="24"/>
                <w:lang w:bidi="ar"/>
              </w:rPr>
              <w:br w:type="textWrapping"/>
            </w:r>
            <w:r>
              <w:rPr>
                <w:rFonts w:eastAsia="仿宋"/>
                <w:color w:val="000000"/>
                <w:kern w:val="0"/>
                <w:sz w:val="24"/>
                <w:lang w:bidi="ar"/>
              </w:rPr>
              <w:t>第一百一十五条  本法规定的行政处罚，由应急管理部门和其他负有安全生产监督管理职责的部门按照职责分工决定；其中，根据本法第九十五条、第一百一十条、第一百一十四条的规定应当给予民航、铁路、电力行业的生产经营单位及其主要负责人行政处罚的，也可以由主管的负有安全生产监督管理职责的部门进行处罚。予以关闭的行政处罚，由负有安全生产监督管理职责的部门报请县级以上人民政府按照国务院规定的权限决定；给予拘留的行政处罚，由公安机关依照治安管理处罚的规定决定。</w:t>
            </w:r>
          </w:p>
        </w:tc>
        <w:tc>
          <w:tcPr>
            <w:tcW w:w="476" w:type="pct"/>
            <w:tcBorders>
              <w:top w:val="single" w:color="000000" w:sz="4" w:space="0"/>
              <w:left w:val="single" w:color="000000" w:sz="4" w:space="0"/>
              <w:bottom w:val="single" w:color="000000" w:sz="4" w:space="0"/>
              <w:right w:val="single" w:color="000000" w:sz="4" w:space="0"/>
            </w:tcBorders>
            <w:vAlign w:val="center"/>
          </w:tcPr>
          <w:p w14:paraId="5BE8D156">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5B27CF2A">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236CACA4">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05731CC8">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2A8D02CA">
            <w:pPr>
              <w:topLinePunct/>
              <w:adjustRightInd w:val="0"/>
              <w:snapToGrid w:val="0"/>
              <w:jc w:val="center"/>
              <w:textAlignment w:val="center"/>
              <w:rPr>
                <w:rFonts w:eastAsia="仿宋"/>
                <w:color w:val="000000"/>
                <w:sz w:val="24"/>
              </w:rPr>
            </w:pPr>
            <w:r>
              <w:rPr>
                <w:rFonts w:eastAsia="仿宋"/>
                <w:color w:val="000000"/>
                <w:kern w:val="0"/>
                <w:sz w:val="24"/>
                <w:lang w:bidi="ar"/>
              </w:rPr>
              <w:t>21</w:t>
            </w:r>
          </w:p>
        </w:tc>
        <w:tc>
          <w:tcPr>
            <w:tcW w:w="838" w:type="pct"/>
            <w:tcBorders>
              <w:top w:val="single" w:color="000000" w:sz="4" w:space="0"/>
              <w:left w:val="single" w:color="000000" w:sz="4" w:space="0"/>
              <w:bottom w:val="single" w:color="000000" w:sz="4" w:space="0"/>
              <w:right w:val="single" w:color="000000" w:sz="4" w:space="0"/>
            </w:tcBorders>
            <w:vAlign w:val="center"/>
          </w:tcPr>
          <w:p w14:paraId="7609957E">
            <w:pPr>
              <w:numPr>
                <w:ilvl w:val="0"/>
                <w:numId w:val="0"/>
              </w:numPr>
              <w:topLinePunct/>
              <w:adjustRightInd w:val="0"/>
              <w:snapToGrid w:val="0"/>
              <w:textAlignment w:val="center"/>
              <w:rPr>
                <w:rFonts w:eastAsia="仿宋_GB2312"/>
                <w:sz w:val="24"/>
              </w:rPr>
            </w:pPr>
            <w:r>
              <w:rPr>
                <w:rFonts w:eastAsia="仿宋_GB2312"/>
                <w:sz w:val="24"/>
              </w:rPr>
              <w:t>对矿山、金属冶炼建设项目或者用于生产、储存危险化学品、烟花爆竹的建设项目没有安全设施设计或者安全设施设计未按规定报经有关部门审查同意的行政处罚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48F94A14">
            <w:pPr>
              <w:topLinePunct/>
              <w:adjustRightInd w:val="0"/>
              <w:snapToGrid w:val="0"/>
              <w:jc w:val="left"/>
              <w:textAlignment w:val="center"/>
              <w:rPr>
                <w:rFonts w:eastAsia="仿宋_GB2312"/>
                <w:sz w:val="24"/>
              </w:rPr>
            </w:pPr>
            <w:r>
              <w:rPr>
                <w:rFonts w:eastAsia="仿宋_GB2312"/>
                <w:sz w:val="24"/>
              </w:rPr>
              <w:t>《中华人民共和国安全生产法》第九十八条第二项  生产经营单位有下列行为之一的，责令停止建设或者停产停业整顿，限期改正，并处十万元以上五十万元以下的罚款，对其直接负责的主管人员和其他直接责任人员处二万元以上五万元以下的罚款；逾期未改正的，处五十万元以上一百万元以下的罚款，对其直接负责的主管人员和其他直接责任人员处五万元以上十万元以下的罚款；构成犯罪的，依照刑法有关规定追究刑事责任：（二）矿山、金属冶炼建设项目或者用于生产、储存、装卸危险物品的建设项目没有安全设施设计或者安全设施设计未按照规定报经有关部门审查同意的；</w:t>
            </w:r>
            <w:r>
              <w:rPr>
                <w:rFonts w:eastAsia="仿宋_GB2312"/>
                <w:sz w:val="24"/>
              </w:rPr>
              <w:br w:type="textWrapping"/>
            </w:r>
            <w:r>
              <w:rPr>
                <w:rFonts w:eastAsia="仿宋_GB2312"/>
                <w:sz w:val="24"/>
              </w:rPr>
              <w:t>第一百一十五条  本法规定的行政处罚，由应急管理部门和其他负有安全生产监督管理职责的部门按照职责分工决定；其中，根据本法第九十五条、第一百一十条、第一百一十四条的规定应当给予民航、铁路、电力行业的生产经营单位及其主要负责人行政处罚的，也可以由主管的负有安全生产监督管理职责的部门进行处罚。予以关闭的行政处罚，由负有安全生产监督管理职责的部门报请县级以上人民政府按照国务院规定的权限决定；给予拘留的行政处罚，由公安机关依照治安管理处罚的规定决定。</w:t>
            </w:r>
          </w:p>
        </w:tc>
        <w:tc>
          <w:tcPr>
            <w:tcW w:w="476" w:type="pct"/>
            <w:tcBorders>
              <w:top w:val="single" w:color="000000" w:sz="4" w:space="0"/>
              <w:left w:val="single" w:color="000000" w:sz="4" w:space="0"/>
              <w:bottom w:val="single" w:color="000000" w:sz="4" w:space="0"/>
              <w:right w:val="single" w:color="000000" w:sz="4" w:space="0"/>
            </w:tcBorders>
            <w:vAlign w:val="center"/>
          </w:tcPr>
          <w:p w14:paraId="7EB29D30">
            <w:pPr>
              <w:topLinePunct/>
              <w:adjustRightInd w:val="0"/>
              <w:snapToGrid w:val="0"/>
              <w:jc w:val="left"/>
              <w:textAlignment w:val="center"/>
              <w:rPr>
                <w:rFonts w:eastAsia="仿宋_GB2312"/>
                <w:color w:val="000000"/>
                <w:sz w:val="24"/>
              </w:rPr>
            </w:pPr>
            <w:r>
              <w:rPr>
                <w:rFonts w:eastAsia="仿宋_GB2312"/>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56344525">
            <w:pPr>
              <w:topLinePunct/>
              <w:adjustRightInd w:val="0"/>
              <w:snapToGrid w:val="0"/>
              <w:jc w:val="left"/>
              <w:textAlignment w:val="center"/>
              <w:rPr>
                <w:rFonts w:eastAsia="仿宋_GB2312"/>
                <w:color w:val="000000"/>
                <w:sz w:val="24"/>
              </w:rPr>
            </w:pPr>
            <w:r>
              <w:rPr>
                <w:rFonts w:eastAsia="仿宋_GB2312"/>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250805B2">
            <w:pPr>
              <w:topLinePunct/>
              <w:adjustRightInd w:val="0"/>
              <w:snapToGrid w:val="0"/>
              <w:jc w:val="center"/>
              <w:textAlignment w:val="center"/>
              <w:rPr>
                <w:rFonts w:hint="eastAsia" w:eastAsia="仿宋_GB2312"/>
                <w:color w:val="000000"/>
                <w:sz w:val="24"/>
                <w:lang w:eastAsia="zh-CN"/>
              </w:rPr>
            </w:pPr>
            <w:r>
              <w:rPr>
                <w:rFonts w:hint="eastAsia" w:eastAsia="仿宋_GB2312"/>
                <w:color w:val="000000"/>
                <w:kern w:val="0"/>
                <w:sz w:val="24"/>
                <w:lang w:eastAsia="zh-CN" w:bidi="ar"/>
              </w:rPr>
              <w:t>县级</w:t>
            </w:r>
          </w:p>
        </w:tc>
      </w:tr>
      <w:tr w14:paraId="6E65DD0C">
        <w:tblPrEx>
          <w:tblCellMar>
            <w:top w:w="0" w:type="dxa"/>
            <w:left w:w="108" w:type="dxa"/>
            <w:bottom w:w="0" w:type="dxa"/>
            <w:right w:w="108" w:type="dxa"/>
          </w:tblCellMar>
        </w:tblPrEx>
        <w:trPr>
          <w:trHeight w:val="301"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3B120539">
            <w:pPr>
              <w:topLinePunct/>
              <w:adjustRightInd w:val="0"/>
              <w:snapToGrid w:val="0"/>
              <w:jc w:val="center"/>
              <w:textAlignment w:val="center"/>
              <w:rPr>
                <w:rFonts w:eastAsia="仿宋"/>
                <w:color w:val="000000"/>
                <w:sz w:val="24"/>
              </w:rPr>
            </w:pPr>
            <w:r>
              <w:rPr>
                <w:rFonts w:eastAsia="仿宋"/>
                <w:color w:val="000000"/>
                <w:kern w:val="0"/>
                <w:sz w:val="24"/>
                <w:lang w:bidi="ar"/>
              </w:rPr>
              <w:t>22</w:t>
            </w:r>
          </w:p>
        </w:tc>
        <w:tc>
          <w:tcPr>
            <w:tcW w:w="838" w:type="pct"/>
            <w:tcBorders>
              <w:top w:val="single" w:color="000000" w:sz="4" w:space="0"/>
              <w:left w:val="single" w:color="000000" w:sz="4" w:space="0"/>
              <w:bottom w:val="single" w:color="000000" w:sz="4" w:space="0"/>
              <w:right w:val="single" w:color="000000" w:sz="4" w:space="0"/>
            </w:tcBorders>
            <w:vAlign w:val="center"/>
          </w:tcPr>
          <w:p w14:paraId="586D2FDB">
            <w:pPr>
              <w:topLinePunct/>
              <w:adjustRightInd w:val="0"/>
              <w:snapToGrid w:val="0"/>
              <w:textAlignment w:val="center"/>
              <w:rPr>
                <w:rFonts w:eastAsia="仿宋"/>
                <w:color w:val="000000"/>
                <w:kern w:val="0"/>
                <w:sz w:val="24"/>
                <w:lang w:bidi="ar"/>
              </w:rPr>
            </w:pPr>
            <w:r>
              <w:rPr>
                <w:rFonts w:eastAsia="仿宋"/>
                <w:color w:val="000000"/>
                <w:kern w:val="0"/>
                <w:sz w:val="24"/>
                <w:lang w:bidi="ar"/>
              </w:rPr>
              <w:t>对矿山、金属冶炼建设项目或者用于生产、储存危险化学品、烟花爆竹的建设项目的施工单位未按照批准的安全设施设计施工的行政处罚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0C943997">
            <w:pPr>
              <w:topLinePunct/>
              <w:adjustRightInd w:val="0"/>
              <w:snapToGrid w:val="0"/>
              <w:jc w:val="left"/>
              <w:textAlignment w:val="center"/>
              <w:rPr>
                <w:rFonts w:eastAsia="仿宋_GB2312"/>
                <w:kern w:val="0"/>
                <w:sz w:val="24"/>
                <w:lang w:bidi="ar"/>
              </w:rPr>
            </w:pPr>
            <w:r>
              <w:rPr>
                <w:rFonts w:eastAsia="仿宋_GB2312"/>
                <w:kern w:val="0"/>
                <w:sz w:val="24"/>
                <w:lang w:bidi="ar"/>
              </w:rPr>
              <w:t>《中华人民共和国安全生产法》第九十八条第三项  生产经营单位有下列行为之一的，责令停止建设或者停产停业整顿，限期改正，并处十万元以上五十万元以下的罚款，对其直接负责的主管人员和其他直接责任人员处二万元以上五万元以下的罚款；逾期未改正的，处五十万元以上一百万元以下的罚款，对其直接负责的主管人员和其他直接责任人员处五万元以上十万元以下的罚款；构成犯罪的，依照刑法有关规定追究刑事责任：（三）矿山、金属冶炼建设项目或者用于生产、储存、装卸危险物品的建设项目的施工单位未按照批准的安全设施设计施工的；</w:t>
            </w:r>
            <w:r>
              <w:rPr>
                <w:rFonts w:eastAsia="仿宋_GB2312"/>
                <w:kern w:val="0"/>
                <w:sz w:val="24"/>
                <w:lang w:bidi="ar"/>
              </w:rPr>
              <w:br w:type="textWrapping"/>
            </w:r>
            <w:r>
              <w:rPr>
                <w:rFonts w:eastAsia="仿宋_GB2312"/>
                <w:kern w:val="0"/>
                <w:sz w:val="24"/>
                <w:lang w:bidi="ar"/>
              </w:rPr>
              <w:t>第一百一十五条 本法规定的行政处罚，由应急管理部门和其他负有安全生产监督管理职责的部门按照职责分工决定；其中，根据本法第九十五条、第一百一十条、第一百一十四条的规定应当给予民航、铁路、电力行业的生产经营单位及其主要负责人行政处罚的，也可以由主管的负有安全生产监督管理职责的部门进行处罚。予以关闭的行政处罚，由负有安全生产监督管理职责的部门报请县级以上人民政府按照国务院规定的权限决定；给予拘留的行政处罚，由公安机关依照治安管理处罚的规定决定。</w:t>
            </w:r>
          </w:p>
        </w:tc>
        <w:tc>
          <w:tcPr>
            <w:tcW w:w="476" w:type="pct"/>
            <w:tcBorders>
              <w:top w:val="single" w:color="000000" w:sz="4" w:space="0"/>
              <w:left w:val="single" w:color="000000" w:sz="4" w:space="0"/>
              <w:bottom w:val="single" w:color="000000" w:sz="4" w:space="0"/>
              <w:right w:val="single" w:color="000000" w:sz="4" w:space="0"/>
            </w:tcBorders>
            <w:vAlign w:val="center"/>
          </w:tcPr>
          <w:p w14:paraId="5AF28EA5">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414BBA60">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368644FA">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1101F2FA">
        <w:tblPrEx>
          <w:tblCellMar>
            <w:top w:w="0" w:type="dxa"/>
            <w:left w:w="108" w:type="dxa"/>
            <w:bottom w:w="0" w:type="dxa"/>
            <w:right w:w="108" w:type="dxa"/>
          </w:tblCellMar>
        </w:tblPrEx>
        <w:trPr>
          <w:trHeight w:val="28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4CC7FE3E">
            <w:pPr>
              <w:topLinePunct/>
              <w:adjustRightInd w:val="0"/>
              <w:snapToGrid w:val="0"/>
              <w:jc w:val="center"/>
              <w:textAlignment w:val="center"/>
              <w:rPr>
                <w:rFonts w:eastAsia="仿宋"/>
                <w:color w:val="000000"/>
                <w:sz w:val="24"/>
              </w:rPr>
            </w:pPr>
            <w:r>
              <w:rPr>
                <w:rFonts w:eastAsia="仿宋"/>
                <w:color w:val="000000"/>
                <w:kern w:val="0"/>
                <w:sz w:val="24"/>
                <w:lang w:bidi="ar"/>
              </w:rPr>
              <w:t>23</w:t>
            </w:r>
          </w:p>
        </w:tc>
        <w:tc>
          <w:tcPr>
            <w:tcW w:w="838" w:type="pct"/>
            <w:tcBorders>
              <w:top w:val="single" w:color="000000" w:sz="4" w:space="0"/>
              <w:left w:val="single" w:color="000000" w:sz="4" w:space="0"/>
              <w:bottom w:val="single" w:color="000000" w:sz="4" w:space="0"/>
              <w:right w:val="single" w:color="000000" w:sz="4" w:space="0"/>
            </w:tcBorders>
            <w:vAlign w:val="center"/>
          </w:tcPr>
          <w:p w14:paraId="43417CF1">
            <w:pPr>
              <w:topLinePunct/>
              <w:adjustRightInd w:val="0"/>
              <w:snapToGrid w:val="0"/>
              <w:textAlignment w:val="center"/>
              <w:rPr>
                <w:rFonts w:eastAsia="仿宋"/>
                <w:color w:val="000000"/>
                <w:sz w:val="24"/>
              </w:rPr>
            </w:pPr>
            <w:r>
              <w:rPr>
                <w:rFonts w:eastAsia="仿宋"/>
                <w:color w:val="000000"/>
                <w:kern w:val="0"/>
                <w:sz w:val="24"/>
                <w:lang w:bidi="ar"/>
              </w:rPr>
              <w:t>对矿山、金属冶炼建设项目或者用于生产、储存危险化学品、烟花爆竹的建设项目竣工投入生产或者使用前，安全设施未经验收合格的行政处罚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392FE7E2">
            <w:pPr>
              <w:numPr>
                <w:ilvl w:val="0"/>
                <w:numId w:val="0"/>
              </w:numPr>
              <w:topLinePunct/>
              <w:adjustRightInd w:val="0"/>
              <w:snapToGrid w:val="0"/>
              <w:jc w:val="left"/>
              <w:textAlignment w:val="center"/>
              <w:rPr>
                <w:rFonts w:eastAsia="仿宋_GB2312"/>
                <w:sz w:val="24"/>
              </w:rPr>
            </w:pPr>
            <w:r>
              <w:rPr>
                <w:rFonts w:eastAsia="仿宋_GB2312"/>
                <w:kern w:val="0"/>
                <w:sz w:val="24"/>
                <w:lang w:bidi="ar"/>
              </w:rPr>
              <w:t>《中华人民共和国安全生产法》第九十八条第四项  生产经营单位有下列行为之一的，责令停止建设或者停产停业整顿，限期改正，并处十万元以上五十万元以下的罚款，对其直接负责的主管人员和其他直接责任人员处二万元以上五万元以下的罚款；逾期未改正的，处五十万元以上一百万元以下的罚款，对其直接负责的主管人员和其他直接责任人员处五万元以上十万元以下的罚款；构成犯罪的，依照刑法有关规定追究刑事责任：（四）矿山、金属冶炼建设项目或者用于生产、储存、装卸危险物品的建设项目竣工投入生产或者使用前，安全设施未经验收合格的。</w:t>
            </w:r>
            <w:r>
              <w:rPr>
                <w:rFonts w:eastAsia="仿宋_GB2312"/>
                <w:kern w:val="0"/>
                <w:sz w:val="24"/>
                <w:lang w:bidi="ar"/>
              </w:rPr>
              <w:br w:type="textWrapping"/>
            </w:r>
            <w:r>
              <w:rPr>
                <w:rFonts w:eastAsia="仿宋_GB2312"/>
                <w:kern w:val="0"/>
                <w:sz w:val="24"/>
                <w:lang w:bidi="ar"/>
              </w:rPr>
              <w:t>第一百一十五条  本法规定的行政处罚，由应急管理部门和其他负有安全生产监督管理职责的部门按照职责分工决定；其中，根据本法第九十五条、第一百一十条、第一百一十四条的规定应当给予民航、铁路、电力行业的生产经营单位及其主要负责人行政处罚的，也可以由主管的负有安全生产监督管理职责的部门进行处罚。予以关闭的行政处罚，由负有安全生产监督管理职责的部门报请县级以上人民政府按照国务院规定的权限决定；给予拘留的行政处罚，由公安机关依照治安管理处罚的规定决定。</w:t>
            </w:r>
          </w:p>
        </w:tc>
        <w:tc>
          <w:tcPr>
            <w:tcW w:w="476" w:type="pct"/>
            <w:tcBorders>
              <w:top w:val="single" w:color="000000" w:sz="4" w:space="0"/>
              <w:left w:val="single" w:color="000000" w:sz="4" w:space="0"/>
              <w:bottom w:val="single" w:color="000000" w:sz="4" w:space="0"/>
              <w:right w:val="single" w:color="000000" w:sz="4" w:space="0"/>
            </w:tcBorders>
            <w:vAlign w:val="center"/>
          </w:tcPr>
          <w:p w14:paraId="304290E4">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57320F2A">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2C8DDB3E">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11A8F579">
        <w:tblPrEx>
          <w:tblCellMar>
            <w:top w:w="0" w:type="dxa"/>
            <w:left w:w="108" w:type="dxa"/>
            <w:bottom w:w="0" w:type="dxa"/>
            <w:right w:w="108" w:type="dxa"/>
          </w:tblCellMar>
        </w:tblPrEx>
        <w:trPr>
          <w:trHeight w:val="5208"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281B4D1C">
            <w:pPr>
              <w:topLinePunct/>
              <w:adjustRightInd w:val="0"/>
              <w:snapToGrid w:val="0"/>
              <w:jc w:val="center"/>
              <w:textAlignment w:val="center"/>
              <w:rPr>
                <w:rFonts w:eastAsia="仿宋"/>
                <w:color w:val="000000"/>
                <w:sz w:val="24"/>
              </w:rPr>
            </w:pPr>
            <w:r>
              <w:rPr>
                <w:rFonts w:eastAsia="仿宋"/>
                <w:color w:val="000000"/>
                <w:kern w:val="0"/>
                <w:sz w:val="24"/>
                <w:lang w:bidi="ar"/>
              </w:rPr>
              <w:t>24</w:t>
            </w:r>
          </w:p>
        </w:tc>
        <w:tc>
          <w:tcPr>
            <w:tcW w:w="838" w:type="pct"/>
            <w:tcBorders>
              <w:top w:val="single" w:color="000000" w:sz="4" w:space="0"/>
              <w:left w:val="single" w:color="000000" w:sz="4" w:space="0"/>
              <w:bottom w:val="single" w:color="000000" w:sz="4" w:space="0"/>
              <w:right w:val="single" w:color="000000" w:sz="4" w:space="0"/>
            </w:tcBorders>
            <w:vAlign w:val="center"/>
          </w:tcPr>
          <w:p w14:paraId="4DAF9163">
            <w:pPr>
              <w:topLinePunct/>
              <w:adjustRightInd w:val="0"/>
              <w:snapToGrid w:val="0"/>
              <w:textAlignment w:val="center"/>
              <w:rPr>
                <w:rFonts w:eastAsia="仿宋"/>
                <w:color w:val="000000"/>
                <w:sz w:val="24"/>
              </w:rPr>
            </w:pPr>
            <w:r>
              <w:rPr>
                <w:rFonts w:eastAsia="仿宋"/>
                <w:color w:val="000000"/>
                <w:kern w:val="0"/>
                <w:sz w:val="24"/>
                <w:lang w:bidi="ar"/>
              </w:rPr>
              <w:t>对使用危险化学品从事生产并且使用量达到规定数量的化工建设项目以及法律、行政法规和国务院规定的其他建设项目，存在没有安全设施设计等行为的行政处罚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53FBCE79">
            <w:pPr>
              <w:topLinePunct/>
              <w:adjustRightInd w:val="0"/>
              <w:snapToGrid w:val="0"/>
              <w:jc w:val="left"/>
              <w:textAlignment w:val="center"/>
              <w:rPr>
                <w:rFonts w:eastAsia="仿宋_GB2312"/>
                <w:sz w:val="24"/>
              </w:rPr>
            </w:pPr>
            <w:r>
              <w:rPr>
                <w:rFonts w:eastAsia="仿宋_GB2312"/>
                <w:kern w:val="0"/>
                <w:sz w:val="24"/>
                <w:lang w:bidi="ar"/>
              </w:rPr>
              <w:t>《建设项目安全设施“三同时”监督管理办法》第七条  下列建设项目在进行可行性研究时，生产经营单位应当按照国家规定，进行安全预评价：（一）非煤矿矿山建设项目；（二）生产、储存危险化学品（包括使用长输管道输送危险化学品，下同）的建设项目；（三）生产、储存烟花爆竹的建设项目；（四）金属冶炼建设项目；（五）使用危险化学品从事生产并且使用量达到规定数量的化工建设项目（属于危险化学品生产的除外，下同）；（六）法律、行政法规和国务院规定的其他建设项目。</w:t>
            </w:r>
            <w:r>
              <w:rPr>
                <w:rFonts w:eastAsia="仿宋_GB2312"/>
                <w:kern w:val="0"/>
                <w:sz w:val="24"/>
                <w:lang w:bidi="ar"/>
              </w:rPr>
              <w:br w:type="textWrapping"/>
            </w:r>
            <w:r>
              <w:rPr>
                <w:rFonts w:eastAsia="仿宋_GB2312"/>
                <w:kern w:val="0"/>
                <w:sz w:val="24"/>
                <w:lang w:bidi="ar"/>
              </w:rPr>
              <w:t>第三十条  本办法第七条第（一）项、第（二）项、第（三）项和第（四）项规定以外的建设项目有下列情形之一的，对有关生产经营单位责令限期改正，可以并处5000元以上3万元以下的罚款：（一）没有安全设施设计的；（二）安全设施设计未组织审查，并形成书面审查报告的；（三）施工单位未按照安全设施设计施工的；（四）投入生产或者使用前，安全设施未经竣工验收合格，并形成书面报告的。</w:t>
            </w:r>
          </w:p>
        </w:tc>
        <w:tc>
          <w:tcPr>
            <w:tcW w:w="476" w:type="pct"/>
            <w:tcBorders>
              <w:top w:val="single" w:color="000000" w:sz="4" w:space="0"/>
              <w:left w:val="single" w:color="000000" w:sz="4" w:space="0"/>
              <w:bottom w:val="single" w:color="000000" w:sz="4" w:space="0"/>
              <w:right w:val="single" w:color="000000" w:sz="4" w:space="0"/>
            </w:tcBorders>
            <w:vAlign w:val="center"/>
          </w:tcPr>
          <w:p w14:paraId="2CC17EBD">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41528192">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5B2EB5D9">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245796D0">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79970A35">
            <w:pPr>
              <w:topLinePunct/>
              <w:adjustRightInd w:val="0"/>
              <w:snapToGrid w:val="0"/>
              <w:jc w:val="center"/>
              <w:textAlignment w:val="center"/>
              <w:rPr>
                <w:rFonts w:eastAsia="仿宋"/>
                <w:color w:val="000000"/>
                <w:sz w:val="24"/>
              </w:rPr>
            </w:pPr>
            <w:r>
              <w:rPr>
                <w:rFonts w:eastAsia="仿宋"/>
                <w:color w:val="000000"/>
                <w:kern w:val="0"/>
                <w:sz w:val="24"/>
                <w:lang w:bidi="ar"/>
              </w:rPr>
              <w:t>25</w:t>
            </w:r>
          </w:p>
        </w:tc>
        <w:tc>
          <w:tcPr>
            <w:tcW w:w="838" w:type="pct"/>
            <w:tcBorders>
              <w:top w:val="single" w:color="000000" w:sz="4" w:space="0"/>
              <w:left w:val="single" w:color="000000" w:sz="4" w:space="0"/>
              <w:bottom w:val="single" w:color="000000" w:sz="4" w:space="0"/>
              <w:right w:val="single" w:color="000000" w:sz="4" w:space="0"/>
            </w:tcBorders>
            <w:vAlign w:val="center"/>
          </w:tcPr>
          <w:p w14:paraId="0AD37EE8">
            <w:pPr>
              <w:topLinePunct/>
              <w:adjustRightInd w:val="0"/>
              <w:snapToGrid w:val="0"/>
              <w:textAlignment w:val="center"/>
              <w:rPr>
                <w:rFonts w:eastAsia="仿宋"/>
                <w:color w:val="000000"/>
                <w:sz w:val="24"/>
              </w:rPr>
            </w:pPr>
            <w:r>
              <w:rPr>
                <w:rFonts w:eastAsia="仿宋"/>
                <w:color w:val="000000"/>
                <w:kern w:val="0"/>
                <w:sz w:val="24"/>
                <w:lang w:bidi="ar"/>
              </w:rPr>
              <w:t>对已经批准的建设项目安全设施设计发生重大变更，生产经营单位未报原批准部门审查同意擅自开工建设的行政处罚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43513ED7">
            <w:pPr>
              <w:topLinePunct/>
              <w:adjustRightInd w:val="0"/>
              <w:snapToGrid w:val="0"/>
              <w:jc w:val="left"/>
              <w:textAlignment w:val="center"/>
              <w:rPr>
                <w:rFonts w:eastAsia="仿宋_GB2312"/>
                <w:sz w:val="24"/>
              </w:rPr>
            </w:pPr>
            <w:r>
              <w:rPr>
                <w:rFonts w:eastAsia="仿宋_GB2312"/>
                <w:kern w:val="0"/>
                <w:sz w:val="24"/>
                <w:lang w:bidi="ar"/>
              </w:rPr>
              <w:t>《建设项目安全设施“三同时”监督管理办法》第二十九条  已经批准的建设项目安全设施设计发生重大变更，生产经营单位未报原批准部门审查同意擅自开工建设的，责令限期改正，可以并处1万元以上3万元以下的罚款。</w:t>
            </w:r>
          </w:p>
        </w:tc>
        <w:tc>
          <w:tcPr>
            <w:tcW w:w="476" w:type="pct"/>
            <w:tcBorders>
              <w:top w:val="single" w:color="000000" w:sz="4" w:space="0"/>
              <w:left w:val="single" w:color="000000" w:sz="4" w:space="0"/>
              <w:bottom w:val="single" w:color="000000" w:sz="4" w:space="0"/>
              <w:right w:val="single" w:color="000000" w:sz="4" w:space="0"/>
            </w:tcBorders>
            <w:vAlign w:val="center"/>
          </w:tcPr>
          <w:p w14:paraId="1F1EFB5F">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29B77D21">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2F3AA818">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103A7E5B">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4FE5F72D">
            <w:pPr>
              <w:topLinePunct/>
              <w:adjustRightInd w:val="0"/>
              <w:snapToGrid w:val="0"/>
              <w:jc w:val="center"/>
              <w:textAlignment w:val="center"/>
              <w:rPr>
                <w:rFonts w:eastAsia="仿宋"/>
                <w:color w:val="000000"/>
                <w:sz w:val="24"/>
              </w:rPr>
            </w:pPr>
            <w:r>
              <w:rPr>
                <w:rFonts w:eastAsia="仿宋"/>
                <w:color w:val="000000"/>
                <w:kern w:val="0"/>
                <w:sz w:val="24"/>
                <w:lang w:bidi="ar"/>
              </w:rPr>
              <w:t>26</w:t>
            </w:r>
          </w:p>
        </w:tc>
        <w:tc>
          <w:tcPr>
            <w:tcW w:w="838" w:type="pct"/>
            <w:tcBorders>
              <w:top w:val="single" w:color="000000" w:sz="4" w:space="0"/>
              <w:left w:val="single" w:color="000000" w:sz="4" w:space="0"/>
              <w:bottom w:val="single" w:color="000000" w:sz="4" w:space="0"/>
              <w:right w:val="single" w:color="000000" w:sz="4" w:space="0"/>
            </w:tcBorders>
            <w:vAlign w:val="center"/>
          </w:tcPr>
          <w:p w14:paraId="4CAFDC49">
            <w:pPr>
              <w:topLinePunct/>
              <w:adjustRightInd w:val="0"/>
              <w:snapToGrid w:val="0"/>
              <w:textAlignment w:val="center"/>
              <w:rPr>
                <w:rFonts w:eastAsia="仿宋"/>
                <w:color w:val="000000"/>
                <w:sz w:val="24"/>
              </w:rPr>
            </w:pPr>
            <w:r>
              <w:rPr>
                <w:rFonts w:eastAsia="仿宋"/>
                <w:color w:val="000000"/>
                <w:kern w:val="0"/>
                <w:sz w:val="24"/>
                <w:lang w:bidi="ar"/>
              </w:rPr>
              <w:t>对生产经营单位未在有较大危险因素的生产经营场所和有关设施、设备上设置明显的安全警示标志的行政处罚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7C7BC203">
            <w:pPr>
              <w:topLinePunct/>
              <w:adjustRightInd w:val="0"/>
              <w:snapToGrid w:val="0"/>
              <w:jc w:val="left"/>
              <w:textAlignment w:val="center"/>
              <w:rPr>
                <w:rFonts w:eastAsia="仿宋_GB2312"/>
                <w:sz w:val="24"/>
              </w:rPr>
            </w:pPr>
            <w:r>
              <w:rPr>
                <w:rFonts w:eastAsia="仿宋_GB2312"/>
                <w:kern w:val="0"/>
                <w:sz w:val="24"/>
                <w:lang w:bidi="ar"/>
              </w:rPr>
              <w:t>1.《中华人民共和国安全生产法》第九十九条第一项  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一）未在有较大危险因素的生产经营场所和有关设施、设备上设置明显的安全警示标志的；</w:t>
            </w:r>
            <w:r>
              <w:rPr>
                <w:rFonts w:eastAsia="仿宋_GB2312"/>
                <w:kern w:val="0"/>
                <w:sz w:val="24"/>
                <w:lang w:bidi="ar"/>
              </w:rPr>
              <w:br w:type="textWrapping"/>
            </w:r>
            <w:r>
              <w:rPr>
                <w:rFonts w:eastAsia="仿宋_GB2312"/>
                <w:kern w:val="0"/>
                <w:sz w:val="24"/>
                <w:lang w:bidi="ar"/>
              </w:rPr>
              <w:t>第一百一十五条  本法规定的行政处罚，由应急管理部门和其他负有安全生产监督管理职责的部门按照职责分工决定；其中，根据本法第九十五条、第一百一十条、第一百一十四条的规定应当给予民航、铁路、电力行业的生产经营单位及其主要负责人行政处罚的，也可以由主管的负有安全生产监督管理职责的部门进行处罚。予以关闭的行政处罚，由负有安全生产监督管理职责的部门报请县级以上人民政府按照国务院规定的权限决定；给予拘留的行政处罚，由公安机关依照治安管理处罚的规定决定。</w:t>
            </w:r>
            <w:r>
              <w:rPr>
                <w:rFonts w:eastAsia="仿宋_GB2312"/>
                <w:kern w:val="0"/>
                <w:sz w:val="24"/>
                <w:lang w:bidi="ar"/>
              </w:rPr>
              <w:br w:type="textWrapping"/>
            </w:r>
            <w:r>
              <w:rPr>
                <w:rFonts w:eastAsia="仿宋_GB2312"/>
                <w:kern w:val="0"/>
                <w:sz w:val="24"/>
                <w:lang w:bidi="ar"/>
              </w:rPr>
              <w:t>2.《工贸企业粉尘防爆安全规定》</w:t>
            </w:r>
            <w:r>
              <w:rPr>
                <w:rFonts w:eastAsia="仿宋_GB2312"/>
                <w:kern w:val="0"/>
                <w:sz w:val="24"/>
                <w:lang w:bidi="ar"/>
              </w:rPr>
              <w:br w:type="textWrapping"/>
            </w:r>
            <w:r>
              <w:rPr>
                <w:rFonts w:eastAsia="仿宋_GB2312"/>
                <w:kern w:val="0"/>
                <w:sz w:val="24"/>
                <w:lang w:bidi="ar"/>
              </w:rPr>
              <w:t>第二十七条第一项  粉尘涉爆企业有下列行为之一的，由负责粉尘涉爆企业安全监管的部门依照《中华人民共和国安全生产法》有关规定，责令限期改正，处5万元以下的罚款；逾期未改正的，处5万元以上20万元以下的罚款，对其直接负责的主管人员和其他直接责任人员处1万元以上2万元以下的罚款；情节严重的，责令停产停业整顿；构成犯罪的，依照刑法有关规定追究刑事责任：（一）未在产生、输送、收集、贮存可燃性粉尘，并且有较大危险因素的场所、设施和设备上设置明显的安全警示标志的；</w:t>
            </w:r>
          </w:p>
        </w:tc>
        <w:tc>
          <w:tcPr>
            <w:tcW w:w="476" w:type="pct"/>
            <w:tcBorders>
              <w:top w:val="single" w:color="000000" w:sz="4" w:space="0"/>
              <w:left w:val="single" w:color="000000" w:sz="4" w:space="0"/>
              <w:bottom w:val="single" w:color="000000" w:sz="4" w:space="0"/>
              <w:right w:val="single" w:color="000000" w:sz="4" w:space="0"/>
            </w:tcBorders>
            <w:vAlign w:val="center"/>
          </w:tcPr>
          <w:p w14:paraId="6033DB61">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560C46C6">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13E044B9">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70B3E567">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27AAC55E">
            <w:pPr>
              <w:topLinePunct/>
              <w:adjustRightInd w:val="0"/>
              <w:snapToGrid w:val="0"/>
              <w:jc w:val="center"/>
              <w:textAlignment w:val="center"/>
              <w:rPr>
                <w:rFonts w:eastAsia="仿宋"/>
                <w:color w:val="000000"/>
                <w:sz w:val="24"/>
              </w:rPr>
            </w:pPr>
            <w:r>
              <w:rPr>
                <w:rFonts w:eastAsia="仿宋"/>
                <w:color w:val="000000"/>
                <w:kern w:val="0"/>
                <w:sz w:val="24"/>
                <w:lang w:bidi="ar"/>
              </w:rPr>
              <w:t>27</w:t>
            </w:r>
          </w:p>
        </w:tc>
        <w:tc>
          <w:tcPr>
            <w:tcW w:w="838" w:type="pct"/>
            <w:tcBorders>
              <w:top w:val="single" w:color="000000" w:sz="4" w:space="0"/>
              <w:left w:val="single" w:color="000000" w:sz="4" w:space="0"/>
              <w:bottom w:val="single" w:color="000000" w:sz="4" w:space="0"/>
              <w:right w:val="single" w:color="000000" w:sz="4" w:space="0"/>
            </w:tcBorders>
            <w:vAlign w:val="center"/>
          </w:tcPr>
          <w:p w14:paraId="688C42DF">
            <w:pPr>
              <w:topLinePunct/>
              <w:adjustRightInd w:val="0"/>
              <w:snapToGrid w:val="0"/>
              <w:textAlignment w:val="center"/>
              <w:rPr>
                <w:rFonts w:eastAsia="仿宋"/>
                <w:color w:val="000000"/>
                <w:sz w:val="24"/>
              </w:rPr>
            </w:pPr>
            <w:r>
              <w:rPr>
                <w:rFonts w:eastAsia="仿宋"/>
                <w:color w:val="000000"/>
                <w:kern w:val="0"/>
                <w:sz w:val="24"/>
                <w:lang w:bidi="ar"/>
              </w:rPr>
              <w:t>对生产经营单位安全设备的安装、使用、检测、改造和报废不符合国家标准或者行业标准的行政处罚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10AEC3F4">
            <w:pPr>
              <w:topLinePunct/>
              <w:adjustRightInd w:val="0"/>
              <w:snapToGrid w:val="0"/>
              <w:jc w:val="left"/>
              <w:textAlignment w:val="center"/>
              <w:rPr>
                <w:rFonts w:eastAsia="仿宋"/>
                <w:color w:val="000000"/>
                <w:sz w:val="24"/>
              </w:rPr>
            </w:pPr>
            <w:r>
              <w:rPr>
                <w:rFonts w:eastAsia="仿宋"/>
                <w:color w:val="000000"/>
                <w:kern w:val="0"/>
                <w:sz w:val="24"/>
                <w:lang w:bidi="ar"/>
              </w:rPr>
              <w:t>1.《中华人民共和国安全生产法》第九十九条第二项  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二）安全设备的安装、使用、检测、改造和报废不符合国家标准或者行业标准的；</w:t>
            </w:r>
            <w:r>
              <w:rPr>
                <w:rFonts w:eastAsia="仿宋"/>
                <w:color w:val="000000"/>
                <w:kern w:val="0"/>
                <w:sz w:val="24"/>
                <w:lang w:bidi="ar"/>
              </w:rPr>
              <w:br w:type="textWrapping"/>
            </w:r>
            <w:r>
              <w:rPr>
                <w:rFonts w:eastAsia="仿宋"/>
                <w:color w:val="000000"/>
                <w:kern w:val="0"/>
                <w:sz w:val="24"/>
                <w:lang w:bidi="ar"/>
              </w:rPr>
              <w:t>第一百一十五条  本法规定的行政处罚，由应急管理部门和其他负有安全生产监督管理职责的部门按照职责分工决定；其中，根据本法第九十五条、第一百一十条、第一百一十四条的规定应当给予民航、铁路、电力行业的生产经营单位及其主要负责人行政处罚的，也可以由主管的负有安全生产监督管理职责的部门进行处罚。予以关闭的行政处罚，由负有安全生产监督管理职责的部门报请县级以上人民政府按照国务院规定的权限决定；给予拘留的行政处罚，由公安机关依照治安管理处罚的规定决定。</w:t>
            </w:r>
            <w:r>
              <w:rPr>
                <w:rFonts w:eastAsia="仿宋"/>
                <w:color w:val="000000"/>
                <w:kern w:val="0"/>
                <w:sz w:val="24"/>
                <w:lang w:bidi="ar"/>
              </w:rPr>
              <w:br w:type="textWrapping"/>
            </w:r>
            <w:r>
              <w:rPr>
                <w:rFonts w:eastAsia="仿宋"/>
                <w:color w:val="000000"/>
                <w:kern w:val="0"/>
                <w:sz w:val="24"/>
                <w:lang w:bidi="ar"/>
              </w:rPr>
              <w:t>2.《工贸企业粉尘防爆安全规定》</w:t>
            </w:r>
            <w:r>
              <w:rPr>
                <w:rFonts w:eastAsia="仿宋"/>
                <w:color w:val="000000"/>
                <w:kern w:val="0"/>
                <w:sz w:val="24"/>
                <w:lang w:bidi="ar"/>
              </w:rPr>
              <w:br w:type="textWrapping"/>
            </w:r>
            <w:r>
              <w:rPr>
                <w:rFonts w:eastAsia="仿宋"/>
                <w:color w:val="000000"/>
                <w:kern w:val="0"/>
                <w:sz w:val="24"/>
                <w:lang w:bidi="ar"/>
              </w:rPr>
              <w:t>第二十七条第二项  粉尘涉爆企业有下列行为之一的，由负责粉尘涉爆企业安全监管的部门依照《中华人民共和国安全生产法》有关规定，责令限期改正，处5万元以下的罚款；逾期未改正的，处5万元以上20万元以下的罚款，对其直接负责的主管人员和其他直接责任人员处1万元以上2万元以下的罚款；情节严重的，责令停产停业整顿；构成犯罪的，依照刑法有关规定追究刑事责任：（二）粉尘防爆安全设备的安装、使用、检测、改造和报废不符合国家标准或者行业标准的；</w:t>
            </w:r>
          </w:p>
        </w:tc>
        <w:tc>
          <w:tcPr>
            <w:tcW w:w="476" w:type="pct"/>
            <w:tcBorders>
              <w:top w:val="single" w:color="000000" w:sz="4" w:space="0"/>
              <w:left w:val="single" w:color="000000" w:sz="4" w:space="0"/>
              <w:bottom w:val="single" w:color="000000" w:sz="4" w:space="0"/>
              <w:right w:val="single" w:color="000000" w:sz="4" w:space="0"/>
            </w:tcBorders>
            <w:vAlign w:val="center"/>
          </w:tcPr>
          <w:p w14:paraId="17C4C21D">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2A2574FF">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23382D26">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11E09593">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01114B3C">
            <w:pPr>
              <w:topLinePunct/>
              <w:adjustRightInd w:val="0"/>
              <w:snapToGrid w:val="0"/>
              <w:jc w:val="center"/>
              <w:textAlignment w:val="center"/>
              <w:rPr>
                <w:rFonts w:eastAsia="仿宋"/>
                <w:color w:val="000000"/>
                <w:sz w:val="24"/>
              </w:rPr>
            </w:pPr>
            <w:r>
              <w:rPr>
                <w:rFonts w:eastAsia="仿宋"/>
                <w:color w:val="000000"/>
                <w:kern w:val="0"/>
                <w:sz w:val="24"/>
                <w:lang w:bidi="ar"/>
              </w:rPr>
              <w:t>28</w:t>
            </w:r>
          </w:p>
        </w:tc>
        <w:tc>
          <w:tcPr>
            <w:tcW w:w="838" w:type="pct"/>
            <w:tcBorders>
              <w:top w:val="single" w:color="000000" w:sz="4" w:space="0"/>
              <w:left w:val="single" w:color="000000" w:sz="4" w:space="0"/>
              <w:bottom w:val="single" w:color="000000" w:sz="4" w:space="0"/>
              <w:right w:val="single" w:color="000000" w:sz="4" w:space="0"/>
            </w:tcBorders>
            <w:vAlign w:val="center"/>
          </w:tcPr>
          <w:p w14:paraId="54A59B61">
            <w:pPr>
              <w:topLinePunct/>
              <w:adjustRightInd w:val="0"/>
              <w:snapToGrid w:val="0"/>
              <w:textAlignment w:val="center"/>
              <w:rPr>
                <w:rFonts w:eastAsia="仿宋"/>
                <w:color w:val="000000"/>
                <w:sz w:val="24"/>
              </w:rPr>
            </w:pPr>
            <w:r>
              <w:rPr>
                <w:rFonts w:eastAsia="仿宋"/>
                <w:color w:val="000000"/>
                <w:kern w:val="0"/>
                <w:sz w:val="24"/>
                <w:lang w:bidi="ar"/>
              </w:rPr>
              <w:t>对生产经营单位未对安全设备进行经常性维护、保养和定期检测的行政处罚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58F7BEC1">
            <w:pPr>
              <w:topLinePunct/>
              <w:adjustRightInd w:val="0"/>
              <w:snapToGrid w:val="0"/>
              <w:jc w:val="left"/>
              <w:textAlignment w:val="center"/>
              <w:rPr>
                <w:rFonts w:eastAsia="仿宋"/>
                <w:color w:val="000000"/>
                <w:sz w:val="24"/>
              </w:rPr>
            </w:pPr>
            <w:r>
              <w:rPr>
                <w:rFonts w:eastAsia="仿宋"/>
                <w:color w:val="000000"/>
                <w:kern w:val="0"/>
                <w:sz w:val="24"/>
                <w:lang w:bidi="ar"/>
              </w:rPr>
              <w:t>1.《中华人民共和国安全生产法》第九十九条第三项  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三）未对安全设备进行经常性维护、保养和定期检测的；</w:t>
            </w:r>
            <w:r>
              <w:rPr>
                <w:rFonts w:eastAsia="仿宋"/>
                <w:color w:val="000000"/>
                <w:kern w:val="0"/>
                <w:sz w:val="24"/>
                <w:lang w:bidi="ar"/>
              </w:rPr>
              <w:br w:type="textWrapping"/>
            </w:r>
            <w:r>
              <w:rPr>
                <w:rFonts w:eastAsia="仿宋"/>
                <w:color w:val="000000"/>
                <w:kern w:val="0"/>
                <w:sz w:val="24"/>
                <w:lang w:bidi="ar"/>
              </w:rPr>
              <w:t>第一百一十五条  本法规定的行政处罚，由应急管理部门和其他负有安全生产监督管理职责的部门按照职责分工决定；其中，根据本法第九十五条、第一百一十条、第一百一十四条的规定应当给予民航、铁路、电力行业的生产经营单位及其主要负责人行政处罚的，也可以由主管的负有安全生产监督管理职责的部门进行处罚。予以关闭的行政处罚，由负有安全生产监督管理职责的部门报请县级以上人民政府按照国务院规定的权限决定；给予拘留的行政处罚，由公安机关依照治安管理处罚的规定决定。</w:t>
            </w:r>
            <w:r>
              <w:rPr>
                <w:rFonts w:eastAsia="仿宋"/>
                <w:color w:val="000000"/>
                <w:kern w:val="0"/>
                <w:sz w:val="24"/>
                <w:lang w:bidi="ar"/>
              </w:rPr>
              <w:br w:type="textWrapping"/>
            </w:r>
            <w:r>
              <w:rPr>
                <w:rFonts w:eastAsia="仿宋"/>
                <w:color w:val="000000"/>
                <w:kern w:val="0"/>
                <w:sz w:val="24"/>
                <w:lang w:bidi="ar"/>
              </w:rPr>
              <w:t>2.《工贸企业粉尘防爆安全规定》第二十七条第三项  粉尘涉爆企业有下列行为之一的，由负责粉尘涉爆企业安全监管的部门依照《中华人民共和国安全生产法》有关规定，责令限期改正，处5万元以下的罚款；逾期未改正的，处5万元以上20万元以下的罚款，对其直接负责的主管人员和其他直接责任人员处1万元以上2万元以下的罚款；情节严重的，责令停产停业整顿；构成犯罪的，依照刑法有关规定追究刑事责任：（三）未对粉尘防爆安全设备进行经常性维护、保养和定期检测或者检查的；</w:t>
            </w:r>
          </w:p>
        </w:tc>
        <w:tc>
          <w:tcPr>
            <w:tcW w:w="476" w:type="pct"/>
            <w:tcBorders>
              <w:top w:val="single" w:color="000000" w:sz="4" w:space="0"/>
              <w:left w:val="single" w:color="000000" w:sz="4" w:space="0"/>
              <w:bottom w:val="single" w:color="000000" w:sz="4" w:space="0"/>
              <w:right w:val="single" w:color="000000" w:sz="4" w:space="0"/>
            </w:tcBorders>
            <w:vAlign w:val="center"/>
          </w:tcPr>
          <w:p w14:paraId="224BA2E4">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319AD048">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2EC11175">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2D7AFE61">
        <w:tblPrEx>
          <w:tblCellMar>
            <w:top w:w="0" w:type="dxa"/>
            <w:left w:w="108" w:type="dxa"/>
            <w:bottom w:w="0" w:type="dxa"/>
            <w:right w:w="108" w:type="dxa"/>
          </w:tblCellMar>
        </w:tblPrEx>
        <w:trPr>
          <w:trHeight w:val="215"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1654D142">
            <w:pPr>
              <w:topLinePunct/>
              <w:adjustRightInd w:val="0"/>
              <w:snapToGrid w:val="0"/>
              <w:jc w:val="center"/>
              <w:textAlignment w:val="center"/>
              <w:rPr>
                <w:rFonts w:eastAsia="仿宋"/>
                <w:color w:val="000000"/>
                <w:sz w:val="24"/>
              </w:rPr>
            </w:pPr>
            <w:r>
              <w:rPr>
                <w:rFonts w:eastAsia="仿宋"/>
                <w:color w:val="000000"/>
                <w:kern w:val="0"/>
                <w:sz w:val="24"/>
                <w:lang w:bidi="ar"/>
              </w:rPr>
              <w:t>29</w:t>
            </w:r>
          </w:p>
        </w:tc>
        <w:tc>
          <w:tcPr>
            <w:tcW w:w="838" w:type="pct"/>
            <w:tcBorders>
              <w:top w:val="single" w:color="000000" w:sz="4" w:space="0"/>
              <w:left w:val="single" w:color="000000" w:sz="4" w:space="0"/>
              <w:bottom w:val="single" w:color="000000" w:sz="4" w:space="0"/>
              <w:right w:val="single" w:color="000000" w:sz="4" w:space="0"/>
            </w:tcBorders>
            <w:vAlign w:val="center"/>
          </w:tcPr>
          <w:p w14:paraId="73AFF751">
            <w:pPr>
              <w:topLinePunct/>
              <w:adjustRightInd w:val="0"/>
              <w:snapToGrid w:val="0"/>
              <w:textAlignment w:val="center"/>
              <w:rPr>
                <w:rFonts w:eastAsia="仿宋"/>
                <w:color w:val="000000"/>
                <w:sz w:val="24"/>
              </w:rPr>
            </w:pPr>
            <w:r>
              <w:rPr>
                <w:rFonts w:eastAsia="仿宋"/>
                <w:color w:val="000000"/>
                <w:kern w:val="0"/>
                <w:sz w:val="24"/>
                <w:lang w:bidi="ar"/>
              </w:rPr>
              <w:t>对生产经营单位关闭、破坏直接关系生产安全的监控、报警、防护、救生设备、设施，或者篡改、隐瞒、销毁其相关数据、信息的行政处罚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12A0A5E6">
            <w:pPr>
              <w:topLinePunct/>
              <w:adjustRightInd w:val="0"/>
              <w:snapToGrid w:val="0"/>
              <w:jc w:val="left"/>
              <w:textAlignment w:val="center"/>
              <w:rPr>
                <w:rFonts w:eastAsia="仿宋"/>
                <w:color w:val="000000"/>
                <w:sz w:val="24"/>
              </w:rPr>
            </w:pPr>
            <w:r>
              <w:rPr>
                <w:rFonts w:eastAsia="仿宋"/>
                <w:color w:val="000000"/>
                <w:kern w:val="0"/>
                <w:sz w:val="24"/>
                <w:lang w:bidi="ar"/>
              </w:rPr>
              <w:t>1.《中华人民共和国安全生产法》第九十九条第四项  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四）关闭、破坏直接关系生产安全的监控、报警、防护、救生设备、设施，或者篡改、隐瞒、销毁其相关数据、信息的；</w:t>
            </w:r>
            <w:r>
              <w:rPr>
                <w:rFonts w:eastAsia="仿宋"/>
                <w:color w:val="000000"/>
                <w:kern w:val="0"/>
                <w:sz w:val="24"/>
                <w:lang w:bidi="ar"/>
              </w:rPr>
              <w:br w:type="textWrapping"/>
            </w:r>
            <w:r>
              <w:rPr>
                <w:rFonts w:eastAsia="仿宋"/>
                <w:color w:val="000000"/>
                <w:kern w:val="0"/>
                <w:sz w:val="24"/>
                <w:lang w:bidi="ar"/>
              </w:rPr>
              <w:t>第一百一十五条  本法规定的行政处罚，由应急管理部门和其他负有安全生产监督管理职责的部门按照职责分工决定；其中，根据本法第九十五条、第一百一十条、第一百一十四条的规定应当给予民航、铁路、电力行业的生产经营单位及其主要负责人行政处罚的，也可以由主管的负有安全生产监督管理职责的部门进行处罚。予以关闭的行政处罚，由负有安全生产监督管理职责的部门报请县级以上人民政府按照国务院规定的权限决定；给予拘留的行政处罚，由公安机关依照治安管理处罚的规定决定。</w:t>
            </w:r>
            <w:r>
              <w:rPr>
                <w:rFonts w:eastAsia="仿宋"/>
                <w:color w:val="000000"/>
                <w:kern w:val="0"/>
                <w:sz w:val="24"/>
                <w:lang w:bidi="ar"/>
              </w:rPr>
              <w:br w:type="textWrapping"/>
            </w:r>
            <w:r>
              <w:rPr>
                <w:rFonts w:eastAsia="仿宋"/>
                <w:color w:val="000000"/>
                <w:kern w:val="0"/>
                <w:sz w:val="24"/>
                <w:lang w:bidi="ar"/>
              </w:rPr>
              <w:t>2.《工贸企业粉尘防爆安全规定》第二十七条第五项  粉尘涉爆企业有下列行为之一的，由负责粉尘涉爆企业安全监管的部门依照《中华人民共和国安全生产法》有关规定，责令限期改正，处5万元以下的罚款；逾期未改正的，处5万元以上20万元以下的罚款，对其直接负责的主管人员和其他直接责任人员处1万元以上2万元以下的罚款；情节严重的，责令停产停业整顿；构成犯罪的，依照刑法有关规定追究刑事责任：（五）关闭、破坏直接关系粉尘防爆安全的监控、报警、防控等设备、设施，或者篡改、隐瞒、销毁其相关数据、信息的。</w:t>
            </w:r>
          </w:p>
        </w:tc>
        <w:tc>
          <w:tcPr>
            <w:tcW w:w="476" w:type="pct"/>
            <w:tcBorders>
              <w:top w:val="single" w:color="000000" w:sz="4" w:space="0"/>
              <w:left w:val="single" w:color="000000" w:sz="4" w:space="0"/>
              <w:bottom w:val="single" w:color="000000" w:sz="4" w:space="0"/>
              <w:right w:val="single" w:color="000000" w:sz="4" w:space="0"/>
            </w:tcBorders>
            <w:vAlign w:val="center"/>
          </w:tcPr>
          <w:p w14:paraId="035F52DD">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476FB4B8">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153A81F7">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429862DF">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1AA641C7">
            <w:pPr>
              <w:topLinePunct/>
              <w:adjustRightInd w:val="0"/>
              <w:snapToGrid w:val="0"/>
              <w:jc w:val="center"/>
              <w:textAlignment w:val="center"/>
              <w:rPr>
                <w:rFonts w:eastAsia="仿宋"/>
                <w:color w:val="000000"/>
                <w:sz w:val="24"/>
              </w:rPr>
            </w:pPr>
            <w:r>
              <w:rPr>
                <w:rFonts w:eastAsia="仿宋"/>
                <w:color w:val="000000"/>
                <w:kern w:val="0"/>
                <w:sz w:val="24"/>
                <w:lang w:bidi="ar"/>
              </w:rPr>
              <w:t>30</w:t>
            </w:r>
          </w:p>
        </w:tc>
        <w:tc>
          <w:tcPr>
            <w:tcW w:w="838" w:type="pct"/>
            <w:tcBorders>
              <w:top w:val="single" w:color="000000" w:sz="4" w:space="0"/>
              <w:left w:val="single" w:color="000000" w:sz="4" w:space="0"/>
              <w:bottom w:val="single" w:color="000000" w:sz="4" w:space="0"/>
              <w:right w:val="single" w:color="000000" w:sz="4" w:space="0"/>
            </w:tcBorders>
            <w:vAlign w:val="center"/>
          </w:tcPr>
          <w:p w14:paraId="48F47691">
            <w:pPr>
              <w:topLinePunct/>
              <w:adjustRightInd w:val="0"/>
              <w:snapToGrid w:val="0"/>
              <w:textAlignment w:val="center"/>
              <w:rPr>
                <w:rFonts w:eastAsia="仿宋"/>
                <w:color w:val="000000"/>
                <w:sz w:val="24"/>
              </w:rPr>
            </w:pPr>
            <w:r>
              <w:rPr>
                <w:rFonts w:eastAsia="仿宋"/>
                <w:color w:val="000000"/>
                <w:kern w:val="0"/>
                <w:sz w:val="24"/>
                <w:lang w:bidi="ar"/>
              </w:rPr>
              <w:t>对生产经营单位使用应当淘汰的危及生产安全的工艺、设备的行政处罚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02B9622C">
            <w:pPr>
              <w:topLinePunct/>
              <w:adjustRightInd w:val="0"/>
              <w:snapToGrid w:val="0"/>
              <w:jc w:val="left"/>
              <w:textAlignment w:val="center"/>
              <w:rPr>
                <w:rFonts w:eastAsia="仿宋"/>
                <w:color w:val="000000"/>
                <w:sz w:val="24"/>
              </w:rPr>
            </w:pPr>
            <w:r>
              <w:rPr>
                <w:rFonts w:eastAsia="仿宋"/>
                <w:color w:val="000000"/>
                <w:kern w:val="0"/>
                <w:sz w:val="24"/>
                <w:lang w:bidi="ar"/>
              </w:rPr>
              <w:t>《中华人民共和国安全生产法》第九十九条第七项  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七）使用应当淘汰的危及生产安全的工艺、设备的；</w:t>
            </w:r>
            <w:r>
              <w:rPr>
                <w:rFonts w:eastAsia="仿宋"/>
                <w:color w:val="000000"/>
                <w:kern w:val="0"/>
                <w:sz w:val="24"/>
                <w:lang w:bidi="ar"/>
              </w:rPr>
              <w:br w:type="textWrapping"/>
            </w:r>
            <w:r>
              <w:rPr>
                <w:rFonts w:eastAsia="仿宋"/>
                <w:color w:val="000000"/>
                <w:kern w:val="0"/>
                <w:sz w:val="24"/>
                <w:lang w:bidi="ar"/>
              </w:rPr>
              <w:t>第一百一十五条  本法规定的行政处罚，由应急管理部门和其他负有安全生产监督管理职责的部门按照职责分工决定；其中，根据本法第九十五条、第一百一十条、第一百一十四条的规定应当给予民航、铁路、电力行业的生产经营单位及其主要负责人行政处罚的，也可以由主管的负有安全生产监督管理职责的部门进行处罚。予以关闭的行政处罚，由负有安全生产监督管理职责的部门报请县级以上人民政府按照国务院规定的权限决定；给予拘留的行政处罚，由公安机关依照治安管理处罚的规定决定。</w:t>
            </w:r>
          </w:p>
        </w:tc>
        <w:tc>
          <w:tcPr>
            <w:tcW w:w="476" w:type="pct"/>
            <w:tcBorders>
              <w:top w:val="single" w:color="000000" w:sz="4" w:space="0"/>
              <w:left w:val="single" w:color="000000" w:sz="4" w:space="0"/>
              <w:bottom w:val="single" w:color="000000" w:sz="4" w:space="0"/>
              <w:right w:val="single" w:color="000000" w:sz="4" w:space="0"/>
            </w:tcBorders>
            <w:vAlign w:val="center"/>
          </w:tcPr>
          <w:p w14:paraId="100C0175">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08F3E602">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40ED1838">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72766331">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2E553BAD">
            <w:pPr>
              <w:topLinePunct/>
              <w:adjustRightInd w:val="0"/>
              <w:snapToGrid w:val="0"/>
              <w:jc w:val="center"/>
              <w:textAlignment w:val="center"/>
              <w:rPr>
                <w:rFonts w:eastAsia="仿宋"/>
                <w:color w:val="000000"/>
                <w:sz w:val="24"/>
              </w:rPr>
            </w:pPr>
            <w:r>
              <w:rPr>
                <w:rFonts w:eastAsia="仿宋"/>
                <w:color w:val="000000"/>
                <w:kern w:val="0"/>
                <w:sz w:val="24"/>
                <w:lang w:bidi="ar"/>
              </w:rPr>
              <w:t>31</w:t>
            </w:r>
          </w:p>
        </w:tc>
        <w:tc>
          <w:tcPr>
            <w:tcW w:w="838" w:type="pct"/>
            <w:tcBorders>
              <w:top w:val="single" w:color="000000" w:sz="4" w:space="0"/>
              <w:left w:val="single" w:color="000000" w:sz="4" w:space="0"/>
              <w:bottom w:val="single" w:color="000000" w:sz="4" w:space="0"/>
              <w:right w:val="single" w:color="000000" w:sz="4" w:space="0"/>
            </w:tcBorders>
            <w:vAlign w:val="center"/>
          </w:tcPr>
          <w:p w14:paraId="1AE9EF8A">
            <w:pPr>
              <w:topLinePunct/>
              <w:adjustRightInd w:val="0"/>
              <w:snapToGrid w:val="0"/>
              <w:textAlignment w:val="center"/>
              <w:rPr>
                <w:rFonts w:eastAsia="仿宋"/>
                <w:color w:val="000000"/>
                <w:sz w:val="24"/>
              </w:rPr>
            </w:pPr>
            <w:r>
              <w:rPr>
                <w:rFonts w:eastAsia="仿宋"/>
                <w:color w:val="000000"/>
                <w:kern w:val="0"/>
                <w:sz w:val="24"/>
                <w:lang w:bidi="ar"/>
              </w:rPr>
              <w:t>对生产经营单位重大危险源未登记建档，未进行定期检测、评估、监控，未制定应急预案，或者未告知应急措施的行政处罚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24C757F8">
            <w:pPr>
              <w:topLinePunct/>
              <w:adjustRightInd w:val="0"/>
              <w:snapToGrid w:val="0"/>
              <w:jc w:val="left"/>
              <w:textAlignment w:val="center"/>
              <w:rPr>
                <w:rFonts w:eastAsia="仿宋"/>
                <w:color w:val="000000"/>
                <w:sz w:val="24"/>
              </w:rPr>
            </w:pPr>
            <w:r>
              <w:rPr>
                <w:rFonts w:eastAsia="仿宋"/>
                <w:color w:val="000000"/>
                <w:kern w:val="0"/>
                <w:sz w:val="24"/>
                <w:lang w:bidi="ar"/>
              </w:rPr>
              <w:t>《中华人民共和国安全生产法》第一百零一条第二项  生产经营单位有下列行为之一的，责令限期改正，处十万元以下的罚款；逾期未改正的，责令停产停业整顿，并处十万元以上二十万元以下的罚款，对其直接负责的主管人员和其他直接责任人员处二万元以上五万元以下的罚款；构成犯罪的，依照刑法有关规定追究刑事责任：（二）对重大危险源未登记建档，未进行定期检测、评估、监控，未制定应急预案，或者未告知应急措施的；</w:t>
            </w:r>
            <w:r>
              <w:rPr>
                <w:rFonts w:eastAsia="仿宋"/>
                <w:color w:val="000000"/>
                <w:kern w:val="0"/>
                <w:sz w:val="24"/>
                <w:lang w:bidi="ar"/>
              </w:rPr>
              <w:br w:type="textWrapping"/>
            </w:r>
            <w:r>
              <w:rPr>
                <w:rFonts w:eastAsia="仿宋"/>
                <w:color w:val="000000"/>
                <w:kern w:val="0"/>
                <w:sz w:val="24"/>
                <w:lang w:bidi="ar"/>
              </w:rPr>
              <w:t>第一百一十五条  本法规定的行政处罚，由应急管理部门和其他负有安全生产监督管理职责的部门按照职责分工决定；其中，根据本法第九十五条、第一百一十条、第一百一十四条的规定应当给予民航、铁路、电力行业的生产经营单位及其主要负责人行政处罚的，也可以由主管的负有安全生产监督管理职责的部门进行处罚。予以关闭的行政处罚，由负有安全生产监督管理职责的部门报请县级以上人民政府按照国务院规定的权限决定；给予拘留的行政处罚，由公安机关依照治安管理处罚的规定决定。</w:t>
            </w:r>
          </w:p>
        </w:tc>
        <w:tc>
          <w:tcPr>
            <w:tcW w:w="476" w:type="pct"/>
            <w:tcBorders>
              <w:top w:val="single" w:color="000000" w:sz="4" w:space="0"/>
              <w:left w:val="single" w:color="000000" w:sz="4" w:space="0"/>
              <w:bottom w:val="single" w:color="000000" w:sz="4" w:space="0"/>
              <w:right w:val="single" w:color="000000" w:sz="4" w:space="0"/>
            </w:tcBorders>
            <w:vAlign w:val="center"/>
          </w:tcPr>
          <w:p w14:paraId="3D6DBA3A">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04CA4277">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5CFBD820">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6A780DF8">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6C524D73">
            <w:pPr>
              <w:topLinePunct/>
              <w:adjustRightInd w:val="0"/>
              <w:snapToGrid w:val="0"/>
              <w:jc w:val="center"/>
              <w:textAlignment w:val="center"/>
              <w:rPr>
                <w:rFonts w:eastAsia="仿宋"/>
                <w:color w:val="000000"/>
                <w:sz w:val="24"/>
              </w:rPr>
            </w:pPr>
            <w:r>
              <w:rPr>
                <w:rFonts w:eastAsia="仿宋"/>
                <w:color w:val="000000"/>
                <w:kern w:val="0"/>
                <w:sz w:val="24"/>
                <w:lang w:bidi="ar"/>
              </w:rPr>
              <w:t>32</w:t>
            </w:r>
          </w:p>
        </w:tc>
        <w:tc>
          <w:tcPr>
            <w:tcW w:w="838" w:type="pct"/>
            <w:tcBorders>
              <w:top w:val="single" w:color="000000" w:sz="4" w:space="0"/>
              <w:left w:val="single" w:color="000000" w:sz="4" w:space="0"/>
              <w:bottom w:val="single" w:color="000000" w:sz="4" w:space="0"/>
              <w:right w:val="single" w:color="000000" w:sz="4" w:space="0"/>
            </w:tcBorders>
            <w:vAlign w:val="center"/>
          </w:tcPr>
          <w:p w14:paraId="01FFBD90">
            <w:pPr>
              <w:topLinePunct/>
              <w:adjustRightInd w:val="0"/>
              <w:snapToGrid w:val="0"/>
              <w:textAlignment w:val="center"/>
              <w:rPr>
                <w:rFonts w:eastAsia="仿宋"/>
                <w:color w:val="000000"/>
                <w:sz w:val="24"/>
              </w:rPr>
            </w:pPr>
            <w:r>
              <w:rPr>
                <w:rFonts w:eastAsia="仿宋"/>
                <w:color w:val="000000"/>
                <w:kern w:val="0"/>
                <w:sz w:val="24"/>
                <w:lang w:bidi="ar"/>
              </w:rPr>
              <w:t>对生产经营单位未建立安全风险分级管控制度或者未按照安全风险分级采取相应管控措施的行政处罚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23D78618">
            <w:pPr>
              <w:topLinePunct/>
              <w:adjustRightInd w:val="0"/>
              <w:snapToGrid w:val="0"/>
              <w:jc w:val="left"/>
              <w:textAlignment w:val="center"/>
              <w:rPr>
                <w:rFonts w:eastAsia="仿宋"/>
                <w:color w:val="000000"/>
                <w:sz w:val="24"/>
              </w:rPr>
            </w:pPr>
            <w:r>
              <w:rPr>
                <w:rFonts w:eastAsia="仿宋"/>
                <w:color w:val="000000"/>
                <w:kern w:val="0"/>
                <w:sz w:val="24"/>
                <w:lang w:bidi="ar"/>
              </w:rPr>
              <w:t>《中华人民共和国安全生产法》第一百零一条第四项  生产经营单位有下列行为之一的，责令限期改正，处十万元以下的罚款；逾期未改正的，责令停产停业整顿，并处十万元以上二十万元以下的罚款，对其直接负责的主管人员和其他直接责任人员处二万元以上五万元以下的罚款；构成犯罪的，依照刑法有关规定追究刑事责任：（四）未建立安全风险分级管控制度或者未按照安全风险分级采取相应管控措施的；</w:t>
            </w:r>
            <w:r>
              <w:rPr>
                <w:rFonts w:eastAsia="仿宋"/>
                <w:color w:val="000000"/>
                <w:kern w:val="0"/>
                <w:sz w:val="24"/>
                <w:lang w:bidi="ar"/>
              </w:rPr>
              <w:br w:type="textWrapping"/>
            </w:r>
            <w:r>
              <w:rPr>
                <w:rFonts w:eastAsia="仿宋"/>
                <w:color w:val="000000"/>
                <w:kern w:val="0"/>
                <w:sz w:val="24"/>
                <w:lang w:bidi="ar"/>
              </w:rPr>
              <w:t>第一百一十五条  本法规定的行政处罚，由应急管理部门和其他负有安全生产监督管理职责的部门按照职责分工决定；其中，根据本法第九十五条、第一百一十条、第一百一十四条的规定应当给予民航、铁路、电力行业的生产经营单位及其主要负责人行政处罚的，也可以由主管的负有安全生产监督管理职责的部门进行处罚。予以关闭的行政处罚，由负有安全生产监督管理职责的部门报请县级以上人民政府按照国务院规定的权限决定；给予拘留的行政处罚，由公安机关依照治安管理处罚的规定决定。</w:t>
            </w:r>
          </w:p>
        </w:tc>
        <w:tc>
          <w:tcPr>
            <w:tcW w:w="476" w:type="pct"/>
            <w:tcBorders>
              <w:top w:val="single" w:color="000000" w:sz="4" w:space="0"/>
              <w:left w:val="single" w:color="000000" w:sz="4" w:space="0"/>
              <w:bottom w:val="single" w:color="000000" w:sz="4" w:space="0"/>
              <w:right w:val="single" w:color="000000" w:sz="4" w:space="0"/>
            </w:tcBorders>
            <w:vAlign w:val="center"/>
          </w:tcPr>
          <w:p w14:paraId="6B0409DD">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13AF8B6B">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54E94BF8">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63EDE320">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46BB1260">
            <w:pPr>
              <w:topLinePunct/>
              <w:adjustRightInd w:val="0"/>
              <w:snapToGrid w:val="0"/>
              <w:jc w:val="center"/>
              <w:textAlignment w:val="center"/>
              <w:rPr>
                <w:rFonts w:eastAsia="仿宋"/>
                <w:color w:val="000000"/>
                <w:sz w:val="24"/>
              </w:rPr>
            </w:pPr>
            <w:r>
              <w:rPr>
                <w:rFonts w:eastAsia="仿宋"/>
                <w:color w:val="000000"/>
                <w:kern w:val="0"/>
                <w:sz w:val="24"/>
                <w:lang w:bidi="ar"/>
              </w:rPr>
              <w:t>33</w:t>
            </w:r>
          </w:p>
        </w:tc>
        <w:tc>
          <w:tcPr>
            <w:tcW w:w="838" w:type="pct"/>
            <w:tcBorders>
              <w:top w:val="single" w:color="000000" w:sz="4" w:space="0"/>
              <w:left w:val="single" w:color="000000" w:sz="4" w:space="0"/>
              <w:bottom w:val="single" w:color="000000" w:sz="4" w:space="0"/>
              <w:right w:val="single" w:color="000000" w:sz="4" w:space="0"/>
            </w:tcBorders>
            <w:vAlign w:val="center"/>
          </w:tcPr>
          <w:p w14:paraId="4E54BC7E">
            <w:pPr>
              <w:topLinePunct/>
              <w:adjustRightInd w:val="0"/>
              <w:snapToGrid w:val="0"/>
              <w:textAlignment w:val="center"/>
              <w:rPr>
                <w:rFonts w:eastAsia="仿宋"/>
                <w:color w:val="000000"/>
                <w:sz w:val="24"/>
              </w:rPr>
            </w:pPr>
            <w:r>
              <w:rPr>
                <w:rFonts w:eastAsia="仿宋"/>
                <w:color w:val="000000"/>
                <w:kern w:val="0"/>
                <w:sz w:val="24"/>
                <w:lang w:bidi="ar"/>
              </w:rPr>
              <w:t>对生产经营单位未建立事故隐患排查治理制度，或者重大事故隐患排查治理情况未按照规定报告的行政处罚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30D64C87">
            <w:pPr>
              <w:topLinePunct/>
              <w:adjustRightInd w:val="0"/>
              <w:snapToGrid w:val="0"/>
              <w:jc w:val="left"/>
              <w:textAlignment w:val="center"/>
              <w:rPr>
                <w:rFonts w:eastAsia="仿宋"/>
                <w:color w:val="000000"/>
                <w:sz w:val="24"/>
              </w:rPr>
            </w:pPr>
            <w:r>
              <w:rPr>
                <w:rFonts w:eastAsia="仿宋"/>
                <w:color w:val="000000"/>
                <w:kern w:val="0"/>
                <w:sz w:val="24"/>
                <w:lang w:bidi="ar"/>
              </w:rPr>
              <w:t>《中华人民共和国安全生产法》第一百零一条第五项  生产经营单位有下列行为之一的，责令限期改正，处十万元以下的罚款；逾期未改正的，责令停产停业整顿，并处十万元以上二十万元以下的罚款，对其直接负责的主管人员和其他直接责任人员处二万元以上五万元以下的罚款；构成犯罪的，依照刑法有关规定追究刑事责任：（五）未建立事故隐患排查治理制度，或者重大事故隐患排查治理情况未按照规定报告的。</w:t>
            </w:r>
            <w:r>
              <w:rPr>
                <w:rFonts w:eastAsia="仿宋"/>
                <w:color w:val="000000"/>
                <w:kern w:val="0"/>
                <w:sz w:val="24"/>
                <w:lang w:bidi="ar"/>
              </w:rPr>
              <w:br w:type="textWrapping"/>
            </w:r>
            <w:r>
              <w:rPr>
                <w:rFonts w:eastAsia="仿宋"/>
                <w:color w:val="000000"/>
                <w:kern w:val="0"/>
                <w:sz w:val="24"/>
                <w:lang w:bidi="ar"/>
              </w:rPr>
              <w:t>第一百一十五条  本法规定的行政处罚，由应急管理部门和其他负有安全生产监督管理职责的部门按照职责分工决定；其中，根据本法第九十五条、第一百一十条、第一百一十四条的规定应当给予民航、铁路、电力行业的生产经营单位及其主要负责人行政处罚的，也可以由主管的负有安全生产监督管理职责的部门进行处罚。予以关闭的行政处罚，由负有安全生产监督管理职责的部门报请县级以上人民政府按照国务院规定的权限决定；给予拘留的行政处罚，由公安机关依照治安管理处罚的规定决定。</w:t>
            </w:r>
          </w:p>
        </w:tc>
        <w:tc>
          <w:tcPr>
            <w:tcW w:w="476" w:type="pct"/>
            <w:tcBorders>
              <w:top w:val="single" w:color="000000" w:sz="4" w:space="0"/>
              <w:left w:val="single" w:color="000000" w:sz="4" w:space="0"/>
              <w:bottom w:val="single" w:color="000000" w:sz="4" w:space="0"/>
              <w:right w:val="single" w:color="000000" w:sz="4" w:space="0"/>
            </w:tcBorders>
            <w:vAlign w:val="center"/>
          </w:tcPr>
          <w:p w14:paraId="0F24F441">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6BD43FAB">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227A3C0C">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4ED090C3">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620ECC35">
            <w:pPr>
              <w:topLinePunct/>
              <w:adjustRightInd w:val="0"/>
              <w:snapToGrid w:val="0"/>
              <w:jc w:val="center"/>
              <w:textAlignment w:val="center"/>
              <w:rPr>
                <w:rFonts w:eastAsia="仿宋"/>
                <w:color w:val="000000"/>
                <w:sz w:val="24"/>
              </w:rPr>
            </w:pPr>
            <w:r>
              <w:rPr>
                <w:rFonts w:eastAsia="仿宋"/>
                <w:color w:val="000000"/>
                <w:kern w:val="0"/>
                <w:sz w:val="24"/>
                <w:lang w:bidi="ar"/>
              </w:rPr>
              <w:t>34</w:t>
            </w:r>
          </w:p>
        </w:tc>
        <w:tc>
          <w:tcPr>
            <w:tcW w:w="838" w:type="pct"/>
            <w:tcBorders>
              <w:top w:val="single" w:color="000000" w:sz="4" w:space="0"/>
              <w:left w:val="single" w:color="000000" w:sz="4" w:space="0"/>
              <w:bottom w:val="single" w:color="000000" w:sz="4" w:space="0"/>
              <w:right w:val="single" w:color="000000" w:sz="4" w:space="0"/>
            </w:tcBorders>
            <w:vAlign w:val="center"/>
          </w:tcPr>
          <w:p w14:paraId="76091718">
            <w:pPr>
              <w:topLinePunct/>
              <w:adjustRightInd w:val="0"/>
              <w:snapToGrid w:val="0"/>
              <w:textAlignment w:val="center"/>
              <w:rPr>
                <w:rFonts w:eastAsia="仿宋"/>
                <w:color w:val="000000"/>
                <w:sz w:val="24"/>
              </w:rPr>
            </w:pPr>
            <w:r>
              <w:rPr>
                <w:rFonts w:eastAsia="仿宋"/>
                <w:color w:val="000000"/>
                <w:kern w:val="0"/>
                <w:sz w:val="24"/>
                <w:lang w:bidi="ar"/>
              </w:rPr>
              <w:t>对生产经营单位未采取措施消除事故隐患的行政处罚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51B3CF24">
            <w:pPr>
              <w:topLinePunct/>
              <w:adjustRightInd w:val="0"/>
              <w:snapToGrid w:val="0"/>
              <w:jc w:val="left"/>
              <w:textAlignment w:val="center"/>
              <w:rPr>
                <w:rFonts w:eastAsia="仿宋"/>
                <w:color w:val="000000"/>
                <w:sz w:val="24"/>
              </w:rPr>
            </w:pPr>
            <w:r>
              <w:rPr>
                <w:rFonts w:eastAsia="仿宋"/>
                <w:color w:val="000000"/>
                <w:kern w:val="0"/>
                <w:sz w:val="24"/>
                <w:lang w:bidi="ar"/>
              </w:rPr>
              <w:t>《中华人民共和国安全生产法》第一百零二条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r>
              <w:rPr>
                <w:rFonts w:eastAsia="仿宋"/>
                <w:color w:val="000000"/>
                <w:kern w:val="0"/>
                <w:sz w:val="24"/>
                <w:lang w:bidi="ar"/>
              </w:rPr>
              <w:br w:type="textWrapping"/>
            </w:r>
            <w:r>
              <w:rPr>
                <w:rFonts w:eastAsia="仿宋"/>
                <w:color w:val="000000"/>
                <w:kern w:val="0"/>
                <w:sz w:val="24"/>
                <w:lang w:bidi="ar"/>
              </w:rPr>
              <w:t>第一百一十五条  本法规定的行政处罚，由应急管理部门和其他负有安全生产监督管理职责的部门按照职责分工决定；其中，根据本法第九十五条、第一百一十条、第一百一十四条的规定应当给予民航、铁路、电力行业的生产经营单位及其主要负责人行政处罚的，也可以由主管的负有安全生产监督管理职责的部门进行处罚。予以关闭的行政处罚，由负有安全生产监督管理职责的部门报请县级以上人民政府按照国务院规定的权限决定；给予拘留的行政处罚，由公安机关依照治安管理处罚的规定决定。</w:t>
            </w:r>
          </w:p>
        </w:tc>
        <w:tc>
          <w:tcPr>
            <w:tcW w:w="476" w:type="pct"/>
            <w:tcBorders>
              <w:top w:val="single" w:color="000000" w:sz="4" w:space="0"/>
              <w:left w:val="single" w:color="000000" w:sz="4" w:space="0"/>
              <w:bottom w:val="single" w:color="000000" w:sz="4" w:space="0"/>
              <w:right w:val="single" w:color="000000" w:sz="4" w:space="0"/>
            </w:tcBorders>
            <w:vAlign w:val="center"/>
          </w:tcPr>
          <w:p w14:paraId="0910F628">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1C87758C">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2856A0BC">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6F6A1FEB">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4F01F613">
            <w:pPr>
              <w:topLinePunct/>
              <w:adjustRightInd w:val="0"/>
              <w:snapToGrid w:val="0"/>
              <w:jc w:val="center"/>
              <w:textAlignment w:val="center"/>
              <w:rPr>
                <w:rFonts w:eastAsia="仿宋"/>
                <w:color w:val="000000"/>
                <w:sz w:val="24"/>
              </w:rPr>
            </w:pPr>
            <w:r>
              <w:rPr>
                <w:rFonts w:eastAsia="仿宋"/>
                <w:color w:val="000000"/>
                <w:kern w:val="0"/>
                <w:sz w:val="24"/>
                <w:lang w:bidi="ar"/>
              </w:rPr>
              <w:t>35</w:t>
            </w:r>
          </w:p>
        </w:tc>
        <w:tc>
          <w:tcPr>
            <w:tcW w:w="838" w:type="pct"/>
            <w:tcBorders>
              <w:top w:val="single" w:color="000000" w:sz="4" w:space="0"/>
              <w:left w:val="single" w:color="000000" w:sz="4" w:space="0"/>
              <w:bottom w:val="single" w:color="000000" w:sz="4" w:space="0"/>
              <w:right w:val="single" w:color="000000" w:sz="4" w:space="0"/>
            </w:tcBorders>
            <w:vAlign w:val="center"/>
          </w:tcPr>
          <w:p w14:paraId="5B1CD2FD">
            <w:pPr>
              <w:topLinePunct/>
              <w:adjustRightInd w:val="0"/>
              <w:snapToGrid w:val="0"/>
              <w:textAlignment w:val="center"/>
              <w:rPr>
                <w:rFonts w:eastAsia="仿宋"/>
                <w:color w:val="000000"/>
                <w:sz w:val="24"/>
              </w:rPr>
            </w:pPr>
            <w:r>
              <w:rPr>
                <w:rFonts w:eastAsia="仿宋"/>
                <w:color w:val="000000"/>
                <w:kern w:val="0"/>
                <w:sz w:val="24"/>
                <w:lang w:bidi="ar"/>
              </w:rPr>
              <w:t>对生产经营单位未将事故隐患排查治理情况如实记录或者未向从业人员通报的行政处罚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6846A0AA">
            <w:pPr>
              <w:topLinePunct/>
              <w:adjustRightInd w:val="0"/>
              <w:snapToGrid w:val="0"/>
              <w:jc w:val="left"/>
              <w:textAlignment w:val="center"/>
              <w:rPr>
                <w:rFonts w:eastAsia="仿宋"/>
                <w:color w:val="000000"/>
                <w:sz w:val="24"/>
              </w:rPr>
            </w:pPr>
            <w:r>
              <w:rPr>
                <w:rFonts w:eastAsia="仿宋"/>
                <w:color w:val="000000"/>
                <w:kern w:val="0"/>
                <w:sz w:val="24"/>
                <w:lang w:bidi="ar"/>
              </w:rPr>
              <w:t>《中华人民共和国安全生产法》第九十七条第五项  生产经营单位有下列行为之一的，责令限期改正，处十万元以下的罚款；逾期未改正的，责令停产停业整顿，并处十万元以上二十万元以下的罚款，对其直接负责的主管人员和其他直接责任人员处二万元以上五万元以下的罚款：（五）未将事故隐患排查治理情况如实记录或者未向从业人员通报的；</w:t>
            </w:r>
            <w:r>
              <w:rPr>
                <w:rFonts w:eastAsia="仿宋"/>
                <w:color w:val="000000"/>
                <w:kern w:val="0"/>
                <w:sz w:val="24"/>
                <w:lang w:bidi="ar"/>
              </w:rPr>
              <w:br w:type="textWrapping"/>
            </w:r>
            <w:r>
              <w:rPr>
                <w:rFonts w:eastAsia="仿宋"/>
                <w:color w:val="000000"/>
                <w:kern w:val="0"/>
                <w:sz w:val="24"/>
                <w:lang w:bidi="ar"/>
              </w:rPr>
              <w:t>第一百一十五条  本法规定的行政处罚，由应急管理部门和其他负有安全生产监督管理职责的部门按照职责分工决定；其中，根据本法第九十五条、第一百一十条、第一百一十四条的规定应当给予民航、铁路、电力行业的生产经营单位及其主要负责人行政处罚的，也可以由主管的负有安全生产监督管理职责的部门进行处罚。予以关闭的行政处罚，由负有安全生产监督管理职责的部门报请县级以上人民政府按照国务院规定的权限决定；给予拘留的行政处罚，由公安机关依照治安管理处罚的规定决定。</w:t>
            </w:r>
          </w:p>
        </w:tc>
        <w:tc>
          <w:tcPr>
            <w:tcW w:w="476" w:type="pct"/>
            <w:tcBorders>
              <w:top w:val="single" w:color="000000" w:sz="4" w:space="0"/>
              <w:left w:val="single" w:color="000000" w:sz="4" w:space="0"/>
              <w:bottom w:val="single" w:color="000000" w:sz="4" w:space="0"/>
              <w:right w:val="single" w:color="000000" w:sz="4" w:space="0"/>
            </w:tcBorders>
            <w:vAlign w:val="center"/>
          </w:tcPr>
          <w:p w14:paraId="084D021E">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126C3513">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10BC9A48">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44995D3D">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0BFDAE98">
            <w:pPr>
              <w:topLinePunct/>
              <w:adjustRightInd w:val="0"/>
              <w:snapToGrid w:val="0"/>
              <w:jc w:val="center"/>
              <w:textAlignment w:val="center"/>
              <w:rPr>
                <w:rFonts w:eastAsia="仿宋"/>
                <w:color w:val="000000"/>
                <w:sz w:val="24"/>
              </w:rPr>
            </w:pPr>
            <w:r>
              <w:rPr>
                <w:rFonts w:eastAsia="仿宋"/>
                <w:color w:val="000000"/>
                <w:kern w:val="0"/>
                <w:sz w:val="24"/>
                <w:lang w:bidi="ar"/>
              </w:rPr>
              <w:t>36</w:t>
            </w:r>
          </w:p>
        </w:tc>
        <w:tc>
          <w:tcPr>
            <w:tcW w:w="838" w:type="pct"/>
            <w:tcBorders>
              <w:top w:val="single" w:color="000000" w:sz="4" w:space="0"/>
              <w:left w:val="single" w:color="000000" w:sz="4" w:space="0"/>
              <w:bottom w:val="single" w:color="000000" w:sz="4" w:space="0"/>
              <w:right w:val="single" w:color="000000" w:sz="4" w:space="0"/>
            </w:tcBorders>
            <w:vAlign w:val="center"/>
          </w:tcPr>
          <w:p w14:paraId="3885DED5">
            <w:pPr>
              <w:topLinePunct/>
              <w:adjustRightInd w:val="0"/>
              <w:snapToGrid w:val="0"/>
              <w:textAlignment w:val="center"/>
              <w:rPr>
                <w:rFonts w:eastAsia="仿宋"/>
                <w:color w:val="000000"/>
                <w:sz w:val="24"/>
              </w:rPr>
            </w:pPr>
            <w:r>
              <w:rPr>
                <w:rFonts w:eastAsia="仿宋"/>
                <w:color w:val="000000"/>
                <w:kern w:val="0"/>
                <w:sz w:val="24"/>
                <w:lang w:bidi="ar"/>
              </w:rPr>
              <w:t>对生产经营单位有未按规定上报事故隐患排查治理统计分析表等行为的行政处罚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1C676EEB">
            <w:pPr>
              <w:topLinePunct/>
              <w:adjustRightInd w:val="0"/>
              <w:snapToGrid w:val="0"/>
              <w:jc w:val="left"/>
              <w:textAlignment w:val="center"/>
              <w:rPr>
                <w:rFonts w:eastAsia="仿宋"/>
                <w:color w:val="000000"/>
                <w:sz w:val="24"/>
              </w:rPr>
            </w:pPr>
            <w:r>
              <w:rPr>
                <w:rFonts w:eastAsia="仿宋"/>
                <w:color w:val="000000"/>
                <w:kern w:val="0"/>
                <w:sz w:val="24"/>
                <w:lang w:bidi="ar"/>
              </w:rPr>
              <w:t>《安全生产事故隐患排查治理暂行规定》第二十六条第二项、第三项、第四项、第五项、第六项  生产经营单位违反本规定，有下列行为之一的，由安全监管监察部门给予警告，并处三万元以下的罚款：（二）未按规定上报事故隐患排查治理统计分析表的；（三）未制定事故隐患治理方案的；（四）重大事故隐患不报或者未及时报告的；（五）未对事故隐患进行排查治理擅自生产经营的；（六）整改不合格或者未经安全监管监察部门审查同意擅自恢复生产经营的。</w:t>
            </w:r>
          </w:p>
        </w:tc>
        <w:tc>
          <w:tcPr>
            <w:tcW w:w="476" w:type="pct"/>
            <w:tcBorders>
              <w:top w:val="single" w:color="000000" w:sz="4" w:space="0"/>
              <w:left w:val="single" w:color="000000" w:sz="4" w:space="0"/>
              <w:bottom w:val="single" w:color="000000" w:sz="4" w:space="0"/>
              <w:right w:val="single" w:color="000000" w:sz="4" w:space="0"/>
            </w:tcBorders>
            <w:vAlign w:val="center"/>
          </w:tcPr>
          <w:p w14:paraId="018906C2">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2180E692">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51F7F3FD">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3514D34D">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61B88159">
            <w:pPr>
              <w:topLinePunct/>
              <w:adjustRightInd w:val="0"/>
              <w:snapToGrid w:val="0"/>
              <w:jc w:val="center"/>
              <w:textAlignment w:val="center"/>
              <w:rPr>
                <w:rFonts w:eastAsia="仿宋"/>
                <w:color w:val="000000"/>
                <w:sz w:val="24"/>
              </w:rPr>
            </w:pPr>
            <w:r>
              <w:rPr>
                <w:rFonts w:eastAsia="仿宋"/>
                <w:color w:val="000000"/>
                <w:kern w:val="0"/>
                <w:sz w:val="24"/>
                <w:lang w:bidi="ar"/>
              </w:rPr>
              <w:t>37</w:t>
            </w:r>
          </w:p>
        </w:tc>
        <w:tc>
          <w:tcPr>
            <w:tcW w:w="838" w:type="pct"/>
            <w:tcBorders>
              <w:top w:val="single" w:color="000000" w:sz="4" w:space="0"/>
              <w:left w:val="single" w:color="000000" w:sz="4" w:space="0"/>
              <w:bottom w:val="single" w:color="000000" w:sz="4" w:space="0"/>
              <w:right w:val="single" w:color="000000" w:sz="4" w:space="0"/>
            </w:tcBorders>
            <w:vAlign w:val="center"/>
          </w:tcPr>
          <w:p w14:paraId="33AB46D4">
            <w:pPr>
              <w:topLinePunct/>
              <w:adjustRightInd w:val="0"/>
              <w:snapToGrid w:val="0"/>
              <w:textAlignment w:val="center"/>
              <w:rPr>
                <w:rFonts w:eastAsia="仿宋"/>
                <w:color w:val="000000"/>
                <w:sz w:val="24"/>
              </w:rPr>
            </w:pPr>
            <w:r>
              <w:rPr>
                <w:rFonts w:eastAsia="仿宋"/>
                <w:color w:val="000000"/>
                <w:kern w:val="0"/>
                <w:sz w:val="24"/>
                <w:lang w:bidi="ar"/>
              </w:rPr>
              <w:t>对生产经营单位生产、经营、储存、使用危险化学品、烟花爆竹的车间、商店、仓库与员工宿舍在同一座建筑内，或者与员工宿舍的距离不符合安全要求的行政处罚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2721D619">
            <w:pPr>
              <w:topLinePunct/>
              <w:adjustRightInd w:val="0"/>
              <w:snapToGrid w:val="0"/>
              <w:jc w:val="left"/>
              <w:textAlignment w:val="center"/>
              <w:rPr>
                <w:rFonts w:eastAsia="仿宋"/>
                <w:color w:val="000000"/>
                <w:sz w:val="24"/>
              </w:rPr>
            </w:pPr>
            <w:r>
              <w:rPr>
                <w:rFonts w:eastAsia="仿宋"/>
                <w:color w:val="000000"/>
                <w:kern w:val="0"/>
                <w:sz w:val="24"/>
                <w:lang w:bidi="ar"/>
              </w:rPr>
              <w:t>《中华人民共和国安全生产法》第一百零五条第一项  生产经营单位有下列行为之一的，责令限期改正，处五万元以下的罚款，对其直接负责的主管人员和其他直接责任人员处一万元以下的罚款；逾期未改正的，责令停产停业整顿；构成犯罪的，依照刑法有关规定追究刑事责任：（一）生产、经营、储存、使用危险物品的车间、商店、仓库与员工宿舍在同一座建筑内，或者与员工宿舍的距离不符合安全要求的；</w:t>
            </w:r>
            <w:r>
              <w:rPr>
                <w:rFonts w:eastAsia="仿宋"/>
                <w:color w:val="000000"/>
                <w:kern w:val="0"/>
                <w:sz w:val="24"/>
                <w:lang w:bidi="ar"/>
              </w:rPr>
              <w:br w:type="textWrapping"/>
            </w:r>
            <w:r>
              <w:rPr>
                <w:rFonts w:eastAsia="仿宋"/>
                <w:color w:val="000000"/>
                <w:kern w:val="0"/>
                <w:sz w:val="24"/>
                <w:lang w:bidi="ar"/>
              </w:rPr>
              <w:t>第一百一十五条  本法规定的行政处罚，由应急管理部门和其他负有安全生产监督管理职责的部门按照职责分工决定；其中，根据本法第九十五条、第一百一十条、第一百一十四条的规定应当给予民航、铁路、电力行业的生产经营单位及其主要负责人行政处罚的，也可以由主管的负有安全生产监督管理职责的部门进行处罚。予以关闭的行政处罚，由负有安全生产监督管理职责的部门报请县级以上人民政府按照国务院规定的权限决定；给予拘留的行政处罚，由公安机关依照治安管理处罚的规定决定。</w:t>
            </w:r>
          </w:p>
        </w:tc>
        <w:tc>
          <w:tcPr>
            <w:tcW w:w="476" w:type="pct"/>
            <w:tcBorders>
              <w:top w:val="single" w:color="000000" w:sz="4" w:space="0"/>
              <w:left w:val="single" w:color="000000" w:sz="4" w:space="0"/>
              <w:bottom w:val="single" w:color="000000" w:sz="4" w:space="0"/>
              <w:right w:val="single" w:color="000000" w:sz="4" w:space="0"/>
            </w:tcBorders>
            <w:vAlign w:val="center"/>
          </w:tcPr>
          <w:p w14:paraId="1FA51D29">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3413C165">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0C7ED81E">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15424B0F">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44F31D32">
            <w:pPr>
              <w:topLinePunct/>
              <w:adjustRightInd w:val="0"/>
              <w:snapToGrid w:val="0"/>
              <w:jc w:val="center"/>
              <w:textAlignment w:val="center"/>
              <w:rPr>
                <w:rFonts w:eastAsia="仿宋"/>
                <w:color w:val="000000"/>
                <w:sz w:val="24"/>
              </w:rPr>
            </w:pPr>
            <w:r>
              <w:rPr>
                <w:rFonts w:eastAsia="仿宋"/>
                <w:color w:val="000000"/>
                <w:kern w:val="0"/>
                <w:sz w:val="24"/>
                <w:lang w:bidi="ar"/>
              </w:rPr>
              <w:t>38</w:t>
            </w:r>
          </w:p>
        </w:tc>
        <w:tc>
          <w:tcPr>
            <w:tcW w:w="838" w:type="pct"/>
            <w:tcBorders>
              <w:top w:val="single" w:color="000000" w:sz="4" w:space="0"/>
              <w:left w:val="single" w:color="000000" w:sz="4" w:space="0"/>
              <w:bottom w:val="single" w:color="000000" w:sz="4" w:space="0"/>
              <w:right w:val="single" w:color="000000" w:sz="4" w:space="0"/>
            </w:tcBorders>
            <w:vAlign w:val="center"/>
          </w:tcPr>
          <w:p w14:paraId="72FC6878">
            <w:pPr>
              <w:topLinePunct/>
              <w:adjustRightInd w:val="0"/>
              <w:snapToGrid w:val="0"/>
              <w:textAlignment w:val="center"/>
              <w:rPr>
                <w:rFonts w:eastAsia="仿宋"/>
                <w:color w:val="000000"/>
                <w:sz w:val="24"/>
              </w:rPr>
            </w:pPr>
            <w:r>
              <w:rPr>
                <w:rFonts w:eastAsia="仿宋"/>
                <w:color w:val="000000"/>
                <w:kern w:val="0"/>
                <w:sz w:val="24"/>
                <w:lang w:bidi="ar"/>
              </w:rPr>
              <w:t>对生产经营单位的生产经营场所和员工宿舍未设有符合紧急疏散需要、标志明显、保持畅通的出口，或者占用、锁闭、封堵生产经营场所或者员工宿舍出口、疏散通道的行政处罚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38F3C981">
            <w:pPr>
              <w:topLinePunct/>
              <w:adjustRightInd w:val="0"/>
              <w:snapToGrid w:val="0"/>
              <w:jc w:val="left"/>
              <w:textAlignment w:val="center"/>
              <w:rPr>
                <w:rFonts w:eastAsia="仿宋"/>
                <w:color w:val="000000"/>
                <w:sz w:val="24"/>
              </w:rPr>
            </w:pPr>
            <w:r>
              <w:rPr>
                <w:rFonts w:eastAsia="仿宋"/>
                <w:color w:val="000000"/>
                <w:kern w:val="0"/>
                <w:sz w:val="24"/>
                <w:lang w:bidi="ar"/>
              </w:rPr>
              <w:t>《中华人民共和国安全生产法》第一百零五条第二项  生产经营单位有下列行为之一的，责令限期改正，处五万元以下的罚款，对其直接负责的主管人员和其他直接责任人员处一万元以下的罚款；逾期未改正的，责令停产停业整顿；构成犯罪的，依照刑法有关规定追究刑事责任：（二）生产经营场所和员工宿舍未设有符合紧急疏散需要、标志明显、保持畅通的出口、疏散通道，或者占用、锁闭、封堵生产经营场所或者员工宿舍出口、疏散通道的。</w:t>
            </w:r>
            <w:r>
              <w:rPr>
                <w:rFonts w:eastAsia="仿宋"/>
                <w:color w:val="000000"/>
                <w:kern w:val="0"/>
                <w:sz w:val="24"/>
                <w:lang w:bidi="ar"/>
              </w:rPr>
              <w:br w:type="textWrapping"/>
            </w:r>
            <w:r>
              <w:rPr>
                <w:rFonts w:eastAsia="仿宋"/>
                <w:color w:val="000000"/>
                <w:kern w:val="0"/>
                <w:sz w:val="24"/>
                <w:lang w:bidi="ar"/>
              </w:rPr>
              <w:t>第一百一十五条  本法规定的行政处罚，由应急管理部门和其他负有安全生产监督管理职责的部门按照职责分工决定；其中，根据本法第九十五条、第一百一十条、第一百一十四条的规定应当给予民航、铁路、电力行业的生产经营单位及其主要负责人行政处罚的，也可以由主管的负有安全生产监督管理职责的部门进行处罚。予以关闭的行政处罚，由负有安全生产监督管理职责的部门报请县级以上人民政府按照国务院规定的权限决定；给予拘留的行政处罚，由公安机关依照治安管理处罚的规定决定。</w:t>
            </w:r>
          </w:p>
        </w:tc>
        <w:tc>
          <w:tcPr>
            <w:tcW w:w="476" w:type="pct"/>
            <w:tcBorders>
              <w:top w:val="single" w:color="000000" w:sz="4" w:space="0"/>
              <w:left w:val="single" w:color="000000" w:sz="4" w:space="0"/>
              <w:bottom w:val="single" w:color="000000" w:sz="4" w:space="0"/>
              <w:right w:val="single" w:color="000000" w:sz="4" w:space="0"/>
            </w:tcBorders>
            <w:vAlign w:val="center"/>
          </w:tcPr>
          <w:p w14:paraId="018BAF72">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0309A2E1">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0312057B">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49C12D1E">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5FD7EAF9">
            <w:pPr>
              <w:topLinePunct/>
              <w:adjustRightInd w:val="0"/>
              <w:snapToGrid w:val="0"/>
              <w:jc w:val="center"/>
              <w:textAlignment w:val="center"/>
              <w:rPr>
                <w:rFonts w:eastAsia="仿宋"/>
                <w:color w:val="000000"/>
                <w:sz w:val="24"/>
              </w:rPr>
            </w:pPr>
            <w:r>
              <w:rPr>
                <w:rFonts w:eastAsia="仿宋"/>
                <w:color w:val="000000"/>
                <w:kern w:val="0"/>
                <w:sz w:val="24"/>
                <w:lang w:bidi="ar"/>
              </w:rPr>
              <w:t>39</w:t>
            </w:r>
          </w:p>
        </w:tc>
        <w:tc>
          <w:tcPr>
            <w:tcW w:w="838" w:type="pct"/>
            <w:tcBorders>
              <w:top w:val="single" w:color="000000" w:sz="4" w:space="0"/>
              <w:left w:val="single" w:color="000000" w:sz="4" w:space="0"/>
              <w:bottom w:val="single" w:color="000000" w:sz="4" w:space="0"/>
              <w:right w:val="single" w:color="000000" w:sz="4" w:space="0"/>
            </w:tcBorders>
            <w:vAlign w:val="center"/>
          </w:tcPr>
          <w:p w14:paraId="2BC42EEA">
            <w:pPr>
              <w:topLinePunct/>
              <w:adjustRightInd w:val="0"/>
              <w:snapToGrid w:val="0"/>
              <w:textAlignment w:val="center"/>
              <w:rPr>
                <w:rFonts w:eastAsia="仿宋"/>
                <w:color w:val="000000"/>
                <w:sz w:val="24"/>
              </w:rPr>
            </w:pPr>
            <w:r>
              <w:rPr>
                <w:rFonts w:eastAsia="仿宋"/>
                <w:color w:val="000000"/>
                <w:kern w:val="0"/>
                <w:sz w:val="24"/>
                <w:lang w:bidi="ar"/>
              </w:rPr>
              <w:t>对生产经营单位进行爆破、吊装、动火、临时用电以及国务院应急管理部门会同国务院有关部门规定的其他危险作业，未安排专门人员进行现场安全管理的行政处罚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6FB61B42">
            <w:pPr>
              <w:topLinePunct/>
              <w:adjustRightInd w:val="0"/>
              <w:snapToGrid w:val="0"/>
              <w:jc w:val="left"/>
              <w:textAlignment w:val="center"/>
              <w:rPr>
                <w:rFonts w:eastAsia="仿宋"/>
                <w:color w:val="000000"/>
                <w:sz w:val="24"/>
              </w:rPr>
            </w:pPr>
            <w:r>
              <w:rPr>
                <w:rFonts w:eastAsia="仿宋"/>
                <w:color w:val="000000"/>
                <w:kern w:val="0"/>
                <w:sz w:val="24"/>
                <w:lang w:bidi="ar"/>
              </w:rPr>
              <w:t>《中华人民共和国安全生产法》第一百零一条第三项 生产经营单位有下列行为之一的，责令限期改正，处十万元以下的罚款；逾期未改正的，责令停产停业整顿，并处十万元以上二十万元以下的罚款，对其直接负责的主管人员和其他直接责任人员处二万元以上五万元以下的罚款；构成犯罪的，依照刑法有关规定追究刑事责任：（三）进行爆破、吊装、动火、临时用电以及国务院应急管理部门会同国务院有关部门规定的其他危险作业，未安排专门人员进行现场安全管理的；</w:t>
            </w:r>
            <w:r>
              <w:rPr>
                <w:rFonts w:eastAsia="仿宋"/>
                <w:color w:val="000000"/>
                <w:kern w:val="0"/>
                <w:sz w:val="24"/>
                <w:lang w:bidi="ar"/>
              </w:rPr>
              <w:br w:type="textWrapping"/>
            </w:r>
            <w:r>
              <w:rPr>
                <w:rFonts w:eastAsia="仿宋"/>
                <w:color w:val="000000"/>
                <w:kern w:val="0"/>
                <w:sz w:val="24"/>
                <w:lang w:bidi="ar"/>
              </w:rPr>
              <w:t>第一百一十五条  本法规定的行政处罚，由应急管理部门和其他负有安全生产监督管理职责的部门按照职责分工决定；其中，根据本法第九十五条、第一百一十条、第一百一十四条的规定应当给予民航、铁路、电力行业的生产经营单位及其主要负责人行政处罚的，也可以由主管的负有安全生产监督管理职责的部门进行处罚。予以关闭的行政处罚，由负有安全生产监督管理职责的部门报请县级以上人民政府按照国务院规定的权限决定；给予拘留的行政处罚，由公安机关依照治安管理处罚的规定决定。</w:t>
            </w:r>
          </w:p>
        </w:tc>
        <w:tc>
          <w:tcPr>
            <w:tcW w:w="476" w:type="pct"/>
            <w:tcBorders>
              <w:top w:val="single" w:color="000000" w:sz="4" w:space="0"/>
              <w:left w:val="single" w:color="000000" w:sz="4" w:space="0"/>
              <w:bottom w:val="single" w:color="000000" w:sz="4" w:space="0"/>
              <w:right w:val="single" w:color="000000" w:sz="4" w:space="0"/>
            </w:tcBorders>
            <w:vAlign w:val="center"/>
          </w:tcPr>
          <w:p w14:paraId="00859F00">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22B975AD">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49470EC4">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5979854A">
        <w:tblPrEx>
          <w:tblCellMar>
            <w:top w:w="0" w:type="dxa"/>
            <w:left w:w="108" w:type="dxa"/>
            <w:bottom w:w="0" w:type="dxa"/>
            <w:right w:w="108" w:type="dxa"/>
          </w:tblCellMar>
        </w:tblPrEx>
        <w:trPr>
          <w:trHeight w:val="335"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06AECEF1">
            <w:pPr>
              <w:topLinePunct/>
              <w:adjustRightInd w:val="0"/>
              <w:snapToGrid w:val="0"/>
              <w:jc w:val="center"/>
              <w:textAlignment w:val="center"/>
              <w:rPr>
                <w:rFonts w:eastAsia="仿宋"/>
                <w:color w:val="000000"/>
                <w:sz w:val="24"/>
              </w:rPr>
            </w:pPr>
            <w:r>
              <w:rPr>
                <w:rFonts w:eastAsia="仿宋"/>
                <w:color w:val="000000"/>
                <w:kern w:val="0"/>
                <w:sz w:val="24"/>
                <w:lang w:bidi="ar"/>
              </w:rPr>
              <w:t>40</w:t>
            </w:r>
          </w:p>
        </w:tc>
        <w:tc>
          <w:tcPr>
            <w:tcW w:w="838" w:type="pct"/>
            <w:tcBorders>
              <w:top w:val="single" w:color="000000" w:sz="4" w:space="0"/>
              <w:left w:val="single" w:color="000000" w:sz="4" w:space="0"/>
              <w:bottom w:val="single" w:color="000000" w:sz="4" w:space="0"/>
              <w:right w:val="single" w:color="000000" w:sz="4" w:space="0"/>
            </w:tcBorders>
            <w:vAlign w:val="center"/>
          </w:tcPr>
          <w:p w14:paraId="5A51CC4E">
            <w:pPr>
              <w:topLinePunct/>
              <w:adjustRightInd w:val="0"/>
              <w:snapToGrid w:val="0"/>
              <w:textAlignment w:val="center"/>
              <w:rPr>
                <w:rFonts w:eastAsia="仿宋"/>
                <w:color w:val="000000"/>
                <w:sz w:val="24"/>
              </w:rPr>
            </w:pPr>
            <w:r>
              <w:rPr>
                <w:rFonts w:eastAsia="仿宋"/>
                <w:color w:val="000000"/>
                <w:kern w:val="0"/>
                <w:sz w:val="24"/>
                <w:lang w:bidi="ar"/>
              </w:rPr>
              <w:t>对生产经营单位未为从业人员提供符合国家标准或者行业标准的劳动防护用品的行政处罚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1B4163F6">
            <w:pPr>
              <w:topLinePunct/>
              <w:adjustRightInd w:val="0"/>
              <w:snapToGrid w:val="0"/>
              <w:jc w:val="left"/>
              <w:textAlignment w:val="center"/>
              <w:rPr>
                <w:rFonts w:eastAsia="仿宋"/>
                <w:color w:val="000000"/>
                <w:sz w:val="24"/>
              </w:rPr>
            </w:pPr>
            <w:r>
              <w:rPr>
                <w:rFonts w:eastAsia="仿宋"/>
                <w:color w:val="000000"/>
                <w:kern w:val="0"/>
                <w:sz w:val="24"/>
                <w:lang w:bidi="ar"/>
              </w:rPr>
              <w:t>1.《中华人民共和国安全生产法》第九十九条第五项  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五）未为从业人员提供符合国家标准或者行业标准的劳动防护用品的；</w:t>
            </w:r>
            <w:r>
              <w:rPr>
                <w:rFonts w:eastAsia="仿宋"/>
                <w:color w:val="000000"/>
                <w:kern w:val="0"/>
                <w:sz w:val="24"/>
                <w:lang w:bidi="ar"/>
              </w:rPr>
              <w:br w:type="textWrapping"/>
            </w:r>
            <w:r>
              <w:rPr>
                <w:rFonts w:eastAsia="仿宋"/>
                <w:color w:val="000000"/>
                <w:kern w:val="0"/>
                <w:sz w:val="24"/>
                <w:lang w:bidi="ar"/>
              </w:rPr>
              <w:t>第一百一十五条  本法规定的行政处罚，由应急管理部门和其他负有安全生产监督管理职责的部门按照职责分工决定；其中，根据本法第九十五条、第一百一十条、第一百一十四条的规定应当给予民航、铁路、电力行业的生产经营单位及其主要负责人行政处罚的，也可以由主管的负有安全生产监督管理职责的部门进行处罚。予以关闭的行政处罚，由负有安全生产监督管理职责的部门报请县级以上人民政府按照国务院规定的权限决定；给予拘留的行政处罚，由公安机关依照治安管理处罚的规定决定。</w:t>
            </w:r>
            <w:r>
              <w:rPr>
                <w:rFonts w:eastAsia="仿宋"/>
                <w:color w:val="000000"/>
                <w:kern w:val="0"/>
                <w:sz w:val="24"/>
                <w:lang w:bidi="ar"/>
              </w:rPr>
              <w:br w:type="textWrapping"/>
            </w:r>
            <w:r>
              <w:rPr>
                <w:rFonts w:eastAsia="仿宋"/>
                <w:color w:val="000000"/>
                <w:kern w:val="0"/>
                <w:sz w:val="24"/>
                <w:lang w:bidi="ar"/>
              </w:rPr>
              <w:t>2.《工贸企业粉尘防爆安全规定》第二十七条第四项  粉尘涉爆企业有下列行为之一的，由负责粉尘涉爆企业安全监管的部门依照《中华人民共和国安全生产法》有关规定，责令限期改正，处5万元以下的罚款；逾期未改正的，处5万元以上20万元以下的罚款，对其直接负责的主管人员和其他直接责任人员处1万元以上2万元以下的罚款；情节严重的，责令停产停业整顿；构成犯罪的，依照刑法有关规定追究刑事责任：（四）未为粉尘作业岗位相关从业人员提供符合国家标准或者行业标准的劳动防护用品的。</w:t>
            </w:r>
          </w:p>
        </w:tc>
        <w:tc>
          <w:tcPr>
            <w:tcW w:w="476" w:type="pct"/>
            <w:tcBorders>
              <w:top w:val="single" w:color="000000" w:sz="4" w:space="0"/>
              <w:left w:val="single" w:color="000000" w:sz="4" w:space="0"/>
              <w:bottom w:val="single" w:color="000000" w:sz="4" w:space="0"/>
              <w:right w:val="single" w:color="000000" w:sz="4" w:space="0"/>
            </w:tcBorders>
            <w:vAlign w:val="center"/>
          </w:tcPr>
          <w:p w14:paraId="7CEF3FB1">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16F8B233">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0FB671EB">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5D2131C4">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470D5D57">
            <w:pPr>
              <w:topLinePunct/>
              <w:adjustRightInd w:val="0"/>
              <w:snapToGrid w:val="0"/>
              <w:jc w:val="center"/>
              <w:textAlignment w:val="center"/>
              <w:rPr>
                <w:rFonts w:eastAsia="仿宋"/>
                <w:color w:val="000000"/>
                <w:sz w:val="24"/>
              </w:rPr>
            </w:pPr>
            <w:r>
              <w:rPr>
                <w:rFonts w:eastAsia="仿宋"/>
                <w:color w:val="000000"/>
                <w:kern w:val="0"/>
                <w:sz w:val="24"/>
                <w:lang w:bidi="ar"/>
              </w:rPr>
              <w:t>41</w:t>
            </w:r>
          </w:p>
        </w:tc>
        <w:tc>
          <w:tcPr>
            <w:tcW w:w="838" w:type="pct"/>
            <w:tcBorders>
              <w:top w:val="single" w:color="000000" w:sz="4" w:space="0"/>
              <w:left w:val="single" w:color="000000" w:sz="4" w:space="0"/>
              <w:bottom w:val="single" w:color="000000" w:sz="4" w:space="0"/>
              <w:right w:val="single" w:color="000000" w:sz="4" w:space="0"/>
            </w:tcBorders>
            <w:vAlign w:val="center"/>
          </w:tcPr>
          <w:p w14:paraId="67EA9FC3">
            <w:pPr>
              <w:topLinePunct/>
              <w:adjustRightInd w:val="0"/>
              <w:snapToGrid w:val="0"/>
              <w:textAlignment w:val="center"/>
              <w:rPr>
                <w:rFonts w:eastAsia="仿宋"/>
                <w:color w:val="000000"/>
                <w:sz w:val="24"/>
              </w:rPr>
            </w:pPr>
            <w:r>
              <w:rPr>
                <w:rFonts w:eastAsia="仿宋"/>
                <w:color w:val="000000"/>
                <w:kern w:val="0"/>
                <w:sz w:val="24"/>
                <w:lang w:bidi="ar"/>
              </w:rPr>
              <w:t>对两个以上生产经营单位在同一作业区域内进行可能危及对方安全生产的生产经营活动，未签订安全生产管理协议或者未指定专职安全生产管理人员进行安全检查与协调的行政处罚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2C13BF92">
            <w:pPr>
              <w:topLinePunct/>
              <w:adjustRightInd w:val="0"/>
              <w:snapToGrid w:val="0"/>
              <w:jc w:val="left"/>
              <w:textAlignment w:val="center"/>
              <w:rPr>
                <w:rFonts w:eastAsia="仿宋"/>
                <w:color w:val="000000"/>
                <w:sz w:val="24"/>
              </w:rPr>
            </w:pPr>
            <w:r>
              <w:rPr>
                <w:rFonts w:eastAsia="仿宋"/>
                <w:color w:val="000000"/>
                <w:kern w:val="0"/>
                <w:sz w:val="24"/>
                <w:lang w:bidi="ar"/>
              </w:rPr>
              <w:t>《中华人民共和国安全生产法》第一百零四条  两个以上生产经营单位在同一作业区域内进行可能危及对方安全生产的生产经营活动，未签订安全生产管理协议或者未指定专职安全生产管理人员进行安全检查与协调的，责令限期改正，处五万元以下的罚款，对其直接负责的主管人员和其他直接责任人员处一万元以下的罚款；逾期未改正的，责令停产停业。</w:t>
            </w:r>
            <w:r>
              <w:rPr>
                <w:rFonts w:eastAsia="仿宋"/>
                <w:color w:val="000000"/>
                <w:kern w:val="0"/>
                <w:sz w:val="24"/>
                <w:lang w:bidi="ar"/>
              </w:rPr>
              <w:br w:type="textWrapping"/>
            </w:r>
            <w:r>
              <w:rPr>
                <w:rFonts w:eastAsia="仿宋"/>
                <w:color w:val="000000"/>
                <w:kern w:val="0"/>
                <w:sz w:val="24"/>
                <w:lang w:bidi="ar"/>
              </w:rPr>
              <w:t>第一百一十五条  本法规定的行政处罚，由应急管理部门和其他负有安全生产监督管理职责的部门按照职责分工决定；其中，根据本法第九十五条、第一百一十条、第一百一十四条的规定应当给予民航、铁路、电力行业的生产经营单位及其主要负责人行政处罚的，也可以由主管的负有安全生产监督管理职责的部门进行处罚。予以关闭的行政处罚，由负有安全生产监督管理职责的部门报请县级以上人民政府按照国务院规定的权限决定；给予拘留的行政处罚，由公安机关依照治安管理处罚的规定决定。</w:t>
            </w:r>
          </w:p>
        </w:tc>
        <w:tc>
          <w:tcPr>
            <w:tcW w:w="476" w:type="pct"/>
            <w:tcBorders>
              <w:top w:val="single" w:color="000000" w:sz="4" w:space="0"/>
              <w:left w:val="single" w:color="000000" w:sz="4" w:space="0"/>
              <w:bottom w:val="single" w:color="000000" w:sz="4" w:space="0"/>
              <w:right w:val="single" w:color="000000" w:sz="4" w:space="0"/>
            </w:tcBorders>
            <w:vAlign w:val="center"/>
          </w:tcPr>
          <w:p w14:paraId="0EE9CD5D">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02FC0F8D">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4DFBADB8">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549B73C2">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34F11F7E">
            <w:pPr>
              <w:topLinePunct/>
              <w:adjustRightInd w:val="0"/>
              <w:snapToGrid w:val="0"/>
              <w:jc w:val="center"/>
              <w:textAlignment w:val="center"/>
              <w:rPr>
                <w:rFonts w:eastAsia="仿宋"/>
                <w:color w:val="000000"/>
                <w:sz w:val="24"/>
              </w:rPr>
            </w:pPr>
            <w:r>
              <w:rPr>
                <w:rFonts w:eastAsia="仿宋"/>
                <w:color w:val="000000"/>
                <w:kern w:val="0"/>
                <w:sz w:val="24"/>
                <w:lang w:bidi="ar"/>
              </w:rPr>
              <w:t>42</w:t>
            </w:r>
          </w:p>
        </w:tc>
        <w:tc>
          <w:tcPr>
            <w:tcW w:w="838" w:type="pct"/>
            <w:tcBorders>
              <w:top w:val="single" w:color="000000" w:sz="4" w:space="0"/>
              <w:left w:val="single" w:color="000000" w:sz="4" w:space="0"/>
              <w:bottom w:val="single" w:color="000000" w:sz="4" w:space="0"/>
              <w:right w:val="single" w:color="000000" w:sz="4" w:space="0"/>
            </w:tcBorders>
            <w:vAlign w:val="center"/>
          </w:tcPr>
          <w:p w14:paraId="3641DB20">
            <w:pPr>
              <w:topLinePunct/>
              <w:adjustRightInd w:val="0"/>
              <w:snapToGrid w:val="0"/>
              <w:textAlignment w:val="center"/>
              <w:rPr>
                <w:rFonts w:eastAsia="仿宋"/>
                <w:color w:val="000000"/>
                <w:sz w:val="24"/>
              </w:rPr>
            </w:pPr>
            <w:r>
              <w:rPr>
                <w:rFonts w:eastAsia="仿宋"/>
                <w:color w:val="000000"/>
                <w:kern w:val="0"/>
                <w:sz w:val="24"/>
                <w:lang w:bidi="ar"/>
              </w:rPr>
              <w:t>对生产经营单位将生产经营项目、场所、设备发包或者出租给不具备安全生产条件或者相应资质的单位或者个人的行政处罚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261BBB2E">
            <w:pPr>
              <w:topLinePunct/>
              <w:adjustRightInd w:val="0"/>
              <w:snapToGrid w:val="0"/>
              <w:jc w:val="left"/>
              <w:textAlignment w:val="center"/>
              <w:rPr>
                <w:rFonts w:eastAsia="仿宋"/>
                <w:color w:val="000000"/>
                <w:sz w:val="24"/>
              </w:rPr>
            </w:pPr>
            <w:r>
              <w:rPr>
                <w:rFonts w:eastAsia="仿宋"/>
                <w:color w:val="000000"/>
                <w:kern w:val="0"/>
                <w:sz w:val="24"/>
                <w:lang w:bidi="ar"/>
              </w:rPr>
              <w:t>《中华人民共和国安全生产法》第一百零三条第一款  生产经营单位将生产经营项目、场所、设备发包或者出租给不具备安全生产条件或者相应资质的单位或者个人的，责令限期改正，没收违法所得；违法所得十万元以上的，并处违法所得二倍以上五倍以下的罚款；没有违法所得或者违法所得不足十万元的，单处或者并处十万元以上二十万元以下的罚款；对其直接负责的主管人员和其他直接责任人员处一万元以上二万元以下的罚款；导致发生生产安全事故给他人造成损害的，与承包方、承租方承担连带赔偿责任。</w:t>
            </w:r>
            <w:r>
              <w:rPr>
                <w:rFonts w:eastAsia="仿宋"/>
                <w:color w:val="000000"/>
                <w:kern w:val="0"/>
                <w:sz w:val="24"/>
                <w:lang w:bidi="ar"/>
              </w:rPr>
              <w:br w:type="textWrapping"/>
            </w:r>
            <w:r>
              <w:rPr>
                <w:rFonts w:eastAsia="仿宋"/>
                <w:color w:val="000000"/>
                <w:kern w:val="0"/>
                <w:sz w:val="24"/>
                <w:lang w:bidi="ar"/>
              </w:rPr>
              <w:t>第一百一十五条  本法规定的行政处罚，由应急管理部门和其他负有安全生产监督管理职责的部门按照职责分工决定；其中，根据本法第九十五条、第一百一十条、第一百一十四条的规定应当给予民航、铁路、电力行业的生产经营单位及其主要负责人行政处罚的，也可以由主管的负有安全生产监督管理职责的部门进行处罚。予以关闭的行政处罚，由负有安全生产监督管理职责的部门报请县级以上人民政府按照国务院规定的权限决定；给予拘留的行政处罚，由公安机关依照治安管理处罚的规定决定。</w:t>
            </w:r>
          </w:p>
        </w:tc>
        <w:tc>
          <w:tcPr>
            <w:tcW w:w="476" w:type="pct"/>
            <w:tcBorders>
              <w:top w:val="single" w:color="000000" w:sz="4" w:space="0"/>
              <w:left w:val="single" w:color="000000" w:sz="4" w:space="0"/>
              <w:bottom w:val="single" w:color="000000" w:sz="4" w:space="0"/>
              <w:right w:val="single" w:color="000000" w:sz="4" w:space="0"/>
            </w:tcBorders>
            <w:vAlign w:val="center"/>
          </w:tcPr>
          <w:p w14:paraId="44DAD073">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78E1D69B">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70F955B7">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747F376B">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1974DAB2">
            <w:pPr>
              <w:topLinePunct/>
              <w:adjustRightInd w:val="0"/>
              <w:snapToGrid w:val="0"/>
              <w:jc w:val="center"/>
              <w:textAlignment w:val="center"/>
              <w:rPr>
                <w:rFonts w:eastAsia="仿宋"/>
                <w:color w:val="000000"/>
                <w:sz w:val="24"/>
              </w:rPr>
            </w:pPr>
            <w:r>
              <w:rPr>
                <w:rFonts w:eastAsia="仿宋"/>
                <w:color w:val="000000"/>
                <w:kern w:val="0"/>
                <w:sz w:val="24"/>
                <w:lang w:bidi="ar"/>
              </w:rPr>
              <w:t>43</w:t>
            </w:r>
          </w:p>
        </w:tc>
        <w:tc>
          <w:tcPr>
            <w:tcW w:w="838" w:type="pct"/>
            <w:tcBorders>
              <w:top w:val="single" w:color="000000" w:sz="4" w:space="0"/>
              <w:left w:val="single" w:color="000000" w:sz="4" w:space="0"/>
              <w:bottom w:val="single" w:color="000000" w:sz="4" w:space="0"/>
              <w:right w:val="single" w:color="000000" w:sz="4" w:space="0"/>
            </w:tcBorders>
            <w:vAlign w:val="center"/>
          </w:tcPr>
          <w:p w14:paraId="18339B1D">
            <w:pPr>
              <w:topLinePunct/>
              <w:adjustRightInd w:val="0"/>
              <w:snapToGrid w:val="0"/>
              <w:textAlignment w:val="center"/>
              <w:rPr>
                <w:rFonts w:eastAsia="仿宋"/>
                <w:color w:val="000000"/>
                <w:sz w:val="24"/>
              </w:rPr>
            </w:pPr>
            <w:r>
              <w:rPr>
                <w:rFonts w:eastAsia="仿宋"/>
                <w:color w:val="000000"/>
                <w:kern w:val="0"/>
                <w:sz w:val="24"/>
                <w:lang w:bidi="ar"/>
              </w:rPr>
              <w:t>对生产经营单位未与承包单位、承租单位签订专门的安全生产管理协议或者未在承包合同、租赁合同中明确各自的安全生产管理职责，或者未对承包单位、承租单位的安全生产统一协调、管理的行政处罚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57150232">
            <w:pPr>
              <w:topLinePunct/>
              <w:adjustRightInd w:val="0"/>
              <w:snapToGrid w:val="0"/>
              <w:jc w:val="left"/>
              <w:textAlignment w:val="center"/>
              <w:rPr>
                <w:rFonts w:eastAsia="仿宋"/>
                <w:color w:val="000000"/>
                <w:sz w:val="24"/>
              </w:rPr>
            </w:pPr>
            <w:r>
              <w:rPr>
                <w:rFonts w:eastAsia="仿宋"/>
                <w:color w:val="000000"/>
                <w:kern w:val="0"/>
                <w:sz w:val="24"/>
                <w:lang w:bidi="ar"/>
              </w:rPr>
              <w:t>《中华人民共和国安全生产法》第一百零三条第二款  生产经营单位未与承包单位、承租单位签订专门的安全生产管理协议或者未在承包合同、租赁合同中明确各自的安全生产管理职责，或者未对承包单位、承租单位的安全生产统一协调、管理的，责令限期改正，处五万元以下的罚款，对其直接负责的主管人员和其他直接责任人员处一万元以下的罚款；逾期未改正的，责令停产停业整顿。</w:t>
            </w:r>
            <w:r>
              <w:rPr>
                <w:rFonts w:eastAsia="仿宋"/>
                <w:color w:val="000000"/>
                <w:kern w:val="0"/>
                <w:sz w:val="24"/>
                <w:lang w:bidi="ar"/>
              </w:rPr>
              <w:br w:type="textWrapping"/>
            </w:r>
            <w:r>
              <w:rPr>
                <w:rFonts w:eastAsia="仿宋"/>
                <w:color w:val="000000"/>
                <w:kern w:val="0"/>
                <w:sz w:val="24"/>
                <w:lang w:bidi="ar"/>
              </w:rPr>
              <w:t>第一百一十五条  本法规定的行政处罚，由应急管理部门和其他负有安全生产监督管理职责的部门按照职责分工决定；其中，根据本法第九十五条、第一百一十条、第一百一十四条的规定应当给予民航、铁路、电力行业的生产经营单位及其主要负责人行政处罚的，也可以由主管的负有安全生产监督管理职责的部门进行处罚。予以关闭的行政处罚，由负有安全生产监督管理职责的部门报请县级以上人民政府按照国务院规定的权限决定；给予拘留的行政处罚，由公安机关依照治安管理处罚的规定决定。</w:t>
            </w:r>
          </w:p>
        </w:tc>
        <w:tc>
          <w:tcPr>
            <w:tcW w:w="476" w:type="pct"/>
            <w:tcBorders>
              <w:top w:val="single" w:color="000000" w:sz="4" w:space="0"/>
              <w:left w:val="single" w:color="000000" w:sz="4" w:space="0"/>
              <w:bottom w:val="single" w:color="000000" w:sz="4" w:space="0"/>
              <w:right w:val="single" w:color="000000" w:sz="4" w:space="0"/>
            </w:tcBorders>
            <w:vAlign w:val="center"/>
          </w:tcPr>
          <w:p w14:paraId="037B7FE0">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3D78E053">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53535E36">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25C2AD5D">
        <w:tblPrEx>
          <w:tblCellMar>
            <w:top w:w="0" w:type="dxa"/>
            <w:left w:w="108" w:type="dxa"/>
            <w:bottom w:w="0" w:type="dxa"/>
            <w:right w:w="108" w:type="dxa"/>
          </w:tblCellMar>
        </w:tblPrEx>
        <w:trPr>
          <w:trHeight w:val="23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24D578D5">
            <w:pPr>
              <w:topLinePunct/>
              <w:adjustRightInd w:val="0"/>
              <w:snapToGrid w:val="0"/>
              <w:jc w:val="center"/>
              <w:textAlignment w:val="center"/>
              <w:rPr>
                <w:rFonts w:eastAsia="仿宋"/>
                <w:color w:val="000000"/>
                <w:sz w:val="24"/>
              </w:rPr>
            </w:pPr>
            <w:r>
              <w:rPr>
                <w:rFonts w:eastAsia="仿宋"/>
                <w:color w:val="000000"/>
                <w:kern w:val="0"/>
                <w:sz w:val="24"/>
                <w:lang w:bidi="ar"/>
              </w:rPr>
              <w:t>44</w:t>
            </w:r>
          </w:p>
        </w:tc>
        <w:tc>
          <w:tcPr>
            <w:tcW w:w="838" w:type="pct"/>
            <w:tcBorders>
              <w:top w:val="single" w:color="000000" w:sz="4" w:space="0"/>
              <w:left w:val="single" w:color="000000" w:sz="4" w:space="0"/>
              <w:bottom w:val="single" w:color="000000" w:sz="4" w:space="0"/>
              <w:right w:val="single" w:color="000000" w:sz="4" w:space="0"/>
            </w:tcBorders>
            <w:vAlign w:val="center"/>
          </w:tcPr>
          <w:p w14:paraId="1A15364E">
            <w:pPr>
              <w:topLinePunct/>
              <w:adjustRightInd w:val="0"/>
              <w:snapToGrid w:val="0"/>
              <w:textAlignment w:val="center"/>
              <w:rPr>
                <w:rFonts w:eastAsia="仿宋"/>
                <w:color w:val="000000"/>
                <w:sz w:val="24"/>
              </w:rPr>
            </w:pPr>
            <w:r>
              <w:rPr>
                <w:rFonts w:eastAsia="仿宋"/>
                <w:color w:val="000000"/>
                <w:kern w:val="0"/>
                <w:sz w:val="24"/>
                <w:lang w:bidi="ar"/>
              </w:rPr>
              <w:t>对监管职责范围内的矿山建设项目的施工单位未按照规定对施工项目进行安全管理的行政处罚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0F8BAC5C">
            <w:pPr>
              <w:topLinePunct/>
              <w:adjustRightInd w:val="0"/>
              <w:snapToGrid w:val="0"/>
              <w:jc w:val="left"/>
              <w:textAlignment w:val="center"/>
              <w:rPr>
                <w:rFonts w:eastAsia="仿宋"/>
                <w:color w:val="000000"/>
                <w:sz w:val="24"/>
              </w:rPr>
            </w:pPr>
            <w:r>
              <w:rPr>
                <w:rFonts w:eastAsia="仿宋"/>
                <w:color w:val="000000"/>
                <w:kern w:val="0"/>
                <w:sz w:val="24"/>
                <w:lang w:bidi="ar"/>
              </w:rPr>
              <w:t>《中华人民共和国安全生产法》第一百零三条第三款  矿山、金属冶炼建设项目和用于生产、储存、装卸危险物品的建设项目的施工单位未按照规定对施工项目进行安全管理的，责令限期改正，处十万元以下的罚款，对其直接负责的主管人员和其他直接责任人员处二万元以下的罚款；逾期未改正的，责令停产停业整顿。以上施工单位倒卖、出租、出借、挂靠或者以其他形式非法转让施工资质的，责令停产停业整顿，吊销资质证书，没收违法所得；违法所得十万元以上的，并处违法所得二倍以上五倍以下的罚款，没有违法所得或者违法所得不足十万元的，单处或者并处十万元以上二十万元以下的罚款；对其直接负责的主管人员和其他直接责任人员处五万元以上十万元以下的罚款；构成犯罪的，依照刑法有关规定追究刑事责任。</w:t>
            </w:r>
            <w:r>
              <w:rPr>
                <w:rFonts w:eastAsia="仿宋"/>
                <w:color w:val="000000"/>
                <w:kern w:val="0"/>
                <w:sz w:val="24"/>
                <w:lang w:bidi="ar"/>
              </w:rPr>
              <w:br w:type="textWrapping"/>
            </w:r>
            <w:r>
              <w:rPr>
                <w:rFonts w:eastAsia="仿宋"/>
                <w:color w:val="000000"/>
                <w:kern w:val="0"/>
                <w:sz w:val="24"/>
                <w:lang w:bidi="ar"/>
              </w:rPr>
              <w:t>第一百一十五条  本法规定的行政处罚，由应急管理部门和其他负有安全生产监督管理职责的部门按照职责分工决定；其中，根据本法第九十五条、第一百一十条、第一百一十四条的规定应当给予民航、铁路、电力行业的生产经营单位及其主要负责人行政处罚的，也可以由主管的负有安全生产监督管理职责的部门进行处罚。予以关闭的行政处罚，由负有安全生产监督管理职责的部门报请县级以上人民政府按照国务院规定的权限决定；给予拘留的行政处罚，由公安机关依照治安管理处罚的规定决定。</w:t>
            </w:r>
          </w:p>
        </w:tc>
        <w:tc>
          <w:tcPr>
            <w:tcW w:w="476" w:type="pct"/>
            <w:tcBorders>
              <w:top w:val="single" w:color="000000" w:sz="4" w:space="0"/>
              <w:left w:val="single" w:color="000000" w:sz="4" w:space="0"/>
              <w:bottom w:val="single" w:color="000000" w:sz="4" w:space="0"/>
              <w:right w:val="single" w:color="000000" w:sz="4" w:space="0"/>
            </w:tcBorders>
            <w:vAlign w:val="center"/>
          </w:tcPr>
          <w:p w14:paraId="6EAB896C">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4D39833B">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62B6DA56">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5DCD3857">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4BF536E0">
            <w:pPr>
              <w:topLinePunct/>
              <w:adjustRightInd w:val="0"/>
              <w:snapToGrid w:val="0"/>
              <w:jc w:val="center"/>
              <w:textAlignment w:val="center"/>
              <w:rPr>
                <w:rFonts w:eastAsia="仿宋"/>
                <w:color w:val="000000"/>
                <w:sz w:val="24"/>
              </w:rPr>
            </w:pPr>
            <w:r>
              <w:rPr>
                <w:rFonts w:eastAsia="仿宋"/>
                <w:color w:val="000000"/>
                <w:kern w:val="0"/>
                <w:sz w:val="24"/>
                <w:lang w:bidi="ar"/>
              </w:rPr>
              <w:t>45</w:t>
            </w:r>
          </w:p>
        </w:tc>
        <w:tc>
          <w:tcPr>
            <w:tcW w:w="838" w:type="pct"/>
            <w:tcBorders>
              <w:top w:val="single" w:color="000000" w:sz="4" w:space="0"/>
              <w:left w:val="single" w:color="000000" w:sz="4" w:space="0"/>
              <w:bottom w:val="single" w:color="000000" w:sz="4" w:space="0"/>
              <w:right w:val="single" w:color="000000" w:sz="4" w:space="0"/>
            </w:tcBorders>
            <w:vAlign w:val="center"/>
          </w:tcPr>
          <w:p w14:paraId="550ECEA0">
            <w:pPr>
              <w:topLinePunct/>
              <w:adjustRightInd w:val="0"/>
              <w:snapToGrid w:val="0"/>
              <w:textAlignment w:val="center"/>
              <w:rPr>
                <w:rFonts w:eastAsia="仿宋"/>
                <w:color w:val="000000"/>
                <w:sz w:val="24"/>
              </w:rPr>
            </w:pPr>
            <w:r>
              <w:rPr>
                <w:rFonts w:eastAsia="仿宋"/>
                <w:color w:val="000000"/>
                <w:kern w:val="0"/>
                <w:sz w:val="24"/>
                <w:lang w:bidi="ar"/>
              </w:rPr>
              <w:t>对高危行业、领域的生产经营单位未按规定投保安全生产责任保险的行政处罚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72FD08F5">
            <w:pPr>
              <w:topLinePunct/>
              <w:adjustRightInd w:val="0"/>
              <w:snapToGrid w:val="0"/>
              <w:jc w:val="left"/>
              <w:textAlignment w:val="center"/>
              <w:rPr>
                <w:rFonts w:eastAsia="仿宋"/>
                <w:color w:val="000000"/>
                <w:sz w:val="24"/>
              </w:rPr>
            </w:pPr>
            <w:r>
              <w:rPr>
                <w:rFonts w:eastAsia="仿宋"/>
                <w:color w:val="000000"/>
                <w:kern w:val="0"/>
                <w:sz w:val="24"/>
                <w:lang w:bidi="ar"/>
              </w:rPr>
              <w:t>《中华人民共和国安全生产法》第一百零九条  高危行业、领域的生产经营单位未按照国家规定投保安全生产责任保险的，责令限期改正，处五万元以上十万元以下的罚款；逾期未改正的，处十万元以上二十万元以下的罚款。</w:t>
            </w:r>
            <w:r>
              <w:rPr>
                <w:rFonts w:eastAsia="仿宋"/>
                <w:color w:val="000000"/>
                <w:kern w:val="0"/>
                <w:sz w:val="24"/>
                <w:lang w:bidi="ar"/>
              </w:rPr>
              <w:br w:type="textWrapping"/>
            </w:r>
            <w:r>
              <w:rPr>
                <w:rFonts w:eastAsia="仿宋"/>
                <w:color w:val="000000"/>
                <w:kern w:val="0"/>
                <w:sz w:val="24"/>
                <w:lang w:bidi="ar"/>
              </w:rPr>
              <w:t>第一百一十五条  本法规定的行政处罚，由应急管理部门和其他负有安全生产监督管理职责的部门按照职责分工决定；其中，根据本法第九十五条、第一百一十条、第一百一十四条的规定应当给予民航、铁路、电力行业的生产经营单位及其主要负责人行政处罚的，也可以由主管的负有安全生产监督管理职责的部门进行处罚。予以关闭的行政处罚，由负有安全生产监督管理职责的部门报请县级以上人民政府按照国务院规定的权限决定；给予拘留的行政处罚，由公安机关依照治安管理处罚的规定决定。</w:t>
            </w:r>
          </w:p>
        </w:tc>
        <w:tc>
          <w:tcPr>
            <w:tcW w:w="476" w:type="pct"/>
            <w:tcBorders>
              <w:top w:val="single" w:color="000000" w:sz="4" w:space="0"/>
              <w:left w:val="single" w:color="000000" w:sz="4" w:space="0"/>
              <w:bottom w:val="single" w:color="000000" w:sz="4" w:space="0"/>
              <w:right w:val="single" w:color="000000" w:sz="4" w:space="0"/>
            </w:tcBorders>
            <w:vAlign w:val="center"/>
          </w:tcPr>
          <w:p w14:paraId="5C5C147D">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7B3CF1BC">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5459EE91">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437FCF9E">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18507A43">
            <w:pPr>
              <w:topLinePunct/>
              <w:adjustRightInd w:val="0"/>
              <w:snapToGrid w:val="0"/>
              <w:jc w:val="center"/>
              <w:textAlignment w:val="center"/>
              <w:rPr>
                <w:rFonts w:eastAsia="仿宋"/>
                <w:color w:val="000000"/>
                <w:sz w:val="24"/>
              </w:rPr>
            </w:pPr>
            <w:r>
              <w:rPr>
                <w:rFonts w:eastAsia="仿宋"/>
                <w:color w:val="000000"/>
                <w:kern w:val="0"/>
                <w:sz w:val="24"/>
                <w:lang w:bidi="ar"/>
              </w:rPr>
              <w:t>46</w:t>
            </w:r>
          </w:p>
        </w:tc>
        <w:tc>
          <w:tcPr>
            <w:tcW w:w="838" w:type="pct"/>
            <w:tcBorders>
              <w:top w:val="single" w:color="000000" w:sz="4" w:space="0"/>
              <w:left w:val="single" w:color="000000" w:sz="4" w:space="0"/>
              <w:bottom w:val="single" w:color="000000" w:sz="4" w:space="0"/>
              <w:right w:val="single" w:color="000000" w:sz="4" w:space="0"/>
            </w:tcBorders>
            <w:vAlign w:val="center"/>
          </w:tcPr>
          <w:p w14:paraId="5C173146">
            <w:pPr>
              <w:topLinePunct/>
              <w:adjustRightInd w:val="0"/>
              <w:snapToGrid w:val="0"/>
              <w:textAlignment w:val="center"/>
              <w:rPr>
                <w:rFonts w:eastAsia="仿宋"/>
                <w:color w:val="000000"/>
                <w:sz w:val="24"/>
              </w:rPr>
            </w:pPr>
            <w:r>
              <w:rPr>
                <w:rFonts w:eastAsia="仿宋"/>
                <w:color w:val="000000"/>
                <w:kern w:val="0"/>
                <w:sz w:val="24"/>
                <w:lang w:bidi="ar"/>
              </w:rPr>
              <w:t>对生产经营单位与从业人员订立协议，免除或者减轻其对从业人员因生产安全事故伤亡依法应承担的责任的行政处罚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1B96BD76">
            <w:pPr>
              <w:topLinePunct/>
              <w:adjustRightInd w:val="0"/>
              <w:snapToGrid w:val="0"/>
              <w:jc w:val="left"/>
              <w:textAlignment w:val="center"/>
              <w:rPr>
                <w:rFonts w:eastAsia="仿宋"/>
                <w:color w:val="000000"/>
                <w:sz w:val="24"/>
              </w:rPr>
            </w:pPr>
            <w:r>
              <w:rPr>
                <w:rFonts w:eastAsia="仿宋"/>
                <w:color w:val="000000"/>
                <w:kern w:val="0"/>
                <w:sz w:val="24"/>
                <w:lang w:bidi="ar"/>
              </w:rPr>
              <w:t>《中华人民共和国安全生产法》第一百零六条  生产经营单位与从业人员订立协议，免除或者减轻其对从业人员因生产安全事故伤亡依法应承担的责任的，该协议无效；对生产经营单位的主要负责人、个人经营的投资人处二万元以上十万元以下的罚款。</w:t>
            </w:r>
          </w:p>
        </w:tc>
        <w:tc>
          <w:tcPr>
            <w:tcW w:w="476" w:type="pct"/>
            <w:tcBorders>
              <w:top w:val="single" w:color="000000" w:sz="4" w:space="0"/>
              <w:left w:val="single" w:color="000000" w:sz="4" w:space="0"/>
              <w:bottom w:val="single" w:color="000000" w:sz="4" w:space="0"/>
              <w:right w:val="single" w:color="000000" w:sz="4" w:space="0"/>
            </w:tcBorders>
            <w:vAlign w:val="center"/>
          </w:tcPr>
          <w:p w14:paraId="2925954D">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71E68C1E">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3FA93869">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1913DDBD">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6843E7E5">
            <w:pPr>
              <w:topLinePunct/>
              <w:adjustRightInd w:val="0"/>
              <w:snapToGrid w:val="0"/>
              <w:jc w:val="center"/>
              <w:textAlignment w:val="center"/>
              <w:rPr>
                <w:rFonts w:eastAsia="仿宋"/>
                <w:color w:val="000000"/>
                <w:sz w:val="24"/>
              </w:rPr>
            </w:pPr>
            <w:r>
              <w:rPr>
                <w:rFonts w:eastAsia="仿宋"/>
                <w:color w:val="000000"/>
                <w:kern w:val="0"/>
                <w:sz w:val="24"/>
                <w:lang w:bidi="ar"/>
              </w:rPr>
              <w:t>47</w:t>
            </w:r>
          </w:p>
        </w:tc>
        <w:tc>
          <w:tcPr>
            <w:tcW w:w="838" w:type="pct"/>
            <w:tcBorders>
              <w:top w:val="single" w:color="000000" w:sz="4" w:space="0"/>
              <w:left w:val="single" w:color="000000" w:sz="4" w:space="0"/>
              <w:bottom w:val="single" w:color="000000" w:sz="4" w:space="0"/>
              <w:right w:val="single" w:color="000000" w:sz="4" w:space="0"/>
            </w:tcBorders>
            <w:vAlign w:val="center"/>
          </w:tcPr>
          <w:p w14:paraId="2C31A21B">
            <w:pPr>
              <w:topLinePunct/>
              <w:adjustRightInd w:val="0"/>
              <w:snapToGrid w:val="0"/>
              <w:textAlignment w:val="center"/>
              <w:rPr>
                <w:rFonts w:eastAsia="仿宋"/>
                <w:color w:val="000000"/>
                <w:sz w:val="24"/>
              </w:rPr>
            </w:pPr>
            <w:r>
              <w:rPr>
                <w:rFonts w:eastAsia="仿宋"/>
                <w:color w:val="000000"/>
                <w:kern w:val="0"/>
                <w:sz w:val="24"/>
                <w:lang w:bidi="ar"/>
              </w:rPr>
              <w:t>对未经注册擅自以注册安全工程师名义执业的行政处罚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254AA6CB">
            <w:pPr>
              <w:topLinePunct/>
              <w:adjustRightInd w:val="0"/>
              <w:snapToGrid w:val="0"/>
              <w:jc w:val="left"/>
              <w:textAlignment w:val="center"/>
              <w:rPr>
                <w:rFonts w:eastAsia="仿宋"/>
                <w:color w:val="000000"/>
                <w:sz w:val="24"/>
              </w:rPr>
            </w:pPr>
            <w:r>
              <w:rPr>
                <w:rFonts w:hint="eastAsia" w:eastAsia="仿宋"/>
                <w:color w:val="000000"/>
                <w:kern w:val="0"/>
                <w:sz w:val="24"/>
                <w:lang w:val="en-US" w:eastAsia="zh-CN" w:bidi="ar"/>
              </w:rPr>
              <w:t>1</w:t>
            </w:r>
            <w:r>
              <w:rPr>
                <w:rFonts w:eastAsia="仿宋"/>
                <w:color w:val="000000"/>
                <w:kern w:val="0"/>
                <w:sz w:val="24"/>
                <w:lang w:bidi="ar"/>
              </w:rPr>
              <w:t>.《注册安全工程师管理规定》第三十条  未经注册擅自以注册安全工程师名义执业的，由县级以上安全生产监督管理部门、有关主管部门或者煤矿安全监察机构责令其停止违法活动，没收违法所得，并处三万元以下的罚款；造成损失的，依法承担赔偿责任。</w:t>
            </w:r>
            <w:r>
              <w:rPr>
                <w:rFonts w:eastAsia="仿宋"/>
                <w:color w:val="000000"/>
                <w:kern w:val="0"/>
                <w:sz w:val="24"/>
                <w:lang w:bidi="ar"/>
              </w:rPr>
              <w:br w:type="textWrapping"/>
            </w:r>
            <w:r>
              <w:rPr>
                <w:rFonts w:eastAsia="仿宋"/>
                <w:color w:val="000000"/>
                <w:kern w:val="0"/>
                <w:sz w:val="24"/>
                <w:lang w:bidi="ar"/>
              </w:rPr>
              <w:t>2.《中华人民共和国行政处罚法》</w:t>
            </w:r>
            <w:r>
              <w:rPr>
                <w:rFonts w:eastAsia="仿宋"/>
                <w:color w:val="000000"/>
                <w:kern w:val="0"/>
                <w:sz w:val="24"/>
                <w:lang w:bidi="ar"/>
              </w:rPr>
              <w:br w:type="textWrapping"/>
            </w:r>
            <w:r>
              <w:rPr>
                <w:rFonts w:eastAsia="仿宋"/>
                <w:color w:val="000000"/>
                <w:kern w:val="0"/>
                <w:sz w:val="24"/>
                <w:lang w:bidi="ar"/>
              </w:rPr>
              <w:t>第二十八条  行政机关实施行政处罚时，应当责令当事人改正或者限期改正违法行为。</w:t>
            </w:r>
            <w:r>
              <w:rPr>
                <w:rFonts w:eastAsia="仿宋"/>
                <w:color w:val="000000"/>
                <w:kern w:val="0"/>
                <w:sz w:val="24"/>
                <w:lang w:bidi="ar"/>
              </w:rPr>
              <w:br w:type="textWrapping"/>
            </w:r>
            <w:r>
              <w:rPr>
                <w:rFonts w:eastAsia="仿宋"/>
                <w:color w:val="000000"/>
                <w:kern w:val="0"/>
                <w:sz w:val="24"/>
                <w:lang w:bidi="ar"/>
              </w:rPr>
              <w:t>当事人有违法所得，除依法应当退赔的外，应当予以没收。违法所得是指实施违法行为所取得的款项。法律、行政法规、部门规章对违法所得的计算另有规定的，从其规定。</w:t>
            </w:r>
          </w:p>
        </w:tc>
        <w:tc>
          <w:tcPr>
            <w:tcW w:w="476" w:type="pct"/>
            <w:tcBorders>
              <w:top w:val="single" w:color="000000" w:sz="4" w:space="0"/>
              <w:left w:val="single" w:color="000000" w:sz="4" w:space="0"/>
              <w:bottom w:val="single" w:color="000000" w:sz="4" w:space="0"/>
              <w:right w:val="single" w:color="000000" w:sz="4" w:space="0"/>
            </w:tcBorders>
            <w:vAlign w:val="center"/>
          </w:tcPr>
          <w:p w14:paraId="5D908FB0">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77523CA5">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52C13486">
            <w:pPr>
              <w:topLinePunct/>
              <w:adjustRightInd w:val="0"/>
              <w:snapToGrid w:val="0"/>
              <w:jc w:val="center"/>
              <w:textAlignment w:val="center"/>
              <w:rPr>
                <w:rFonts w:eastAsia="仿宋"/>
                <w:color w:val="000000"/>
                <w:sz w:val="24"/>
              </w:rPr>
            </w:pPr>
            <w:r>
              <w:rPr>
                <w:rFonts w:hint="eastAsia" w:eastAsia="仿宋"/>
                <w:color w:val="000000"/>
                <w:kern w:val="0"/>
                <w:sz w:val="24"/>
                <w:lang w:eastAsia="zh-CN" w:bidi="ar"/>
              </w:rPr>
              <w:t>县级</w:t>
            </w:r>
          </w:p>
        </w:tc>
      </w:tr>
      <w:tr w14:paraId="41345367">
        <w:tblPrEx>
          <w:tblCellMar>
            <w:top w:w="0" w:type="dxa"/>
            <w:left w:w="108" w:type="dxa"/>
            <w:bottom w:w="0" w:type="dxa"/>
            <w:right w:w="108" w:type="dxa"/>
          </w:tblCellMar>
        </w:tblPrEx>
        <w:trPr>
          <w:trHeight w:val="3319"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5BD9FC52">
            <w:pPr>
              <w:topLinePunct/>
              <w:adjustRightInd w:val="0"/>
              <w:snapToGrid w:val="0"/>
              <w:jc w:val="center"/>
              <w:textAlignment w:val="center"/>
              <w:rPr>
                <w:rFonts w:eastAsia="仿宋"/>
                <w:color w:val="000000"/>
                <w:sz w:val="24"/>
              </w:rPr>
            </w:pPr>
            <w:r>
              <w:rPr>
                <w:rFonts w:eastAsia="仿宋"/>
                <w:color w:val="000000"/>
                <w:kern w:val="0"/>
                <w:sz w:val="24"/>
                <w:lang w:bidi="ar"/>
              </w:rPr>
              <w:t>48</w:t>
            </w:r>
          </w:p>
        </w:tc>
        <w:tc>
          <w:tcPr>
            <w:tcW w:w="838" w:type="pct"/>
            <w:tcBorders>
              <w:top w:val="single" w:color="000000" w:sz="4" w:space="0"/>
              <w:left w:val="single" w:color="000000" w:sz="4" w:space="0"/>
              <w:bottom w:val="single" w:color="000000" w:sz="4" w:space="0"/>
              <w:right w:val="single" w:color="000000" w:sz="4" w:space="0"/>
            </w:tcBorders>
            <w:vAlign w:val="center"/>
          </w:tcPr>
          <w:p w14:paraId="1F0F82DF">
            <w:pPr>
              <w:topLinePunct/>
              <w:adjustRightInd w:val="0"/>
              <w:snapToGrid w:val="0"/>
              <w:textAlignment w:val="center"/>
              <w:rPr>
                <w:rFonts w:eastAsia="仿宋"/>
                <w:color w:val="000000"/>
                <w:sz w:val="24"/>
              </w:rPr>
            </w:pPr>
            <w:r>
              <w:rPr>
                <w:rFonts w:eastAsia="仿宋"/>
                <w:color w:val="000000"/>
                <w:kern w:val="0"/>
                <w:sz w:val="24"/>
                <w:lang w:bidi="ar"/>
              </w:rPr>
              <w:t>对注册安全工程师以欺骗、贿赂等不正当手段取得执业证的行政处罚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2561542E">
            <w:pPr>
              <w:topLinePunct/>
              <w:adjustRightInd w:val="0"/>
              <w:snapToGrid w:val="0"/>
              <w:jc w:val="left"/>
              <w:textAlignment w:val="center"/>
              <w:rPr>
                <w:rFonts w:eastAsia="仿宋"/>
                <w:color w:val="000000"/>
                <w:sz w:val="24"/>
              </w:rPr>
            </w:pPr>
            <w:r>
              <w:rPr>
                <w:rFonts w:eastAsia="仿宋"/>
                <w:color w:val="000000"/>
                <w:kern w:val="0"/>
                <w:sz w:val="24"/>
                <w:lang w:bidi="ar"/>
              </w:rPr>
              <w:t>1.《注册安全工程师管理规定》第三十一条  注册安全工程师以欺骗、贿赂等不正当手段取得执业证的，由县级以上安全生产监督管理部门、有关主管部门或者煤矿安全监察机构处三万元以下的罚款；由执业证颁发机关撤销其注册，当事人三年内不得再次申请注册。</w:t>
            </w:r>
            <w:r>
              <w:rPr>
                <w:rFonts w:eastAsia="仿宋"/>
                <w:color w:val="000000"/>
                <w:kern w:val="0"/>
                <w:sz w:val="24"/>
                <w:lang w:bidi="ar"/>
              </w:rPr>
              <w:br w:type="textWrapping"/>
            </w:r>
            <w:r>
              <w:rPr>
                <w:rFonts w:eastAsia="仿宋"/>
                <w:color w:val="000000"/>
                <w:kern w:val="0"/>
                <w:sz w:val="24"/>
                <w:lang w:bidi="ar"/>
              </w:rPr>
              <w:t>2.《中华人民共和国行政许可法》</w:t>
            </w:r>
            <w:r>
              <w:rPr>
                <w:rFonts w:eastAsia="仿宋"/>
                <w:color w:val="000000"/>
                <w:kern w:val="0"/>
                <w:sz w:val="24"/>
                <w:lang w:bidi="ar"/>
              </w:rPr>
              <w:br w:type="textWrapping"/>
            </w:r>
            <w:r>
              <w:rPr>
                <w:rFonts w:eastAsia="仿宋"/>
                <w:color w:val="000000"/>
                <w:kern w:val="0"/>
                <w:sz w:val="24"/>
                <w:lang w:bidi="ar"/>
              </w:rPr>
              <w:t>第七十九条  被许可人以欺骗、贿赂等不正当手段取得行政许可的，行政机关应当依法给予行政处罚；取得的行政许可属于直接关系公共安全、人身健康、生命财产安全事项的，申请人在三年内不得再次申请该行政许可；构成犯罪的，依法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5456A354">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222C7BAD">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288113F2">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6961BF84">
        <w:tblPrEx>
          <w:tblCellMar>
            <w:top w:w="0" w:type="dxa"/>
            <w:left w:w="108" w:type="dxa"/>
            <w:bottom w:w="0" w:type="dxa"/>
            <w:right w:w="108" w:type="dxa"/>
          </w:tblCellMar>
        </w:tblPrEx>
        <w:trPr>
          <w:trHeight w:val="35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58FD3936">
            <w:pPr>
              <w:topLinePunct/>
              <w:adjustRightInd w:val="0"/>
              <w:snapToGrid w:val="0"/>
              <w:jc w:val="center"/>
              <w:textAlignment w:val="center"/>
              <w:rPr>
                <w:rFonts w:eastAsia="仿宋"/>
                <w:color w:val="000000"/>
                <w:sz w:val="24"/>
              </w:rPr>
            </w:pPr>
            <w:r>
              <w:rPr>
                <w:rFonts w:eastAsia="仿宋"/>
                <w:color w:val="000000"/>
                <w:kern w:val="0"/>
                <w:sz w:val="24"/>
                <w:lang w:bidi="ar"/>
              </w:rPr>
              <w:t>49</w:t>
            </w:r>
          </w:p>
        </w:tc>
        <w:tc>
          <w:tcPr>
            <w:tcW w:w="838" w:type="pct"/>
            <w:tcBorders>
              <w:top w:val="single" w:color="000000" w:sz="4" w:space="0"/>
              <w:left w:val="single" w:color="000000" w:sz="4" w:space="0"/>
              <w:bottom w:val="single" w:color="000000" w:sz="4" w:space="0"/>
              <w:right w:val="single" w:color="000000" w:sz="4" w:space="0"/>
            </w:tcBorders>
            <w:vAlign w:val="center"/>
          </w:tcPr>
          <w:p w14:paraId="0D4D6672">
            <w:pPr>
              <w:topLinePunct/>
              <w:adjustRightInd w:val="0"/>
              <w:snapToGrid w:val="0"/>
              <w:textAlignment w:val="center"/>
              <w:rPr>
                <w:rFonts w:eastAsia="仿宋"/>
                <w:color w:val="000000"/>
                <w:sz w:val="24"/>
              </w:rPr>
            </w:pPr>
            <w:r>
              <w:rPr>
                <w:rFonts w:eastAsia="仿宋"/>
                <w:color w:val="000000"/>
                <w:kern w:val="0"/>
                <w:sz w:val="24"/>
                <w:lang w:bidi="ar"/>
              </w:rPr>
              <w:t>对生产经营单位未按规定制定生产安全事故应急救援预案或者未定期组织演练的行政处罚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72DAFBA9">
            <w:pPr>
              <w:topLinePunct/>
              <w:adjustRightInd w:val="0"/>
              <w:snapToGrid w:val="0"/>
              <w:jc w:val="left"/>
              <w:textAlignment w:val="center"/>
              <w:rPr>
                <w:rFonts w:eastAsia="仿宋"/>
                <w:color w:val="000000"/>
                <w:sz w:val="24"/>
              </w:rPr>
            </w:pPr>
            <w:r>
              <w:rPr>
                <w:rFonts w:eastAsia="仿宋"/>
                <w:color w:val="000000"/>
                <w:kern w:val="0"/>
                <w:sz w:val="24"/>
                <w:lang w:bidi="ar"/>
              </w:rPr>
              <w:t>1.《中华人民共和国安全生产法》第九十七条第六项  生产经营单位有下列行为之一的，责令限期改正，处十万元以下的罚款；逾期未改正的，责令停产停业整顿，并处十万元以上二十万元以下的罚款，对其直接负责的主管人员和其他直接责任人员处二万元以上五万元以下的罚款：（六）未按照规定制定生产安全事故应急救援预案或者未定期组织演练的；</w:t>
            </w:r>
            <w:r>
              <w:rPr>
                <w:rFonts w:eastAsia="仿宋"/>
                <w:color w:val="000000"/>
                <w:kern w:val="0"/>
                <w:sz w:val="24"/>
                <w:lang w:bidi="ar"/>
              </w:rPr>
              <w:br w:type="textWrapping"/>
            </w:r>
            <w:r>
              <w:rPr>
                <w:rFonts w:eastAsia="仿宋"/>
                <w:color w:val="000000"/>
                <w:kern w:val="0"/>
                <w:sz w:val="24"/>
                <w:lang w:bidi="ar"/>
              </w:rPr>
              <w:t>第一百一十五条  本法规定的行政处罚，由应急管理部门和其他负有安全生产监督管理职责的部门按照职责分工决定；其中，根据本法第九十五条、第一百一十条、第一百一十四条的规定应当给予民航、铁路、电力行业的生产经营单位及其主要负责人行政处罚的，也可以由主管的负有安全生产监督管理职责的部门进行处罚。予以关闭的行政处罚，由负有安全生产监督管理职责的部门报请县级以上人民政府按照国务院规定的权限决定；给予拘留的行政处罚，由公安机关依照治安管理处罚的规定决定。</w:t>
            </w:r>
            <w:r>
              <w:rPr>
                <w:rFonts w:eastAsia="仿宋"/>
                <w:color w:val="000000"/>
                <w:kern w:val="0"/>
                <w:sz w:val="24"/>
                <w:lang w:bidi="ar"/>
              </w:rPr>
              <w:br w:type="textWrapping"/>
            </w:r>
            <w:r>
              <w:rPr>
                <w:rFonts w:eastAsia="仿宋"/>
                <w:color w:val="000000"/>
                <w:kern w:val="0"/>
                <w:sz w:val="24"/>
                <w:lang w:bidi="ar"/>
              </w:rPr>
              <w:t>2.《生产安全事故应急条例》</w:t>
            </w:r>
            <w:r>
              <w:rPr>
                <w:rFonts w:eastAsia="仿宋"/>
                <w:color w:val="000000"/>
                <w:kern w:val="0"/>
                <w:sz w:val="24"/>
                <w:lang w:bidi="ar"/>
              </w:rPr>
              <w:br w:type="textWrapping"/>
            </w:r>
            <w:r>
              <w:rPr>
                <w:rFonts w:eastAsia="仿宋"/>
                <w:color w:val="000000"/>
                <w:kern w:val="0"/>
                <w:sz w:val="24"/>
                <w:lang w:bidi="ar"/>
              </w:rPr>
              <w:t>第三十条  生产经营单位未制定生产安全事故应急救援预案、未定期组织应急救援预案演练、未对从业人员进行应急教育和培训，生产经营单位的主要负责人在本单位发生生产安全事故时不立即组织抢救的，由县级以上人民政府负有安全生产监督管理职责的部门依照《中华人民共和国安全生产法》有关规定追究法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50E4E849">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69DE2EFF">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6FCCE9F5">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3C6F92A6">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77D6C22D">
            <w:pPr>
              <w:topLinePunct/>
              <w:adjustRightInd w:val="0"/>
              <w:snapToGrid w:val="0"/>
              <w:jc w:val="center"/>
              <w:textAlignment w:val="center"/>
              <w:rPr>
                <w:rFonts w:eastAsia="仿宋"/>
                <w:color w:val="000000"/>
                <w:sz w:val="24"/>
              </w:rPr>
            </w:pPr>
            <w:r>
              <w:rPr>
                <w:rFonts w:eastAsia="仿宋"/>
                <w:color w:val="000000"/>
                <w:kern w:val="0"/>
                <w:sz w:val="24"/>
                <w:lang w:bidi="ar"/>
              </w:rPr>
              <w:t>50</w:t>
            </w:r>
          </w:p>
        </w:tc>
        <w:tc>
          <w:tcPr>
            <w:tcW w:w="838" w:type="pct"/>
            <w:tcBorders>
              <w:top w:val="single" w:color="000000" w:sz="4" w:space="0"/>
              <w:left w:val="single" w:color="000000" w:sz="4" w:space="0"/>
              <w:bottom w:val="single" w:color="000000" w:sz="4" w:space="0"/>
              <w:right w:val="single" w:color="000000" w:sz="4" w:space="0"/>
            </w:tcBorders>
            <w:vAlign w:val="center"/>
          </w:tcPr>
          <w:p w14:paraId="27D30AF0">
            <w:pPr>
              <w:topLinePunct/>
              <w:adjustRightInd w:val="0"/>
              <w:snapToGrid w:val="0"/>
              <w:textAlignment w:val="center"/>
              <w:rPr>
                <w:rFonts w:eastAsia="仿宋"/>
                <w:color w:val="000000"/>
                <w:sz w:val="24"/>
              </w:rPr>
            </w:pPr>
            <w:r>
              <w:rPr>
                <w:rFonts w:eastAsia="仿宋"/>
                <w:color w:val="000000"/>
                <w:kern w:val="0"/>
                <w:sz w:val="24"/>
                <w:lang w:bidi="ar"/>
              </w:rPr>
              <w:t>对生产经营单位未将应急预案报送备案的行政处罚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5D375405">
            <w:pPr>
              <w:topLinePunct/>
              <w:adjustRightInd w:val="0"/>
              <w:snapToGrid w:val="0"/>
              <w:jc w:val="left"/>
              <w:textAlignment w:val="center"/>
              <w:rPr>
                <w:rFonts w:eastAsia="仿宋"/>
                <w:color w:val="000000"/>
                <w:sz w:val="24"/>
              </w:rPr>
            </w:pPr>
            <w:r>
              <w:rPr>
                <w:rFonts w:eastAsia="仿宋"/>
                <w:color w:val="000000"/>
                <w:kern w:val="0"/>
                <w:sz w:val="24"/>
                <w:lang w:bidi="ar"/>
              </w:rPr>
              <w:t>1.《生产安全事故应急条例》第七条  县级以上人民政府负有安全生产监督管理职责的部门应当将其制定的生产安全事故应急救援预案报送本级人民政府备案；易燃易爆物品、危险化学品等危险物品的生产、经营、储存、运输单位，矿山、金属冶炼、城市轨道交通运营、建筑施工单位，以及宾馆、商场、娱乐场所、旅游景区等人员密集场所经营单位，应当将其制定的生产安全事故应急救援预案按照国家有关规定报送县级以上人民政府负有安全生产监督管理职责的部门备案，并依法向社会公布。</w:t>
            </w:r>
            <w:r>
              <w:rPr>
                <w:rFonts w:eastAsia="仿宋"/>
                <w:color w:val="000000"/>
                <w:kern w:val="0"/>
                <w:sz w:val="24"/>
                <w:lang w:bidi="ar"/>
              </w:rPr>
              <w:br w:type="textWrapping"/>
            </w:r>
            <w:r>
              <w:rPr>
                <w:rFonts w:eastAsia="仿宋"/>
                <w:color w:val="000000"/>
                <w:kern w:val="0"/>
                <w:sz w:val="24"/>
                <w:lang w:bidi="ar"/>
              </w:rPr>
              <w:t>第三十二条  生产经营单位未将生产安全事故应急救援预案报送备案、未建立应急值班制度或者配备应急值班人员的，由县级以上人民政府负有安全生产监督管理职责的部门责令限期改正；逾期未改正的，处3万元以上5万元以下的罚款，对直接负责的主管人员和其他直接责任人员处1万元以上2万元以下的罚款。</w:t>
            </w:r>
            <w:r>
              <w:rPr>
                <w:rFonts w:eastAsia="仿宋"/>
                <w:color w:val="000000"/>
                <w:kern w:val="0"/>
                <w:sz w:val="24"/>
                <w:lang w:bidi="ar"/>
              </w:rPr>
              <w:br w:type="textWrapping"/>
            </w:r>
            <w:r>
              <w:rPr>
                <w:rFonts w:eastAsia="仿宋"/>
                <w:color w:val="000000"/>
                <w:kern w:val="0"/>
                <w:sz w:val="24"/>
                <w:lang w:bidi="ar"/>
              </w:rPr>
              <w:t>2.《生产安全事故应急预案管理办法》</w:t>
            </w:r>
            <w:r>
              <w:rPr>
                <w:rFonts w:eastAsia="仿宋"/>
                <w:color w:val="000000"/>
                <w:kern w:val="0"/>
                <w:sz w:val="24"/>
                <w:lang w:bidi="ar"/>
              </w:rPr>
              <w:br w:type="textWrapping"/>
            </w:r>
            <w:r>
              <w:rPr>
                <w:rFonts w:eastAsia="仿宋"/>
                <w:color w:val="000000"/>
                <w:kern w:val="0"/>
                <w:sz w:val="24"/>
                <w:lang w:bidi="ar"/>
              </w:rPr>
              <w:t>第二十六条  易燃易爆物品、危险化学品等危险物品的生产、经营、储存、运输单位，矿山、金属冶炼、城市轨道交通运营、建筑施工单位，以及宾馆、商场、娱乐场所、旅游景区等人员密集场所经营单位，应当在应急预案公布之日起20个工作日内，按照分级属地原则，向县级以上人民政府应急管理部门和其他负有安全生产监督管理职责的部门进行备案，并依法向社会公布。</w:t>
            </w:r>
            <w:r>
              <w:rPr>
                <w:rFonts w:eastAsia="仿宋"/>
                <w:color w:val="000000"/>
                <w:kern w:val="0"/>
                <w:sz w:val="24"/>
                <w:lang w:bidi="ar"/>
              </w:rPr>
              <w:br w:type="textWrapping"/>
            </w:r>
            <w:r>
              <w:rPr>
                <w:rFonts w:eastAsia="仿宋"/>
                <w:color w:val="000000"/>
                <w:kern w:val="0"/>
                <w:sz w:val="24"/>
                <w:lang w:bidi="ar"/>
              </w:rPr>
              <w:t>前款所列单位属于中央企业的，其总部（上市公司）的应急预案，报国务院主管的负有安全生产监督管理职责的部门备案，并抄送应急管理部；其所属单位的应急预案报所在地的省、自治区、直辖市或者设区的市级人民政府主管的负有安全生产监督管理职责的部门备案，并抄送同级人民政府应急管理部门。</w:t>
            </w:r>
            <w:r>
              <w:rPr>
                <w:rFonts w:eastAsia="仿宋"/>
                <w:color w:val="000000"/>
                <w:kern w:val="0"/>
                <w:sz w:val="24"/>
                <w:lang w:bidi="ar"/>
              </w:rPr>
              <w:br w:type="textWrapping"/>
            </w:r>
            <w:r>
              <w:rPr>
                <w:rFonts w:hint="eastAsia" w:eastAsia="仿宋"/>
                <w:color w:val="000000"/>
                <w:kern w:val="0"/>
                <w:sz w:val="24"/>
                <w:lang w:val="en-US" w:eastAsia="zh-CN" w:bidi="ar"/>
              </w:rPr>
              <w:t xml:space="preserve">   </w:t>
            </w:r>
            <w:r>
              <w:rPr>
                <w:rFonts w:eastAsia="仿宋"/>
                <w:color w:val="000000"/>
                <w:kern w:val="0"/>
                <w:sz w:val="24"/>
                <w:lang w:bidi="ar"/>
              </w:rPr>
              <w:t>本条第一款所列单位不属于中央企业的，其中非煤矿山、金属冶炼和危险化学品生产、经营、储存、运输企业，以及使用危险化学品达到国家规定数量的化工企业、烟花爆竹生产、批发经营企业的应急预案，按照隶属关系报所在地县级以上地方人民政府应急管理部门备案；本款前述单位以外的其他生产经营单位应急预案的备案，由省、自治区、直辖市人民政府负有安全生产监督管理职责的部门确定。</w:t>
            </w:r>
            <w:r>
              <w:rPr>
                <w:rFonts w:eastAsia="仿宋"/>
                <w:color w:val="000000"/>
                <w:kern w:val="0"/>
                <w:sz w:val="24"/>
                <w:lang w:bidi="ar"/>
              </w:rPr>
              <w:br w:type="textWrapping"/>
            </w:r>
            <w:r>
              <w:rPr>
                <w:rFonts w:hint="eastAsia" w:eastAsia="仿宋"/>
                <w:color w:val="000000"/>
                <w:kern w:val="0"/>
                <w:sz w:val="24"/>
                <w:lang w:val="en-US" w:eastAsia="zh-CN" w:bidi="ar"/>
              </w:rPr>
              <w:t xml:space="preserve">  </w:t>
            </w:r>
            <w:r>
              <w:rPr>
                <w:rFonts w:eastAsia="仿宋"/>
                <w:color w:val="000000"/>
                <w:kern w:val="0"/>
                <w:sz w:val="24"/>
                <w:lang w:bidi="ar"/>
              </w:rPr>
              <w:t>油气输送管道运营单位的应急预案，除按照本条第一款、第二款的规定备案外，还应当抄送所经行政区域的县级人民政府应急管理部门。</w:t>
            </w:r>
            <w:r>
              <w:rPr>
                <w:rFonts w:eastAsia="仿宋"/>
                <w:color w:val="000000"/>
                <w:kern w:val="0"/>
                <w:sz w:val="24"/>
                <w:lang w:bidi="ar"/>
              </w:rPr>
              <w:br w:type="textWrapping"/>
            </w:r>
            <w:r>
              <w:rPr>
                <w:rFonts w:eastAsia="仿宋"/>
                <w:color w:val="000000"/>
                <w:kern w:val="0"/>
                <w:sz w:val="24"/>
                <w:lang w:bidi="ar"/>
              </w:rPr>
              <w:t>海洋石油开采企业的应急预案，除按照本条第一款、第二款的规定备案外，还应当抄送所经行政区域的县级人民政府应急管理部门和海洋石油安全监管机构。</w:t>
            </w:r>
            <w:r>
              <w:rPr>
                <w:rFonts w:eastAsia="仿宋"/>
                <w:color w:val="000000"/>
                <w:kern w:val="0"/>
                <w:sz w:val="24"/>
                <w:lang w:bidi="ar"/>
              </w:rPr>
              <w:br w:type="textWrapping"/>
            </w:r>
            <w:r>
              <w:rPr>
                <w:rFonts w:eastAsia="仿宋"/>
                <w:color w:val="000000"/>
                <w:kern w:val="0"/>
                <w:sz w:val="24"/>
                <w:lang w:bidi="ar"/>
              </w:rPr>
              <w:t>煤矿企业的应急预案除按照本条第一款、第二款的规定备案外，还应当抄送所在地的煤矿安全监察机构。</w:t>
            </w:r>
            <w:r>
              <w:rPr>
                <w:rFonts w:eastAsia="仿宋"/>
                <w:color w:val="000000"/>
                <w:kern w:val="0"/>
                <w:sz w:val="24"/>
                <w:lang w:bidi="ar"/>
              </w:rPr>
              <w:br w:type="textWrapping"/>
            </w:r>
            <w:r>
              <w:rPr>
                <w:rFonts w:eastAsia="仿宋"/>
                <w:color w:val="000000"/>
                <w:kern w:val="0"/>
                <w:sz w:val="24"/>
                <w:lang w:bidi="ar"/>
              </w:rPr>
              <w:t>第四十五条第二款  生产经营单位未按照规定进行应急预案备案的，由县级以上人民政府应急管理等部门依照职责责令限期改正；逾期未改正的，处3万元以上5万元以下的罚款，对直接负责的主管人员和其他直接责任人员处1万元以上2万元以下的罚款。</w:t>
            </w:r>
          </w:p>
        </w:tc>
        <w:tc>
          <w:tcPr>
            <w:tcW w:w="476" w:type="pct"/>
            <w:tcBorders>
              <w:top w:val="single" w:color="000000" w:sz="4" w:space="0"/>
              <w:left w:val="single" w:color="000000" w:sz="4" w:space="0"/>
              <w:bottom w:val="single" w:color="000000" w:sz="4" w:space="0"/>
              <w:right w:val="single" w:color="000000" w:sz="4" w:space="0"/>
            </w:tcBorders>
            <w:vAlign w:val="center"/>
          </w:tcPr>
          <w:p w14:paraId="4B4B7262">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1774B124">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33EF6342">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3A57CB59">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50093E22">
            <w:pPr>
              <w:topLinePunct/>
              <w:adjustRightInd w:val="0"/>
              <w:snapToGrid w:val="0"/>
              <w:jc w:val="center"/>
              <w:textAlignment w:val="center"/>
              <w:rPr>
                <w:rFonts w:eastAsia="仿宋"/>
                <w:color w:val="000000"/>
                <w:sz w:val="24"/>
              </w:rPr>
            </w:pPr>
            <w:r>
              <w:rPr>
                <w:rFonts w:eastAsia="仿宋"/>
                <w:color w:val="000000"/>
                <w:kern w:val="0"/>
                <w:sz w:val="24"/>
                <w:lang w:bidi="ar"/>
              </w:rPr>
              <w:t>51</w:t>
            </w:r>
          </w:p>
        </w:tc>
        <w:tc>
          <w:tcPr>
            <w:tcW w:w="838" w:type="pct"/>
            <w:tcBorders>
              <w:top w:val="single" w:color="000000" w:sz="4" w:space="0"/>
              <w:left w:val="single" w:color="000000" w:sz="4" w:space="0"/>
              <w:bottom w:val="single" w:color="000000" w:sz="4" w:space="0"/>
              <w:right w:val="single" w:color="000000" w:sz="4" w:space="0"/>
            </w:tcBorders>
            <w:vAlign w:val="center"/>
          </w:tcPr>
          <w:p w14:paraId="06D41F70">
            <w:pPr>
              <w:topLinePunct/>
              <w:adjustRightInd w:val="0"/>
              <w:snapToGrid w:val="0"/>
              <w:textAlignment w:val="center"/>
              <w:rPr>
                <w:rFonts w:eastAsia="仿宋"/>
                <w:color w:val="000000"/>
                <w:sz w:val="24"/>
              </w:rPr>
            </w:pPr>
            <w:r>
              <w:rPr>
                <w:rFonts w:eastAsia="仿宋"/>
                <w:color w:val="000000"/>
                <w:kern w:val="0"/>
                <w:sz w:val="24"/>
                <w:lang w:bidi="ar"/>
              </w:rPr>
              <w:t>对生产经营单位有在应急预案编制前未按照规定开展风险辨识、评估和应急资源调查等行为的行政处罚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785FB26E">
            <w:pPr>
              <w:topLinePunct/>
              <w:adjustRightInd w:val="0"/>
              <w:snapToGrid w:val="0"/>
              <w:jc w:val="left"/>
              <w:textAlignment w:val="center"/>
              <w:rPr>
                <w:rFonts w:eastAsia="仿宋"/>
                <w:color w:val="000000"/>
                <w:sz w:val="24"/>
              </w:rPr>
            </w:pPr>
            <w:r>
              <w:rPr>
                <w:rFonts w:eastAsia="仿宋"/>
                <w:color w:val="000000"/>
                <w:kern w:val="0"/>
                <w:sz w:val="24"/>
                <w:lang w:bidi="ar"/>
              </w:rPr>
              <w:t>《生产安全事故应急预案管理办法》第四十五条第一款  生产经营单位有下列情形之一的，由县级以上人民政府应急管理部门责令限期改正，可以处1万元以上3万元以下罚款：（一）在应急预案编制前未按照规定开展风险辨识、评估和应急资源调查的；（二）未按照规定开展应急预案评审的；（三）事故风险可能影响周边单位、人员的，未将事故风险的性质、影响范围和应急防范措施告知周边单位和人员的；（四）未按照规定开展应急预案评估的；（五）未按照规定进行应急预案修订的；（六）未落实应急预案规定的应急物资及装备的。</w:t>
            </w:r>
          </w:p>
        </w:tc>
        <w:tc>
          <w:tcPr>
            <w:tcW w:w="476" w:type="pct"/>
            <w:tcBorders>
              <w:top w:val="single" w:color="000000" w:sz="4" w:space="0"/>
              <w:left w:val="single" w:color="000000" w:sz="4" w:space="0"/>
              <w:bottom w:val="single" w:color="000000" w:sz="4" w:space="0"/>
              <w:right w:val="single" w:color="000000" w:sz="4" w:space="0"/>
            </w:tcBorders>
            <w:vAlign w:val="center"/>
          </w:tcPr>
          <w:p w14:paraId="7F94A01A">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639A5474">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1A04C242">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70D2D645">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5400D987">
            <w:pPr>
              <w:topLinePunct/>
              <w:adjustRightInd w:val="0"/>
              <w:snapToGrid w:val="0"/>
              <w:jc w:val="center"/>
              <w:textAlignment w:val="center"/>
              <w:rPr>
                <w:rFonts w:eastAsia="仿宋"/>
                <w:color w:val="000000"/>
                <w:sz w:val="24"/>
              </w:rPr>
            </w:pPr>
            <w:r>
              <w:rPr>
                <w:rFonts w:eastAsia="仿宋"/>
                <w:color w:val="000000"/>
                <w:kern w:val="0"/>
                <w:sz w:val="24"/>
                <w:lang w:bidi="ar"/>
              </w:rPr>
              <w:t>52</w:t>
            </w:r>
          </w:p>
        </w:tc>
        <w:tc>
          <w:tcPr>
            <w:tcW w:w="838" w:type="pct"/>
            <w:tcBorders>
              <w:top w:val="single" w:color="000000" w:sz="4" w:space="0"/>
              <w:left w:val="single" w:color="000000" w:sz="4" w:space="0"/>
              <w:bottom w:val="single" w:color="000000" w:sz="4" w:space="0"/>
              <w:right w:val="single" w:color="000000" w:sz="4" w:space="0"/>
            </w:tcBorders>
            <w:vAlign w:val="center"/>
          </w:tcPr>
          <w:p w14:paraId="37A44FEE">
            <w:pPr>
              <w:topLinePunct/>
              <w:adjustRightInd w:val="0"/>
              <w:snapToGrid w:val="0"/>
              <w:textAlignment w:val="center"/>
              <w:rPr>
                <w:rFonts w:eastAsia="仿宋"/>
                <w:color w:val="000000"/>
                <w:sz w:val="24"/>
              </w:rPr>
            </w:pPr>
            <w:r>
              <w:rPr>
                <w:rFonts w:eastAsia="仿宋"/>
                <w:color w:val="000000"/>
                <w:kern w:val="0"/>
                <w:sz w:val="24"/>
                <w:lang w:bidi="ar"/>
              </w:rPr>
              <w:t>对危险物品的生产、经营、储存单位以及矿山、金属冶炼单位有未建立应急救援组织或者生产经营规模较小、未指定兼职应急救援人员等行为的行政处罚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01495BA1">
            <w:pPr>
              <w:topLinePunct/>
              <w:adjustRightInd w:val="0"/>
              <w:snapToGrid w:val="0"/>
              <w:jc w:val="left"/>
              <w:textAlignment w:val="center"/>
              <w:rPr>
                <w:rFonts w:eastAsia="仿宋"/>
                <w:color w:val="000000"/>
                <w:sz w:val="24"/>
              </w:rPr>
            </w:pPr>
            <w:r>
              <w:rPr>
                <w:rFonts w:eastAsia="仿宋"/>
                <w:color w:val="000000"/>
                <w:kern w:val="0"/>
                <w:sz w:val="24"/>
                <w:lang w:bidi="ar"/>
              </w:rPr>
              <w:t>《安全生产违法行为行政处罚办法》第四十六条  危险物品的生产、经营、储存单位以及矿山、金属冶炼单位有下列行为之一的，责令改正，并可以处1万元以上3万元以下的罚款：（一）未建立应急救援组织或者生产经营规模较小、未指定兼职应急救援人员的；（二）未配备必要的应急救援器材、设备和物资，并进行经常性维护、保养，保证正常运转的。</w:t>
            </w:r>
          </w:p>
        </w:tc>
        <w:tc>
          <w:tcPr>
            <w:tcW w:w="476" w:type="pct"/>
            <w:tcBorders>
              <w:top w:val="single" w:color="000000" w:sz="4" w:space="0"/>
              <w:left w:val="single" w:color="000000" w:sz="4" w:space="0"/>
              <w:bottom w:val="single" w:color="000000" w:sz="4" w:space="0"/>
              <w:right w:val="single" w:color="000000" w:sz="4" w:space="0"/>
            </w:tcBorders>
            <w:vAlign w:val="center"/>
          </w:tcPr>
          <w:p w14:paraId="1E310F6B">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2602D23E">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11E4B4DF">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1D76BA0F">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3C23E812">
            <w:pPr>
              <w:topLinePunct/>
              <w:adjustRightInd w:val="0"/>
              <w:snapToGrid w:val="0"/>
              <w:jc w:val="center"/>
              <w:textAlignment w:val="center"/>
              <w:rPr>
                <w:rFonts w:eastAsia="仿宋"/>
                <w:color w:val="000000"/>
                <w:sz w:val="24"/>
              </w:rPr>
            </w:pPr>
            <w:r>
              <w:rPr>
                <w:rFonts w:eastAsia="仿宋"/>
                <w:color w:val="000000"/>
                <w:kern w:val="0"/>
                <w:sz w:val="24"/>
                <w:lang w:bidi="ar"/>
              </w:rPr>
              <w:t>53</w:t>
            </w:r>
          </w:p>
        </w:tc>
        <w:tc>
          <w:tcPr>
            <w:tcW w:w="838" w:type="pct"/>
            <w:tcBorders>
              <w:top w:val="single" w:color="000000" w:sz="4" w:space="0"/>
              <w:left w:val="single" w:color="000000" w:sz="4" w:space="0"/>
              <w:bottom w:val="single" w:color="000000" w:sz="4" w:space="0"/>
              <w:right w:val="single" w:color="000000" w:sz="4" w:space="0"/>
            </w:tcBorders>
            <w:vAlign w:val="center"/>
          </w:tcPr>
          <w:p w14:paraId="557EDAB6">
            <w:pPr>
              <w:topLinePunct/>
              <w:adjustRightInd w:val="0"/>
              <w:snapToGrid w:val="0"/>
              <w:textAlignment w:val="center"/>
              <w:rPr>
                <w:rFonts w:eastAsia="仿宋"/>
                <w:color w:val="000000"/>
                <w:kern w:val="0"/>
                <w:sz w:val="24"/>
                <w:lang w:bidi="ar"/>
              </w:rPr>
            </w:pPr>
            <w:r>
              <w:rPr>
                <w:rFonts w:eastAsia="仿宋"/>
                <w:color w:val="000000"/>
                <w:kern w:val="0"/>
                <w:sz w:val="24"/>
                <w:lang w:bidi="ar"/>
              </w:rPr>
              <w:t>对矿山企业和危险化学品、烟花爆竹生产企业未取得安全生产许可证擅自进行生产的行政处罚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7781318E">
            <w:pPr>
              <w:topLinePunct/>
              <w:adjustRightInd w:val="0"/>
              <w:snapToGrid w:val="0"/>
              <w:jc w:val="left"/>
              <w:textAlignment w:val="center"/>
              <w:rPr>
                <w:rFonts w:eastAsia="仿宋"/>
                <w:color w:val="000000"/>
                <w:sz w:val="24"/>
              </w:rPr>
            </w:pPr>
            <w:r>
              <w:rPr>
                <w:rFonts w:eastAsia="仿宋"/>
                <w:color w:val="000000"/>
                <w:kern w:val="0"/>
                <w:sz w:val="24"/>
                <w:lang w:bidi="ar"/>
              </w:rPr>
              <w:t>1.《安全生产许可证条例》第十九条  违反本条例规定，未取得安全生产许可证擅自进行生产的，责令停止生产，没收违法所得，并处10万元以上50万元以下的罚款；造成重大事故或者其他严重后果，构成犯罪的，依法追究刑事责任。</w:t>
            </w:r>
            <w:r>
              <w:rPr>
                <w:rFonts w:eastAsia="仿宋"/>
                <w:color w:val="000000"/>
                <w:kern w:val="0"/>
                <w:sz w:val="24"/>
                <w:lang w:bidi="ar"/>
              </w:rPr>
              <w:br w:type="textWrapping"/>
            </w:r>
            <w:r>
              <w:rPr>
                <w:rFonts w:eastAsia="仿宋"/>
                <w:color w:val="000000"/>
                <w:kern w:val="0"/>
                <w:sz w:val="24"/>
                <w:lang w:bidi="ar"/>
              </w:rPr>
              <w:t>第二十三条  本条例规定的行政处罚，由安全生产许可证颁发管理机关决定。</w:t>
            </w:r>
            <w:r>
              <w:rPr>
                <w:rFonts w:eastAsia="仿宋"/>
                <w:color w:val="000000"/>
                <w:kern w:val="0"/>
                <w:sz w:val="24"/>
                <w:lang w:bidi="ar"/>
              </w:rPr>
              <w:br w:type="textWrapping"/>
            </w:r>
            <w:r>
              <w:rPr>
                <w:rFonts w:eastAsia="仿宋"/>
                <w:color w:val="000000"/>
                <w:kern w:val="0"/>
                <w:sz w:val="24"/>
                <w:lang w:bidi="ar"/>
              </w:rPr>
              <w:t>2.《危险化学品生产企业安全生产许可证实施办法》第四十五条第一项  企业有下列情形之一的，责令停止生产危险化学品，没收违法所得，并处10万元以上50万元以下的罚款；构成犯罪的，依法追究刑事责任：（一）未取得安全生产许可证，擅自进行危险化学品生产的；</w:t>
            </w:r>
            <w:r>
              <w:rPr>
                <w:rFonts w:eastAsia="仿宋"/>
                <w:color w:val="000000"/>
                <w:kern w:val="0"/>
                <w:sz w:val="24"/>
                <w:lang w:bidi="ar"/>
              </w:rPr>
              <w:br w:type="textWrapping"/>
            </w:r>
            <w:r>
              <w:rPr>
                <w:rFonts w:eastAsia="仿宋"/>
                <w:color w:val="000000"/>
                <w:kern w:val="0"/>
                <w:sz w:val="24"/>
                <w:lang w:bidi="ar"/>
              </w:rPr>
              <w:t>第五十二条  本办法规定的行政处罚，由国家安全生产监督管理总局、省级安全生产监督管理部门决定。省级安全生产监督管理部门可以委托设区的市级或者县级安全生产监督管理部门实施。</w:t>
            </w:r>
            <w:r>
              <w:rPr>
                <w:rFonts w:eastAsia="仿宋"/>
                <w:color w:val="000000"/>
                <w:kern w:val="0"/>
                <w:sz w:val="24"/>
                <w:lang w:bidi="ar"/>
              </w:rPr>
              <w:br w:type="textWrapping"/>
            </w:r>
            <w:r>
              <w:rPr>
                <w:rFonts w:eastAsia="仿宋"/>
                <w:color w:val="000000"/>
                <w:kern w:val="0"/>
                <w:sz w:val="24"/>
                <w:lang w:bidi="ar"/>
              </w:rPr>
              <w:t>3.《烟花爆竹生产企业安全生产许可证实施办法》第四十六条第一项  企业有下列行为之一的，责令停止生产，没收违法所得，并处10万元以上50万元以下的罚款：（一）未取得安全生产许可证擅自进行烟花爆竹生产的；</w:t>
            </w:r>
            <w:r>
              <w:rPr>
                <w:rFonts w:eastAsia="仿宋"/>
                <w:color w:val="000000"/>
                <w:kern w:val="0"/>
                <w:sz w:val="24"/>
                <w:lang w:bidi="ar"/>
              </w:rPr>
              <w:br w:type="textWrapping"/>
            </w:r>
            <w:r>
              <w:rPr>
                <w:rFonts w:eastAsia="仿宋"/>
                <w:color w:val="000000"/>
                <w:kern w:val="0"/>
                <w:sz w:val="24"/>
                <w:lang w:bidi="ar"/>
              </w:rPr>
              <w:t>第四十八条  本办法规定的行政处罚，由安全生产监督管理部门决定，暂扣、吊销安全生产许可证的行政处罚由发证机关决定。</w:t>
            </w:r>
            <w:r>
              <w:rPr>
                <w:rFonts w:eastAsia="仿宋"/>
                <w:color w:val="000000"/>
                <w:kern w:val="0"/>
                <w:sz w:val="24"/>
                <w:lang w:bidi="ar"/>
              </w:rPr>
              <w:br w:type="textWrapping"/>
            </w:r>
            <w:r>
              <w:rPr>
                <w:rFonts w:eastAsia="仿宋"/>
                <w:color w:val="000000"/>
                <w:kern w:val="0"/>
                <w:sz w:val="24"/>
                <w:lang w:bidi="ar"/>
              </w:rPr>
              <w:t>4.《非煤矿矿山企业安全生产许可证实施办法》</w:t>
            </w:r>
            <w:r>
              <w:rPr>
                <w:rFonts w:eastAsia="仿宋"/>
                <w:color w:val="000000"/>
                <w:kern w:val="0"/>
                <w:sz w:val="24"/>
                <w:lang w:bidi="ar"/>
              </w:rPr>
              <w:br w:type="textWrapping"/>
            </w:r>
            <w:r>
              <w:rPr>
                <w:rFonts w:eastAsia="仿宋"/>
                <w:color w:val="000000"/>
                <w:kern w:val="0"/>
                <w:sz w:val="24"/>
                <w:lang w:bidi="ar"/>
              </w:rPr>
              <w:t>第四十二条第一项  非煤矿矿山企业有下列行为之一的，责令停止生产，没收违法所得，并处10万元以上50万元以下的罚款：（一）未取得安全生产许可证，擅自进行生产的；</w:t>
            </w:r>
            <w:r>
              <w:rPr>
                <w:rFonts w:eastAsia="仿宋"/>
                <w:color w:val="000000"/>
                <w:kern w:val="0"/>
                <w:sz w:val="24"/>
                <w:lang w:bidi="ar"/>
              </w:rPr>
              <w:br w:type="textWrapping"/>
            </w:r>
            <w:r>
              <w:rPr>
                <w:rFonts w:eastAsia="仿宋"/>
                <w:color w:val="000000"/>
                <w:kern w:val="0"/>
                <w:sz w:val="24"/>
                <w:lang w:bidi="ar"/>
              </w:rPr>
              <w:t>第四十七条  本实施办法规定的行政处罚，由安全生产许可证颁发管理机关决定。安全生产许可证颁发管理机关可以委托县级以上安全生产监督管理部门实施行政处罚。但撤销、吊销安全生产许可证和撤销有关资格的行政处罚除外。</w:t>
            </w:r>
            <w:r>
              <w:rPr>
                <w:rFonts w:eastAsia="仿宋"/>
                <w:color w:val="000000"/>
                <w:kern w:val="0"/>
                <w:sz w:val="24"/>
                <w:lang w:bidi="ar"/>
              </w:rPr>
              <w:br w:type="textWrapping"/>
            </w:r>
            <w:r>
              <w:rPr>
                <w:rFonts w:eastAsia="仿宋"/>
                <w:color w:val="000000"/>
                <w:kern w:val="0"/>
                <w:sz w:val="24"/>
                <w:lang w:bidi="ar"/>
              </w:rPr>
              <w:t>5.《小型露天采石场安全管理与监督检查规定》</w:t>
            </w:r>
            <w:r>
              <w:rPr>
                <w:rFonts w:eastAsia="仿宋"/>
                <w:color w:val="000000"/>
                <w:kern w:val="0"/>
                <w:sz w:val="24"/>
                <w:lang w:bidi="ar"/>
              </w:rPr>
              <w:br w:type="textWrapping"/>
            </w:r>
            <w:r>
              <w:rPr>
                <w:rFonts w:eastAsia="仿宋"/>
                <w:color w:val="000000"/>
                <w:kern w:val="0"/>
                <w:sz w:val="24"/>
                <w:lang w:bidi="ar"/>
              </w:rPr>
              <w:t>第十一条第一款  小型露天采石场应当依法取得非煤矿矿山企业安全生产许可证。未取得安全生产许可证的，不得从事生产活动。</w:t>
            </w:r>
            <w:r>
              <w:rPr>
                <w:rFonts w:eastAsia="仿宋"/>
                <w:color w:val="000000"/>
                <w:kern w:val="0"/>
                <w:sz w:val="24"/>
                <w:lang w:bidi="ar"/>
              </w:rPr>
              <w:br w:type="textWrapping"/>
            </w:r>
            <w:r>
              <w:rPr>
                <w:rFonts w:eastAsia="仿宋"/>
                <w:color w:val="000000"/>
                <w:kern w:val="0"/>
                <w:sz w:val="24"/>
                <w:lang w:bidi="ar"/>
              </w:rPr>
              <w:t>第三十八条  违反本规定第十一条第一款规定的，责令停止生产，没收违法所得，并处10万元以上50万元以下的罚款。</w:t>
            </w:r>
            <w:r>
              <w:rPr>
                <w:rFonts w:eastAsia="仿宋"/>
                <w:color w:val="000000"/>
                <w:kern w:val="0"/>
                <w:sz w:val="24"/>
                <w:lang w:bidi="ar"/>
              </w:rPr>
              <w:br w:type="textWrapping"/>
            </w:r>
            <w:r>
              <w:rPr>
                <w:rFonts w:eastAsia="仿宋"/>
                <w:color w:val="000000"/>
                <w:kern w:val="0"/>
                <w:sz w:val="24"/>
                <w:lang w:bidi="ar"/>
              </w:rPr>
              <w:t>第四十一条  本规定规定的行政处罚由安全生产监督管理部门决定。法律、行政法规对行政处罚另有规定的，依照其规定。</w:t>
            </w:r>
            <w:r>
              <w:rPr>
                <w:rFonts w:eastAsia="仿宋"/>
                <w:color w:val="000000"/>
                <w:kern w:val="0"/>
                <w:sz w:val="24"/>
                <w:lang w:bidi="ar"/>
              </w:rPr>
              <w:br w:type="textWrapping"/>
            </w:r>
            <w:r>
              <w:rPr>
                <w:rFonts w:eastAsia="仿宋"/>
                <w:color w:val="000000"/>
                <w:kern w:val="0"/>
                <w:sz w:val="24"/>
                <w:lang w:bidi="ar"/>
              </w:rPr>
              <w:t>6.《煤矿企业安全生产许可证实施办法》</w:t>
            </w:r>
            <w:r>
              <w:rPr>
                <w:rFonts w:eastAsia="仿宋"/>
                <w:color w:val="000000"/>
                <w:kern w:val="0"/>
                <w:sz w:val="24"/>
                <w:lang w:bidi="ar"/>
              </w:rPr>
              <w:br w:type="textWrapping"/>
            </w:r>
            <w:r>
              <w:rPr>
                <w:rFonts w:eastAsia="仿宋"/>
                <w:color w:val="000000"/>
                <w:kern w:val="0"/>
                <w:sz w:val="24"/>
                <w:lang w:bidi="ar"/>
              </w:rPr>
              <w:t>第四十条第一项  发现煤矿企业有下列行为之一的，责令停止生产，没收违法所得，并处10万元以上50万元以下的罚款；构成犯罪的，依法追究刑事责任：（一）未取得安全生产许可证，擅自进行生产的。</w:t>
            </w:r>
          </w:p>
        </w:tc>
        <w:tc>
          <w:tcPr>
            <w:tcW w:w="476" w:type="pct"/>
            <w:tcBorders>
              <w:top w:val="single" w:color="000000" w:sz="4" w:space="0"/>
              <w:left w:val="single" w:color="000000" w:sz="4" w:space="0"/>
              <w:bottom w:val="single" w:color="000000" w:sz="4" w:space="0"/>
              <w:right w:val="single" w:color="000000" w:sz="4" w:space="0"/>
            </w:tcBorders>
            <w:vAlign w:val="center"/>
          </w:tcPr>
          <w:p w14:paraId="307B1C70">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41B54C5E">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3D7F449B">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2F7FCEC6">
        <w:tblPrEx>
          <w:tblCellMar>
            <w:top w:w="0" w:type="dxa"/>
            <w:left w:w="108" w:type="dxa"/>
            <w:bottom w:w="0" w:type="dxa"/>
            <w:right w:w="108" w:type="dxa"/>
          </w:tblCellMar>
        </w:tblPrEx>
        <w:trPr>
          <w:trHeight w:val="4786"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51408641">
            <w:pPr>
              <w:topLinePunct/>
              <w:adjustRightInd w:val="0"/>
              <w:snapToGrid w:val="0"/>
              <w:jc w:val="center"/>
              <w:textAlignment w:val="center"/>
              <w:rPr>
                <w:rFonts w:eastAsia="仿宋"/>
                <w:color w:val="000000"/>
                <w:sz w:val="24"/>
              </w:rPr>
            </w:pPr>
            <w:r>
              <w:rPr>
                <w:rFonts w:eastAsia="仿宋"/>
                <w:color w:val="000000"/>
                <w:kern w:val="0"/>
                <w:sz w:val="24"/>
                <w:lang w:bidi="ar"/>
              </w:rPr>
              <w:t>54</w:t>
            </w:r>
          </w:p>
        </w:tc>
        <w:tc>
          <w:tcPr>
            <w:tcW w:w="838" w:type="pct"/>
            <w:tcBorders>
              <w:top w:val="single" w:color="000000" w:sz="4" w:space="0"/>
              <w:left w:val="single" w:color="000000" w:sz="4" w:space="0"/>
              <w:bottom w:val="single" w:color="000000" w:sz="4" w:space="0"/>
              <w:right w:val="single" w:color="000000" w:sz="4" w:space="0"/>
            </w:tcBorders>
            <w:vAlign w:val="center"/>
          </w:tcPr>
          <w:p w14:paraId="6E5D9FEE">
            <w:pPr>
              <w:topLinePunct/>
              <w:adjustRightInd w:val="0"/>
              <w:snapToGrid w:val="0"/>
              <w:textAlignment w:val="center"/>
              <w:rPr>
                <w:rFonts w:eastAsia="仿宋"/>
                <w:color w:val="000000"/>
                <w:kern w:val="0"/>
                <w:sz w:val="24"/>
                <w:lang w:bidi="ar"/>
              </w:rPr>
            </w:pPr>
            <w:r>
              <w:rPr>
                <w:rFonts w:eastAsia="仿宋"/>
                <w:color w:val="000000"/>
                <w:kern w:val="0"/>
                <w:sz w:val="24"/>
                <w:lang w:bidi="ar"/>
              </w:rPr>
              <w:t>对知道或者应当知道生产经营单位未取得安全生产许可证或者其他批准文件擅自从事生产经营活动，仍为其提供生产经营场所、运输、保管、仓储等条件的行政处罚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58C51B41">
            <w:pPr>
              <w:topLinePunct/>
              <w:adjustRightInd w:val="0"/>
              <w:snapToGrid w:val="0"/>
              <w:jc w:val="left"/>
              <w:textAlignment w:val="center"/>
              <w:rPr>
                <w:rFonts w:eastAsia="仿宋"/>
                <w:color w:val="000000"/>
                <w:sz w:val="24"/>
              </w:rPr>
            </w:pPr>
            <w:r>
              <w:rPr>
                <w:rFonts w:eastAsia="仿宋"/>
                <w:color w:val="000000"/>
                <w:kern w:val="0"/>
                <w:sz w:val="24"/>
                <w:lang w:bidi="ar"/>
              </w:rPr>
              <w:t>1.《安全生产违法行为行政处罚办法》</w:t>
            </w:r>
            <w:r>
              <w:rPr>
                <w:rFonts w:eastAsia="仿宋"/>
                <w:color w:val="000000"/>
                <w:kern w:val="0"/>
                <w:sz w:val="24"/>
                <w:lang w:bidi="ar"/>
              </w:rPr>
              <w:br w:type="textWrapping"/>
            </w:r>
            <w:r>
              <w:rPr>
                <w:rFonts w:eastAsia="仿宋"/>
                <w:color w:val="000000"/>
                <w:kern w:val="0"/>
                <w:sz w:val="24"/>
                <w:lang w:bidi="ar"/>
              </w:rPr>
              <w:t>第五十条  知道或者应当知道生产经营单位未取得安全生产许可证或者其他批准文件擅自从事生产经营活动，仍为其提供生产经营场所、运输、保管、仓储等条件的，责令立即停止违法行为，有违法所得的，没收违法所得，并处违法所得1倍以上3倍以下的罚款，但是最高不得超过3万元；没有违法所得的，并处5千元以上1万元以下的罚款。</w:t>
            </w:r>
            <w:r>
              <w:rPr>
                <w:rFonts w:eastAsia="仿宋"/>
                <w:color w:val="000000"/>
                <w:kern w:val="0"/>
                <w:sz w:val="24"/>
                <w:lang w:bidi="ar"/>
              </w:rPr>
              <w:br w:type="textWrapping"/>
            </w:r>
            <w:r>
              <w:rPr>
                <w:rFonts w:eastAsia="仿宋"/>
                <w:color w:val="000000"/>
                <w:kern w:val="0"/>
                <w:sz w:val="24"/>
                <w:lang w:bidi="ar"/>
              </w:rPr>
              <w:t>2.《中华人民共和国行政处罚法》</w:t>
            </w:r>
            <w:r>
              <w:rPr>
                <w:rFonts w:eastAsia="仿宋"/>
                <w:color w:val="000000"/>
                <w:kern w:val="0"/>
                <w:sz w:val="24"/>
                <w:lang w:bidi="ar"/>
              </w:rPr>
              <w:br w:type="textWrapping"/>
            </w:r>
            <w:r>
              <w:rPr>
                <w:rFonts w:eastAsia="仿宋"/>
                <w:color w:val="000000"/>
                <w:kern w:val="0"/>
                <w:sz w:val="24"/>
                <w:lang w:bidi="ar"/>
              </w:rPr>
              <w:t>第二十八条  行政机关实施行政处罚时，应当责令当事人改正或者限期改正违法行为。</w:t>
            </w:r>
            <w:r>
              <w:rPr>
                <w:rFonts w:eastAsia="仿宋"/>
                <w:color w:val="000000"/>
                <w:kern w:val="0"/>
                <w:sz w:val="24"/>
                <w:lang w:bidi="ar"/>
              </w:rPr>
              <w:br w:type="textWrapping"/>
            </w:r>
            <w:r>
              <w:rPr>
                <w:rFonts w:eastAsia="仿宋"/>
                <w:color w:val="000000"/>
                <w:kern w:val="0"/>
                <w:sz w:val="24"/>
                <w:lang w:bidi="ar"/>
              </w:rPr>
              <w:t>当事人有违法所得，除依法应当退赔的外，应当予以没收。违法所得是指实施违法行为所取得的款项。法律、行政法规、部门规章对违法所得的计算另有规定的，从其规定。</w:t>
            </w:r>
          </w:p>
        </w:tc>
        <w:tc>
          <w:tcPr>
            <w:tcW w:w="476" w:type="pct"/>
            <w:tcBorders>
              <w:top w:val="single" w:color="000000" w:sz="4" w:space="0"/>
              <w:left w:val="single" w:color="000000" w:sz="4" w:space="0"/>
              <w:bottom w:val="single" w:color="000000" w:sz="4" w:space="0"/>
              <w:right w:val="single" w:color="000000" w:sz="4" w:space="0"/>
            </w:tcBorders>
            <w:vAlign w:val="center"/>
          </w:tcPr>
          <w:p w14:paraId="43565DCD">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3DE2EA2F">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72AADA09">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5B9ADA09">
        <w:tblPrEx>
          <w:tblCellMar>
            <w:top w:w="0" w:type="dxa"/>
            <w:left w:w="108" w:type="dxa"/>
            <w:bottom w:w="0" w:type="dxa"/>
            <w:right w:w="108" w:type="dxa"/>
          </w:tblCellMar>
        </w:tblPrEx>
        <w:trPr>
          <w:trHeight w:val="6776"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41339020">
            <w:pPr>
              <w:topLinePunct/>
              <w:adjustRightInd w:val="0"/>
              <w:snapToGrid w:val="0"/>
              <w:jc w:val="center"/>
              <w:textAlignment w:val="center"/>
              <w:rPr>
                <w:rFonts w:eastAsia="仿宋"/>
                <w:color w:val="000000"/>
                <w:sz w:val="24"/>
              </w:rPr>
            </w:pPr>
            <w:r>
              <w:rPr>
                <w:rFonts w:eastAsia="仿宋"/>
                <w:color w:val="000000"/>
                <w:kern w:val="0"/>
                <w:sz w:val="24"/>
                <w:lang w:bidi="ar"/>
              </w:rPr>
              <w:t>55</w:t>
            </w:r>
          </w:p>
        </w:tc>
        <w:tc>
          <w:tcPr>
            <w:tcW w:w="838" w:type="pct"/>
            <w:tcBorders>
              <w:top w:val="single" w:color="000000" w:sz="4" w:space="0"/>
              <w:left w:val="single" w:color="000000" w:sz="4" w:space="0"/>
              <w:bottom w:val="single" w:color="000000" w:sz="4" w:space="0"/>
              <w:right w:val="single" w:color="000000" w:sz="4" w:space="0"/>
            </w:tcBorders>
            <w:vAlign w:val="center"/>
          </w:tcPr>
          <w:p w14:paraId="584DBBD3">
            <w:pPr>
              <w:topLinePunct/>
              <w:adjustRightInd w:val="0"/>
              <w:snapToGrid w:val="0"/>
              <w:textAlignment w:val="center"/>
              <w:rPr>
                <w:rFonts w:eastAsia="仿宋"/>
                <w:color w:val="000000"/>
                <w:sz w:val="24"/>
              </w:rPr>
            </w:pPr>
            <w:r>
              <w:rPr>
                <w:rFonts w:eastAsia="仿宋"/>
                <w:color w:val="000000"/>
                <w:kern w:val="0"/>
                <w:sz w:val="24"/>
                <w:lang w:bidi="ar"/>
              </w:rPr>
              <w:t>对生产经营单位及其有关人员弄虚作假，骗取或者勾结、串通行政审批工作人员取得安全生产许可证书及其他批准文件的行政处罚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134E8A4B">
            <w:pPr>
              <w:topLinePunct/>
              <w:adjustRightInd w:val="0"/>
              <w:snapToGrid w:val="0"/>
              <w:jc w:val="left"/>
              <w:textAlignment w:val="center"/>
              <w:rPr>
                <w:rFonts w:eastAsia="仿宋"/>
                <w:color w:val="000000"/>
                <w:sz w:val="24"/>
              </w:rPr>
            </w:pPr>
            <w:r>
              <w:rPr>
                <w:rFonts w:eastAsia="仿宋"/>
                <w:color w:val="000000"/>
                <w:kern w:val="0"/>
                <w:sz w:val="24"/>
                <w:lang w:bidi="ar"/>
              </w:rPr>
              <w:t>1.《安全生产违法行为行政处罚办法》</w:t>
            </w:r>
            <w:r>
              <w:rPr>
                <w:rFonts w:eastAsia="仿宋"/>
                <w:color w:val="000000"/>
                <w:kern w:val="0"/>
                <w:sz w:val="24"/>
                <w:lang w:bidi="ar"/>
              </w:rPr>
              <w:br w:type="textWrapping"/>
            </w:r>
            <w:r>
              <w:rPr>
                <w:rFonts w:eastAsia="仿宋"/>
                <w:color w:val="000000"/>
                <w:kern w:val="0"/>
                <w:sz w:val="24"/>
                <w:lang w:bidi="ar"/>
              </w:rPr>
              <w:t>第五十一条第一款、第二款  生产经营单位及其有关人员弄虚作假，骗取或者勾结、串通行政审批工作人员取得安全生产许可证书及其他批准文件的，撤销许可及批准文件，并按照下列规定处以罚款：（一）生产经营单位有违法所得的，没收违法所得，并处违法所得1倍以上3倍以下的罚款，但是最高不得超过3万元；没有违法所得的，并处5千元以上1万元以下的罚款；（二）对有关人员处1千元以上1万元以下的罚款。</w:t>
            </w:r>
            <w:r>
              <w:rPr>
                <w:rFonts w:eastAsia="仿宋"/>
                <w:color w:val="000000"/>
                <w:kern w:val="0"/>
                <w:sz w:val="24"/>
                <w:lang w:bidi="ar"/>
              </w:rPr>
              <w:br w:type="textWrapping"/>
            </w:r>
            <w:r>
              <w:rPr>
                <w:rFonts w:eastAsia="仿宋"/>
                <w:color w:val="000000"/>
                <w:kern w:val="0"/>
                <w:sz w:val="24"/>
                <w:lang w:bidi="ar"/>
              </w:rPr>
              <w:t>有前款规定违法行为的生产经营单位及其有关人员在3年内不得再次申请该行政许可。</w:t>
            </w:r>
            <w:r>
              <w:rPr>
                <w:rFonts w:eastAsia="仿宋"/>
                <w:color w:val="000000"/>
                <w:kern w:val="0"/>
                <w:sz w:val="24"/>
                <w:lang w:bidi="ar"/>
              </w:rPr>
              <w:br w:type="textWrapping"/>
            </w:r>
            <w:r>
              <w:rPr>
                <w:rFonts w:eastAsia="仿宋"/>
                <w:color w:val="000000"/>
                <w:kern w:val="0"/>
                <w:sz w:val="24"/>
                <w:lang w:bidi="ar"/>
              </w:rPr>
              <w:t>2.《中华人民共和国行政处罚法》</w:t>
            </w:r>
            <w:r>
              <w:rPr>
                <w:rFonts w:eastAsia="仿宋"/>
                <w:color w:val="000000"/>
                <w:kern w:val="0"/>
                <w:sz w:val="24"/>
                <w:lang w:bidi="ar"/>
              </w:rPr>
              <w:br w:type="textWrapping"/>
            </w:r>
            <w:r>
              <w:rPr>
                <w:rFonts w:eastAsia="仿宋"/>
                <w:color w:val="000000"/>
                <w:kern w:val="0"/>
                <w:sz w:val="24"/>
                <w:lang w:bidi="ar"/>
              </w:rPr>
              <w:t>第二十八条  行政机关实施行政处罚时，应当责令当事人改正或者限期改正违法行为。</w:t>
            </w:r>
            <w:r>
              <w:rPr>
                <w:rFonts w:eastAsia="仿宋"/>
                <w:color w:val="000000"/>
                <w:kern w:val="0"/>
                <w:sz w:val="24"/>
                <w:lang w:bidi="ar"/>
              </w:rPr>
              <w:br w:type="textWrapping"/>
            </w:r>
            <w:r>
              <w:rPr>
                <w:rFonts w:eastAsia="仿宋"/>
                <w:color w:val="000000"/>
                <w:kern w:val="0"/>
                <w:sz w:val="24"/>
                <w:lang w:bidi="ar"/>
              </w:rPr>
              <w:t>当事人有违法所得，除依法应当退赔的外，应当予以没收。违法所得是指实施违法行为所取得的款项。法律、行政法规、部门规章对违法所得的计算另有规定的，从其规定。</w:t>
            </w:r>
            <w:r>
              <w:rPr>
                <w:rFonts w:eastAsia="仿宋"/>
                <w:color w:val="000000"/>
                <w:kern w:val="0"/>
                <w:sz w:val="24"/>
                <w:lang w:bidi="ar"/>
              </w:rPr>
              <w:br w:type="textWrapping"/>
            </w:r>
            <w:r>
              <w:rPr>
                <w:rFonts w:eastAsia="仿宋"/>
                <w:color w:val="000000"/>
                <w:kern w:val="0"/>
                <w:sz w:val="24"/>
                <w:lang w:bidi="ar"/>
              </w:rPr>
              <w:t>3.《中华人民共和国行政许可法》</w:t>
            </w:r>
            <w:r>
              <w:rPr>
                <w:rFonts w:eastAsia="仿宋"/>
                <w:color w:val="000000"/>
                <w:kern w:val="0"/>
                <w:sz w:val="24"/>
                <w:lang w:bidi="ar"/>
              </w:rPr>
              <w:br w:type="textWrapping"/>
            </w:r>
            <w:r>
              <w:rPr>
                <w:rFonts w:eastAsia="仿宋"/>
                <w:color w:val="000000"/>
                <w:kern w:val="0"/>
                <w:sz w:val="24"/>
                <w:lang w:bidi="ar"/>
              </w:rPr>
              <w:t>第七十九条  被许可人以欺骗、贿赂等不正当手段取得行政许可的，行政机关应当依法给予行政处罚；取得的行政许可属于直接关系公共安全、人身健康、生命财产安全事项的，申请人在三年内不得再次申请该行政许可；构成犯罪的，依法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29D389A5">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3CA20F2E">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1B52017A">
            <w:pPr>
              <w:topLinePunct/>
              <w:adjustRightInd w:val="0"/>
              <w:snapToGrid w:val="0"/>
              <w:jc w:val="center"/>
              <w:textAlignment w:val="center"/>
              <w:rPr>
                <w:rFonts w:eastAsia="仿宋"/>
                <w:color w:val="000000"/>
                <w:sz w:val="24"/>
              </w:rPr>
            </w:pPr>
            <w:r>
              <w:rPr>
                <w:rFonts w:hint="eastAsia" w:eastAsia="仿宋"/>
                <w:color w:val="000000"/>
                <w:kern w:val="0"/>
                <w:sz w:val="24"/>
                <w:lang w:eastAsia="zh-CN" w:bidi="ar"/>
              </w:rPr>
              <w:t>县级</w:t>
            </w:r>
          </w:p>
        </w:tc>
      </w:tr>
      <w:tr w14:paraId="5DA53E03">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283CABED">
            <w:pPr>
              <w:topLinePunct/>
              <w:adjustRightInd w:val="0"/>
              <w:snapToGrid w:val="0"/>
              <w:jc w:val="center"/>
              <w:textAlignment w:val="center"/>
              <w:rPr>
                <w:rFonts w:eastAsia="仿宋"/>
                <w:color w:val="000000"/>
                <w:sz w:val="24"/>
              </w:rPr>
            </w:pPr>
            <w:r>
              <w:rPr>
                <w:rFonts w:eastAsia="仿宋"/>
                <w:color w:val="000000"/>
                <w:kern w:val="0"/>
                <w:sz w:val="24"/>
                <w:lang w:bidi="ar"/>
              </w:rPr>
              <w:t>56</w:t>
            </w:r>
          </w:p>
        </w:tc>
        <w:tc>
          <w:tcPr>
            <w:tcW w:w="838" w:type="pct"/>
            <w:tcBorders>
              <w:top w:val="single" w:color="000000" w:sz="4" w:space="0"/>
              <w:left w:val="single" w:color="000000" w:sz="4" w:space="0"/>
              <w:bottom w:val="single" w:color="000000" w:sz="4" w:space="0"/>
              <w:right w:val="single" w:color="000000" w:sz="4" w:space="0"/>
            </w:tcBorders>
            <w:vAlign w:val="center"/>
          </w:tcPr>
          <w:p w14:paraId="1165D024">
            <w:pPr>
              <w:topLinePunct/>
              <w:adjustRightInd w:val="0"/>
              <w:snapToGrid w:val="0"/>
              <w:textAlignment w:val="center"/>
              <w:rPr>
                <w:rFonts w:eastAsia="仿宋"/>
                <w:color w:val="000000"/>
                <w:sz w:val="24"/>
              </w:rPr>
            </w:pPr>
            <w:r>
              <w:rPr>
                <w:rFonts w:eastAsia="仿宋"/>
                <w:color w:val="000000"/>
                <w:kern w:val="0"/>
                <w:sz w:val="24"/>
                <w:lang w:bidi="ar"/>
              </w:rPr>
              <w:t>对生产经营单位拒绝、阻碍监督检查的行政处罚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2663E438">
            <w:pPr>
              <w:topLinePunct/>
              <w:adjustRightInd w:val="0"/>
              <w:snapToGrid w:val="0"/>
              <w:jc w:val="left"/>
              <w:textAlignment w:val="center"/>
              <w:rPr>
                <w:rFonts w:eastAsia="仿宋"/>
                <w:color w:val="000000"/>
                <w:sz w:val="24"/>
              </w:rPr>
            </w:pPr>
            <w:r>
              <w:rPr>
                <w:rFonts w:eastAsia="仿宋"/>
                <w:color w:val="000000"/>
                <w:kern w:val="0"/>
                <w:sz w:val="24"/>
                <w:lang w:bidi="ar"/>
              </w:rPr>
              <w:t>《中华人民共和国安全生产法》</w:t>
            </w:r>
            <w:r>
              <w:rPr>
                <w:rFonts w:eastAsia="仿宋"/>
                <w:color w:val="000000"/>
                <w:kern w:val="0"/>
                <w:sz w:val="24"/>
                <w:lang w:bidi="ar"/>
              </w:rPr>
              <w:br w:type="textWrapping"/>
            </w:r>
            <w:r>
              <w:rPr>
                <w:rFonts w:eastAsia="仿宋"/>
                <w:color w:val="000000"/>
                <w:kern w:val="0"/>
                <w:sz w:val="24"/>
                <w:lang w:bidi="ar"/>
              </w:rPr>
              <w:t>第一百零八条  违反本法规定，生产经营单位拒绝、阻碍负有安全生产监督管理职责的部门依法实施监督检查的，责令改正；拒不改正的，处二万元以上二十万元以下的罚款；对其直接负责的主管人员和其他直接责任人员处一万元以上二万元以下的罚款；构成犯罪的，依照刑法有关规定追究刑事责任。</w:t>
            </w:r>
            <w:r>
              <w:rPr>
                <w:rFonts w:eastAsia="仿宋"/>
                <w:color w:val="000000"/>
                <w:kern w:val="0"/>
                <w:sz w:val="24"/>
                <w:lang w:bidi="ar"/>
              </w:rPr>
              <w:br w:type="textWrapping"/>
            </w:r>
            <w:r>
              <w:rPr>
                <w:rFonts w:eastAsia="仿宋"/>
                <w:color w:val="000000"/>
                <w:kern w:val="0"/>
                <w:sz w:val="24"/>
                <w:lang w:bidi="ar"/>
              </w:rPr>
              <w:t>第一百一十五条  本法规定的行政处罚，由应急管理部门和其他负有安全生产监督管理职责的部门按照职责分工决定；其中，根据本法第九十五条、第一百一十条、第一百一十四条的规定应当给予民航、铁路、电力行业的生产经营单位及其主要负责人行政处罚的，也可以由主管的负有安全生产监督管理职责的部门进行处罚。予以关闭的行政处罚，由负有安全生产监督管理职责的部门报请县级以上人民政府按照国务院规定的权限决定；给予拘留的行政处罚，由公安机关依照治安管理处罚的规定决定。</w:t>
            </w:r>
          </w:p>
        </w:tc>
        <w:tc>
          <w:tcPr>
            <w:tcW w:w="476" w:type="pct"/>
            <w:tcBorders>
              <w:top w:val="single" w:color="000000" w:sz="4" w:space="0"/>
              <w:left w:val="single" w:color="000000" w:sz="4" w:space="0"/>
              <w:bottom w:val="single" w:color="000000" w:sz="4" w:space="0"/>
              <w:right w:val="single" w:color="000000" w:sz="4" w:space="0"/>
            </w:tcBorders>
            <w:vAlign w:val="center"/>
          </w:tcPr>
          <w:p w14:paraId="6061061C">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3D7D3226">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36D8B1B0">
            <w:pPr>
              <w:topLinePunct/>
              <w:adjustRightInd w:val="0"/>
              <w:snapToGrid w:val="0"/>
              <w:jc w:val="center"/>
              <w:textAlignment w:val="center"/>
              <w:rPr>
                <w:rFonts w:eastAsia="仿宋"/>
                <w:color w:val="000000"/>
                <w:sz w:val="24"/>
              </w:rPr>
            </w:pPr>
            <w:r>
              <w:rPr>
                <w:rFonts w:hint="eastAsia" w:eastAsia="仿宋"/>
                <w:color w:val="000000"/>
                <w:kern w:val="0"/>
                <w:sz w:val="24"/>
                <w:lang w:eastAsia="zh-CN" w:bidi="ar"/>
              </w:rPr>
              <w:t>县级</w:t>
            </w:r>
          </w:p>
        </w:tc>
      </w:tr>
      <w:tr w14:paraId="5598462A">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3B34F40D">
            <w:pPr>
              <w:topLinePunct/>
              <w:adjustRightInd w:val="0"/>
              <w:snapToGrid w:val="0"/>
              <w:jc w:val="center"/>
              <w:textAlignment w:val="center"/>
              <w:rPr>
                <w:rFonts w:eastAsia="仿宋"/>
                <w:color w:val="000000"/>
                <w:sz w:val="24"/>
              </w:rPr>
            </w:pPr>
            <w:r>
              <w:rPr>
                <w:rFonts w:eastAsia="仿宋"/>
                <w:color w:val="000000"/>
                <w:kern w:val="0"/>
                <w:sz w:val="24"/>
                <w:lang w:bidi="ar"/>
              </w:rPr>
              <w:t>57</w:t>
            </w:r>
          </w:p>
        </w:tc>
        <w:tc>
          <w:tcPr>
            <w:tcW w:w="838" w:type="pct"/>
            <w:tcBorders>
              <w:top w:val="single" w:color="000000" w:sz="4" w:space="0"/>
              <w:left w:val="single" w:color="000000" w:sz="4" w:space="0"/>
              <w:bottom w:val="single" w:color="000000" w:sz="4" w:space="0"/>
              <w:right w:val="single" w:color="000000" w:sz="4" w:space="0"/>
            </w:tcBorders>
            <w:vAlign w:val="center"/>
          </w:tcPr>
          <w:p w14:paraId="5C02A0BB">
            <w:pPr>
              <w:topLinePunct/>
              <w:adjustRightInd w:val="0"/>
              <w:snapToGrid w:val="0"/>
              <w:textAlignment w:val="center"/>
              <w:rPr>
                <w:rFonts w:eastAsia="仿宋"/>
                <w:color w:val="000000"/>
                <w:sz w:val="24"/>
              </w:rPr>
            </w:pPr>
            <w:r>
              <w:rPr>
                <w:rFonts w:eastAsia="仿宋"/>
                <w:color w:val="000000"/>
                <w:kern w:val="0"/>
                <w:sz w:val="24"/>
                <w:lang w:bidi="ar"/>
              </w:rPr>
              <w:t>对瞒报、谎报或者迟报生产安全事故，以及不立即组织抢救、在事故调查处理期间擅离职守或者逃匿的行政处罚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29AC58BA">
            <w:pPr>
              <w:topLinePunct/>
              <w:adjustRightInd w:val="0"/>
              <w:snapToGrid w:val="0"/>
              <w:jc w:val="left"/>
              <w:textAlignment w:val="center"/>
              <w:rPr>
                <w:rFonts w:eastAsia="仿宋"/>
                <w:color w:val="000000"/>
                <w:sz w:val="24"/>
              </w:rPr>
            </w:pPr>
            <w:r>
              <w:rPr>
                <w:rFonts w:eastAsia="仿宋"/>
                <w:color w:val="000000"/>
                <w:kern w:val="0"/>
                <w:sz w:val="24"/>
                <w:lang w:bidi="ar"/>
              </w:rPr>
              <w:t>1.《中华人民共和国安全生产法》</w:t>
            </w:r>
            <w:r>
              <w:rPr>
                <w:rFonts w:eastAsia="仿宋"/>
                <w:color w:val="000000"/>
                <w:kern w:val="0"/>
                <w:sz w:val="24"/>
                <w:lang w:bidi="ar"/>
              </w:rPr>
              <w:br w:type="textWrapping"/>
            </w:r>
            <w:r>
              <w:rPr>
                <w:rFonts w:eastAsia="仿宋"/>
                <w:color w:val="000000"/>
                <w:kern w:val="0"/>
                <w:sz w:val="24"/>
                <w:lang w:bidi="ar"/>
              </w:rPr>
              <w:t>第一百一十条  生产经营单位的主要负责人在本单位发生生产安全事故时，不立即组织抢救或者在事故调查处理期间擅离职守或者逃匿的，给予降级、撤职的处分，并由应急管理部门处上一年年收入百分之六十至百分之一百的罚款；对逃匿的处十五日以下拘留；构成犯罪的，依照刑法有关规定追究刑事责任。</w:t>
            </w:r>
            <w:r>
              <w:rPr>
                <w:rFonts w:eastAsia="仿宋"/>
                <w:color w:val="000000"/>
                <w:kern w:val="0"/>
                <w:sz w:val="24"/>
                <w:lang w:bidi="ar"/>
              </w:rPr>
              <w:br w:type="textWrapping"/>
            </w:r>
            <w:r>
              <w:rPr>
                <w:rFonts w:eastAsia="仿宋"/>
                <w:color w:val="000000"/>
                <w:kern w:val="0"/>
                <w:sz w:val="24"/>
                <w:lang w:bidi="ar"/>
              </w:rPr>
              <w:t>生产经营单位的主要负责人对生产安全事故隐瞒不报、谎报或者迟报的，依照前款规定处罚。</w:t>
            </w:r>
            <w:r>
              <w:rPr>
                <w:rFonts w:eastAsia="仿宋"/>
                <w:color w:val="000000"/>
                <w:kern w:val="0"/>
                <w:sz w:val="24"/>
                <w:lang w:bidi="ar"/>
              </w:rPr>
              <w:br w:type="textWrapping"/>
            </w:r>
            <w:r>
              <w:rPr>
                <w:rFonts w:eastAsia="仿宋"/>
                <w:color w:val="000000"/>
                <w:kern w:val="0"/>
                <w:sz w:val="24"/>
                <w:lang w:bidi="ar"/>
              </w:rPr>
              <w:t>第一百一十五条  本法规定的行政处罚，由应急管理部门和其他负有安全生产监督管理职责的部门按照职责分工决定；其中，根据本法第九十五条、第一百一十条、第一百一十四条的规定应当给予民航、铁路、电力行业的生产经营单位及其主要负责人行政处罚的，也可以由主管的负有安全生产监督管理职责的部门进行处罚。予以关闭的行政处罚，由负有安全生产监督管理职责的部门报请县级以上人民政府按照国务院规定的权限决定；给予拘留的行政处罚，由公安机关依照治安管理处罚的规定决定。</w:t>
            </w:r>
            <w:r>
              <w:rPr>
                <w:rFonts w:eastAsia="仿宋"/>
                <w:color w:val="000000"/>
                <w:kern w:val="0"/>
                <w:sz w:val="24"/>
                <w:lang w:bidi="ar"/>
              </w:rPr>
              <w:br w:type="textWrapping"/>
            </w:r>
            <w:r>
              <w:rPr>
                <w:rFonts w:eastAsia="仿宋"/>
                <w:color w:val="000000"/>
                <w:kern w:val="0"/>
                <w:sz w:val="24"/>
                <w:lang w:bidi="ar"/>
              </w:rPr>
              <w:t>2.《生产安全事故报告和调查处理条例》</w:t>
            </w:r>
            <w:r>
              <w:rPr>
                <w:rFonts w:eastAsia="仿宋"/>
                <w:color w:val="000000"/>
                <w:kern w:val="0"/>
                <w:sz w:val="24"/>
                <w:lang w:bidi="ar"/>
              </w:rPr>
              <w:br w:type="textWrapping"/>
            </w:r>
            <w:r>
              <w:rPr>
                <w:rFonts w:eastAsia="仿宋"/>
                <w:color w:val="000000"/>
                <w:kern w:val="0"/>
                <w:sz w:val="24"/>
                <w:lang w:bidi="ar"/>
              </w:rPr>
              <w:t>第三十六条第一项  事故发生单位及其有关人员有下列行为之一的，对事故发生单位处100万元以上500万元以下的罚款；对主要负责人、直接负责的主管人员和其他直接责任人员处上一年年收入60%至100%的罚款；属于国家工作人员的，并依法给予处分；构成违反治安管理行为的，由公安机关依法给予治安管理处罚；构成犯罪的，依法追究刑事责任：（一）谎报或者瞒报事故的；</w:t>
            </w:r>
            <w:r>
              <w:rPr>
                <w:rFonts w:eastAsia="仿宋"/>
                <w:color w:val="000000"/>
                <w:kern w:val="0"/>
                <w:sz w:val="24"/>
                <w:lang w:bidi="ar"/>
              </w:rPr>
              <w:br w:type="textWrapping"/>
            </w:r>
            <w:r>
              <w:rPr>
                <w:rFonts w:eastAsia="仿宋"/>
                <w:color w:val="000000"/>
                <w:kern w:val="0"/>
                <w:sz w:val="24"/>
                <w:lang w:bidi="ar"/>
              </w:rPr>
              <w:t>第四十三条第一款  本条例规定的罚款的行政处罚，由安全生产监督管理部门决定。</w:t>
            </w:r>
          </w:p>
        </w:tc>
        <w:tc>
          <w:tcPr>
            <w:tcW w:w="476" w:type="pct"/>
            <w:tcBorders>
              <w:top w:val="single" w:color="000000" w:sz="4" w:space="0"/>
              <w:left w:val="single" w:color="000000" w:sz="4" w:space="0"/>
              <w:bottom w:val="single" w:color="000000" w:sz="4" w:space="0"/>
              <w:right w:val="single" w:color="000000" w:sz="4" w:space="0"/>
            </w:tcBorders>
            <w:vAlign w:val="center"/>
          </w:tcPr>
          <w:p w14:paraId="662005BF">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6786C464">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67F04DE5">
            <w:pPr>
              <w:topLinePunct/>
              <w:adjustRightInd w:val="0"/>
              <w:snapToGrid w:val="0"/>
              <w:jc w:val="center"/>
              <w:textAlignment w:val="center"/>
              <w:rPr>
                <w:rFonts w:eastAsia="仿宋"/>
                <w:color w:val="000000"/>
                <w:sz w:val="24"/>
              </w:rPr>
            </w:pPr>
            <w:r>
              <w:rPr>
                <w:rFonts w:hint="eastAsia" w:eastAsia="仿宋"/>
                <w:color w:val="000000"/>
                <w:kern w:val="0"/>
                <w:sz w:val="24"/>
                <w:lang w:eastAsia="zh-CN" w:bidi="ar"/>
              </w:rPr>
              <w:t>县级</w:t>
            </w:r>
          </w:p>
        </w:tc>
      </w:tr>
      <w:tr w14:paraId="017E93BD">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05EF7BFD">
            <w:pPr>
              <w:topLinePunct/>
              <w:adjustRightInd w:val="0"/>
              <w:snapToGrid w:val="0"/>
              <w:jc w:val="center"/>
              <w:textAlignment w:val="center"/>
              <w:rPr>
                <w:rFonts w:eastAsia="仿宋"/>
                <w:color w:val="000000"/>
                <w:sz w:val="24"/>
              </w:rPr>
            </w:pPr>
            <w:r>
              <w:rPr>
                <w:rFonts w:eastAsia="仿宋"/>
                <w:color w:val="000000"/>
                <w:kern w:val="0"/>
                <w:sz w:val="24"/>
                <w:lang w:bidi="ar"/>
              </w:rPr>
              <w:t>58</w:t>
            </w:r>
          </w:p>
        </w:tc>
        <w:tc>
          <w:tcPr>
            <w:tcW w:w="838" w:type="pct"/>
            <w:tcBorders>
              <w:top w:val="single" w:color="000000" w:sz="4" w:space="0"/>
              <w:left w:val="single" w:color="000000" w:sz="4" w:space="0"/>
              <w:bottom w:val="single" w:color="000000" w:sz="4" w:space="0"/>
              <w:right w:val="single" w:color="000000" w:sz="4" w:space="0"/>
            </w:tcBorders>
            <w:vAlign w:val="center"/>
          </w:tcPr>
          <w:p w14:paraId="5266350F">
            <w:pPr>
              <w:topLinePunct/>
              <w:adjustRightInd w:val="0"/>
              <w:snapToGrid w:val="0"/>
              <w:textAlignment w:val="center"/>
              <w:rPr>
                <w:rFonts w:eastAsia="仿宋"/>
                <w:color w:val="000000"/>
                <w:sz w:val="24"/>
              </w:rPr>
            </w:pPr>
            <w:r>
              <w:rPr>
                <w:rFonts w:eastAsia="仿宋"/>
                <w:color w:val="000000"/>
                <w:kern w:val="0"/>
                <w:sz w:val="24"/>
                <w:lang w:bidi="ar"/>
              </w:rPr>
              <w:t>对事故发生单位主要负责人漏报生产安全事故的行政处罚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2B289A00">
            <w:pPr>
              <w:topLinePunct/>
              <w:adjustRightInd w:val="0"/>
              <w:snapToGrid w:val="0"/>
              <w:jc w:val="left"/>
              <w:textAlignment w:val="center"/>
              <w:rPr>
                <w:rFonts w:eastAsia="仿宋"/>
                <w:color w:val="000000"/>
                <w:sz w:val="24"/>
              </w:rPr>
            </w:pPr>
            <w:r>
              <w:rPr>
                <w:rFonts w:eastAsia="仿宋"/>
                <w:color w:val="000000"/>
                <w:kern w:val="0"/>
                <w:sz w:val="24"/>
                <w:lang w:bidi="ar"/>
              </w:rPr>
              <w:t>《生产安全事故报告和调查处理条例》</w:t>
            </w:r>
            <w:r>
              <w:rPr>
                <w:rFonts w:eastAsia="仿宋"/>
                <w:color w:val="000000"/>
                <w:kern w:val="0"/>
                <w:sz w:val="24"/>
                <w:lang w:bidi="ar"/>
              </w:rPr>
              <w:br w:type="textWrapping"/>
            </w:r>
            <w:r>
              <w:rPr>
                <w:rFonts w:eastAsia="仿宋"/>
                <w:color w:val="000000"/>
                <w:kern w:val="0"/>
                <w:sz w:val="24"/>
                <w:lang w:bidi="ar"/>
              </w:rPr>
              <w:t>第三十五条第二项  事故发生单位主要负责人有下列行为之一的，处上一年年收入40%至80%的罚款；属于国家工作人员的，并依法给予处分；构成犯罪的，依法追究刑事责任：（二）迟报或者漏报事故的；</w:t>
            </w:r>
            <w:r>
              <w:rPr>
                <w:rFonts w:eastAsia="仿宋"/>
                <w:color w:val="000000"/>
                <w:kern w:val="0"/>
                <w:sz w:val="24"/>
                <w:lang w:bidi="ar"/>
              </w:rPr>
              <w:br w:type="textWrapping"/>
            </w:r>
            <w:r>
              <w:rPr>
                <w:rFonts w:eastAsia="仿宋"/>
                <w:color w:val="000000"/>
                <w:kern w:val="0"/>
                <w:sz w:val="24"/>
                <w:lang w:bidi="ar"/>
              </w:rPr>
              <w:t>第四十三条第一款  本条例规定的罚款的行政处罚，由安全生产监督管理部门决定。</w:t>
            </w:r>
          </w:p>
        </w:tc>
        <w:tc>
          <w:tcPr>
            <w:tcW w:w="476" w:type="pct"/>
            <w:tcBorders>
              <w:top w:val="single" w:color="000000" w:sz="4" w:space="0"/>
              <w:left w:val="single" w:color="000000" w:sz="4" w:space="0"/>
              <w:bottom w:val="single" w:color="000000" w:sz="4" w:space="0"/>
              <w:right w:val="single" w:color="000000" w:sz="4" w:space="0"/>
            </w:tcBorders>
            <w:vAlign w:val="center"/>
          </w:tcPr>
          <w:p w14:paraId="52D60CD8">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5EEA3A2E">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206EBCFA">
            <w:pPr>
              <w:topLinePunct/>
              <w:adjustRightInd w:val="0"/>
              <w:snapToGrid w:val="0"/>
              <w:jc w:val="center"/>
              <w:textAlignment w:val="center"/>
              <w:rPr>
                <w:rFonts w:eastAsia="仿宋"/>
                <w:color w:val="000000"/>
                <w:sz w:val="24"/>
              </w:rPr>
            </w:pPr>
            <w:r>
              <w:rPr>
                <w:rFonts w:hint="eastAsia" w:eastAsia="仿宋"/>
                <w:color w:val="000000"/>
                <w:kern w:val="0"/>
                <w:sz w:val="24"/>
                <w:lang w:eastAsia="zh-CN" w:bidi="ar"/>
              </w:rPr>
              <w:t>县级</w:t>
            </w:r>
          </w:p>
        </w:tc>
      </w:tr>
      <w:tr w14:paraId="4C2226D9">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034065EE">
            <w:pPr>
              <w:topLinePunct/>
              <w:adjustRightInd w:val="0"/>
              <w:snapToGrid w:val="0"/>
              <w:jc w:val="center"/>
              <w:textAlignment w:val="center"/>
              <w:rPr>
                <w:rFonts w:eastAsia="仿宋"/>
                <w:color w:val="000000"/>
                <w:sz w:val="24"/>
              </w:rPr>
            </w:pPr>
            <w:r>
              <w:rPr>
                <w:rFonts w:eastAsia="仿宋"/>
                <w:color w:val="000000"/>
                <w:kern w:val="0"/>
                <w:sz w:val="24"/>
                <w:lang w:bidi="ar"/>
              </w:rPr>
              <w:t>59</w:t>
            </w:r>
          </w:p>
        </w:tc>
        <w:tc>
          <w:tcPr>
            <w:tcW w:w="838" w:type="pct"/>
            <w:tcBorders>
              <w:top w:val="single" w:color="000000" w:sz="4" w:space="0"/>
              <w:left w:val="single" w:color="000000" w:sz="4" w:space="0"/>
              <w:bottom w:val="single" w:color="000000" w:sz="4" w:space="0"/>
              <w:right w:val="single" w:color="000000" w:sz="4" w:space="0"/>
            </w:tcBorders>
            <w:vAlign w:val="center"/>
          </w:tcPr>
          <w:p w14:paraId="6ABD1C36">
            <w:pPr>
              <w:topLinePunct/>
              <w:adjustRightInd w:val="0"/>
              <w:snapToGrid w:val="0"/>
              <w:textAlignment w:val="center"/>
              <w:rPr>
                <w:rFonts w:eastAsia="仿宋"/>
                <w:color w:val="000000"/>
                <w:sz w:val="24"/>
              </w:rPr>
            </w:pPr>
            <w:r>
              <w:rPr>
                <w:rFonts w:eastAsia="仿宋"/>
                <w:color w:val="000000"/>
                <w:kern w:val="0"/>
                <w:sz w:val="24"/>
                <w:lang w:bidi="ar"/>
              </w:rPr>
              <w:t>对事故发生单位及其有关人员有转移、隐匿资金、财产，或者销毁有关证据、资料等行为的行政处罚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1A37009D">
            <w:pPr>
              <w:topLinePunct/>
              <w:adjustRightInd w:val="0"/>
              <w:snapToGrid w:val="0"/>
              <w:jc w:val="left"/>
              <w:textAlignment w:val="center"/>
              <w:rPr>
                <w:rFonts w:eastAsia="仿宋"/>
                <w:color w:val="000000"/>
                <w:sz w:val="24"/>
              </w:rPr>
            </w:pPr>
            <w:r>
              <w:rPr>
                <w:rFonts w:eastAsia="仿宋"/>
                <w:color w:val="000000"/>
                <w:kern w:val="0"/>
                <w:sz w:val="24"/>
                <w:lang w:bidi="ar"/>
              </w:rPr>
              <w:t>《生产安全事故报告和调查处理条例》</w:t>
            </w:r>
            <w:r>
              <w:rPr>
                <w:rFonts w:eastAsia="仿宋"/>
                <w:color w:val="000000"/>
                <w:kern w:val="0"/>
                <w:sz w:val="24"/>
                <w:lang w:bidi="ar"/>
              </w:rPr>
              <w:br w:type="textWrapping"/>
            </w:r>
            <w:r>
              <w:rPr>
                <w:rFonts w:eastAsia="仿宋"/>
                <w:color w:val="000000"/>
                <w:kern w:val="0"/>
                <w:sz w:val="24"/>
                <w:lang w:bidi="ar"/>
              </w:rPr>
              <w:t>第三十六条第三项、第四项、第五项、第六项  事故发生单位及其有关人员有下列行为之一的，对事故发生单位处100万元以上500万元以下的罚款；对主要负责人、直接负责的主管人员和其他直接责任人员处上一年年收入60%至100%的罚款；属于国家工作人员的，并依法给予处分；构成违反治安管理行为的，由公安机关依法给予治安管理处罚；构成犯罪的，依法追究刑事责任：（三）转移、隐匿资金、财产，或者销毁有关证据、资料的；（四）拒绝接受调查或者拒绝提供有关情况和资料的；（五）在事故调查中作伪证或者指使他人作伪证的；（六）事故发生后逃匿的。</w:t>
            </w:r>
            <w:r>
              <w:rPr>
                <w:rFonts w:eastAsia="仿宋"/>
                <w:color w:val="000000"/>
                <w:kern w:val="0"/>
                <w:sz w:val="24"/>
                <w:lang w:bidi="ar"/>
              </w:rPr>
              <w:br w:type="textWrapping"/>
            </w:r>
            <w:r>
              <w:rPr>
                <w:rFonts w:eastAsia="仿宋"/>
                <w:color w:val="000000"/>
                <w:kern w:val="0"/>
                <w:sz w:val="24"/>
                <w:lang w:bidi="ar"/>
              </w:rPr>
              <w:t>第四十三条第一款  本条例规定的罚款的行政处罚，由安全生产监督管理部门决定。</w:t>
            </w:r>
          </w:p>
        </w:tc>
        <w:tc>
          <w:tcPr>
            <w:tcW w:w="476" w:type="pct"/>
            <w:tcBorders>
              <w:top w:val="single" w:color="000000" w:sz="4" w:space="0"/>
              <w:left w:val="single" w:color="000000" w:sz="4" w:space="0"/>
              <w:bottom w:val="single" w:color="000000" w:sz="4" w:space="0"/>
              <w:right w:val="single" w:color="000000" w:sz="4" w:space="0"/>
            </w:tcBorders>
            <w:vAlign w:val="center"/>
          </w:tcPr>
          <w:p w14:paraId="4B309FC7">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29D58C54">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4A390160">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46AD1D59">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48711D35">
            <w:pPr>
              <w:topLinePunct/>
              <w:adjustRightInd w:val="0"/>
              <w:snapToGrid w:val="0"/>
              <w:jc w:val="center"/>
              <w:textAlignment w:val="center"/>
              <w:rPr>
                <w:rFonts w:eastAsia="仿宋"/>
                <w:color w:val="000000"/>
                <w:sz w:val="24"/>
              </w:rPr>
            </w:pPr>
            <w:r>
              <w:rPr>
                <w:rFonts w:eastAsia="仿宋"/>
                <w:color w:val="000000"/>
                <w:kern w:val="0"/>
                <w:sz w:val="24"/>
                <w:lang w:bidi="ar"/>
              </w:rPr>
              <w:t>60</w:t>
            </w:r>
          </w:p>
        </w:tc>
        <w:tc>
          <w:tcPr>
            <w:tcW w:w="838" w:type="pct"/>
            <w:tcBorders>
              <w:top w:val="single" w:color="000000" w:sz="4" w:space="0"/>
              <w:left w:val="single" w:color="000000" w:sz="4" w:space="0"/>
              <w:bottom w:val="single" w:color="000000" w:sz="4" w:space="0"/>
              <w:right w:val="single" w:color="000000" w:sz="4" w:space="0"/>
            </w:tcBorders>
            <w:vAlign w:val="center"/>
          </w:tcPr>
          <w:p w14:paraId="24040B4F">
            <w:pPr>
              <w:topLinePunct/>
              <w:adjustRightInd w:val="0"/>
              <w:snapToGrid w:val="0"/>
              <w:textAlignment w:val="center"/>
              <w:rPr>
                <w:rFonts w:eastAsia="仿宋"/>
                <w:color w:val="000000"/>
                <w:sz w:val="24"/>
              </w:rPr>
            </w:pPr>
            <w:r>
              <w:rPr>
                <w:rFonts w:eastAsia="仿宋"/>
                <w:color w:val="000000"/>
                <w:kern w:val="0"/>
                <w:sz w:val="24"/>
                <w:lang w:bidi="ar"/>
              </w:rPr>
              <w:t>对生产经营单位主要负责人未履行安全生产管理职责导致发生生产安全事故的行政处罚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0AD20D82">
            <w:pPr>
              <w:topLinePunct/>
              <w:adjustRightInd w:val="0"/>
              <w:snapToGrid w:val="0"/>
              <w:jc w:val="left"/>
              <w:textAlignment w:val="center"/>
              <w:rPr>
                <w:rFonts w:eastAsia="仿宋"/>
                <w:color w:val="000000"/>
                <w:sz w:val="24"/>
              </w:rPr>
            </w:pPr>
            <w:r>
              <w:rPr>
                <w:rFonts w:eastAsia="仿宋"/>
                <w:color w:val="000000"/>
                <w:kern w:val="0"/>
                <w:sz w:val="24"/>
                <w:lang w:bidi="ar"/>
              </w:rPr>
              <w:t>《中华人民共和国安全生产法》</w:t>
            </w:r>
            <w:r>
              <w:rPr>
                <w:rFonts w:eastAsia="仿宋"/>
                <w:color w:val="000000"/>
                <w:kern w:val="0"/>
                <w:sz w:val="24"/>
                <w:lang w:bidi="ar"/>
              </w:rPr>
              <w:br w:type="textWrapping"/>
            </w:r>
            <w:r>
              <w:rPr>
                <w:rFonts w:eastAsia="仿宋"/>
                <w:color w:val="000000"/>
                <w:kern w:val="0"/>
                <w:sz w:val="24"/>
                <w:lang w:bidi="ar"/>
              </w:rPr>
              <w:t>第九十五条  生产经营单位的主要负责人未履行本法规定的安全生产管理职责，导致发生生产安全事故的，由应急管理部门依照下列规定处以罚款：（一）发生一般事故的，处上一年年收入百分之四十的罚款；（二）发生较大事故的，处上一年年收入百分之六十的罚款；（三）发生重大事故的，处上一年年收入百分之八十的罚款；（四）发生特别重大事故的，处上一年年收入百分之一百的罚款。</w:t>
            </w:r>
            <w:r>
              <w:rPr>
                <w:rFonts w:eastAsia="仿宋"/>
                <w:color w:val="000000"/>
                <w:kern w:val="0"/>
                <w:sz w:val="24"/>
                <w:lang w:bidi="ar"/>
              </w:rPr>
              <w:br w:type="textWrapping"/>
            </w:r>
            <w:r>
              <w:rPr>
                <w:rFonts w:eastAsia="仿宋"/>
                <w:color w:val="000000"/>
                <w:kern w:val="0"/>
                <w:sz w:val="24"/>
                <w:lang w:bidi="ar"/>
              </w:rPr>
              <w:t>第一百一十五条  本法规定的行政处罚，由应急管理部门和其他负有安全生产监督管理职责的部门按照职责分工决定；其中，根据本法第九十五条、第一百一十条、第一百一十四条的规定应当给予民航、铁路、电力行业的生产经营单位及其主要负责人行政处罚的，也可以由主管的负有安全生产监督管理职责的部门进行处罚。予以关闭的行政处罚，由负有安全生产监督管理职责的部门报请县级以上人民政府按照国务院规定的权限决定；给予拘留的行政处罚，由公安机关依照治安管理处罚的规定决定。</w:t>
            </w:r>
          </w:p>
        </w:tc>
        <w:tc>
          <w:tcPr>
            <w:tcW w:w="476" w:type="pct"/>
            <w:tcBorders>
              <w:top w:val="single" w:color="000000" w:sz="4" w:space="0"/>
              <w:left w:val="single" w:color="000000" w:sz="4" w:space="0"/>
              <w:bottom w:val="single" w:color="000000" w:sz="4" w:space="0"/>
              <w:right w:val="single" w:color="000000" w:sz="4" w:space="0"/>
            </w:tcBorders>
            <w:vAlign w:val="center"/>
          </w:tcPr>
          <w:p w14:paraId="3E41390A">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243A587A">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06D6A2B7">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1326A2FA">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58C6BE26">
            <w:pPr>
              <w:topLinePunct/>
              <w:adjustRightInd w:val="0"/>
              <w:snapToGrid w:val="0"/>
              <w:jc w:val="center"/>
              <w:textAlignment w:val="center"/>
              <w:rPr>
                <w:rFonts w:eastAsia="仿宋"/>
                <w:color w:val="000000"/>
                <w:sz w:val="24"/>
              </w:rPr>
            </w:pPr>
            <w:r>
              <w:rPr>
                <w:rFonts w:eastAsia="仿宋"/>
                <w:color w:val="000000"/>
                <w:kern w:val="0"/>
                <w:sz w:val="24"/>
                <w:lang w:bidi="ar"/>
              </w:rPr>
              <w:t>61</w:t>
            </w:r>
          </w:p>
        </w:tc>
        <w:tc>
          <w:tcPr>
            <w:tcW w:w="838" w:type="pct"/>
            <w:tcBorders>
              <w:top w:val="single" w:color="000000" w:sz="4" w:space="0"/>
              <w:left w:val="single" w:color="000000" w:sz="4" w:space="0"/>
              <w:bottom w:val="single" w:color="000000" w:sz="4" w:space="0"/>
              <w:right w:val="single" w:color="000000" w:sz="4" w:space="0"/>
            </w:tcBorders>
            <w:vAlign w:val="center"/>
          </w:tcPr>
          <w:p w14:paraId="3A9A81C9">
            <w:pPr>
              <w:topLinePunct/>
              <w:adjustRightInd w:val="0"/>
              <w:snapToGrid w:val="0"/>
              <w:textAlignment w:val="center"/>
              <w:rPr>
                <w:rFonts w:eastAsia="仿宋"/>
                <w:color w:val="000000"/>
                <w:sz w:val="24"/>
              </w:rPr>
            </w:pPr>
            <w:r>
              <w:rPr>
                <w:rFonts w:eastAsia="仿宋"/>
                <w:color w:val="000000"/>
                <w:kern w:val="0"/>
                <w:sz w:val="24"/>
                <w:lang w:bidi="ar"/>
              </w:rPr>
              <w:t>对发生生产安全事故负有责任的生产经营单位的行政处罚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56170844">
            <w:pPr>
              <w:topLinePunct/>
              <w:adjustRightInd w:val="0"/>
              <w:snapToGrid w:val="0"/>
              <w:jc w:val="left"/>
              <w:textAlignment w:val="center"/>
              <w:rPr>
                <w:rFonts w:eastAsia="仿宋"/>
                <w:color w:val="000000"/>
                <w:sz w:val="24"/>
              </w:rPr>
            </w:pPr>
            <w:r>
              <w:rPr>
                <w:rFonts w:eastAsia="仿宋"/>
                <w:color w:val="000000"/>
                <w:kern w:val="0"/>
                <w:sz w:val="24"/>
                <w:lang w:bidi="ar"/>
              </w:rPr>
              <w:t>《中华人民共和国安全生产法》</w:t>
            </w:r>
            <w:r>
              <w:rPr>
                <w:rFonts w:eastAsia="仿宋"/>
                <w:color w:val="000000"/>
                <w:kern w:val="0"/>
                <w:sz w:val="24"/>
                <w:lang w:bidi="ar"/>
              </w:rPr>
              <w:br w:type="textWrapping"/>
            </w:r>
            <w:r>
              <w:rPr>
                <w:rFonts w:eastAsia="仿宋"/>
                <w:color w:val="000000"/>
                <w:kern w:val="0"/>
                <w:sz w:val="24"/>
                <w:lang w:bidi="ar"/>
              </w:rPr>
              <w:t>第一百一十四条  发生生产安全事故，对负有责任的生产经营单位除要求其依法承担相应的赔偿等责任外，由应急管理部门依照下列规定处以罚款：（一）发生一般事故的，处三十万元以上一百万元以下的罚款；（二）发生较大事故的，处一百万元以上二百万元以下的罚款；（三）发生重大事故的，处二百万元以上一千万元以下的罚款；（四）发生特别重大事故的，处一千万元以上二千万元以下的罚款。</w:t>
            </w:r>
            <w:r>
              <w:rPr>
                <w:rFonts w:eastAsia="仿宋"/>
                <w:color w:val="000000"/>
                <w:kern w:val="0"/>
                <w:sz w:val="24"/>
                <w:lang w:bidi="ar"/>
              </w:rPr>
              <w:br w:type="textWrapping"/>
            </w:r>
            <w:r>
              <w:rPr>
                <w:rFonts w:eastAsia="仿宋"/>
                <w:color w:val="000000"/>
                <w:kern w:val="0"/>
                <w:sz w:val="24"/>
                <w:lang w:bidi="ar"/>
              </w:rPr>
              <w:t>发生生产安全事故，情节特别严重、影响特别恶劣的，应急管理部门可以按照前款罚款数额的二倍以上五倍以下对负有责任的生产经营单位处以罚款。</w:t>
            </w:r>
            <w:r>
              <w:rPr>
                <w:rFonts w:eastAsia="仿宋"/>
                <w:color w:val="000000"/>
                <w:kern w:val="0"/>
                <w:sz w:val="24"/>
                <w:lang w:bidi="ar"/>
              </w:rPr>
              <w:br w:type="textWrapping"/>
            </w:r>
            <w:r>
              <w:rPr>
                <w:rFonts w:eastAsia="仿宋"/>
                <w:color w:val="000000"/>
                <w:kern w:val="0"/>
                <w:sz w:val="24"/>
                <w:lang w:bidi="ar"/>
              </w:rPr>
              <w:t>第一百一十五条  本法规定的行政处罚，由应急管理部门和其他负有安全生产监督管理职责的部门按照职责分工决定；其中，根据本法第九十五条、第一百一十条、第一百一十四条的规定应当给予民航、铁路、电力行业的生产经营单位及其主要负责人行政处罚的，也可以由主管的负有安全生产监督管理职责的部门进行处罚。予以关闭的行政处罚，由负有安全生产监督管理职责的部门报请县级以上人民政府按照国务院规定的权限决定；给予拘留的行政处罚，由公安机关依照治安管理处罚的规定决定。</w:t>
            </w:r>
          </w:p>
        </w:tc>
        <w:tc>
          <w:tcPr>
            <w:tcW w:w="476" w:type="pct"/>
            <w:tcBorders>
              <w:top w:val="single" w:color="000000" w:sz="4" w:space="0"/>
              <w:left w:val="single" w:color="000000" w:sz="4" w:space="0"/>
              <w:bottom w:val="single" w:color="000000" w:sz="4" w:space="0"/>
              <w:right w:val="single" w:color="000000" w:sz="4" w:space="0"/>
            </w:tcBorders>
            <w:vAlign w:val="center"/>
          </w:tcPr>
          <w:p w14:paraId="2EB1D7FC">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05E5090E">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49A3E1B5">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0D9B36E9">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2F03E0BD">
            <w:pPr>
              <w:topLinePunct/>
              <w:adjustRightInd w:val="0"/>
              <w:snapToGrid w:val="0"/>
              <w:jc w:val="center"/>
              <w:textAlignment w:val="center"/>
              <w:rPr>
                <w:rFonts w:eastAsia="仿宋"/>
                <w:color w:val="000000"/>
                <w:sz w:val="24"/>
              </w:rPr>
            </w:pPr>
            <w:r>
              <w:rPr>
                <w:rFonts w:eastAsia="仿宋"/>
                <w:color w:val="000000"/>
                <w:kern w:val="0"/>
                <w:sz w:val="24"/>
                <w:lang w:bidi="ar"/>
              </w:rPr>
              <w:t>62</w:t>
            </w:r>
          </w:p>
        </w:tc>
        <w:tc>
          <w:tcPr>
            <w:tcW w:w="838" w:type="pct"/>
            <w:tcBorders>
              <w:top w:val="single" w:color="000000" w:sz="4" w:space="0"/>
              <w:left w:val="single" w:color="000000" w:sz="4" w:space="0"/>
              <w:bottom w:val="single" w:color="000000" w:sz="4" w:space="0"/>
              <w:right w:val="single" w:color="000000" w:sz="4" w:space="0"/>
            </w:tcBorders>
            <w:vAlign w:val="center"/>
          </w:tcPr>
          <w:p w14:paraId="5A8BDC58">
            <w:pPr>
              <w:topLinePunct/>
              <w:adjustRightInd w:val="0"/>
              <w:snapToGrid w:val="0"/>
              <w:textAlignment w:val="center"/>
              <w:rPr>
                <w:rFonts w:eastAsia="仿宋"/>
                <w:color w:val="000000"/>
                <w:sz w:val="24"/>
              </w:rPr>
            </w:pPr>
            <w:r>
              <w:rPr>
                <w:rFonts w:eastAsia="仿宋"/>
                <w:color w:val="000000"/>
                <w:kern w:val="0"/>
                <w:sz w:val="24"/>
                <w:lang w:bidi="ar"/>
              </w:rPr>
              <w:t>对生产经营单位迟报、漏报、谎报或者瞒报较大涉险事故的行政处罚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429AE9D9">
            <w:pPr>
              <w:topLinePunct/>
              <w:adjustRightInd w:val="0"/>
              <w:snapToGrid w:val="0"/>
              <w:jc w:val="left"/>
              <w:textAlignment w:val="center"/>
              <w:rPr>
                <w:rFonts w:eastAsia="仿宋"/>
                <w:color w:val="000000"/>
                <w:sz w:val="24"/>
              </w:rPr>
            </w:pPr>
            <w:r>
              <w:rPr>
                <w:rFonts w:eastAsia="仿宋"/>
                <w:color w:val="000000"/>
                <w:kern w:val="0"/>
                <w:sz w:val="24"/>
                <w:lang w:bidi="ar"/>
              </w:rPr>
              <w:t>《生产安全事故信息报告和处置办法》</w:t>
            </w:r>
            <w:r>
              <w:rPr>
                <w:rFonts w:eastAsia="仿宋"/>
                <w:color w:val="000000"/>
                <w:kern w:val="0"/>
                <w:sz w:val="24"/>
                <w:lang w:bidi="ar"/>
              </w:rPr>
              <w:br w:type="textWrapping"/>
            </w:r>
            <w:r>
              <w:rPr>
                <w:rFonts w:eastAsia="仿宋"/>
                <w:color w:val="000000"/>
                <w:kern w:val="0"/>
                <w:sz w:val="24"/>
                <w:lang w:bidi="ar"/>
              </w:rPr>
              <w:t>第二十五条  生产经营单位对较大涉险事故迟报、漏报、谎报或者瞒报的，给予警告，并处3万元以下的罚款。</w:t>
            </w:r>
          </w:p>
        </w:tc>
        <w:tc>
          <w:tcPr>
            <w:tcW w:w="476" w:type="pct"/>
            <w:tcBorders>
              <w:top w:val="single" w:color="000000" w:sz="4" w:space="0"/>
              <w:left w:val="single" w:color="000000" w:sz="4" w:space="0"/>
              <w:bottom w:val="single" w:color="000000" w:sz="4" w:space="0"/>
              <w:right w:val="single" w:color="000000" w:sz="4" w:space="0"/>
            </w:tcBorders>
            <w:vAlign w:val="center"/>
          </w:tcPr>
          <w:p w14:paraId="054FA903">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0822C9AC">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2AB3D877">
            <w:pPr>
              <w:topLinePunct/>
              <w:adjustRightInd w:val="0"/>
              <w:snapToGrid w:val="0"/>
              <w:jc w:val="center"/>
              <w:textAlignment w:val="center"/>
              <w:rPr>
                <w:rFonts w:hint="eastAsia" w:eastAsia="仿宋"/>
                <w:color w:val="000000"/>
                <w:sz w:val="24"/>
                <w:lang w:eastAsia="zh-CN"/>
              </w:rPr>
            </w:pPr>
            <w:r>
              <w:rPr>
                <w:rFonts w:eastAsia="仿宋"/>
                <w:color w:val="000000"/>
                <w:kern w:val="0"/>
                <w:sz w:val="24"/>
                <w:lang w:bidi="ar"/>
              </w:rPr>
              <w:t>县级</w:t>
            </w:r>
          </w:p>
        </w:tc>
      </w:tr>
      <w:tr w14:paraId="449D1D8D">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7EFD87CF">
            <w:pPr>
              <w:topLinePunct/>
              <w:adjustRightInd w:val="0"/>
              <w:snapToGrid w:val="0"/>
              <w:jc w:val="center"/>
              <w:textAlignment w:val="center"/>
              <w:rPr>
                <w:rFonts w:eastAsia="仿宋"/>
                <w:color w:val="000000"/>
                <w:sz w:val="24"/>
              </w:rPr>
            </w:pPr>
            <w:r>
              <w:rPr>
                <w:rFonts w:eastAsia="仿宋"/>
                <w:color w:val="000000"/>
                <w:kern w:val="0"/>
                <w:sz w:val="24"/>
                <w:lang w:bidi="ar"/>
              </w:rPr>
              <w:t>63</w:t>
            </w:r>
          </w:p>
        </w:tc>
        <w:tc>
          <w:tcPr>
            <w:tcW w:w="838" w:type="pct"/>
            <w:tcBorders>
              <w:top w:val="single" w:color="000000" w:sz="4" w:space="0"/>
              <w:left w:val="single" w:color="000000" w:sz="4" w:space="0"/>
              <w:bottom w:val="single" w:color="000000" w:sz="4" w:space="0"/>
              <w:right w:val="single" w:color="000000" w:sz="4" w:space="0"/>
            </w:tcBorders>
            <w:vAlign w:val="center"/>
          </w:tcPr>
          <w:p w14:paraId="2A713391">
            <w:pPr>
              <w:topLinePunct/>
              <w:adjustRightInd w:val="0"/>
              <w:snapToGrid w:val="0"/>
              <w:textAlignment w:val="center"/>
              <w:rPr>
                <w:rFonts w:eastAsia="仿宋"/>
                <w:color w:val="000000"/>
                <w:sz w:val="24"/>
              </w:rPr>
            </w:pPr>
            <w:r>
              <w:rPr>
                <w:rFonts w:eastAsia="仿宋"/>
                <w:color w:val="000000"/>
                <w:kern w:val="0"/>
                <w:sz w:val="24"/>
                <w:lang w:bidi="ar"/>
              </w:rPr>
              <w:t>对生产经营单位拒不改正受到罚款处罚的安全生产违法行为的行政处罚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53500C21">
            <w:pPr>
              <w:topLinePunct/>
              <w:adjustRightInd w:val="0"/>
              <w:snapToGrid w:val="0"/>
              <w:jc w:val="left"/>
              <w:textAlignment w:val="center"/>
              <w:rPr>
                <w:rFonts w:eastAsia="仿宋"/>
                <w:color w:val="000000"/>
                <w:sz w:val="24"/>
              </w:rPr>
            </w:pPr>
            <w:r>
              <w:rPr>
                <w:rFonts w:eastAsia="仿宋"/>
                <w:color w:val="000000"/>
                <w:kern w:val="0"/>
                <w:sz w:val="24"/>
                <w:lang w:bidi="ar"/>
              </w:rPr>
              <w:t>《中华人民共和国安全生产法》</w:t>
            </w:r>
            <w:r>
              <w:rPr>
                <w:rFonts w:eastAsia="仿宋"/>
                <w:color w:val="000000"/>
                <w:kern w:val="0"/>
                <w:sz w:val="24"/>
                <w:lang w:bidi="ar"/>
              </w:rPr>
              <w:br w:type="textWrapping"/>
            </w:r>
            <w:r>
              <w:rPr>
                <w:rFonts w:eastAsia="仿宋"/>
                <w:color w:val="000000"/>
                <w:kern w:val="0"/>
                <w:sz w:val="24"/>
                <w:lang w:bidi="ar"/>
              </w:rPr>
              <w:t>第一百一十二条  生产经营单位违反本法规定，被责令改正且受到罚款处罚，拒不改正的，负有安全生产监督管理职责的部门可以自作出责令改正之日的次日起，按照原处罚数额按日连续处罚。</w:t>
            </w:r>
            <w:r>
              <w:rPr>
                <w:rFonts w:eastAsia="仿宋"/>
                <w:color w:val="000000"/>
                <w:kern w:val="0"/>
                <w:sz w:val="24"/>
                <w:lang w:bidi="ar"/>
              </w:rPr>
              <w:br w:type="textWrapping"/>
            </w:r>
            <w:r>
              <w:rPr>
                <w:rFonts w:eastAsia="仿宋"/>
                <w:color w:val="000000"/>
                <w:kern w:val="0"/>
                <w:sz w:val="24"/>
                <w:lang w:bidi="ar"/>
              </w:rPr>
              <w:t>第一百一十五条  本法规定的行政处罚，由应急管理部门和其他负有安全生产监督管理职责的部门按照职责分工决定；其中，根据本法第九十五条、第一百一十条、第一百一十四条的规定应当给予民航、铁路、电力行业的生产经营单位及其主要负责人行政处罚的，也可以由主管的负有安全生产监督管理职责的部门进行处罚。予以关闭的行政处罚，由负有安全生产监督管理职责的部门报请县级以上人民政府按照国务院规定的权限决定；给予拘留的行政处罚，由公安机关依照治安管理处罚的规定决定。</w:t>
            </w:r>
          </w:p>
        </w:tc>
        <w:tc>
          <w:tcPr>
            <w:tcW w:w="476" w:type="pct"/>
            <w:tcBorders>
              <w:top w:val="single" w:color="000000" w:sz="4" w:space="0"/>
              <w:left w:val="single" w:color="000000" w:sz="4" w:space="0"/>
              <w:bottom w:val="single" w:color="000000" w:sz="4" w:space="0"/>
              <w:right w:val="single" w:color="000000" w:sz="4" w:space="0"/>
            </w:tcBorders>
            <w:vAlign w:val="center"/>
          </w:tcPr>
          <w:p w14:paraId="056C088D">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14273A07">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57DFDD02">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71C7883C">
        <w:tblPrEx>
          <w:tblCellMar>
            <w:top w:w="0" w:type="dxa"/>
            <w:left w:w="108" w:type="dxa"/>
            <w:bottom w:w="0" w:type="dxa"/>
            <w:right w:w="108" w:type="dxa"/>
          </w:tblCellMar>
        </w:tblPrEx>
        <w:trPr>
          <w:trHeight w:val="275"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6D86503F">
            <w:pPr>
              <w:topLinePunct/>
              <w:adjustRightInd w:val="0"/>
              <w:snapToGrid w:val="0"/>
              <w:jc w:val="center"/>
              <w:textAlignment w:val="center"/>
              <w:rPr>
                <w:rFonts w:eastAsia="仿宋"/>
                <w:color w:val="000000"/>
                <w:sz w:val="24"/>
              </w:rPr>
            </w:pPr>
            <w:r>
              <w:rPr>
                <w:rFonts w:eastAsia="仿宋"/>
                <w:color w:val="000000"/>
                <w:kern w:val="0"/>
                <w:sz w:val="24"/>
                <w:lang w:bidi="ar"/>
              </w:rPr>
              <w:t>64</w:t>
            </w:r>
          </w:p>
        </w:tc>
        <w:tc>
          <w:tcPr>
            <w:tcW w:w="838" w:type="pct"/>
            <w:tcBorders>
              <w:top w:val="single" w:color="000000" w:sz="4" w:space="0"/>
              <w:left w:val="single" w:color="000000" w:sz="4" w:space="0"/>
              <w:bottom w:val="single" w:color="000000" w:sz="4" w:space="0"/>
              <w:right w:val="single" w:color="000000" w:sz="4" w:space="0"/>
            </w:tcBorders>
            <w:vAlign w:val="center"/>
          </w:tcPr>
          <w:p w14:paraId="36B4764F">
            <w:pPr>
              <w:topLinePunct/>
              <w:adjustRightInd w:val="0"/>
              <w:snapToGrid w:val="0"/>
              <w:textAlignment w:val="center"/>
              <w:rPr>
                <w:rFonts w:eastAsia="仿宋"/>
                <w:color w:val="000000"/>
                <w:sz w:val="24"/>
              </w:rPr>
            </w:pPr>
            <w:r>
              <w:rPr>
                <w:rFonts w:eastAsia="仿宋"/>
                <w:color w:val="000000"/>
                <w:kern w:val="0"/>
                <w:sz w:val="24"/>
                <w:lang w:bidi="ar"/>
              </w:rPr>
              <w:t>对生产经营单位有因存在重大事故隐患，一百八十日内三次或者一年内四次受到处罚等情形的行政处罚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57CC162E">
            <w:pPr>
              <w:topLinePunct/>
              <w:adjustRightInd w:val="0"/>
              <w:snapToGrid w:val="0"/>
              <w:jc w:val="left"/>
              <w:textAlignment w:val="center"/>
              <w:rPr>
                <w:rFonts w:eastAsia="仿宋"/>
                <w:color w:val="000000"/>
                <w:sz w:val="24"/>
              </w:rPr>
            </w:pPr>
            <w:r>
              <w:rPr>
                <w:rFonts w:eastAsia="仿宋"/>
                <w:color w:val="000000"/>
                <w:kern w:val="0"/>
                <w:sz w:val="24"/>
                <w:lang w:bidi="ar"/>
              </w:rPr>
              <w:t>《中华人民共和国安全生产法》</w:t>
            </w:r>
            <w:r>
              <w:rPr>
                <w:rFonts w:eastAsia="仿宋"/>
                <w:color w:val="000000"/>
                <w:kern w:val="0"/>
                <w:sz w:val="24"/>
                <w:lang w:bidi="ar"/>
              </w:rPr>
              <w:br w:type="textWrapping"/>
            </w:r>
            <w:r>
              <w:rPr>
                <w:rFonts w:eastAsia="仿宋"/>
                <w:color w:val="000000"/>
                <w:kern w:val="0"/>
                <w:sz w:val="24"/>
                <w:lang w:bidi="ar"/>
              </w:rPr>
              <w:t>第一百一十三条  生产经营单位存在下列情形之一的，负有安全生产监督管理职责的部门应当提请地方人民政府予以关闭，有关部门应当依法吊销其有关证照。生产经营单位主要负责人五年内不得担任任何生产经营单位的主要负责人；情节严重的，终身不得担任本行业生产经营单位的主要负责人：（一）存在重大事故隐患，一百八十日内三次或者一年内四次受到本法规定的行政处罚的；（二）经停产停业整顿，仍不具备法律、行政法规和国家标准或者行业标准规定的安全生产条件的；（三）不具备法律、行政法规和国家标准或者行业标准规定的安全生产条件，导致发生重大、特别重大生产安全事故的；（四）拒不执行负有安全生产监督管理职责的部门作出的停产停业整顿决定的。</w:t>
            </w:r>
            <w:r>
              <w:rPr>
                <w:rFonts w:eastAsia="仿宋"/>
                <w:color w:val="000000"/>
                <w:kern w:val="0"/>
                <w:sz w:val="24"/>
                <w:lang w:bidi="ar"/>
              </w:rPr>
              <w:br w:type="textWrapping"/>
            </w:r>
            <w:r>
              <w:rPr>
                <w:rFonts w:eastAsia="仿宋"/>
                <w:color w:val="000000"/>
                <w:kern w:val="0"/>
                <w:sz w:val="24"/>
                <w:lang w:bidi="ar"/>
              </w:rPr>
              <w:t>第一百一十五条  本法规定的行政处罚，由应急管理部门和其他负有安全生产监督管理职责的部门按照职责分工决定；其中，根据本法第九十五条、第一百一十条、第一百一十四条的规定应当给予民航、铁路、电力行业的生产经营单位及其主要负责人行政处罚的，也可以由主管的负有安全生产监督管理职责的部门进行处罚。予以关闭的行政处罚，由负有安全生产监督管理职责的部门报请县级以上人民政府按照国务院规定的权限决定；给予拘留的行政处罚，由公安机关依照治安管理处罚的规定决定。</w:t>
            </w:r>
          </w:p>
        </w:tc>
        <w:tc>
          <w:tcPr>
            <w:tcW w:w="476" w:type="pct"/>
            <w:tcBorders>
              <w:top w:val="single" w:color="000000" w:sz="4" w:space="0"/>
              <w:left w:val="single" w:color="000000" w:sz="4" w:space="0"/>
              <w:bottom w:val="single" w:color="000000" w:sz="4" w:space="0"/>
              <w:right w:val="single" w:color="000000" w:sz="4" w:space="0"/>
            </w:tcBorders>
            <w:vAlign w:val="center"/>
          </w:tcPr>
          <w:p w14:paraId="5682D6E6">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4D7E0E2D">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62D361EC">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3C00C696">
        <w:tblPrEx>
          <w:tblCellMar>
            <w:top w:w="0" w:type="dxa"/>
            <w:left w:w="108" w:type="dxa"/>
            <w:bottom w:w="0" w:type="dxa"/>
            <w:right w:w="108" w:type="dxa"/>
          </w:tblCellMar>
        </w:tblPrEx>
        <w:trPr>
          <w:trHeight w:val="2153"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3CCA975A">
            <w:pPr>
              <w:topLinePunct/>
              <w:adjustRightInd w:val="0"/>
              <w:snapToGrid w:val="0"/>
              <w:jc w:val="center"/>
              <w:textAlignment w:val="center"/>
              <w:rPr>
                <w:rFonts w:eastAsia="仿宋"/>
                <w:color w:val="000000"/>
                <w:sz w:val="24"/>
              </w:rPr>
            </w:pPr>
            <w:r>
              <w:rPr>
                <w:rFonts w:eastAsia="仿宋"/>
                <w:color w:val="000000"/>
                <w:kern w:val="0"/>
                <w:sz w:val="24"/>
                <w:lang w:bidi="ar"/>
              </w:rPr>
              <w:t>65</w:t>
            </w:r>
          </w:p>
        </w:tc>
        <w:tc>
          <w:tcPr>
            <w:tcW w:w="838" w:type="pct"/>
            <w:tcBorders>
              <w:top w:val="single" w:color="000000" w:sz="4" w:space="0"/>
              <w:left w:val="single" w:color="000000" w:sz="4" w:space="0"/>
              <w:bottom w:val="single" w:color="000000" w:sz="4" w:space="0"/>
              <w:right w:val="single" w:color="000000" w:sz="4" w:space="0"/>
            </w:tcBorders>
            <w:vAlign w:val="center"/>
          </w:tcPr>
          <w:p w14:paraId="414B9BC9">
            <w:pPr>
              <w:topLinePunct/>
              <w:adjustRightInd w:val="0"/>
              <w:snapToGrid w:val="0"/>
              <w:textAlignment w:val="center"/>
              <w:rPr>
                <w:rFonts w:eastAsia="仿宋"/>
                <w:color w:val="000000"/>
                <w:sz w:val="24"/>
              </w:rPr>
            </w:pPr>
            <w:r>
              <w:rPr>
                <w:rFonts w:eastAsia="仿宋"/>
                <w:color w:val="000000"/>
                <w:kern w:val="0"/>
                <w:sz w:val="24"/>
                <w:lang w:bidi="ar"/>
              </w:rPr>
              <w:t>对企业未取得危险化学品经营许可证从事危险化学品经营的行政处罚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0A7D549F">
            <w:pPr>
              <w:topLinePunct/>
              <w:adjustRightInd w:val="0"/>
              <w:snapToGrid w:val="0"/>
              <w:jc w:val="left"/>
              <w:textAlignment w:val="center"/>
              <w:rPr>
                <w:rFonts w:eastAsia="仿宋"/>
                <w:color w:val="000000"/>
                <w:sz w:val="24"/>
              </w:rPr>
            </w:pPr>
            <w:r>
              <w:rPr>
                <w:rFonts w:eastAsia="仿宋"/>
                <w:color w:val="000000"/>
                <w:kern w:val="0"/>
                <w:sz w:val="24"/>
                <w:lang w:bidi="ar"/>
              </w:rPr>
              <w:t>《危险化学品安全管理条例》</w:t>
            </w:r>
            <w:r>
              <w:rPr>
                <w:rFonts w:eastAsia="仿宋"/>
                <w:color w:val="000000"/>
                <w:kern w:val="0"/>
                <w:sz w:val="24"/>
                <w:lang w:bidi="ar"/>
              </w:rPr>
              <w:br w:type="textWrapping"/>
            </w:r>
            <w:r>
              <w:rPr>
                <w:rFonts w:eastAsia="仿宋"/>
                <w:color w:val="000000"/>
                <w:kern w:val="0"/>
                <w:sz w:val="24"/>
                <w:lang w:bidi="ar"/>
              </w:rPr>
              <w:t>第七十七条第三款  违反本条例规定，未取得危险化学品经营许可证从事危险化学品经营的，由安全生产监督管理部门责令停止经营活动，没收违法经营的危险化学品以及违法所得，并处10万元以上20万元以下的罚款；构成犯罪的，依法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1667AF8D">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4F998C61">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775BBF13">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6F3BA154">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449F84BF">
            <w:pPr>
              <w:topLinePunct/>
              <w:adjustRightInd w:val="0"/>
              <w:snapToGrid w:val="0"/>
              <w:jc w:val="center"/>
              <w:textAlignment w:val="center"/>
              <w:rPr>
                <w:rFonts w:eastAsia="仿宋"/>
                <w:color w:val="000000"/>
                <w:sz w:val="24"/>
              </w:rPr>
            </w:pPr>
            <w:r>
              <w:rPr>
                <w:rFonts w:eastAsia="仿宋"/>
                <w:color w:val="000000"/>
                <w:kern w:val="0"/>
                <w:sz w:val="24"/>
                <w:lang w:bidi="ar"/>
              </w:rPr>
              <w:t>66</w:t>
            </w:r>
          </w:p>
        </w:tc>
        <w:tc>
          <w:tcPr>
            <w:tcW w:w="838" w:type="pct"/>
            <w:tcBorders>
              <w:top w:val="single" w:color="000000" w:sz="4" w:space="0"/>
              <w:left w:val="single" w:color="000000" w:sz="4" w:space="0"/>
              <w:bottom w:val="single" w:color="000000" w:sz="4" w:space="0"/>
              <w:right w:val="single" w:color="000000" w:sz="4" w:space="0"/>
            </w:tcBorders>
            <w:vAlign w:val="center"/>
          </w:tcPr>
          <w:p w14:paraId="089EE6B6">
            <w:pPr>
              <w:topLinePunct/>
              <w:adjustRightInd w:val="0"/>
              <w:snapToGrid w:val="0"/>
              <w:textAlignment w:val="center"/>
              <w:rPr>
                <w:rFonts w:eastAsia="仿宋"/>
                <w:color w:val="000000"/>
                <w:sz w:val="24"/>
              </w:rPr>
            </w:pPr>
            <w:r>
              <w:rPr>
                <w:rFonts w:eastAsia="仿宋"/>
                <w:color w:val="000000"/>
                <w:kern w:val="0"/>
                <w:sz w:val="24"/>
                <w:lang w:bidi="ar"/>
              </w:rPr>
              <w:t>对危险化学品经营企业在经营许可证有效期届满后仍然从事危险化学品经营的行政处罚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784D32C3">
            <w:pPr>
              <w:topLinePunct/>
              <w:adjustRightInd w:val="0"/>
              <w:snapToGrid w:val="0"/>
              <w:jc w:val="left"/>
              <w:textAlignment w:val="center"/>
              <w:rPr>
                <w:rFonts w:eastAsia="仿宋"/>
                <w:color w:val="000000"/>
                <w:sz w:val="24"/>
              </w:rPr>
            </w:pPr>
            <w:r>
              <w:rPr>
                <w:rFonts w:eastAsia="仿宋"/>
                <w:color w:val="000000"/>
                <w:kern w:val="0"/>
                <w:sz w:val="24"/>
                <w:lang w:bidi="ar"/>
              </w:rPr>
              <w:t>1.《危险化学品经营许可证管理办法》</w:t>
            </w:r>
            <w:r>
              <w:rPr>
                <w:rFonts w:eastAsia="仿宋"/>
                <w:color w:val="000000"/>
                <w:kern w:val="0"/>
                <w:sz w:val="24"/>
                <w:lang w:bidi="ar"/>
              </w:rPr>
              <w:br w:type="textWrapping"/>
            </w:r>
            <w:r>
              <w:rPr>
                <w:rFonts w:eastAsia="仿宋"/>
                <w:color w:val="000000"/>
                <w:kern w:val="0"/>
                <w:sz w:val="24"/>
                <w:lang w:bidi="ar"/>
              </w:rPr>
              <w:t>第二十九条  未取得经营许可证从事危险化学品经营的，依照《中华人民共和国安全生产法》有关未经依法批准擅自生产、经营、储存危险物品的法律责任条款并处罚款；构成犯罪的，依法追究刑事责任。</w:t>
            </w:r>
            <w:r>
              <w:rPr>
                <w:rFonts w:eastAsia="仿宋"/>
                <w:color w:val="000000"/>
                <w:kern w:val="0"/>
                <w:sz w:val="24"/>
                <w:lang w:bidi="ar"/>
              </w:rPr>
              <w:br w:type="textWrapping"/>
            </w:r>
            <w:r>
              <w:rPr>
                <w:rFonts w:eastAsia="仿宋"/>
                <w:color w:val="000000"/>
                <w:kern w:val="0"/>
                <w:sz w:val="24"/>
                <w:lang w:bidi="ar"/>
              </w:rPr>
              <w:t>企业在经营许可证有效期届满后，仍然从事危险化学品经营的，依照前款规定给予处罚。</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第一百条  未经依法批准，擅自生产、经营、运输、储存、使用危险物品或者处置废弃危险物品的，依照有关危险物品安全管理的法律、行政法规的规定予以处罚；构成犯罪的，依照刑法有关规定追究刑事责任。</w:t>
            </w:r>
            <w:r>
              <w:rPr>
                <w:rFonts w:eastAsia="仿宋"/>
                <w:color w:val="000000"/>
                <w:kern w:val="0"/>
                <w:sz w:val="24"/>
                <w:lang w:bidi="ar"/>
              </w:rPr>
              <w:br w:type="textWrapping"/>
            </w:r>
            <w:r>
              <w:rPr>
                <w:rFonts w:eastAsia="仿宋"/>
                <w:color w:val="000000"/>
                <w:kern w:val="0"/>
                <w:sz w:val="24"/>
                <w:lang w:bidi="ar"/>
              </w:rPr>
              <w:t>3.《危险化学品安全管理条例》</w:t>
            </w:r>
            <w:r>
              <w:rPr>
                <w:rFonts w:eastAsia="仿宋"/>
                <w:color w:val="000000"/>
                <w:kern w:val="0"/>
                <w:sz w:val="24"/>
                <w:lang w:bidi="ar"/>
              </w:rPr>
              <w:br w:type="textWrapping"/>
            </w:r>
            <w:r>
              <w:rPr>
                <w:rFonts w:eastAsia="仿宋"/>
                <w:color w:val="000000"/>
                <w:kern w:val="0"/>
                <w:sz w:val="24"/>
                <w:lang w:bidi="ar"/>
              </w:rPr>
              <w:t>第七十七条第三款  违反本条例规定，未取得危险化学品经营许可证从事危险化学品经营的，由安全生产监督管理部门责令停止经营活动，没收违法经营的危险化学品以及违法所得，并处10万元以上20万元以下的罚款；构成犯罪的，依法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36BF431F">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4FD2C705">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7F3F5ECA">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2E1DB6A3">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6AC662AE">
            <w:pPr>
              <w:topLinePunct/>
              <w:adjustRightInd w:val="0"/>
              <w:snapToGrid w:val="0"/>
              <w:jc w:val="center"/>
              <w:textAlignment w:val="center"/>
              <w:rPr>
                <w:rFonts w:eastAsia="仿宋"/>
                <w:color w:val="000000"/>
                <w:sz w:val="24"/>
              </w:rPr>
            </w:pPr>
            <w:r>
              <w:rPr>
                <w:rFonts w:eastAsia="仿宋"/>
                <w:color w:val="000000"/>
                <w:kern w:val="0"/>
                <w:sz w:val="24"/>
                <w:lang w:bidi="ar"/>
              </w:rPr>
              <w:t>67</w:t>
            </w:r>
          </w:p>
        </w:tc>
        <w:tc>
          <w:tcPr>
            <w:tcW w:w="838" w:type="pct"/>
            <w:tcBorders>
              <w:top w:val="single" w:color="000000" w:sz="4" w:space="0"/>
              <w:left w:val="single" w:color="000000" w:sz="4" w:space="0"/>
              <w:bottom w:val="single" w:color="000000" w:sz="4" w:space="0"/>
              <w:right w:val="single" w:color="000000" w:sz="4" w:space="0"/>
            </w:tcBorders>
            <w:vAlign w:val="center"/>
          </w:tcPr>
          <w:p w14:paraId="6DDA6830">
            <w:pPr>
              <w:topLinePunct/>
              <w:adjustRightInd w:val="0"/>
              <w:snapToGrid w:val="0"/>
              <w:textAlignment w:val="center"/>
              <w:rPr>
                <w:rFonts w:eastAsia="仿宋"/>
                <w:color w:val="000000"/>
                <w:sz w:val="24"/>
              </w:rPr>
            </w:pPr>
            <w:r>
              <w:rPr>
                <w:rFonts w:eastAsia="仿宋"/>
                <w:color w:val="000000"/>
                <w:kern w:val="0"/>
                <w:sz w:val="24"/>
                <w:lang w:bidi="ar"/>
              </w:rPr>
              <w:t>对危险化学品经营企业未按规定办理经营许可证变更的行政处罚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72F6DE49">
            <w:pPr>
              <w:topLinePunct/>
              <w:adjustRightInd w:val="0"/>
              <w:snapToGrid w:val="0"/>
              <w:jc w:val="left"/>
              <w:textAlignment w:val="center"/>
              <w:rPr>
                <w:rFonts w:eastAsia="仿宋"/>
                <w:color w:val="000000"/>
                <w:sz w:val="24"/>
              </w:rPr>
            </w:pPr>
            <w:r>
              <w:rPr>
                <w:rFonts w:eastAsia="仿宋"/>
                <w:color w:val="000000"/>
                <w:kern w:val="0"/>
                <w:sz w:val="24"/>
                <w:lang w:bidi="ar"/>
              </w:rPr>
              <w:t>《危险化学品经营许可证管理办法》</w:t>
            </w:r>
            <w:r>
              <w:rPr>
                <w:rFonts w:eastAsia="仿宋"/>
                <w:color w:val="000000"/>
                <w:kern w:val="0"/>
                <w:sz w:val="24"/>
                <w:lang w:bidi="ar"/>
              </w:rPr>
              <w:br w:type="textWrapping"/>
            </w:r>
            <w:r>
              <w:rPr>
                <w:rFonts w:eastAsia="仿宋"/>
                <w:color w:val="000000"/>
                <w:kern w:val="0"/>
                <w:sz w:val="24"/>
                <w:lang w:bidi="ar"/>
              </w:rPr>
              <w:t>第十四条  已经取得经营许可证的企业变更企业名称、主要负责人、注册地址或者危险化学品储存设施及其监控措施的，应当自变更之日起20个工作日内，向本办法第五条规定的发证机关提出书面变更申请，并提交下列文件、资料：（一）经营许可证变更申请书；（二）变更后的工商营业执照副本（复制件）；（三）变更后的主要负责人安全资格证书（复制件）；（四）变更注册地址的相关证明材料；（五）变更后的危险化学品储存设施及其监控措施的专项安全评价报告。</w:t>
            </w:r>
            <w:r>
              <w:rPr>
                <w:rFonts w:eastAsia="仿宋"/>
                <w:color w:val="000000"/>
                <w:kern w:val="0"/>
                <w:sz w:val="24"/>
                <w:lang w:bidi="ar"/>
              </w:rPr>
              <w:br w:type="textWrapping"/>
            </w:r>
            <w:r>
              <w:rPr>
                <w:rFonts w:eastAsia="仿宋"/>
                <w:color w:val="000000"/>
                <w:kern w:val="0"/>
                <w:sz w:val="24"/>
                <w:lang w:bidi="ar"/>
              </w:rPr>
              <w:t>第十六条  已经取得经营许可证的企业有新建、改建、扩建危险化学品储存设施建设项目的，应当自建设项目安全设施竣工验收合格之日起20个工作日内，向本办法第五条规定的发证机关提出变更申请，并提交危险化学品建设项目安全设施竣工验收报告等相关文件、资料。发证机关应当按照本办法第十条、第十五条的规定进行审查，办理变更手续。</w:t>
            </w:r>
            <w:r>
              <w:rPr>
                <w:rFonts w:eastAsia="仿宋"/>
                <w:color w:val="000000"/>
                <w:kern w:val="0"/>
                <w:sz w:val="24"/>
                <w:lang w:bidi="ar"/>
              </w:rPr>
              <w:br w:type="textWrapping"/>
            </w:r>
            <w:r>
              <w:rPr>
                <w:rFonts w:eastAsia="仿宋"/>
                <w:color w:val="000000"/>
                <w:kern w:val="0"/>
                <w:sz w:val="24"/>
                <w:lang w:bidi="ar"/>
              </w:rPr>
              <w:t>第三十三条  已经取得经营许可证的企业出现本办法第十四条、第十六条规定的情形之一，未依照本办法的规定申请变更的，责令限期改正，处1万元以下的罚款；逾期仍不申请变更的，处1万元以上3万元以下的罚款。</w:t>
            </w:r>
          </w:p>
        </w:tc>
        <w:tc>
          <w:tcPr>
            <w:tcW w:w="476" w:type="pct"/>
            <w:tcBorders>
              <w:top w:val="single" w:color="000000" w:sz="4" w:space="0"/>
              <w:left w:val="single" w:color="000000" w:sz="4" w:space="0"/>
              <w:bottom w:val="single" w:color="000000" w:sz="4" w:space="0"/>
              <w:right w:val="single" w:color="000000" w:sz="4" w:space="0"/>
            </w:tcBorders>
            <w:vAlign w:val="center"/>
          </w:tcPr>
          <w:p w14:paraId="0DAB7727">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1C86DD43">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65F6495C">
            <w:pPr>
              <w:topLinePunct/>
              <w:adjustRightInd w:val="0"/>
              <w:snapToGrid w:val="0"/>
              <w:jc w:val="center"/>
              <w:textAlignment w:val="center"/>
              <w:rPr>
                <w:rFonts w:eastAsia="仿宋"/>
                <w:color w:val="000000"/>
                <w:sz w:val="24"/>
              </w:rPr>
            </w:pPr>
            <w:r>
              <w:rPr>
                <w:rFonts w:hint="eastAsia" w:eastAsia="仿宋"/>
                <w:color w:val="000000"/>
                <w:kern w:val="0"/>
                <w:sz w:val="24"/>
                <w:lang w:eastAsia="zh-CN" w:bidi="ar"/>
              </w:rPr>
              <w:t>县级</w:t>
            </w:r>
          </w:p>
        </w:tc>
      </w:tr>
      <w:tr w14:paraId="155E836B">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547346DC">
            <w:pPr>
              <w:topLinePunct/>
              <w:adjustRightInd w:val="0"/>
              <w:snapToGrid w:val="0"/>
              <w:jc w:val="center"/>
              <w:textAlignment w:val="center"/>
              <w:rPr>
                <w:rFonts w:eastAsia="仿宋"/>
                <w:color w:val="000000"/>
                <w:sz w:val="24"/>
              </w:rPr>
            </w:pPr>
            <w:r>
              <w:rPr>
                <w:rFonts w:eastAsia="仿宋"/>
                <w:color w:val="000000"/>
                <w:kern w:val="0"/>
                <w:sz w:val="24"/>
                <w:lang w:bidi="ar"/>
              </w:rPr>
              <w:t>68</w:t>
            </w:r>
          </w:p>
        </w:tc>
        <w:tc>
          <w:tcPr>
            <w:tcW w:w="838" w:type="pct"/>
            <w:tcBorders>
              <w:top w:val="single" w:color="000000" w:sz="4" w:space="0"/>
              <w:left w:val="single" w:color="000000" w:sz="4" w:space="0"/>
              <w:bottom w:val="single" w:color="000000" w:sz="4" w:space="0"/>
              <w:right w:val="single" w:color="000000" w:sz="4" w:space="0"/>
            </w:tcBorders>
            <w:vAlign w:val="center"/>
          </w:tcPr>
          <w:p w14:paraId="63AA93C9">
            <w:pPr>
              <w:topLinePunct/>
              <w:adjustRightInd w:val="0"/>
              <w:snapToGrid w:val="0"/>
              <w:textAlignment w:val="center"/>
              <w:rPr>
                <w:rFonts w:eastAsia="仿宋"/>
                <w:color w:val="000000"/>
                <w:sz w:val="24"/>
              </w:rPr>
            </w:pPr>
            <w:r>
              <w:rPr>
                <w:rFonts w:eastAsia="仿宋"/>
                <w:color w:val="000000"/>
                <w:kern w:val="0"/>
                <w:sz w:val="24"/>
                <w:lang w:bidi="ar"/>
              </w:rPr>
              <w:t>对伪造、变造危险化学品经营许可证等行为的行政处罚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0BD95DA0">
            <w:pPr>
              <w:topLinePunct/>
              <w:adjustRightInd w:val="0"/>
              <w:snapToGrid w:val="0"/>
              <w:jc w:val="left"/>
              <w:textAlignment w:val="center"/>
              <w:rPr>
                <w:rFonts w:eastAsia="仿宋"/>
                <w:color w:val="000000"/>
                <w:sz w:val="24"/>
              </w:rPr>
            </w:pPr>
            <w:r>
              <w:rPr>
                <w:rFonts w:eastAsia="仿宋"/>
                <w:color w:val="000000"/>
                <w:kern w:val="0"/>
                <w:sz w:val="24"/>
                <w:lang w:bidi="ar"/>
              </w:rPr>
              <w:t>1.《危险化学品经营许可证管理办法》</w:t>
            </w:r>
            <w:r>
              <w:rPr>
                <w:rFonts w:eastAsia="仿宋"/>
                <w:color w:val="000000"/>
                <w:kern w:val="0"/>
                <w:sz w:val="24"/>
                <w:lang w:bidi="ar"/>
              </w:rPr>
              <w:br w:type="textWrapping"/>
            </w:r>
            <w:r>
              <w:rPr>
                <w:rFonts w:eastAsia="仿宋"/>
                <w:color w:val="000000"/>
                <w:kern w:val="0"/>
                <w:sz w:val="24"/>
                <w:lang w:bidi="ar"/>
              </w:rPr>
              <w:t>第三十一条  伪造、变造或者出租、出借、转让经营许可证，或者使用伪造、变造的经营许可证的，处10万元以上20万元以下的罚款，有违法所得的，没收违法所得；构成违反治安管理行为的，依法给予治安管理处罚；构成犯罪的，依法追究刑事责任。</w:t>
            </w:r>
            <w:r>
              <w:rPr>
                <w:rFonts w:eastAsia="仿宋"/>
                <w:color w:val="000000"/>
                <w:kern w:val="0"/>
                <w:sz w:val="24"/>
                <w:lang w:bidi="ar"/>
              </w:rPr>
              <w:br w:type="textWrapping"/>
            </w:r>
            <w:r>
              <w:rPr>
                <w:rFonts w:eastAsia="仿宋"/>
                <w:color w:val="000000"/>
                <w:kern w:val="0"/>
                <w:sz w:val="24"/>
                <w:lang w:bidi="ar"/>
              </w:rPr>
              <w:t>2.《中华人民共和国行政处罚法》</w:t>
            </w:r>
            <w:r>
              <w:rPr>
                <w:rFonts w:eastAsia="仿宋"/>
                <w:color w:val="000000"/>
                <w:kern w:val="0"/>
                <w:sz w:val="24"/>
                <w:lang w:bidi="ar"/>
              </w:rPr>
              <w:br w:type="textWrapping"/>
            </w:r>
            <w:r>
              <w:rPr>
                <w:rFonts w:eastAsia="仿宋"/>
                <w:color w:val="000000"/>
                <w:kern w:val="0"/>
                <w:sz w:val="24"/>
                <w:lang w:bidi="ar"/>
              </w:rPr>
              <w:t>第二十八条  行政机关实施行政处罚时，应当责令当事人改正或者限期改正违法行为。</w:t>
            </w:r>
            <w:r>
              <w:rPr>
                <w:rFonts w:eastAsia="仿宋"/>
                <w:color w:val="000000"/>
                <w:kern w:val="0"/>
                <w:sz w:val="24"/>
                <w:lang w:bidi="ar"/>
              </w:rPr>
              <w:br w:type="textWrapping"/>
            </w:r>
            <w:r>
              <w:rPr>
                <w:rFonts w:eastAsia="仿宋"/>
                <w:color w:val="000000"/>
                <w:kern w:val="0"/>
                <w:sz w:val="24"/>
                <w:lang w:bidi="ar"/>
              </w:rPr>
              <w:t>当事人有违法所得，除依法应当退赔的外，应当予以没收。违法所得是指实施违法行为所取得的款项。法律、行政法规、部门规章对违法所得的计算另有规定的，从其规定。</w:t>
            </w:r>
          </w:p>
        </w:tc>
        <w:tc>
          <w:tcPr>
            <w:tcW w:w="476" w:type="pct"/>
            <w:tcBorders>
              <w:top w:val="single" w:color="000000" w:sz="4" w:space="0"/>
              <w:left w:val="single" w:color="000000" w:sz="4" w:space="0"/>
              <w:bottom w:val="single" w:color="000000" w:sz="4" w:space="0"/>
              <w:right w:val="single" w:color="000000" w:sz="4" w:space="0"/>
            </w:tcBorders>
            <w:vAlign w:val="center"/>
          </w:tcPr>
          <w:p w14:paraId="4E52EC66">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2BA27F55">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2C2DDAD1">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10F67FBA">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6F4C4F9D">
            <w:pPr>
              <w:topLinePunct/>
              <w:adjustRightInd w:val="0"/>
              <w:snapToGrid w:val="0"/>
              <w:jc w:val="center"/>
              <w:textAlignment w:val="center"/>
              <w:rPr>
                <w:rFonts w:eastAsia="仿宋"/>
                <w:color w:val="000000"/>
                <w:sz w:val="24"/>
              </w:rPr>
            </w:pPr>
            <w:r>
              <w:rPr>
                <w:rFonts w:eastAsia="仿宋"/>
                <w:color w:val="000000"/>
                <w:kern w:val="0"/>
                <w:sz w:val="24"/>
                <w:lang w:bidi="ar"/>
              </w:rPr>
              <w:t>69</w:t>
            </w:r>
          </w:p>
        </w:tc>
        <w:tc>
          <w:tcPr>
            <w:tcW w:w="838" w:type="pct"/>
            <w:tcBorders>
              <w:top w:val="single" w:color="000000" w:sz="4" w:space="0"/>
              <w:left w:val="single" w:color="000000" w:sz="4" w:space="0"/>
              <w:bottom w:val="single" w:color="000000" w:sz="4" w:space="0"/>
              <w:right w:val="single" w:color="000000" w:sz="4" w:space="0"/>
            </w:tcBorders>
            <w:vAlign w:val="center"/>
          </w:tcPr>
          <w:p w14:paraId="000A58C7">
            <w:pPr>
              <w:topLinePunct/>
              <w:adjustRightInd w:val="0"/>
              <w:snapToGrid w:val="0"/>
              <w:textAlignment w:val="center"/>
              <w:rPr>
                <w:rFonts w:eastAsia="仿宋"/>
                <w:color w:val="000000"/>
                <w:sz w:val="24"/>
              </w:rPr>
            </w:pPr>
            <w:r>
              <w:rPr>
                <w:rFonts w:eastAsia="仿宋"/>
                <w:color w:val="000000"/>
                <w:kern w:val="0"/>
                <w:sz w:val="24"/>
                <w:lang w:bidi="ar"/>
              </w:rPr>
              <w:t>对化工企业未取得危险化学品安全使用许可证使用危险化学品从事生产经营的行政处罚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1AE5664C">
            <w:pPr>
              <w:topLinePunct/>
              <w:adjustRightInd w:val="0"/>
              <w:snapToGrid w:val="0"/>
              <w:jc w:val="left"/>
              <w:textAlignment w:val="center"/>
              <w:rPr>
                <w:rFonts w:eastAsia="仿宋"/>
                <w:color w:val="000000"/>
                <w:sz w:val="24"/>
              </w:rPr>
            </w:pPr>
            <w:r>
              <w:rPr>
                <w:rFonts w:eastAsia="仿宋"/>
                <w:color w:val="000000"/>
                <w:kern w:val="0"/>
                <w:sz w:val="24"/>
                <w:lang w:bidi="ar"/>
              </w:rPr>
              <w:t>1.《危险化学品安全管理条例》</w:t>
            </w:r>
            <w:r>
              <w:rPr>
                <w:rFonts w:eastAsia="仿宋"/>
                <w:color w:val="000000"/>
                <w:kern w:val="0"/>
                <w:sz w:val="24"/>
                <w:lang w:bidi="ar"/>
              </w:rPr>
              <w:br w:type="textWrapping"/>
            </w:r>
            <w:r>
              <w:rPr>
                <w:rFonts w:eastAsia="仿宋"/>
                <w:color w:val="000000"/>
                <w:kern w:val="0"/>
                <w:sz w:val="24"/>
                <w:lang w:bidi="ar"/>
              </w:rPr>
              <w:t>第七十七条第二款  违反本条例规定，化工企业未取得危险化学品安全使用许可证，使用危险化学品从事生产的，由安全生产监督管理部门责令限期改正，处10万元以上20万元以下的罚款；逾期不改正的，责令停产整顿。</w:t>
            </w:r>
            <w:r>
              <w:rPr>
                <w:rFonts w:eastAsia="仿宋"/>
                <w:color w:val="000000"/>
                <w:kern w:val="0"/>
                <w:sz w:val="24"/>
                <w:lang w:bidi="ar"/>
              </w:rPr>
              <w:br w:type="textWrapping"/>
            </w:r>
            <w:r>
              <w:rPr>
                <w:rFonts w:eastAsia="仿宋"/>
                <w:color w:val="000000"/>
                <w:kern w:val="0"/>
                <w:sz w:val="24"/>
                <w:lang w:bidi="ar"/>
              </w:rPr>
              <w:t>2.《危险化学品安全使用许可证实施办法》</w:t>
            </w:r>
            <w:r>
              <w:rPr>
                <w:rFonts w:eastAsia="仿宋"/>
                <w:color w:val="000000"/>
                <w:kern w:val="0"/>
                <w:sz w:val="24"/>
                <w:lang w:bidi="ar"/>
              </w:rPr>
              <w:br w:type="textWrapping"/>
            </w:r>
            <w:r>
              <w:rPr>
                <w:rFonts w:eastAsia="仿宋"/>
                <w:color w:val="000000"/>
                <w:kern w:val="0"/>
                <w:sz w:val="24"/>
                <w:lang w:bidi="ar"/>
              </w:rPr>
              <w:t>第三十七条  企业未取得安全使用许可证，擅自使用危险化学品从事生产，且达到危险化学品使用量的数量标准规定的，责令立即停止违法行为并限期改正，处10万元以上20万元以下的罚款；逾期不改正的，责令停产整顿。</w:t>
            </w:r>
            <w:r>
              <w:rPr>
                <w:rFonts w:eastAsia="仿宋"/>
                <w:color w:val="000000"/>
                <w:kern w:val="0"/>
                <w:sz w:val="24"/>
                <w:lang w:bidi="ar"/>
              </w:rPr>
              <w:br w:type="textWrapping"/>
            </w:r>
            <w:r>
              <w:rPr>
                <w:rFonts w:eastAsia="仿宋"/>
                <w:color w:val="000000"/>
                <w:kern w:val="0"/>
                <w:sz w:val="24"/>
                <w:lang w:bidi="ar"/>
              </w:rPr>
              <w:t>企业在安全使用许可证有效期届满后未办理延期手续，仍然使用危险化学品从事生产，且达到危险化学品使用量的数量标准规定的，依照前款规定给予处罚。</w:t>
            </w:r>
          </w:p>
        </w:tc>
        <w:tc>
          <w:tcPr>
            <w:tcW w:w="476" w:type="pct"/>
            <w:tcBorders>
              <w:top w:val="single" w:color="000000" w:sz="4" w:space="0"/>
              <w:left w:val="single" w:color="000000" w:sz="4" w:space="0"/>
              <w:bottom w:val="single" w:color="000000" w:sz="4" w:space="0"/>
              <w:right w:val="single" w:color="000000" w:sz="4" w:space="0"/>
            </w:tcBorders>
            <w:vAlign w:val="center"/>
          </w:tcPr>
          <w:p w14:paraId="168A05B8">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11E72BDB">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70E4E8B7">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6E4C4341">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77A11BB7">
            <w:pPr>
              <w:topLinePunct/>
              <w:adjustRightInd w:val="0"/>
              <w:snapToGrid w:val="0"/>
              <w:jc w:val="center"/>
              <w:textAlignment w:val="center"/>
              <w:rPr>
                <w:rFonts w:eastAsia="仿宋"/>
                <w:color w:val="000000"/>
                <w:sz w:val="24"/>
              </w:rPr>
            </w:pPr>
            <w:r>
              <w:rPr>
                <w:rFonts w:eastAsia="仿宋"/>
                <w:color w:val="000000"/>
                <w:kern w:val="0"/>
                <w:sz w:val="24"/>
                <w:lang w:bidi="ar"/>
              </w:rPr>
              <w:t>70</w:t>
            </w:r>
          </w:p>
        </w:tc>
        <w:tc>
          <w:tcPr>
            <w:tcW w:w="838" w:type="pct"/>
            <w:tcBorders>
              <w:top w:val="single" w:color="000000" w:sz="4" w:space="0"/>
              <w:left w:val="single" w:color="000000" w:sz="4" w:space="0"/>
              <w:bottom w:val="single" w:color="000000" w:sz="4" w:space="0"/>
              <w:right w:val="single" w:color="000000" w:sz="4" w:space="0"/>
            </w:tcBorders>
            <w:vAlign w:val="center"/>
          </w:tcPr>
          <w:p w14:paraId="38B21773">
            <w:pPr>
              <w:topLinePunct/>
              <w:adjustRightInd w:val="0"/>
              <w:snapToGrid w:val="0"/>
              <w:textAlignment w:val="center"/>
              <w:rPr>
                <w:rFonts w:eastAsia="仿宋"/>
                <w:color w:val="000000"/>
                <w:sz w:val="24"/>
              </w:rPr>
            </w:pPr>
            <w:r>
              <w:rPr>
                <w:rFonts w:eastAsia="仿宋"/>
                <w:color w:val="000000"/>
                <w:kern w:val="0"/>
                <w:sz w:val="24"/>
                <w:lang w:bidi="ar"/>
              </w:rPr>
              <w:t>对企业在安全使用许可证有效期内主要负责人、企业名称、注册地址、隶属关系发生变更，未按法定时限提出安全使用许可证变更申请或者将隶属关系变更证明材料报发证机关的行政处罚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49BB03F2">
            <w:pPr>
              <w:topLinePunct/>
              <w:adjustRightInd w:val="0"/>
              <w:snapToGrid w:val="0"/>
              <w:jc w:val="left"/>
              <w:textAlignment w:val="center"/>
              <w:rPr>
                <w:rFonts w:eastAsia="仿宋"/>
                <w:color w:val="000000"/>
                <w:sz w:val="24"/>
              </w:rPr>
            </w:pPr>
            <w:r>
              <w:rPr>
                <w:rFonts w:eastAsia="仿宋"/>
                <w:color w:val="000000"/>
                <w:kern w:val="0"/>
                <w:sz w:val="24"/>
                <w:lang w:bidi="ar"/>
              </w:rPr>
              <w:t>《危险化学品安全使用许可证实施办法》</w:t>
            </w:r>
            <w:r>
              <w:rPr>
                <w:rFonts w:eastAsia="仿宋"/>
                <w:color w:val="000000"/>
                <w:kern w:val="0"/>
                <w:sz w:val="24"/>
                <w:lang w:bidi="ar"/>
              </w:rPr>
              <w:br w:type="textWrapping"/>
            </w:r>
            <w:r>
              <w:rPr>
                <w:rFonts w:eastAsia="仿宋"/>
                <w:color w:val="000000"/>
                <w:kern w:val="0"/>
                <w:sz w:val="24"/>
                <w:lang w:bidi="ar"/>
              </w:rPr>
              <w:t>第二十四条  企业在安全使用许可证有效期内变更主要负责人、企业名称或者注册地址的，应当自工商营业执照变更之日起10个工作日内提出变更申请，并提交下列文件、资料：（一）变更申请书；（二）变更后的工商营业执照副本复制件；（三）变更主要负责人的，还应当提供主要负责人经安全生产监督管理部门考核合格后颁发的安全合格证复制件；（四）变更注册地址的，还应当提供相关证明材料。</w:t>
            </w:r>
            <w:r>
              <w:rPr>
                <w:rFonts w:eastAsia="仿宋"/>
                <w:color w:val="000000"/>
                <w:kern w:val="0"/>
                <w:sz w:val="24"/>
                <w:lang w:bidi="ar"/>
              </w:rPr>
              <w:br w:type="textWrapping"/>
            </w:r>
            <w:r>
              <w:rPr>
                <w:rFonts w:eastAsia="仿宋"/>
                <w:color w:val="000000"/>
                <w:kern w:val="0"/>
                <w:sz w:val="24"/>
                <w:lang w:bidi="ar"/>
              </w:rPr>
              <w:t>对已经受理的变更申请，发证机关对企业提交的文件、资料审查无误后，方可办理安全使用许可证变更手续。</w:t>
            </w:r>
            <w:r>
              <w:rPr>
                <w:rFonts w:eastAsia="仿宋"/>
                <w:color w:val="000000"/>
                <w:kern w:val="0"/>
                <w:sz w:val="24"/>
                <w:lang w:bidi="ar"/>
              </w:rPr>
              <w:br w:type="textWrapping"/>
            </w:r>
            <w:r>
              <w:rPr>
                <w:rFonts w:eastAsia="仿宋"/>
                <w:color w:val="000000"/>
                <w:kern w:val="0"/>
                <w:sz w:val="24"/>
                <w:lang w:bidi="ar"/>
              </w:rPr>
              <w:t>企业在安全使用许可证有效期内变更隶属关系的，应当在隶属关系变更之日起10日内向发证机关提交证明材料。</w:t>
            </w:r>
            <w:r>
              <w:rPr>
                <w:rFonts w:eastAsia="仿宋"/>
                <w:color w:val="000000"/>
                <w:kern w:val="0"/>
                <w:sz w:val="24"/>
                <w:lang w:bidi="ar"/>
              </w:rPr>
              <w:br w:type="textWrapping"/>
            </w:r>
            <w:r>
              <w:rPr>
                <w:rFonts w:eastAsia="仿宋"/>
                <w:color w:val="000000"/>
                <w:kern w:val="0"/>
                <w:sz w:val="24"/>
                <w:lang w:bidi="ar"/>
              </w:rPr>
              <w:t>第三十九条  企业在安全使用许可证有效期内主要负责人、企业名称、注册地址、隶属关系发生变更，未按照本办法第二十四条规定的时限提出安全使用许可证变更申请或者将隶属关系变更证明材料报发证机关的，责令限期办理变更手续，处1万元以上3万元以下的罚款。</w:t>
            </w:r>
          </w:p>
        </w:tc>
        <w:tc>
          <w:tcPr>
            <w:tcW w:w="476" w:type="pct"/>
            <w:tcBorders>
              <w:top w:val="single" w:color="000000" w:sz="4" w:space="0"/>
              <w:left w:val="single" w:color="000000" w:sz="4" w:space="0"/>
              <w:bottom w:val="single" w:color="000000" w:sz="4" w:space="0"/>
              <w:right w:val="single" w:color="000000" w:sz="4" w:space="0"/>
            </w:tcBorders>
            <w:vAlign w:val="center"/>
          </w:tcPr>
          <w:p w14:paraId="4439C01C">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5BB432AD">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3C514FE7">
            <w:pPr>
              <w:topLinePunct/>
              <w:adjustRightInd w:val="0"/>
              <w:snapToGrid w:val="0"/>
              <w:jc w:val="center"/>
              <w:textAlignment w:val="center"/>
              <w:rPr>
                <w:rFonts w:eastAsia="仿宋"/>
                <w:color w:val="000000"/>
                <w:sz w:val="24"/>
              </w:rPr>
            </w:pPr>
            <w:r>
              <w:rPr>
                <w:rFonts w:hint="eastAsia" w:eastAsia="仿宋"/>
                <w:color w:val="000000"/>
                <w:kern w:val="0"/>
                <w:sz w:val="24"/>
                <w:lang w:eastAsia="zh-CN" w:bidi="ar"/>
              </w:rPr>
              <w:t>县级</w:t>
            </w:r>
          </w:p>
        </w:tc>
      </w:tr>
      <w:tr w14:paraId="3FBEE1DA">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39DA2ACD">
            <w:pPr>
              <w:topLinePunct/>
              <w:adjustRightInd w:val="0"/>
              <w:snapToGrid w:val="0"/>
              <w:jc w:val="center"/>
              <w:textAlignment w:val="center"/>
              <w:rPr>
                <w:rFonts w:eastAsia="仿宋"/>
                <w:color w:val="000000"/>
                <w:sz w:val="24"/>
              </w:rPr>
            </w:pPr>
            <w:r>
              <w:rPr>
                <w:rFonts w:eastAsia="仿宋"/>
                <w:color w:val="000000"/>
                <w:kern w:val="0"/>
                <w:sz w:val="24"/>
                <w:lang w:bidi="ar"/>
              </w:rPr>
              <w:t>71</w:t>
            </w:r>
          </w:p>
        </w:tc>
        <w:tc>
          <w:tcPr>
            <w:tcW w:w="838" w:type="pct"/>
            <w:tcBorders>
              <w:top w:val="single" w:color="000000" w:sz="4" w:space="0"/>
              <w:left w:val="single" w:color="000000" w:sz="4" w:space="0"/>
              <w:bottom w:val="single" w:color="000000" w:sz="4" w:space="0"/>
              <w:right w:val="single" w:color="000000" w:sz="4" w:space="0"/>
            </w:tcBorders>
            <w:vAlign w:val="center"/>
          </w:tcPr>
          <w:p w14:paraId="04ECBD5D">
            <w:pPr>
              <w:topLinePunct/>
              <w:adjustRightInd w:val="0"/>
              <w:snapToGrid w:val="0"/>
              <w:textAlignment w:val="center"/>
              <w:rPr>
                <w:rFonts w:eastAsia="仿宋"/>
                <w:color w:val="000000"/>
                <w:sz w:val="24"/>
              </w:rPr>
            </w:pPr>
            <w:r>
              <w:rPr>
                <w:rFonts w:eastAsia="仿宋"/>
                <w:color w:val="000000"/>
                <w:kern w:val="0"/>
                <w:sz w:val="24"/>
                <w:lang w:bidi="ar"/>
              </w:rPr>
              <w:t>对企业在安全使用许可证有效期内有增加使用的危险化学品品种，且达到危险化学品使用量的数量标准规定等情形，未按规定提出变更申请继续从事生产的行政处罚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165FBAB2">
            <w:pPr>
              <w:topLinePunct/>
              <w:adjustRightInd w:val="0"/>
              <w:snapToGrid w:val="0"/>
              <w:jc w:val="left"/>
              <w:textAlignment w:val="center"/>
              <w:rPr>
                <w:rFonts w:eastAsia="仿宋"/>
                <w:color w:val="000000"/>
                <w:sz w:val="24"/>
              </w:rPr>
            </w:pPr>
            <w:r>
              <w:rPr>
                <w:rFonts w:eastAsia="仿宋"/>
                <w:color w:val="000000"/>
                <w:kern w:val="0"/>
                <w:sz w:val="24"/>
                <w:lang w:bidi="ar"/>
              </w:rPr>
              <w:t>《危险化学品安全使用许可证实施办法》</w:t>
            </w:r>
            <w:r>
              <w:rPr>
                <w:rFonts w:eastAsia="仿宋"/>
                <w:color w:val="000000"/>
                <w:kern w:val="0"/>
                <w:sz w:val="24"/>
                <w:lang w:bidi="ar"/>
              </w:rPr>
              <w:br w:type="textWrapping"/>
            </w:r>
            <w:r>
              <w:rPr>
                <w:rFonts w:eastAsia="仿宋"/>
                <w:color w:val="000000"/>
                <w:kern w:val="0"/>
                <w:sz w:val="24"/>
                <w:lang w:bidi="ar"/>
              </w:rPr>
              <w:t>第二十五条  企业在安全使用许可证有效期内，有下列情形之一的，发证机关按照本办法第二十条、第二十一条、第二十二条、第二十三条的规定办理变更手续：（一）增加使用的危险化学品品种，且达到危险化学品使用量的数量标准规定的；（二）涉及危险化学品安全使用许可范围的新建、改建、扩建建设项目的；（三）改变工艺技术对企业的安全生产条件产生重大影响的。</w:t>
            </w:r>
            <w:r>
              <w:rPr>
                <w:rFonts w:eastAsia="仿宋"/>
                <w:color w:val="000000"/>
                <w:kern w:val="0"/>
                <w:sz w:val="24"/>
                <w:lang w:bidi="ar"/>
              </w:rPr>
              <w:br w:type="textWrapping"/>
            </w:r>
            <w:r>
              <w:rPr>
                <w:rFonts w:eastAsia="仿宋"/>
                <w:color w:val="000000"/>
                <w:kern w:val="0"/>
                <w:sz w:val="24"/>
                <w:lang w:bidi="ar"/>
              </w:rPr>
              <w:t>有本条第一款第一项规定情形的企业，应当在增加前提出变更申请。</w:t>
            </w:r>
            <w:r>
              <w:rPr>
                <w:rFonts w:eastAsia="仿宋"/>
                <w:color w:val="000000"/>
                <w:kern w:val="0"/>
                <w:sz w:val="24"/>
                <w:lang w:bidi="ar"/>
              </w:rPr>
              <w:br w:type="textWrapping"/>
            </w:r>
            <w:r>
              <w:rPr>
                <w:rFonts w:eastAsia="仿宋"/>
                <w:color w:val="000000"/>
                <w:kern w:val="0"/>
                <w:sz w:val="24"/>
                <w:lang w:bidi="ar"/>
              </w:rPr>
              <w:t>有本条第一款第二项规定情形的企业，应当在建设项目安全设施竣工验收合格之日起10个工作日内向原发证机关提出变更申请，并提交建设项目安全设施竣工验收报告等相关文件、资料。</w:t>
            </w:r>
            <w:r>
              <w:rPr>
                <w:rFonts w:eastAsia="仿宋"/>
                <w:color w:val="000000"/>
                <w:kern w:val="0"/>
                <w:sz w:val="24"/>
                <w:lang w:bidi="ar"/>
              </w:rPr>
              <w:br w:type="textWrapping"/>
            </w:r>
            <w:r>
              <w:rPr>
                <w:rFonts w:eastAsia="仿宋"/>
                <w:color w:val="000000"/>
                <w:kern w:val="0"/>
                <w:sz w:val="24"/>
                <w:lang w:bidi="ar"/>
              </w:rPr>
              <w:t>有本条第一款第一项、第三项规定情形的企业，应当进行专项安全验收评价，并对安全评价报告中提出的问题进行整改；在整改完成后，向原发证机关提出变更申请并提交安全验收评价报告。</w:t>
            </w:r>
            <w:r>
              <w:rPr>
                <w:rFonts w:eastAsia="仿宋"/>
                <w:color w:val="000000"/>
                <w:kern w:val="0"/>
                <w:sz w:val="24"/>
                <w:lang w:bidi="ar"/>
              </w:rPr>
              <w:br w:type="textWrapping"/>
            </w:r>
            <w:r>
              <w:rPr>
                <w:rFonts w:eastAsia="仿宋"/>
                <w:color w:val="000000"/>
                <w:kern w:val="0"/>
                <w:sz w:val="24"/>
                <w:lang w:bidi="ar"/>
              </w:rPr>
              <w:t>第四十条  企业在安全使用许可证有效期内有下列情形之一，未按照本办法第二十五条的规定提出变更申请，继续从事生产的，责令限期改正，处1万元以上3万元以下的罚款：（一）增加使用的危险化学品品种，且达到危险化学品使用量的数量标准规定的；（二）涉及危险化学品安全使用许可范围的新建、改建、扩建建设项目，其安全设施已经竣工验收合格的；（三）改变工艺技术对企业的安全生产条件产生重大影响的。</w:t>
            </w:r>
          </w:p>
        </w:tc>
        <w:tc>
          <w:tcPr>
            <w:tcW w:w="476" w:type="pct"/>
            <w:tcBorders>
              <w:top w:val="single" w:color="000000" w:sz="4" w:space="0"/>
              <w:left w:val="single" w:color="000000" w:sz="4" w:space="0"/>
              <w:bottom w:val="single" w:color="000000" w:sz="4" w:space="0"/>
              <w:right w:val="single" w:color="000000" w:sz="4" w:space="0"/>
            </w:tcBorders>
            <w:vAlign w:val="center"/>
          </w:tcPr>
          <w:p w14:paraId="44D4AAFA">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0251ED19">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6F52ECD2">
            <w:pPr>
              <w:topLinePunct/>
              <w:adjustRightInd w:val="0"/>
              <w:snapToGrid w:val="0"/>
              <w:jc w:val="center"/>
              <w:textAlignment w:val="center"/>
              <w:rPr>
                <w:rFonts w:eastAsia="仿宋"/>
                <w:color w:val="000000"/>
                <w:sz w:val="24"/>
              </w:rPr>
            </w:pPr>
            <w:r>
              <w:rPr>
                <w:rFonts w:hint="eastAsia" w:eastAsia="仿宋"/>
                <w:color w:val="000000"/>
                <w:kern w:val="0"/>
                <w:sz w:val="24"/>
                <w:lang w:eastAsia="zh-CN" w:bidi="ar"/>
              </w:rPr>
              <w:t>县级</w:t>
            </w:r>
          </w:p>
        </w:tc>
      </w:tr>
      <w:tr w14:paraId="716686F3">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7EEBC137">
            <w:pPr>
              <w:topLinePunct/>
              <w:adjustRightInd w:val="0"/>
              <w:snapToGrid w:val="0"/>
              <w:jc w:val="center"/>
              <w:textAlignment w:val="center"/>
              <w:rPr>
                <w:rFonts w:eastAsia="仿宋"/>
                <w:color w:val="000000"/>
                <w:sz w:val="24"/>
              </w:rPr>
            </w:pPr>
            <w:r>
              <w:rPr>
                <w:rFonts w:eastAsia="仿宋"/>
                <w:color w:val="000000"/>
                <w:kern w:val="0"/>
                <w:sz w:val="24"/>
                <w:lang w:bidi="ar"/>
              </w:rPr>
              <w:t>72</w:t>
            </w:r>
          </w:p>
        </w:tc>
        <w:tc>
          <w:tcPr>
            <w:tcW w:w="838" w:type="pct"/>
            <w:tcBorders>
              <w:top w:val="single" w:color="000000" w:sz="4" w:space="0"/>
              <w:left w:val="single" w:color="000000" w:sz="4" w:space="0"/>
              <w:bottom w:val="single" w:color="000000" w:sz="4" w:space="0"/>
              <w:right w:val="single" w:color="000000" w:sz="4" w:space="0"/>
            </w:tcBorders>
            <w:vAlign w:val="center"/>
          </w:tcPr>
          <w:p w14:paraId="21165B75">
            <w:pPr>
              <w:topLinePunct/>
              <w:adjustRightInd w:val="0"/>
              <w:snapToGrid w:val="0"/>
              <w:textAlignment w:val="center"/>
              <w:rPr>
                <w:rFonts w:eastAsia="仿宋"/>
                <w:color w:val="000000"/>
                <w:sz w:val="24"/>
              </w:rPr>
            </w:pPr>
            <w:r>
              <w:rPr>
                <w:rFonts w:eastAsia="仿宋"/>
                <w:color w:val="000000"/>
                <w:kern w:val="0"/>
                <w:sz w:val="24"/>
                <w:lang w:bidi="ar"/>
              </w:rPr>
              <w:t>对未经安全条件审查或者安全条件审查未通过，新建、改建、扩建生产、储存危险化学品建设项目的行政处罚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5581F980">
            <w:pPr>
              <w:topLinePunct/>
              <w:adjustRightInd w:val="0"/>
              <w:snapToGrid w:val="0"/>
              <w:jc w:val="left"/>
              <w:textAlignment w:val="center"/>
              <w:rPr>
                <w:rFonts w:eastAsia="仿宋"/>
                <w:color w:val="000000"/>
                <w:sz w:val="24"/>
              </w:rPr>
            </w:pPr>
            <w:r>
              <w:rPr>
                <w:rFonts w:eastAsia="仿宋"/>
                <w:color w:val="000000"/>
                <w:kern w:val="0"/>
                <w:sz w:val="24"/>
                <w:lang w:bidi="ar"/>
              </w:rPr>
              <w:t>1.《危险化学品安全管理条例》</w:t>
            </w:r>
            <w:r>
              <w:rPr>
                <w:rFonts w:eastAsia="仿宋"/>
                <w:color w:val="000000"/>
                <w:kern w:val="0"/>
                <w:sz w:val="24"/>
                <w:lang w:bidi="ar"/>
              </w:rPr>
              <w:br w:type="textWrapping"/>
            </w:r>
            <w:r>
              <w:rPr>
                <w:rFonts w:eastAsia="仿宋"/>
                <w:color w:val="000000"/>
                <w:kern w:val="0"/>
                <w:sz w:val="24"/>
                <w:lang w:bidi="ar"/>
              </w:rPr>
              <w:t>第七十六条第一款  未经安全条件审查，新建、改建、扩建生产、储存危险化学品的建设项目的，由安全生产监督管理部门责令停止建设，限期改正；逾期不改正的，处50万元以上100万元以下的罚款；构成犯罪的，依法追究刑事责任。</w:t>
            </w:r>
            <w:r>
              <w:rPr>
                <w:rFonts w:eastAsia="仿宋"/>
                <w:color w:val="000000"/>
                <w:kern w:val="0"/>
                <w:sz w:val="24"/>
                <w:lang w:bidi="ar"/>
              </w:rPr>
              <w:br w:type="textWrapping"/>
            </w:r>
            <w:r>
              <w:rPr>
                <w:rFonts w:eastAsia="仿宋"/>
                <w:color w:val="000000"/>
                <w:kern w:val="0"/>
                <w:sz w:val="24"/>
                <w:lang w:bidi="ar"/>
              </w:rPr>
              <w:t>2.《危险化学品建设项目安全监督管理办法》</w:t>
            </w:r>
            <w:r>
              <w:rPr>
                <w:rFonts w:eastAsia="仿宋"/>
                <w:color w:val="000000"/>
                <w:kern w:val="0"/>
                <w:sz w:val="24"/>
                <w:lang w:bidi="ar"/>
              </w:rPr>
              <w:br w:type="textWrapping"/>
            </w:r>
            <w:r>
              <w:rPr>
                <w:rFonts w:eastAsia="仿宋"/>
                <w:color w:val="000000"/>
                <w:kern w:val="0"/>
                <w:sz w:val="24"/>
                <w:lang w:bidi="ar"/>
              </w:rPr>
              <w:t>第三十五条  未经安全条件审查或者安全条件审查未通过，新建、改建、扩建生产、储存危险化学品的建设项目的，责令停止建设，限期改正；逾期不改正的，处50万元以上100万元以下的罚款；构成犯罪的，依法追究刑事责任。</w:t>
            </w:r>
            <w:r>
              <w:rPr>
                <w:rFonts w:eastAsia="仿宋"/>
                <w:color w:val="000000"/>
                <w:kern w:val="0"/>
                <w:sz w:val="24"/>
                <w:lang w:bidi="ar"/>
              </w:rPr>
              <w:br w:type="textWrapping"/>
            </w:r>
            <w:r>
              <w:rPr>
                <w:rFonts w:eastAsia="仿宋"/>
                <w:color w:val="000000"/>
                <w:kern w:val="0"/>
                <w:sz w:val="24"/>
                <w:lang w:bidi="ar"/>
              </w:rPr>
              <w:t>建设项目发生本办法第十四条规定的变化后，未重新申请安全条件审查，以及审查未通过擅自建设的，依照前款规定处罚。</w:t>
            </w:r>
            <w:r>
              <w:rPr>
                <w:rFonts w:eastAsia="仿宋"/>
                <w:color w:val="000000"/>
                <w:kern w:val="0"/>
                <w:sz w:val="24"/>
                <w:lang w:bidi="ar"/>
              </w:rPr>
              <w:br w:type="textWrapping"/>
            </w:r>
            <w:r>
              <w:rPr>
                <w:rFonts w:eastAsia="仿宋"/>
                <w:color w:val="000000"/>
                <w:kern w:val="0"/>
                <w:sz w:val="24"/>
                <w:lang w:bidi="ar"/>
              </w:rPr>
              <w:t>3.《危险化学品输送管道安全管理规定》</w:t>
            </w:r>
            <w:r>
              <w:rPr>
                <w:rFonts w:eastAsia="仿宋"/>
                <w:color w:val="000000"/>
                <w:kern w:val="0"/>
                <w:sz w:val="24"/>
                <w:lang w:bidi="ar"/>
              </w:rPr>
              <w:br w:type="textWrapping"/>
            </w:r>
            <w:r>
              <w:rPr>
                <w:rFonts w:eastAsia="仿宋"/>
                <w:color w:val="000000"/>
                <w:kern w:val="0"/>
                <w:sz w:val="24"/>
                <w:lang w:bidi="ar"/>
              </w:rPr>
              <w:t>第三十三条第一款  新建、改建、扩建危险化学品管道建设项目未经安全条件审查的，由安全生产监督管理部门责令停止建设，限期改正；逾期不改正的，处50万元以上100万元以下的罚款；构成犯罪的，依法追究刑事责任。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4B3539B8">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3590E5C3">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3BB99998">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7DA29F86">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46919BD7">
            <w:pPr>
              <w:topLinePunct/>
              <w:adjustRightInd w:val="0"/>
              <w:snapToGrid w:val="0"/>
              <w:jc w:val="center"/>
              <w:textAlignment w:val="center"/>
              <w:rPr>
                <w:rFonts w:eastAsia="仿宋"/>
                <w:color w:val="000000"/>
                <w:sz w:val="24"/>
              </w:rPr>
            </w:pPr>
            <w:r>
              <w:rPr>
                <w:rFonts w:eastAsia="仿宋"/>
                <w:color w:val="000000"/>
                <w:kern w:val="0"/>
                <w:sz w:val="24"/>
                <w:lang w:bidi="ar"/>
              </w:rPr>
              <w:t>73</w:t>
            </w:r>
          </w:p>
        </w:tc>
        <w:tc>
          <w:tcPr>
            <w:tcW w:w="838" w:type="pct"/>
            <w:tcBorders>
              <w:top w:val="single" w:color="000000" w:sz="4" w:space="0"/>
              <w:left w:val="single" w:color="000000" w:sz="4" w:space="0"/>
              <w:bottom w:val="single" w:color="000000" w:sz="4" w:space="0"/>
              <w:right w:val="single" w:color="000000" w:sz="4" w:space="0"/>
            </w:tcBorders>
            <w:vAlign w:val="center"/>
          </w:tcPr>
          <w:p w14:paraId="00BD091D">
            <w:pPr>
              <w:topLinePunct/>
              <w:adjustRightInd w:val="0"/>
              <w:snapToGrid w:val="0"/>
              <w:textAlignment w:val="center"/>
              <w:rPr>
                <w:rFonts w:eastAsia="仿宋"/>
                <w:color w:val="000000"/>
                <w:sz w:val="24"/>
              </w:rPr>
            </w:pPr>
            <w:r>
              <w:rPr>
                <w:rFonts w:eastAsia="仿宋"/>
                <w:color w:val="000000"/>
                <w:kern w:val="0"/>
                <w:sz w:val="24"/>
                <w:lang w:bidi="ar"/>
              </w:rPr>
              <w:t>对已经取得危险化学品经营许可证的企业不再具备安全生产条件的行政处罚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45E9A79A">
            <w:pPr>
              <w:topLinePunct/>
              <w:adjustRightInd w:val="0"/>
              <w:snapToGrid w:val="0"/>
              <w:jc w:val="left"/>
              <w:textAlignment w:val="center"/>
              <w:rPr>
                <w:rFonts w:eastAsia="仿宋"/>
                <w:color w:val="000000"/>
                <w:sz w:val="24"/>
              </w:rPr>
            </w:pPr>
            <w:r>
              <w:rPr>
                <w:rFonts w:eastAsia="仿宋"/>
                <w:color w:val="000000"/>
                <w:kern w:val="0"/>
                <w:sz w:val="24"/>
                <w:lang w:bidi="ar"/>
              </w:rPr>
              <w:t>1.《危险化学品经营许可证管理办法》</w:t>
            </w:r>
            <w:r>
              <w:rPr>
                <w:rFonts w:eastAsia="仿宋"/>
                <w:color w:val="000000"/>
                <w:kern w:val="0"/>
                <w:sz w:val="24"/>
                <w:lang w:bidi="ar"/>
              </w:rPr>
              <w:br w:type="textWrapping"/>
            </w:r>
            <w:r>
              <w:rPr>
                <w:rFonts w:eastAsia="仿宋"/>
                <w:color w:val="000000"/>
                <w:kern w:val="0"/>
                <w:sz w:val="24"/>
                <w:lang w:bidi="ar"/>
              </w:rPr>
              <w:t>第三十二条  已经取得经营许可证的企业不再具备法律、法规和本办法规定的安全生产条件的，责令改正；逾期不改正的，责令停产停业整顿；经停产停业整顿仍不具备法律、法规、规章、国家标准和行业标准规定的安全生产条件的，吊销其经营许可证。</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第一百一十三条第二项  生产经营单位存在下列情形之一的，负有安全生产监督管理职责的部门应当提请地方人民政府予以关闭，有关部门应当依法吊销其有关证照。生产经营单位主要负责人五年内不得担任任何生产经营单位的主要负责人；情节严重的，终身不得担任本行业生产经营单位的主要负责人：（二）经停产停业整顿，仍不具备法律、行政法规和国家标准或者行业标准规定的安全生产条件的；</w:t>
            </w:r>
          </w:p>
        </w:tc>
        <w:tc>
          <w:tcPr>
            <w:tcW w:w="476" w:type="pct"/>
            <w:tcBorders>
              <w:top w:val="single" w:color="000000" w:sz="4" w:space="0"/>
              <w:left w:val="single" w:color="000000" w:sz="4" w:space="0"/>
              <w:bottom w:val="single" w:color="000000" w:sz="4" w:space="0"/>
              <w:right w:val="single" w:color="000000" w:sz="4" w:space="0"/>
            </w:tcBorders>
            <w:vAlign w:val="center"/>
          </w:tcPr>
          <w:p w14:paraId="6067EAB4">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0EA03D48">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68D61A33">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451C5033">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5D1039C9">
            <w:pPr>
              <w:topLinePunct/>
              <w:adjustRightInd w:val="0"/>
              <w:snapToGrid w:val="0"/>
              <w:jc w:val="center"/>
              <w:textAlignment w:val="center"/>
              <w:rPr>
                <w:rFonts w:eastAsia="仿宋"/>
                <w:color w:val="000000"/>
                <w:sz w:val="24"/>
              </w:rPr>
            </w:pPr>
            <w:r>
              <w:rPr>
                <w:rFonts w:eastAsia="仿宋"/>
                <w:color w:val="000000"/>
                <w:kern w:val="0"/>
                <w:sz w:val="24"/>
                <w:lang w:bidi="ar"/>
              </w:rPr>
              <w:t>74</w:t>
            </w:r>
          </w:p>
        </w:tc>
        <w:tc>
          <w:tcPr>
            <w:tcW w:w="838" w:type="pct"/>
            <w:tcBorders>
              <w:top w:val="single" w:color="000000" w:sz="4" w:space="0"/>
              <w:left w:val="single" w:color="000000" w:sz="4" w:space="0"/>
              <w:bottom w:val="single" w:color="000000" w:sz="4" w:space="0"/>
              <w:right w:val="single" w:color="000000" w:sz="4" w:space="0"/>
            </w:tcBorders>
            <w:vAlign w:val="center"/>
          </w:tcPr>
          <w:p w14:paraId="190AC52C">
            <w:pPr>
              <w:topLinePunct/>
              <w:adjustRightInd w:val="0"/>
              <w:snapToGrid w:val="0"/>
              <w:textAlignment w:val="center"/>
              <w:rPr>
                <w:rFonts w:eastAsia="仿宋"/>
                <w:color w:val="000000"/>
                <w:sz w:val="24"/>
              </w:rPr>
            </w:pPr>
            <w:r>
              <w:rPr>
                <w:rFonts w:eastAsia="仿宋"/>
                <w:color w:val="000000"/>
                <w:kern w:val="0"/>
                <w:sz w:val="24"/>
                <w:lang w:bidi="ar"/>
              </w:rPr>
              <w:t>对危险化学品单位有未按照标准对重大危险源进行辨识等行为的行政处罚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07D31B20">
            <w:pPr>
              <w:topLinePunct/>
              <w:adjustRightInd w:val="0"/>
              <w:snapToGrid w:val="0"/>
              <w:jc w:val="left"/>
              <w:textAlignment w:val="center"/>
              <w:rPr>
                <w:rFonts w:eastAsia="仿宋"/>
                <w:color w:val="000000"/>
                <w:sz w:val="24"/>
              </w:rPr>
            </w:pPr>
            <w:r>
              <w:rPr>
                <w:rFonts w:eastAsia="仿宋"/>
                <w:color w:val="000000"/>
                <w:kern w:val="0"/>
                <w:sz w:val="24"/>
                <w:lang w:bidi="ar"/>
              </w:rPr>
              <w:t>《危险化学品重大危险源监督管理暂行规定》</w:t>
            </w:r>
            <w:r>
              <w:rPr>
                <w:rFonts w:eastAsia="仿宋"/>
                <w:color w:val="000000"/>
                <w:kern w:val="0"/>
                <w:sz w:val="24"/>
                <w:lang w:bidi="ar"/>
              </w:rPr>
              <w:br w:type="textWrapping"/>
            </w:r>
            <w:r>
              <w:rPr>
                <w:rFonts w:eastAsia="仿宋"/>
                <w:color w:val="000000"/>
                <w:kern w:val="0"/>
                <w:sz w:val="24"/>
                <w:lang w:bidi="ar"/>
              </w:rPr>
              <w:t>第三十四条第一项、第二项、第四项  危险化学品单位有下列情形之一的，由县级以上人民政府安全生产监督管理部门给予警告，可以并处5000元以上3万元以下的罚款：（一）未按照标准对重大危险源进行辨识的；（二）未按照本规定明确重大危险源中关键装置、重点部位的责任人或者责任机构的；（四）未按照本规定进行重大危险源备案或者核销的；</w:t>
            </w:r>
          </w:p>
        </w:tc>
        <w:tc>
          <w:tcPr>
            <w:tcW w:w="476" w:type="pct"/>
            <w:tcBorders>
              <w:top w:val="single" w:color="000000" w:sz="4" w:space="0"/>
              <w:left w:val="single" w:color="000000" w:sz="4" w:space="0"/>
              <w:bottom w:val="single" w:color="000000" w:sz="4" w:space="0"/>
              <w:right w:val="single" w:color="000000" w:sz="4" w:space="0"/>
            </w:tcBorders>
            <w:vAlign w:val="center"/>
          </w:tcPr>
          <w:p w14:paraId="7B1DBE89">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638F9CA8">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02A5F946">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6490F570">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728F73BE">
            <w:pPr>
              <w:topLinePunct/>
              <w:adjustRightInd w:val="0"/>
              <w:snapToGrid w:val="0"/>
              <w:jc w:val="center"/>
              <w:textAlignment w:val="center"/>
              <w:rPr>
                <w:rFonts w:eastAsia="仿宋"/>
                <w:color w:val="000000"/>
                <w:sz w:val="24"/>
              </w:rPr>
            </w:pPr>
            <w:r>
              <w:rPr>
                <w:rFonts w:eastAsia="仿宋"/>
                <w:color w:val="000000"/>
                <w:kern w:val="0"/>
                <w:sz w:val="24"/>
                <w:lang w:bidi="ar"/>
              </w:rPr>
              <w:t>75</w:t>
            </w:r>
          </w:p>
        </w:tc>
        <w:tc>
          <w:tcPr>
            <w:tcW w:w="838" w:type="pct"/>
            <w:tcBorders>
              <w:top w:val="single" w:color="000000" w:sz="4" w:space="0"/>
              <w:left w:val="single" w:color="000000" w:sz="4" w:space="0"/>
              <w:bottom w:val="single" w:color="000000" w:sz="4" w:space="0"/>
              <w:right w:val="single" w:color="000000" w:sz="4" w:space="0"/>
            </w:tcBorders>
            <w:vAlign w:val="center"/>
          </w:tcPr>
          <w:p w14:paraId="03284E8A">
            <w:pPr>
              <w:topLinePunct/>
              <w:adjustRightInd w:val="0"/>
              <w:snapToGrid w:val="0"/>
              <w:textAlignment w:val="center"/>
              <w:rPr>
                <w:rFonts w:eastAsia="仿宋"/>
                <w:color w:val="000000"/>
                <w:sz w:val="24"/>
              </w:rPr>
            </w:pPr>
            <w:r>
              <w:rPr>
                <w:rFonts w:eastAsia="仿宋"/>
                <w:color w:val="000000"/>
                <w:kern w:val="0"/>
                <w:sz w:val="24"/>
                <w:lang w:bidi="ar"/>
              </w:rPr>
              <w:t>对危险化学品生产企业涉及“两重点一重大”的生产装置、储存设施外部安全防护距离不符合国家标准要求的行政处罚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178807A4">
            <w:pPr>
              <w:topLinePunct/>
              <w:adjustRightInd w:val="0"/>
              <w:snapToGrid w:val="0"/>
              <w:jc w:val="left"/>
              <w:textAlignment w:val="center"/>
              <w:rPr>
                <w:rFonts w:eastAsia="仿宋"/>
                <w:color w:val="000000"/>
                <w:sz w:val="24"/>
              </w:rPr>
            </w:pPr>
            <w:r>
              <w:rPr>
                <w:rFonts w:eastAsia="仿宋"/>
                <w:color w:val="000000"/>
                <w:kern w:val="0"/>
                <w:sz w:val="24"/>
                <w:lang w:bidi="ar"/>
              </w:rPr>
              <w:t>1.《国家安全监管总局关于印发〈化工和危险化学品生产经营单位重大生产安全事故隐患判定标准（试行）〉和〈烟花爆竹生产经营单位重大生产安全事故隐患判定标准（试行）〉的通知》（安监总管三〔2017〕121号）</w:t>
            </w:r>
            <w:r>
              <w:rPr>
                <w:rFonts w:eastAsia="仿宋"/>
                <w:color w:val="000000"/>
                <w:kern w:val="0"/>
                <w:sz w:val="24"/>
                <w:lang w:bidi="ar"/>
              </w:rPr>
              <w:br w:type="textWrapping"/>
            </w:r>
            <w:r>
              <w:rPr>
                <w:rFonts w:eastAsia="仿宋"/>
                <w:color w:val="000000"/>
                <w:kern w:val="0"/>
                <w:sz w:val="24"/>
                <w:lang w:bidi="ar"/>
              </w:rPr>
              <w:t>化工和危险化学品类：</w:t>
            </w:r>
            <w:r>
              <w:rPr>
                <w:rFonts w:eastAsia="仿宋"/>
                <w:color w:val="000000"/>
                <w:kern w:val="0"/>
                <w:sz w:val="24"/>
                <w:lang w:bidi="ar"/>
              </w:rPr>
              <w:br w:type="textWrapping"/>
            </w:r>
            <w:r>
              <w:rPr>
                <w:rFonts w:eastAsia="仿宋"/>
                <w:color w:val="000000"/>
                <w:kern w:val="0"/>
                <w:sz w:val="24"/>
                <w:lang w:bidi="ar"/>
              </w:rPr>
              <w:t>三、涉及“两重点一重大”的生产装置、储存设施外部安全防护距离不符合国家标准要求。</w:t>
            </w:r>
            <w:r>
              <w:rPr>
                <w:rFonts w:eastAsia="仿宋"/>
                <w:color w:val="000000"/>
                <w:kern w:val="0"/>
                <w:sz w:val="24"/>
                <w:lang w:bidi="ar"/>
              </w:rPr>
              <w:br w:type="textWrapping"/>
            </w:r>
            <w:r>
              <w:rPr>
                <w:rFonts w:eastAsia="仿宋"/>
                <w:color w:val="000000"/>
                <w:kern w:val="0"/>
                <w:sz w:val="24"/>
                <w:lang w:bidi="ar"/>
              </w:rPr>
              <w:t>2.《安全生产许可证条例》</w:t>
            </w:r>
            <w:r>
              <w:rPr>
                <w:rFonts w:eastAsia="仿宋"/>
                <w:color w:val="000000"/>
                <w:kern w:val="0"/>
                <w:sz w:val="24"/>
                <w:lang w:bidi="ar"/>
              </w:rPr>
              <w:br w:type="textWrapping"/>
            </w:r>
            <w:r>
              <w:rPr>
                <w:rFonts w:eastAsia="仿宋"/>
                <w:color w:val="000000"/>
                <w:kern w:val="0"/>
                <w:sz w:val="24"/>
                <w:lang w:bidi="ar"/>
              </w:rPr>
              <w:t>第十四条第二款  安全生产许可证颁发管理机关应当加强对取得安全生产许可证的企业的监督检查，发现其不再具备本条例规定的安全生产条件的，应当暂扣或者吊销安全生产许可证。</w:t>
            </w:r>
          </w:p>
        </w:tc>
        <w:tc>
          <w:tcPr>
            <w:tcW w:w="476" w:type="pct"/>
            <w:tcBorders>
              <w:top w:val="single" w:color="000000" w:sz="4" w:space="0"/>
              <w:left w:val="single" w:color="000000" w:sz="4" w:space="0"/>
              <w:bottom w:val="single" w:color="000000" w:sz="4" w:space="0"/>
              <w:right w:val="single" w:color="000000" w:sz="4" w:space="0"/>
            </w:tcBorders>
            <w:vAlign w:val="center"/>
          </w:tcPr>
          <w:p w14:paraId="2B0B16EB">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2A228286">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1D481FAB">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46CAC0F6">
        <w:tblPrEx>
          <w:tblCellMar>
            <w:top w:w="0" w:type="dxa"/>
            <w:left w:w="108" w:type="dxa"/>
            <w:bottom w:w="0" w:type="dxa"/>
            <w:right w:w="108" w:type="dxa"/>
          </w:tblCellMar>
        </w:tblPrEx>
        <w:trPr>
          <w:trHeight w:val="29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197C1167">
            <w:pPr>
              <w:topLinePunct/>
              <w:adjustRightInd w:val="0"/>
              <w:snapToGrid w:val="0"/>
              <w:jc w:val="center"/>
              <w:textAlignment w:val="center"/>
              <w:rPr>
                <w:rFonts w:eastAsia="仿宋"/>
                <w:color w:val="000000"/>
                <w:sz w:val="24"/>
              </w:rPr>
            </w:pPr>
            <w:r>
              <w:rPr>
                <w:rFonts w:eastAsia="仿宋"/>
                <w:color w:val="000000"/>
                <w:kern w:val="0"/>
                <w:sz w:val="24"/>
                <w:lang w:bidi="ar"/>
              </w:rPr>
              <w:t>76</w:t>
            </w:r>
          </w:p>
        </w:tc>
        <w:tc>
          <w:tcPr>
            <w:tcW w:w="838" w:type="pct"/>
            <w:tcBorders>
              <w:top w:val="single" w:color="000000" w:sz="4" w:space="0"/>
              <w:left w:val="single" w:color="000000" w:sz="4" w:space="0"/>
              <w:bottom w:val="single" w:color="000000" w:sz="4" w:space="0"/>
              <w:right w:val="single" w:color="000000" w:sz="4" w:space="0"/>
            </w:tcBorders>
            <w:vAlign w:val="center"/>
          </w:tcPr>
          <w:p w14:paraId="768E3F0E">
            <w:pPr>
              <w:topLinePunct/>
              <w:adjustRightInd w:val="0"/>
              <w:snapToGrid w:val="0"/>
              <w:textAlignment w:val="center"/>
              <w:rPr>
                <w:rFonts w:eastAsia="仿宋"/>
                <w:color w:val="000000"/>
                <w:sz w:val="24"/>
              </w:rPr>
            </w:pPr>
            <w:r>
              <w:rPr>
                <w:rFonts w:eastAsia="仿宋"/>
                <w:color w:val="000000"/>
                <w:kern w:val="0"/>
                <w:sz w:val="24"/>
                <w:lang w:bidi="ar"/>
              </w:rPr>
              <w:t>对危险化学品经营企业涉及“两重点一重大”的储存设施外部安全防护距离不符合国家标准要求的行政处罚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36EA879B">
            <w:pPr>
              <w:topLinePunct/>
              <w:adjustRightInd w:val="0"/>
              <w:snapToGrid w:val="0"/>
              <w:jc w:val="left"/>
              <w:textAlignment w:val="center"/>
              <w:rPr>
                <w:rFonts w:eastAsia="仿宋"/>
                <w:color w:val="000000"/>
                <w:sz w:val="24"/>
              </w:rPr>
            </w:pPr>
            <w:r>
              <w:rPr>
                <w:rFonts w:eastAsia="仿宋"/>
                <w:color w:val="000000"/>
                <w:kern w:val="0"/>
                <w:sz w:val="24"/>
                <w:lang w:bidi="ar"/>
              </w:rPr>
              <w:t>1.《国家安全监管总局关于印发〈化工和危险化学品生产经营单位重大生产安全事故隐患判定标准（试行）〉和〈烟花爆竹生产经营单位重大生产安全事故隐患判定标准（试行）〉的通知》（安监总管三〔2017〕121号）</w:t>
            </w:r>
            <w:r>
              <w:rPr>
                <w:rFonts w:eastAsia="仿宋"/>
                <w:color w:val="000000"/>
                <w:kern w:val="0"/>
                <w:sz w:val="24"/>
                <w:lang w:bidi="ar"/>
              </w:rPr>
              <w:br w:type="textWrapping"/>
            </w:r>
            <w:r>
              <w:rPr>
                <w:rFonts w:eastAsia="仿宋"/>
                <w:color w:val="000000"/>
                <w:kern w:val="0"/>
                <w:sz w:val="24"/>
                <w:lang w:bidi="ar"/>
              </w:rPr>
              <w:t>化工和危险化学品类：</w:t>
            </w:r>
            <w:r>
              <w:rPr>
                <w:rFonts w:eastAsia="仿宋"/>
                <w:color w:val="000000"/>
                <w:kern w:val="0"/>
                <w:sz w:val="24"/>
                <w:lang w:bidi="ar"/>
              </w:rPr>
              <w:br w:type="textWrapping"/>
            </w:r>
            <w:r>
              <w:rPr>
                <w:rFonts w:eastAsia="仿宋"/>
                <w:color w:val="000000"/>
                <w:kern w:val="0"/>
                <w:sz w:val="24"/>
                <w:lang w:bidi="ar"/>
              </w:rPr>
              <w:t>三、涉及“两重点一重大”的生产装置、储存设施外部安全防护距离不符合国家标准要求。</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70C0C503">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6B11150D">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4630780A">
            <w:pPr>
              <w:topLinePunct/>
              <w:adjustRightInd w:val="0"/>
              <w:snapToGrid w:val="0"/>
              <w:jc w:val="center"/>
              <w:textAlignment w:val="center"/>
              <w:rPr>
                <w:rFonts w:eastAsia="仿宋"/>
                <w:color w:val="000000"/>
                <w:sz w:val="24"/>
              </w:rPr>
            </w:pPr>
            <w:r>
              <w:rPr>
                <w:rFonts w:hint="eastAsia" w:eastAsia="仿宋"/>
                <w:color w:val="000000"/>
                <w:kern w:val="0"/>
                <w:sz w:val="24"/>
                <w:lang w:eastAsia="zh-CN" w:bidi="ar"/>
              </w:rPr>
              <w:t>县级</w:t>
            </w:r>
          </w:p>
        </w:tc>
      </w:tr>
      <w:tr w14:paraId="161FB461">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646F00F6">
            <w:pPr>
              <w:topLinePunct/>
              <w:adjustRightInd w:val="0"/>
              <w:snapToGrid w:val="0"/>
              <w:jc w:val="center"/>
              <w:textAlignment w:val="center"/>
              <w:rPr>
                <w:rFonts w:eastAsia="仿宋"/>
                <w:color w:val="000000"/>
                <w:sz w:val="24"/>
              </w:rPr>
            </w:pPr>
            <w:r>
              <w:rPr>
                <w:rFonts w:eastAsia="仿宋"/>
                <w:color w:val="000000"/>
                <w:kern w:val="0"/>
                <w:sz w:val="24"/>
                <w:lang w:bidi="ar"/>
              </w:rPr>
              <w:t>77</w:t>
            </w:r>
          </w:p>
        </w:tc>
        <w:tc>
          <w:tcPr>
            <w:tcW w:w="838" w:type="pct"/>
            <w:tcBorders>
              <w:top w:val="single" w:color="000000" w:sz="4" w:space="0"/>
              <w:left w:val="single" w:color="000000" w:sz="4" w:space="0"/>
              <w:bottom w:val="single" w:color="000000" w:sz="4" w:space="0"/>
              <w:right w:val="single" w:color="000000" w:sz="4" w:space="0"/>
            </w:tcBorders>
            <w:vAlign w:val="center"/>
          </w:tcPr>
          <w:p w14:paraId="56DDE314">
            <w:pPr>
              <w:topLinePunct/>
              <w:adjustRightInd w:val="0"/>
              <w:snapToGrid w:val="0"/>
              <w:textAlignment w:val="center"/>
              <w:rPr>
                <w:rFonts w:eastAsia="仿宋"/>
                <w:color w:val="000000"/>
                <w:sz w:val="24"/>
              </w:rPr>
            </w:pPr>
            <w:r>
              <w:rPr>
                <w:rFonts w:eastAsia="仿宋"/>
                <w:color w:val="000000"/>
                <w:kern w:val="0"/>
                <w:sz w:val="24"/>
                <w:lang w:bidi="ar"/>
              </w:rPr>
              <w:t>对生产、储存、使用危险化学品的单位危险化学品的储存方式、方法或者储存数量不符合规定的行政处罚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6EF4975E">
            <w:pPr>
              <w:topLinePunct/>
              <w:adjustRightInd w:val="0"/>
              <w:snapToGrid w:val="0"/>
              <w:jc w:val="left"/>
              <w:textAlignment w:val="center"/>
              <w:rPr>
                <w:rFonts w:eastAsia="仿宋"/>
                <w:color w:val="000000"/>
                <w:sz w:val="24"/>
              </w:rPr>
            </w:pPr>
            <w:r>
              <w:rPr>
                <w:rFonts w:eastAsia="仿宋"/>
                <w:color w:val="000000"/>
                <w:kern w:val="0"/>
                <w:sz w:val="24"/>
                <w:lang w:bidi="ar"/>
              </w:rPr>
              <w:t>1.《国家安全监管总局关于印发〈化工和危险化学品生产经营单位重大生产安全事故隐患判定标准（试行）〉和〈烟花爆竹生产经营单位重大生产安全事故隐患判定标准（试行）〉的通知》（安监总管三〔2017〕121号）</w:t>
            </w:r>
            <w:r>
              <w:rPr>
                <w:rFonts w:eastAsia="仿宋"/>
                <w:color w:val="000000"/>
                <w:kern w:val="0"/>
                <w:sz w:val="24"/>
                <w:lang w:bidi="ar"/>
              </w:rPr>
              <w:br w:type="textWrapping"/>
            </w:r>
            <w:r>
              <w:rPr>
                <w:rFonts w:eastAsia="仿宋"/>
                <w:color w:val="000000"/>
                <w:kern w:val="0"/>
                <w:sz w:val="24"/>
                <w:lang w:bidi="ar"/>
              </w:rPr>
              <w:t>化工和危险化学品类：</w:t>
            </w:r>
            <w:r>
              <w:rPr>
                <w:rFonts w:eastAsia="仿宋"/>
                <w:color w:val="000000"/>
                <w:kern w:val="0"/>
                <w:sz w:val="24"/>
                <w:lang w:bidi="ar"/>
              </w:rPr>
              <w:br w:type="textWrapping"/>
            </w:r>
            <w:r>
              <w:rPr>
                <w:rFonts w:eastAsia="仿宋"/>
                <w:color w:val="000000"/>
                <w:kern w:val="0"/>
                <w:sz w:val="24"/>
                <w:lang w:bidi="ar"/>
              </w:rPr>
              <w:t>二十、未按国家标准分区分类储存危险化学品，超量、超品种储存危险化学品，相互禁配物质混放混存。</w:t>
            </w:r>
            <w:r>
              <w:rPr>
                <w:rFonts w:eastAsia="仿宋"/>
                <w:color w:val="000000"/>
                <w:kern w:val="0"/>
                <w:sz w:val="24"/>
                <w:lang w:bidi="ar"/>
              </w:rPr>
              <w:br w:type="textWrapping"/>
            </w:r>
            <w:r>
              <w:rPr>
                <w:rFonts w:eastAsia="仿宋"/>
                <w:color w:val="000000"/>
                <w:kern w:val="0"/>
                <w:sz w:val="24"/>
                <w:lang w:bidi="ar"/>
              </w:rPr>
              <w:t>2.《危险化学品安全管理条例》</w:t>
            </w:r>
            <w:r>
              <w:rPr>
                <w:rFonts w:eastAsia="仿宋"/>
                <w:color w:val="000000"/>
                <w:kern w:val="0"/>
                <w:sz w:val="24"/>
                <w:lang w:bidi="ar"/>
              </w:rPr>
              <w:br w:type="textWrapping"/>
            </w:r>
            <w:r>
              <w:rPr>
                <w:rFonts w:eastAsia="仿宋"/>
                <w:color w:val="000000"/>
                <w:kern w:val="0"/>
                <w:sz w:val="24"/>
                <w:lang w:bidi="ar"/>
              </w:rPr>
              <w:t>第八十条第一款第五项  生产、储存、使用危险化学品的单位有下列情形之一的，由安全生产监督管理部门责令改正，处5万元以上10万元以下的罚款；拒不改正的，责令停产停业整顿直至由原发证机关吊销其相关许可证件，并由工商行政管理部门责令其办理经营范围变更登记或者吊销其营业执照；有关责任人员构成犯罪的，依法追究刑事责任：（五）危险化学品的储存方式、方法或者储存数量不符合国家标准或者国家有关规定的；</w:t>
            </w:r>
            <w:r>
              <w:rPr>
                <w:rFonts w:eastAsia="仿宋"/>
                <w:color w:val="000000"/>
                <w:kern w:val="0"/>
                <w:sz w:val="24"/>
                <w:lang w:bidi="ar"/>
              </w:rPr>
              <w:br w:type="textWrapping"/>
            </w:r>
            <w:r>
              <w:rPr>
                <w:rFonts w:eastAsia="仿宋"/>
                <w:color w:val="000000"/>
                <w:kern w:val="0"/>
                <w:sz w:val="24"/>
                <w:lang w:bidi="ar"/>
              </w:rPr>
              <w:t>3.《危险化学品经营许可证管理办法》</w:t>
            </w:r>
            <w:r>
              <w:rPr>
                <w:rFonts w:eastAsia="仿宋"/>
                <w:color w:val="000000"/>
                <w:kern w:val="0"/>
                <w:sz w:val="24"/>
                <w:lang w:bidi="ar"/>
              </w:rPr>
              <w:br w:type="textWrapping"/>
            </w:r>
            <w:r>
              <w:rPr>
                <w:rFonts w:eastAsia="仿宋"/>
                <w:color w:val="000000"/>
                <w:kern w:val="0"/>
                <w:sz w:val="24"/>
                <w:lang w:bidi="ar"/>
              </w:rPr>
              <w:t>第三十条第五项  带有储存设施的企业违反《危险化学品安全管理条例》规定，有下列情形之一的，责令改正，处5万元以上10万元以下的罚款；拒不改正的，责令停产停业整顿；经停产停业整顿仍不具备法律、法规、规章、国家标准和行业标准规定的安全生产条件的，吊销其经营许可证：（五）危险化学品的储存方式、方法或者储存数量不符合国家标准或者国家有关规定的；</w:t>
            </w:r>
          </w:p>
        </w:tc>
        <w:tc>
          <w:tcPr>
            <w:tcW w:w="476" w:type="pct"/>
            <w:tcBorders>
              <w:top w:val="single" w:color="000000" w:sz="4" w:space="0"/>
              <w:left w:val="single" w:color="000000" w:sz="4" w:space="0"/>
              <w:bottom w:val="single" w:color="000000" w:sz="4" w:space="0"/>
              <w:right w:val="single" w:color="000000" w:sz="4" w:space="0"/>
            </w:tcBorders>
            <w:vAlign w:val="center"/>
          </w:tcPr>
          <w:p w14:paraId="648C0EB7">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7CBC9149">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26144D76">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7A3F1B3D">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414DE913">
            <w:pPr>
              <w:topLinePunct/>
              <w:adjustRightInd w:val="0"/>
              <w:snapToGrid w:val="0"/>
              <w:jc w:val="center"/>
              <w:textAlignment w:val="center"/>
              <w:rPr>
                <w:rFonts w:eastAsia="仿宋"/>
                <w:color w:val="000000"/>
                <w:sz w:val="24"/>
              </w:rPr>
            </w:pPr>
            <w:r>
              <w:rPr>
                <w:rFonts w:eastAsia="仿宋"/>
                <w:color w:val="000000"/>
                <w:kern w:val="0"/>
                <w:sz w:val="24"/>
                <w:lang w:bidi="ar"/>
              </w:rPr>
              <w:t>78</w:t>
            </w:r>
          </w:p>
        </w:tc>
        <w:tc>
          <w:tcPr>
            <w:tcW w:w="838" w:type="pct"/>
            <w:tcBorders>
              <w:top w:val="single" w:color="000000" w:sz="4" w:space="0"/>
              <w:left w:val="single" w:color="000000" w:sz="4" w:space="0"/>
              <w:bottom w:val="single" w:color="000000" w:sz="4" w:space="0"/>
              <w:right w:val="single" w:color="000000" w:sz="4" w:space="0"/>
            </w:tcBorders>
            <w:vAlign w:val="center"/>
          </w:tcPr>
          <w:p w14:paraId="0D94A236">
            <w:pPr>
              <w:topLinePunct/>
              <w:adjustRightInd w:val="0"/>
              <w:snapToGrid w:val="0"/>
              <w:textAlignment w:val="center"/>
              <w:rPr>
                <w:rFonts w:eastAsia="仿宋"/>
                <w:color w:val="000000"/>
                <w:sz w:val="24"/>
              </w:rPr>
            </w:pPr>
            <w:r>
              <w:rPr>
                <w:rFonts w:eastAsia="仿宋"/>
                <w:color w:val="000000"/>
                <w:kern w:val="0"/>
                <w:sz w:val="24"/>
                <w:lang w:bidi="ar"/>
              </w:rPr>
              <w:t>对危险化学品生产企业有未提供化学品安全技术说明书，或者未在包装（包括外包装件）上粘贴、拴挂化学品安全标签等行为的行政处罚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73CE8669">
            <w:pPr>
              <w:topLinePunct/>
              <w:adjustRightInd w:val="0"/>
              <w:snapToGrid w:val="0"/>
              <w:jc w:val="left"/>
              <w:textAlignment w:val="center"/>
              <w:rPr>
                <w:rFonts w:eastAsia="仿宋"/>
                <w:color w:val="000000"/>
                <w:sz w:val="24"/>
              </w:rPr>
            </w:pPr>
            <w:r>
              <w:rPr>
                <w:rFonts w:eastAsia="仿宋"/>
                <w:color w:val="000000"/>
                <w:kern w:val="0"/>
                <w:sz w:val="24"/>
                <w:lang w:bidi="ar"/>
              </w:rPr>
              <w:t>《危险化学品安全管理条例》</w:t>
            </w:r>
            <w:r>
              <w:rPr>
                <w:rFonts w:eastAsia="仿宋"/>
                <w:color w:val="000000"/>
                <w:kern w:val="0"/>
                <w:sz w:val="24"/>
                <w:lang w:bidi="ar"/>
              </w:rPr>
              <w:br w:type="textWrapping"/>
            </w:r>
            <w:r>
              <w:rPr>
                <w:rFonts w:eastAsia="仿宋"/>
                <w:color w:val="000000"/>
                <w:kern w:val="0"/>
                <w:sz w:val="24"/>
                <w:lang w:bidi="ar"/>
              </w:rPr>
              <w:t>第七十八条第一款第三项、第四项、第五项、第六项、第七项、第九项、第十项、第十一项  有下列情形之一的，由安全生产监督管理部门责令改正，可以处5万元以下的罚款；拒不改正的，处5万元以上10万元以下的罚款；情节严重的，责令停产停业整顿：（三）危险化学品生产企业未提供化学品安全技术说明书，或者未在包装（包括外包装件）上粘贴、拴挂化学品安全标签的；（四）危险化学品生产企业提供的化学品安全技术说明书与其生产的危险化学品不相符，或者在包装（包括外包装件）粘贴、拴挂的化学品安全标签与包装内危险化学品不相符，或者化学品安全技术说明书、化学品安全标签所载明的内容不符合国家标准要求的；（五）危险化学品生产企业发现其生产的危险化学品有新的危险特性不立即公告，或者不及时修订其化学品安全技术说明书和化学品安全标签的；（六）危险化学品经营企业经营没有化学品安全技术说明书和化学品安全标签的危险化学品的；（七）危险化学品包装物、容器的材质以及包装的型式、规格、方法和单件质量（重量）与所包装的危险化学品的性质和用途不相适应的；（九）危险化学品专用仓库未设专人负责管理，或者对储存的剧毒化学品以及储存数量构成重大危险源的其他危险化学品未实行双人收发、双人保管制度的；（十）储存危险化学品的单位未建立危险化学品出入库核查、登记制度的；（十一）危险化学品专用仓库未设置明显标志的。</w:t>
            </w:r>
          </w:p>
        </w:tc>
        <w:tc>
          <w:tcPr>
            <w:tcW w:w="476" w:type="pct"/>
            <w:tcBorders>
              <w:top w:val="single" w:color="000000" w:sz="4" w:space="0"/>
              <w:left w:val="single" w:color="000000" w:sz="4" w:space="0"/>
              <w:bottom w:val="single" w:color="000000" w:sz="4" w:space="0"/>
              <w:right w:val="single" w:color="000000" w:sz="4" w:space="0"/>
            </w:tcBorders>
            <w:vAlign w:val="center"/>
          </w:tcPr>
          <w:p w14:paraId="4D54D2C9">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15C8BB2B">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209A1580">
            <w:pPr>
              <w:topLinePunct/>
              <w:adjustRightInd w:val="0"/>
              <w:snapToGrid w:val="0"/>
              <w:jc w:val="center"/>
              <w:textAlignment w:val="center"/>
              <w:rPr>
                <w:rFonts w:eastAsia="仿宋"/>
                <w:color w:val="000000"/>
                <w:sz w:val="24"/>
              </w:rPr>
            </w:pPr>
            <w:r>
              <w:rPr>
                <w:rFonts w:hint="eastAsia" w:eastAsia="仿宋"/>
                <w:color w:val="000000"/>
                <w:kern w:val="0"/>
                <w:sz w:val="24"/>
                <w:lang w:eastAsia="zh-CN" w:bidi="ar"/>
              </w:rPr>
              <w:t>县级</w:t>
            </w:r>
          </w:p>
        </w:tc>
      </w:tr>
      <w:tr w14:paraId="7B6440E4">
        <w:tblPrEx>
          <w:tblCellMar>
            <w:top w:w="0" w:type="dxa"/>
            <w:left w:w="108" w:type="dxa"/>
            <w:bottom w:w="0" w:type="dxa"/>
            <w:right w:w="108" w:type="dxa"/>
          </w:tblCellMar>
        </w:tblPrEx>
        <w:trPr>
          <w:trHeight w:val="2107"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242753F6">
            <w:pPr>
              <w:topLinePunct/>
              <w:adjustRightInd w:val="0"/>
              <w:snapToGrid w:val="0"/>
              <w:jc w:val="center"/>
              <w:textAlignment w:val="center"/>
              <w:rPr>
                <w:rFonts w:eastAsia="仿宋"/>
                <w:color w:val="000000"/>
                <w:sz w:val="24"/>
              </w:rPr>
            </w:pPr>
            <w:r>
              <w:rPr>
                <w:rFonts w:eastAsia="仿宋"/>
                <w:color w:val="000000"/>
                <w:kern w:val="0"/>
                <w:sz w:val="24"/>
                <w:lang w:bidi="ar"/>
              </w:rPr>
              <w:t>79</w:t>
            </w:r>
          </w:p>
        </w:tc>
        <w:tc>
          <w:tcPr>
            <w:tcW w:w="838" w:type="pct"/>
            <w:tcBorders>
              <w:top w:val="single" w:color="000000" w:sz="4" w:space="0"/>
              <w:left w:val="single" w:color="000000" w:sz="4" w:space="0"/>
              <w:bottom w:val="single" w:color="000000" w:sz="4" w:space="0"/>
              <w:right w:val="single" w:color="000000" w:sz="4" w:space="0"/>
            </w:tcBorders>
            <w:vAlign w:val="center"/>
          </w:tcPr>
          <w:p w14:paraId="0901D7AE">
            <w:pPr>
              <w:topLinePunct/>
              <w:adjustRightInd w:val="0"/>
              <w:snapToGrid w:val="0"/>
              <w:textAlignment w:val="center"/>
              <w:rPr>
                <w:rFonts w:eastAsia="仿宋"/>
                <w:color w:val="000000"/>
                <w:sz w:val="24"/>
              </w:rPr>
            </w:pPr>
            <w:r>
              <w:rPr>
                <w:rFonts w:eastAsia="仿宋"/>
                <w:color w:val="000000"/>
                <w:kern w:val="0"/>
                <w:sz w:val="24"/>
                <w:lang w:bidi="ar"/>
              </w:rPr>
              <w:t>对生产、储存危险化学品的单位未在作业场所设置通信、报警装置的行政处罚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7348E9C7">
            <w:pPr>
              <w:topLinePunct/>
              <w:adjustRightInd w:val="0"/>
              <w:snapToGrid w:val="0"/>
              <w:jc w:val="left"/>
              <w:textAlignment w:val="center"/>
              <w:rPr>
                <w:rFonts w:eastAsia="仿宋"/>
                <w:color w:val="000000"/>
                <w:sz w:val="24"/>
              </w:rPr>
            </w:pPr>
            <w:r>
              <w:rPr>
                <w:rFonts w:eastAsia="仿宋"/>
                <w:color w:val="000000"/>
                <w:kern w:val="0"/>
                <w:sz w:val="24"/>
                <w:lang w:bidi="ar"/>
              </w:rPr>
              <w:t>《危险化学品安全管理条例》</w:t>
            </w:r>
            <w:r>
              <w:rPr>
                <w:rFonts w:eastAsia="仿宋"/>
                <w:color w:val="000000"/>
                <w:kern w:val="0"/>
                <w:sz w:val="24"/>
                <w:lang w:bidi="ar"/>
              </w:rPr>
              <w:br w:type="textWrapping"/>
            </w:r>
            <w:r>
              <w:rPr>
                <w:rFonts w:eastAsia="仿宋"/>
                <w:color w:val="000000"/>
                <w:kern w:val="0"/>
                <w:sz w:val="24"/>
                <w:lang w:bidi="ar"/>
              </w:rPr>
              <w:t>第七十八条第一款第八项  有下列情形之一的，由安全生产监督管理部门责令改正，可以处5万元以下的罚款；拒不改正的，处5万元以上10万元以下的罚款；情节严重的，责令停产停业整顿：（八）生产、储存危险化学品的单位未在作业场所和安全设施、设备上设置明显的安全警示标志，或者未在作业场所设置通信、报警装置的；</w:t>
            </w:r>
          </w:p>
        </w:tc>
        <w:tc>
          <w:tcPr>
            <w:tcW w:w="476" w:type="pct"/>
            <w:tcBorders>
              <w:top w:val="single" w:color="000000" w:sz="4" w:space="0"/>
              <w:left w:val="single" w:color="000000" w:sz="4" w:space="0"/>
              <w:bottom w:val="single" w:color="000000" w:sz="4" w:space="0"/>
              <w:right w:val="single" w:color="000000" w:sz="4" w:space="0"/>
            </w:tcBorders>
            <w:vAlign w:val="center"/>
          </w:tcPr>
          <w:p w14:paraId="6F0BAEC4">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47E41184">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417DBA87">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3A07B320">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05D9196D">
            <w:pPr>
              <w:topLinePunct/>
              <w:adjustRightInd w:val="0"/>
              <w:snapToGrid w:val="0"/>
              <w:jc w:val="center"/>
              <w:textAlignment w:val="center"/>
              <w:rPr>
                <w:rFonts w:eastAsia="仿宋"/>
                <w:color w:val="000000"/>
                <w:sz w:val="24"/>
              </w:rPr>
            </w:pPr>
            <w:r>
              <w:rPr>
                <w:rFonts w:eastAsia="仿宋"/>
                <w:color w:val="000000"/>
                <w:kern w:val="0"/>
                <w:sz w:val="24"/>
                <w:lang w:bidi="ar"/>
              </w:rPr>
              <w:t>80</w:t>
            </w:r>
          </w:p>
        </w:tc>
        <w:tc>
          <w:tcPr>
            <w:tcW w:w="838" w:type="pct"/>
            <w:tcBorders>
              <w:top w:val="single" w:color="000000" w:sz="4" w:space="0"/>
              <w:left w:val="single" w:color="000000" w:sz="4" w:space="0"/>
              <w:bottom w:val="single" w:color="000000" w:sz="4" w:space="0"/>
              <w:right w:val="single" w:color="000000" w:sz="4" w:space="0"/>
            </w:tcBorders>
            <w:vAlign w:val="center"/>
          </w:tcPr>
          <w:p w14:paraId="43CF35CC">
            <w:pPr>
              <w:topLinePunct/>
              <w:adjustRightInd w:val="0"/>
              <w:snapToGrid w:val="0"/>
              <w:textAlignment w:val="center"/>
              <w:rPr>
                <w:rFonts w:eastAsia="仿宋"/>
                <w:color w:val="000000"/>
                <w:sz w:val="24"/>
              </w:rPr>
            </w:pPr>
            <w:r>
              <w:rPr>
                <w:rFonts w:eastAsia="仿宋"/>
                <w:color w:val="000000"/>
                <w:kern w:val="0"/>
                <w:sz w:val="24"/>
                <w:lang w:bidi="ar"/>
              </w:rPr>
              <w:t>对生产、储存危险化学品的单位未按规定对危险化学品管道进行检测、维护的行政处罚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7C147338">
            <w:pPr>
              <w:topLinePunct/>
              <w:adjustRightInd w:val="0"/>
              <w:snapToGrid w:val="0"/>
              <w:jc w:val="left"/>
              <w:textAlignment w:val="center"/>
              <w:rPr>
                <w:rFonts w:eastAsia="仿宋"/>
                <w:color w:val="000000"/>
                <w:sz w:val="24"/>
              </w:rPr>
            </w:pPr>
            <w:r>
              <w:rPr>
                <w:rFonts w:eastAsia="仿宋"/>
                <w:color w:val="000000"/>
                <w:kern w:val="0"/>
                <w:sz w:val="24"/>
                <w:lang w:bidi="ar"/>
              </w:rPr>
              <w:t>1.《危险化学品安全管理条例》</w:t>
            </w:r>
            <w:r>
              <w:rPr>
                <w:rFonts w:eastAsia="仿宋"/>
                <w:color w:val="000000"/>
                <w:kern w:val="0"/>
                <w:sz w:val="24"/>
                <w:lang w:bidi="ar"/>
              </w:rPr>
              <w:br w:type="textWrapping"/>
            </w:r>
            <w:r>
              <w:rPr>
                <w:rFonts w:eastAsia="仿宋"/>
                <w:color w:val="000000"/>
                <w:kern w:val="0"/>
                <w:sz w:val="24"/>
                <w:lang w:bidi="ar"/>
              </w:rPr>
              <w:t>第七十八条第一款第一项  有下列情形之一的，由安全生产监督管理部门责令改正，可以处5万元以下的罚款；拒不改正的，处5万元以上10万元以下的罚款；情节严重的，责令停产停业整顿：（一）生产、储存危险化学品的单位未对其铺设的危险化学品管道设置明显的标志，或者未对危险化学品管道定期检查、检测的；</w:t>
            </w:r>
            <w:r>
              <w:rPr>
                <w:rFonts w:eastAsia="仿宋"/>
                <w:color w:val="000000"/>
                <w:kern w:val="0"/>
                <w:sz w:val="24"/>
                <w:lang w:bidi="ar"/>
              </w:rPr>
              <w:br w:type="textWrapping"/>
            </w:r>
            <w:r>
              <w:rPr>
                <w:rFonts w:eastAsia="仿宋"/>
                <w:color w:val="000000"/>
                <w:kern w:val="0"/>
                <w:sz w:val="24"/>
                <w:lang w:bidi="ar"/>
              </w:rPr>
              <w:t>2.《危险化学品输送管道安全管理规定》</w:t>
            </w:r>
            <w:r>
              <w:rPr>
                <w:rFonts w:eastAsia="仿宋"/>
                <w:color w:val="000000"/>
                <w:kern w:val="0"/>
                <w:sz w:val="24"/>
                <w:lang w:bidi="ar"/>
              </w:rPr>
              <w:br w:type="textWrapping"/>
            </w:r>
            <w:r>
              <w:rPr>
                <w:rFonts w:eastAsia="仿宋"/>
                <w:color w:val="000000"/>
                <w:kern w:val="0"/>
                <w:sz w:val="24"/>
                <w:lang w:bidi="ar"/>
              </w:rPr>
              <w:t>第三十五条第一项  有下列情形之一的，由安全生产监督管理部门责令改正，可以处5万元以下的罚款；拒不改正的，处5万元以上10万元以下的罚款；情节严重的，责令停产停业整顿：（一）管道单位未按照本规定对管道进行检测、维护的；</w:t>
            </w:r>
          </w:p>
        </w:tc>
        <w:tc>
          <w:tcPr>
            <w:tcW w:w="476" w:type="pct"/>
            <w:tcBorders>
              <w:top w:val="single" w:color="000000" w:sz="4" w:space="0"/>
              <w:left w:val="single" w:color="000000" w:sz="4" w:space="0"/>
              <w:bottom w:val="single" w:color="000000" w:sz="4" w:space="0"/>
              <w:right w:val="single" w:color="000000" w:sz="4" w:space="0"/>
            </w:tcBorders>
            <w:vAlign w:val="center"/>
          </w:tcPr>
          <w:p w14:paraId="35C27CA8">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12167BE2">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63B0712B">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310D17F6">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1D2D1908">
            <w:pPr>
              <w:topLinePunct/>
              <w:adjustRightInd w:val="0"/>
              <w:snapToGrid w:val="0"/>
              <w:jc w:val="center"/>
              <w:textAlignment w:val="center"/>
              <w:rPr>
                <w:rFonts w:eastAsia="仿宋"/>
                <w:color w:val="000000"/>
                <w:sz w:val="24"/>
              </w:rPr>
            </w:pPr>
            <w:r>
              <w:rPr>
                <w:rFonts w:eastAsia="仿宋"/>
                <w:color w:val="000000"/>
                <w:kern w:val="0"/>
                <w:sz w:val="24"/>
                <w:lang w:bidi="ar"/>
              </w:rPr>
              <w:t>81</w:t>
            </w:r>
          </w:p>
        </w:tc>
        <w:tc>
          <w:tcPr>
            <w:tcW w:w="838" w:type="pct"/>
            <w:tcBorders>
              <w:top w:val="single" w:color="000000" w:sz="4" w:space="0"/>
              <w:left w:val="single" w:color="000000" w:sz="4" w:space="0"/>
              <w:bottom w:val="single" w:color="000000" w:sz="4" w:space="0"/>
              <w:right w:val="single" w:color="000000" w:sz="4" w:space="0"/>
            </w:tcBorders>
            <w:vAlign w:val="center"/>
          </w:tcPr>
          <w:p w14:paraId="489AAE79">
            <w:pPr>
              <w:topLinePunct/>
              <w:adjustRightInd w:val="0"/>
              <w:snapToGrid w:val="0"/>
              <w:textAlignment w:val="center"/>
              <w:rPr>
                <w:rFonts w:eastAsia="仿宋"/>
                <w:color w:val="000000"/>
                <w:sz w:val="24"/>
              </w:rPr>
            </w:pPr>
            <w:r>
              <w:rPr>
                <w:rFonts w:eastAsia="仿宋"/>
                <w:color w:val="000000"/>
                <w:kern w:val="0"/>
                <w:sz w:val="24"/>
                <w:lang w:bidi="ar"/>
              </w:rPr>
              <w:t>对进行可能危及危险化学品管道安全的施工作业，施工单位未按照规定书面通知管道单位等行为的行政处罚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4CB360A4">
            <w:pPr>
              <w:topLinePunct/>
              <w:adjustRightInd w:val="0"/>
              <w:snapToGrid w:val="0"/>
              <w:jc w:val="left"/>
              <w:textAlignment w:val="center"/>
              <w:rPr>
                <w:rFonts w:eastAsia="仿宋"/>
                <w:color w:val="000000"/>
                <w:sz w:val="24"/>
              </w:rPr>
            </w:pPr>
            <w:r>
              <w:rPr>
                <w:rFonts w:eastAsia="仿宋"/>
                <w:color w:val="000000"/>
                <w:kern w:val="0"/>
                <w:sz w:val="24"/>
                <w:lang w:bidi="ar"/>
              </w:rPr>
              <w:t>1.《危险化学品安全管理条例》</w:t>
            </w:r>
            <w:r>
              <w:rPr>
                <w:rFonts w:eastAsia="仿宋"/>
                <w:color w:val="000000"/>
                <w:kern w:val="0"/>
                <w:sz w:val="24"/>
                <w:lang w:bidi="ar"/>
              </w:rPr>
              <w:br w:type="textWrapping"/>
            </w:r>
            <w:r>
              <w:rPr>
                <w:rFonts w:eastAsia="仿宋"/>
                <w:color w:val="000000"/>
                <w:kern w:val="0"/>
                <w:sz w:val="24"/>
                <w:lang w:bidi="ar"/>
              </w:rPr>
              <w:t>第七十八条第一款第二项  有下列情形之一的，由安全生产监督管理部门责令改正，可以处5万元以下的罚款；拒不改正的，处5万元以上10万元以下的罚款；情节严重的，责令停产停业整顿：（二）进行可能危及危险化学品管道安全的施工作业，施工单位未按照规定书面通知管道所属单位，或者未与管道所属单位共同制定应急预案、采取相应的安全防护措施，或者管道所属单位未指派专门人员到现场进行管道安全保护指导的；</w:t>
            </w:r>
            <w:r>
              <w:rPr>
                <w:rFonts w:eastAsia="仿宋"/>
                <w:color w:val="000000"/>
                <w:kern w:val="0"/>
                <w:sz w:val="24"/>
                <w:lang w:bidi="ar"/>
              </w:rPr>
              <w:br w:type="textWrapping"/>
            </w:r>
            <w:r>
              <w:rPr>
                <w:rFonts w:eastAsia="仿宋"/>
                <w:color w:val="000000"/>
                <w:kern w:val="0"/>
                <w:sz w:val="24"/>
                <w:lang w:bidi="ar"/>
              </w:rPr>
              <w:t>2.《危险化学品输送管道安全管理规定》</w:t>
            </w:r>
            <w:r>
              <w:rPr>
                <w:rFonts w:eastAsia="仿宋"/>
                <w:color w:val="000000"/>
                <w:kern w:val="0"/>
                <w:sz w:val="24"/>
                <w:lang w:bidi="ar"/>
              </w:rPr>
              <w:br w:type="textWrapping"/>
            </w:r>
            <w:r>
              <w:rPr>
                <w:rFonts w:eastAsia="仿宋"/>
                <w:color w:val="000000"/>
                <w:kern w:val="0"/>
                <w:sz w:val="24"/>
                <w:lang w:bidi="ar"/>
              </w:rPr>
              <w:t>第三十五条第二项  有下列情形之一的，由安全生产监督管理部门责令改正，可以处5万元以下的罚款；拒不改正的，处5万元以上10万元以下的罚款；情节严重的，责令停产停业整顿：（二）进行可能危及危险化学品管道安全的施工作业，施工单位未按照规定书面通知管道单位，或者未与管道单位共同制定应急预案并采取相应的防护措施，或者管道单位未指派专人到现场进行管道安全保护指导的。</w:t>
            </w:r>
          </w:p>
        </w:tc>
        <w:tc>
          <w:tcPr>
            <w:tcW w:w="476" w:type="pct"/>
            <w:tcBorders>
              <w:top w:val="single" w:color="000000" w:sz="4" w:space="0"/>
              <w:left w:val="single" w:color="000000" w:sz="4" w:space="0"/>
              <w:bottom w:val="single" w:color="000000" w:sz="4" w:space="0"/>
              <w:right w:val="single" w:color="000000" w:sz="4" w:space="0"/>
            </w:tcBorders>
            <w:vAlign w:val="center"/>
          </w:tcPr>
          <w:p w14:paraId="5C686C5A">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316099F8">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07E926D0">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4B0CB739">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021FC8A5">
            <w:pPr>
              <w:topLinePunct/>
              <w:adjustRightInd w:val="0"/>
              <w:snapToGrid w:val="0"/>
              <w:jc w:val="center"/>
              <w:textAlignment w:val="center"/>
              <w:rPr>
                <w:rFonts w:eastAsia="仿宋"/>
                <w:color w:val="000000"/>
                <w:sz w:val="24"/>
              </w:rPr>
            </w:pPr>
            <w:r>
              <w:rPr>
                <w:rFonts w:eastAsia="仿宋"/>
                <w:color w:val="000000"/>
                <w:kern w:val="0"/>
                <w:sz w:val="24"/>
                <w:lang w:bidi="ar"/>
              </w:rPr>
              <w:t>82</w:t>
            </w:r>
          </w:p>
        </w:tc>
        <w:tc>
          <w:tcPr>
            <w:tcW w:w="838" w:type="pct"/>
            <w:tcBorders>
              <w:top w:val="single" w:color="000000" w:sz="4" w:space="0"/>
              <w:left w:val="single" w:color="000000" w:sz="4" w:space="0"/>
              <w:bottom w:val="single" w:color="000000" w:sz="4" w:space="0"/>
              <w:right w:val="single" w:color="000000" w:sz="4" w:space="0"/>
            </w:tcBorders>
            <w:vAlign w:val="center"/>
          </w:tcPr>
          <w:p w14:paraId="530D1E30">
            <w:pPr>
              <w:topLinePunct/>
              <w:adjustRightInd w:val="0"/>
              <w:snapToGrid w:val="0"/>
              <w:textAlignment w:val="center"/>
              <w:rPr>
                <w:rFonts w:eastAsia="仿宋"/>
                <w:color w:val="000000"/>
                <w:sz w:val="24"/>
              </w:rPr>
            </w:pPr>
            <w:r>
              <w:rPr>
                <w:rFonts w:eastAsia="仿宋"/>
                <w:color w:val="000000"/>
                <w:kern w:val="0"/>
                <w:sz w:val="24"/>
                <w:lang w:bidi="ar"/>
              </w:rPr>
              <w:t>对转产、停产、停止使用的危险化学品管道，管道单位未采取有效措施及时、妥善处置及报备的行政处罚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48B44CBC">
            <w:pPr>
              <w:topLinePunct/>
              <w:adjustRightInd w:val="0"/>
              <w:snapToGrid w:val="0"/>
              <w:jc w:val="left"/>
              <w:textAlignment w:val="center"/>
              <w:rPr>
                <w:rFonts w:eastAsia="仿宋"/>
                <w:color w:val="000000"/>
                <w:sz w:val="24"/>
              </w:rPr>
            </w:pPr>
            <w:r>
              <w:rPr>
                <w:rFonts w:eastAsia="仿宋"/>
                <w:color w:val="000000"/>
                <w:kern w:val="0"/>
                <w:sz w:val="24"/>
                <w:lang w:bidi="ar"/>
              </w:rPr>
              <w:t>《危险化学品输送管道安全管理规定》</w:t>
            </w:r>
            <w:r>
              <w:rPr>
                <w:rFonts w:eastAsia="仿宋"/>
                <w:color w:val="000000"/>
                <w:kern w:val="0"/>
                <w:sz w:val="24"/>
                <w:lang w:bidi="ar"/>
              </w:rPr>
              <w:br w:type="textWrapping"/>
            </w:r>
            <w:r>
              <w:rPr>
                <w:rFonts w:eastAsia="仿宋"/>
                <w:color w:val="000000"/>
                <w:kern w:val="0"/>
                <w:sz w:val="24"/>
                <w:lang w:bidi="ar"/>
              </w:rPr>
              <w:t>第三十六条  对转产、停产、停止使用的危险化学品管道，管道单位未采取有效措施及时、妥善处置的，由安全生产监督管理部门责令改正，处5万元以上10万元以下的罚款；构成犯罪的，依法追究刑事责任。</w:t>
            </w:r>
            <w:r>
              <w:rPr>
                <w:rFonts w:eastAsia="仿宋"/>
                <w:color w:val="000000"/>
                <w:kern w:val="0"/>
                <w:sz w:val="24"/>
                <w:lang w:bidi="ar"/>
              </w:rPr>
              <w:br w:type="textWrapping"/>
            </w:r>
            <w:r>
              <w:rPr>
                <w:rFonts w:eastAsia="仿宋"/>
                <w:color w:val="000000"/>
                <w:kern w:val="0"/>
                <w:sz w:val="24"/>
                <w:lang w:bidi="ar"/>
              </w:rPr>
              <w:t>对转产、停产、停止使用的危险化学品管道，管道单位未按照本规定将处置方案报县级以上安全生产监督管理部门的，由安全生产监督管理部门责令改正，可以处1万元以下的罚款；拒不改正的，处1万元以上5万元以下的罚款。</w:t>
            </w:r>
          </w:p>
        </w:tc>
        <w:tc>
          <w:tcPr>
            <w:tcW w:w="476" w:type="pct"/>
            <w:tcBorders>
              <w:top w:val="single" w:color="000000" w:sz="4" w:space="0"/>
              <w:left w:val="single" w:color="000000" w:sz="4" w:space="0"/>
              <w:bottom w:val="single" w:color="000000" w:sz="4" w:space="0"/>
              <w:right w:val="single" w:color="000000" w:sz="4" w:space="0"/>
            </w:tcBorders>
            <w:vAlign w:val="center"/>
          </w:tcPr>
          <w:p w14:paraId="73C022C6">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5E073C17">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5BA8E36C">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0A19D45C">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3E289D3B">
            <w:pPr>
              <w:topLinePunct/>
              <w:adjustRightInd w:val="0"/>
              <w:snapToGrid w:val="0"/>
              <w:jc w:val="center"/>
              <w:textAlignment w:val="center"/>
              <w:rPr>
                <w:rFonts w:eastAsia="仿宋"/>
                <w:color w:val="000000"/>
                <w:sz w:val="24"/>
              </w:rPr>
            </w:pPr>
            <w:r>
              <w:rPr>
                <w:rFonts w:eastAsia="仿宋"/>
                <w:color w:val="000000"/>
                <w:kern w:val="0"/>
                <w:sz w:val="24"/>
                <w:lang w:bidi="ar"/>
              </w:rPr>
              <w:t>83</w:t>
            </w:r>
          </w:p>
        </w:tc>
        <w:tc>
          <w:tcPr>
            <w:tcW w:w="838" w:type="pct"/>
            <w:tcBorders>
              <w:top w:val="single" w:color="000000" w:sz="4" w:space="0"/>
              <w:left w:val="single" w:color="000000" w:sz="4" w:space="0"/>
              <w:bottom w:val="single" w:color="000000" w:sz="4" w:space="0"/>
              <w:right w:val="single" w:color="000000" w:sz="4" w:space="0"/>
            </w:tcBorders>
            <w:vAlign w:val="center"/>
          </w:tcPr>
          <w:p w14:paraId="34F6AEBA">
            <w:pPr>
              <w:topLinePunct/>
              <w:adjustRightInd w:val="0"/>
              <w:snapToGrid w:val="0"/>
              <w:textAlignment w:val="center"/>
              <w:rPr>
                <w:rFonts w:eastAsia="仿宋"/>
                <w:color w:val="000000"/>
                <w:sz w:val="24"/>
              </w:rPr>
            </w:pPr>
            <w:r>
              <w:rPr>
                <w:rFonts w:eastAsia="仿宋"/>
                <w:color w:val="000000"/>
                <w:kern w:val="0"/>
                <w:sz w:val="24"/>
                <w:lang w:bidi="ar"/>
              </w:rPr>
              <w:t>对危险化学品建设项目的建设单位有建设项目安全设施竣工后未进行检验、检测等行为的行政处罚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3324E158">
            <w:pPr>
              <w:topLinePunct/>
              <w:adjustRightInd w:val="0"/>
              <w:snapToGrid w:val="0"/>
              <w:jc w:val="left"/>
              <w:textAlignment w:val="center"/>
              <w:rPr>
                <w:rFonts w:eastAsia="仿宋"/>
                <w:color w:val="000000"/>
                <w:sz w:val="24"/>
              </w:rPr>
            </w:pPr>
            <w:r>
              <w:rPr>
                <w:rFonts w:eastAsia="仿宋"/>
                <w:color w:val="000000"/>
                <w:kern w:val="0"/>
                <w:sz w:val="24"/>
                <w:lang w:bidi="ar"/>
              </w:rPr>
              <w:t>《危险化学品建设项目安全监督管理办法》</w:t>
            </w:r>
            <w:r>
              <w:rPr>
                <w:rFonts w:eastAsia="仿宋"/>
                <w:color w:val="000000"/>
                <w:kern w:val="0"/>
                <w:sz w:val="24"/>
                <w:lang w:bidi="ar"/>
              </w:rPr>
              <w:br w:type="textWrapping"/>
            </w:r>
            <w:r>
              <w:rPr>
                <w:rFonts w:eastAsia="仿宋"/>
                <w:color w:val="000000"/>
                <w:kern w:val="0"/>
                <w:sz w:val="24"/>
                <w:lang w:bidi="ar"/>
              </w:rPr>
              <w:t>第三十七条  建设单位有下列行为之一的，责令改正，可以处1万元以下的罚款；逾期未改正的，处1万元以上3万元以下的罚款：（一）建设项目安全设施竣工后未进行检验、检测的；（二）在申请建设项目安全审查时提供虚假文件、资料的；（三）未组织有关单位和专家研究提出试生产（使用）可能出现的安全问题及对策，或者未制定周密的试生产（使用）方案，进行试生产（使用）的；（四）未组织有关专家对试生产（使用）方案进行审查、对试生产（使用）条件进行检查确认的。</w:t>
            </w:r>
          </w:p>
        </w:tc>
        <w:tc>
          <w:tcPr>
            <w:tcW w:w="476" w:type="pct"/>
            <w:tcBorders>
              <w:top w:val="single" w:color="000000" w:sz="4" w:space="0"/>
              <w:left w:val="single" w:color="000000" w:sz="4" w:space="0"/>
              <w:bottom w:val="single" w:color="000000" w:sz="4" w:space="0"/>
              <w:right w:val="single" w:color="000000" w:sz="4" w:space="0"/>
            </w:tcBorders>
            <w:vAlign w:val="center"/>
          </w:tcPr>
          <w:p w14:paraId="3AC850F5">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70A23FFD">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76790079">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714DD735">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20B2428A">
            <w:pPr>
              <w:topLinePunct/>
              <w:adjustRightInd w:val="0"/>
              <w:snapToGrid w:val="0"/>
              <w:jc w:val="center"/>
              <w:textAlignment w:val="center"/>
              <w:rPr>
                <w:rFonts w:eastAsia="仿宋"/>
                <w:color w:val="000000"/>
                <w:sz w:val="24"/>
              </w:rPr>
            </w:pPr>
            <w:r>
              <w:rPr>
                <w:rFonts w:eastAsia="仿宋"/>
                <w:color w:val="000000"/>
                <w:kern w:val="0"/>
                <w:sz w:val="24"/>
                <w:lang w:bidi="ar"/>
              </w:rPr>
              <w:t>84</w:t>
            </w:r>
          </w:p>
        </w:tc>
        <w:tc>
          <w:tcPr>
            <w:tcW w:w="838" w:type="pct"/>
            <w:tcBorders>
              <w:top w:val="single" w:color="000000" w:sz="4" w:space="0"/>
              <w:left w:val="single" w:color="000000" w:sz="4" w:space="0"/>
              <w:bottom w:val="single" w:color="000000" w:sz="4" w:space="0"/>
              <w:right w:val="single" w:color="000000" w:sz="4" w:space="0"/>
            </w:tcBorders>
            <w:vAlign w:val="center"/>
          </w:tcPr>
          <w:p w14:paraId="07CF129D">
            <w:pPr>
              <w:topLinePunct/>
              <w:adjustRightInd w:val="0"/>
              <w:snapToGrid w:val="0"/>
              <w:textAlignment w:val="center"/>
              <w:rPr>
                <w:rFonts w:eastAsia="仿宋"/>
                <w:color w:val="000000"/>
                <w:sz w:val="24"/>
              </w:rPr>
            </w:pPr>
            <w:r>
              <w:rPr>
                <w:rFonts w:eastAsia="仿宋"/>
                <w:color w:val="000000"/>
                <w:kern w:val="0"/>
                <w:sz w:val="24"/>
                <w:lang w:bidi="ar"/>
              </w:rPr>
              <w:t>对危险化学品建设项目的建设单位未如实申请建设项目安全审查的行政处罚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0EA7B4BB">
            <w:pPr>
              <w:topLinePunct/>
              <w:adjustRightInd w:val="0"/>
              <w:snapToGrid w:val="0"/>
              <w:jc w:val="left"/>
              <w:textAlignment w:val="center"/>
              <w:rPr>
                <w:rFonts w:eastAsia="仿宋"/>
                <w:color w:val="000000"/>
                <w:sz w:val="24"/>
              </w:rPr>
            </w:pPr>
            <w:r>
              <w:rPr>
                <w:rFonts w:eastAsia="仿宋"/>
                <w:color w:val="000000"/>
                <w:kern w:val="0"/>
                <w:sz w:val="24"/>
                <w:lang w:bidi="ar"/>
              </w:rPr>
              <w:t>1.《危险化学品建设项目安全监督管理办法》</w:t>
            </w:r>
            <w:r>
              <w:rPr>
                <w:rFonts w:eastAsia="仿宋"/>
                <w:color w:val="000000"/>
                <w:kern w:val="0"/>
                <w:sz w:val="24"/>
                <w:lang w:bidi="ar"/>
              </w:rPr>
              <w:br w:type="textWrapping"/>
            </w:r>
            <w:r>
              <w:rPr>
                <w:rFonts w:eastAsia="仿宋"/>
                <w:color w:val="000000"/>
                <w:kern w:val="0"/>
                <w:sz w:val="24"/>
                <w:lang w:bidi="ar"/>
              </w:rPr>
              <w:t>第三十八条  建设单位隐瞒有关情况或者提供虚假材料申请建设项目安全审查的，不予受理或者审查不予通过，给予警告，并自安全生产监督管理部门发现之日起一年内不得再次申请该审查。</w:t>
            </w:r>
            <w:r>
              <w:rPr>
                <w:rFonts w:eastAsia="仿宋"/>
                <w:color w:val="000000"/>
                <w:kern w:val="0"/>
                <w:sz w:val="24"/>
                <w:lang w:bidi="ar"/>
              </w:rPr>
              <w:br w:type="textWrapping"/>
            </w:r>
            <w:r>
              <w:rPr>
                <w:rFonts w:eastAsia="仿宋"/>
                <w:color w:val="000000"/>
                <w:kern w:val="0"/>
                <w:sz w:val="24"/>
                <w:lang w:bidi="ar"/>
              </w:rPr>
              <w:t>建设单位采用欺骗、贿赂等不正当手段取得建设项目安全审查的，自安全生产监督管理部门撤销建设项目安全审查之日起三年内不得再次申请该审查。</w:t>
            </w:r>
            <w:r>
              <w:rPr>
                <w:rFonts w:eastAsia="仿宋"/>
                <w:color w:val="000000"/>
                <w:kern w:val="0"/>
                <w:sz w:val="24"/>
                <w:lang w:bidi="ar"/>
              </w:rPr>
              <w:br w:type="textWrapping"/>
            </w:r>
            <w:r>
              <w:rPr>
                <w:rFonts w:eastAsia="仿宋"/>
                <w:color w:val="000000"/>
                <w:kern w:val="0"/>
                <w:sz w:val="24"/>
                <w:lang w:bidi="ar"/>
              </w:rPr>
              <w:t>2.《中华人民共和国行政许可法》</w:t>
            </w:r>
            <w:r>
              <w:rPr>
                <w:rFonts w:eastAsia="仿宋"/>
                <w:color w:val="000000"/>
                <w:kern w:val="0"/>
                <w:sz w:val="24"/>
                <w:lang w:bidi="ar"/>
              </w:rPr>
              <w:br w:type="textWrapping"/>
            </w:r>
            <w:r>
              <w:rPr>
                <w:rFonts w:eastAsia="仿宋"/>
                <w:color w:val="000000"/>
                <w:kern w:val="0"/>
                <w:sz w:val="24"/>
                <w:lang w:bidi="ar"/>
              </w:rPr>
              <w:t>第七十八条  行政许可申请人隐瞒有关情况或者提供虚假材料申请行政许可的，行政机关不予受理或者不予行政许可，并给予警告；行政许可申请属于直接关系公共安全、人身健康、生命财产安全事项的，申请人在一年内不得再次申请该行政许可。</w:t>
            </w:r>
            <w:r>
              <w:rPr>
                <w:rFonts w:eastAsia="仿宋"/>
                <w:color w:val="000000"/>
                <w:kern w:val="0"/>
                <w:sz w:val="24"/>
                <w:lang w:bidi="ar"/>
              </w:rPr>
              <w:br w:type="textWrapping"/>
            </w:r>
            <w:r>
              <w:rPr>
                <w:rFonts w:eastAsia="仿宋"/>
                <w:color w:val="000000"/>
                <w:kern w:val="0"/>
                <w:sz w:val="24"/>
                <w:lang w:bidi="ar"/>
              </w:rPr>
              <w:t>第七十九条  被许可人以欺骗、贿赂等不正当手段取得行政许可的，行政机关应当依法给予行政处罚；取得的行政许可属于直接关系公共安全、人身健康、生命财产安全事项的，申请人在三年内不得再次申请该行政许可；构成犯罪的，依法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31DA16DE">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0E258DFF">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63B57984">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4D063AE9">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5DF09D2B">
            <w:pPr>
              <w:topLinePunct/>
              <w:adjustRightInd w:val="0"/>
              <w:snapToGrid w:val="0"/>
              <w:jc w:val="center"/>
              <w:textAlignment w:val="center"/>
              <w:rPr>
                <w:rFonts w:eastAsia="仿宋"/>
                <w:color w:val="000000"/>
                <w:sz w:val="24"/>
              </w:rPr>
            </w:pPr>
            <w:r>
              <w:rPr>
                <w:rFonts w:eastAsia="仿宋"/>
                <w:color w:val="000000"/>
                <w:kern w:val="0"/>
                <w:sz w:val="24"/>
                <w:lang w:bidi="ar"/>
              </w:rPr>
              <w:t>85</w:t>
            </w:r>
          </w:p>
        </w:tc>
        <w:tc>
          <w:tcPr>
            <w:tcW w:w="838" w:type="pct"/>
            <w:tcBorders>
              <w:top w:val="single" w:color="000000" w:sz="4" w:space="0"/>
              <w:left w:val="single" w:color="000000" w:sz="4" w:space="0"/>
              <w:bottom w:val="single" w:color="000000" w:sz="4" w:space="0"/>
              <w:right w:val="single" w:color="000000" w:sz="4" w:space="0"/>
            </w:tcBorders>
            <w:vAlign w:val="center"/>
          </w:tcPr>
          <w:p w14:paraId="65379F37">
            <w:pPr>
              <w:topLinePunct/>
              <w:adjustRightInd w:val="0"/>
              <w:snapToGrid w:val="0"/>
              <w:textAlignment w:val="center"/>
              <w:rPr>
                <w:rFonts w:eastAsia="仿宋"/>
                <w:color w:val="000000"/>
                <w:sz w:val="24"/>
              </w:rPr>
            </w:pPr>
            <w:r>
              <w:rPr>
                <w:rFonts w:eastAsia="仿宋"/>
                <w:color w:val="000000"/>
                <w:kern w:val="0"/>
                <w:sz w:val="24"/>
                <w:lang w:bidi="ar"/>
              </w:rPr>
              <w:t>对化学品单位有未按规定对化学品进行物理危险性鉴定或者分类等行为的行政处罚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09B72FC6">
            <w:pPr>
              <w:topLinePunct/>
              <w:adjustRightInd w:val="0"/>
              <w:snapToGrid w:val="0"/>
              <w:jc w:val="left"/>
              <w:textAlignment w:val="center"/>
              <w:rPr>
                <w:rFonts w:eastAsia="仿宋"/>
                <w:color w:val="000000"/>
                <w:sz w:val="24"/>
              </w:rPr>
            </w:pPr>
            <w:r>
              <w:rPr>
                <w:rFonts w:eastAsia="仿宋"/>
                <w:color w:val="000000"/>
                <w:kern w:val="0"/>
                <w:sz w:val="24"/>
                <w:lang w:bidi="ar"/>
              </w:rPr>
              <w:t>《化学品物理危险性鉴定与分类管理办法》</w:t>
            </w:r>
            <w:r>
              <w:rPr>
                <w:rFonts w:eastAsia="仿宋"/>
                <w:color w:val="000000"/>
                <w:kern w:val="0"/>
                <w:sz w:val="24"/>
                <w:lang w:bidi="ar"/>
              </w:rPr>
              <w:br w:type="textWrapping"/>
            </w:r>
            <w:r>
              <w:rPr>
                <w:rFonts w:eastAsia="仿宋"/>
                <w:color w:val="000000"/>
                <w:kern w:val="0"/>
                <w:sz w:val="24"/>
                <w:lang w:bidi="ar"/>
              </w:rPr>
              <w:t>第十九条  化学品单位有下列情形之一的，由安全生产监督管理部门责令限期改正，可以处1万元以下的罚款；拒不改正的，处1万元以上3万元以下的罚款：（一）未按照本办法规定对化学品进行物理危险性鉴定或者分类的；（二）未按照本办法规定建立化学品物理危险性鉴定与分类管理档案的；（三）在办理化学品物理危险性的鉴定过程中，隐瞒化学品的危险性成分、含量等相关信息或者提供虚假材料的。</w:t>
            </w:r>
          </w:p>
        </w:tc>
        <w:tc>
          <w:tcPr>
            <w:tcW w:w="476" w:type="pct"/>
            <w:tcBorders>
              <w:top w:val="single" w:color="000000" w:sz="4" w:space="0"/>
              <w:left w:val="single" w:color="000000" w:sz="4" w:space="0"/>
              <w:bottom w:val="single" w:color="000000" w:sz="4" w:space="0"/>
              <w:right w:val="single" w:color="000000" w:sz="4" w:space="0"/>
            </w:tcBorders>
            <w:vAlign w:val="center"/>
          </w:tcPr>
          <w:p w14:paraId="13CB374C">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39BA9BDB">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1A2281C4">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369B984A">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48292350">
            <w:pPr>
              <w:topLinePunct/>
              <w:adjustRightInd w:val="0"/>
              <w:snapToGrid w:val="0"/>
              <w:jc w:val="center"/>
              <w:textAlignment w:val="center"/>
              <w:rPr>
                <w:rFonts w:eastAsia="仿宋"/>
                <w:color w:val="000000"/>
                <w:sz w:val="24"/>
              </w:rPr>
            </w:pPr>
            <w:r>
              <w:rPr>
                <w:rFonts w:eastAsia="仿宋"/>
                <w:color w:val="000000"/>
                <w:kern w:val="0"/>
                <w:sz w:val="24"/>
                <w:lang w:bidi="ar"/>
              </w:rPr>
              <w:t>86</w:t>
            </w:r>
          </w:p>
        </w:tc>
        <w:tc>
          <w:tcPr>
            <w:tcW w:w="838" w:type="pct"/>
            <w:tcBorders>
              <w:top w:val="single" w:color="000000" w:sz="4" w:space="0"/>
              <w:left w:val="single" w:color="000000" w:sz="4" w:space="0"/>
              <w:bottom w:val="single" w:color="000000" w:sz="4" w:space="0"/>
              <w:right w:val="single" w:color="000000" w:sz="4" w:space="0"/>
            </w:tcBorders>
            <w:vAlign w:val="center"/>
          </w:tcPr>
          <w:p w14:paraId="1605D509">
            <w:pPr>
              <w:topLinePunct/>
              <w:adjustRightInd w:val="0"/>
              <w:snapToGrid w:val="0"/>
              <w:textAlignment w:val="center"/>
              <w:rPr>
                <w:rFonts w:eastAsia="仿宋"/>
                <w:color w:val="000000"/>
                <w:sz w:val="24"/>
              </w:rPr>
            </w:pPr>
            <w:r>
              <w:rPr>
                <w:rFonts w:eastAsia="仿宋"/>
                <w:color w:val="000000"/>
                <w:kern w:val="0"/>
                <w:sz w:val="24"/>
                <w:lang w:bidi="ar"/>
              </w:rPr>
              <w:t>对鉴定机构在物理危险性鉴定过程中有伪造、篡改数据或者有其他弄虚作假等行为处以罚款的行政处罚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562DCB8F">
            <w:pPr>
              <w:topLinePunct/>
              <w:adjustRightInd w:val="0"/>
              <w:snapToGrid w:val="0"/>
              <w:jc w:val="left"/>
              <w:textAlignment w:val="center"/>
              <w:rPr>
                <w:rFonts w:eastAsia="仿宋"/>
                <w:color w:val="000000"/>
                <w:sz w:val="24"/>
              </w:rPr>
            </w:pPr>
            <w:r>
              <w:rPr>
                <w:rFonts w:eastAsia="仿宋"/>
                <w:color w:val="000000"/>
                <w:kern w:val="0"/>
                <w:sz w:val="24"/>
                <w:lang w:bidi="ar"/>
              </w:rPr>
              <w:t>《化学品物理危险性鉴定与分类管理办法》</w:t>
            </w:r>
            <w:r>
              <w:rPr>
                <w:rFonts w:eastAsia="仿宋"/>
                <w:color w:val="000000"/>
                <w:kern w:val="0"/>
                <w:sz w:val="24"/>
                <w:lang w:bidi="ar"/>
              </w:rPr>
              <w:br w:type="textWrapping"/>
            </w:r>
            <w:r>
              <w:rPr>
                <w:rFonts w:eastAsia="仿宋"/>
                <w:color w:val="000000"/>
                <w:kern w:val="0"/>
                <w:sz w:val="24"/>
                <w:lang w:bidi="ar"/>
              </w:rPr>
              <w:t>第二十条  鉴定机构在物理危险性鉴定过程中有下列行为之一的，处1万元以上3万元以下的罚款；情节严重的，由国家安全生产监督管理总局从鉴定机构名单中除名并公告：（一）伪造、篡改数据或者有其他弄虚作假行为的；（二）未通过安全生产监督管理部门的监督检查，仍从事鉴定工作的；（三）泄露化学品单位商业秘密的。</w:t>
            </w:r>
          </w:p>
        </w:tc>
        <w:tc>
          <w:tcPr>
            <w:tcW w:w="476" w:type="pct"/>
            <w:tcBorders>
              <w:top w:val="single" w:color="000000" w:sz="4" w:space="0"/>
              <w:left w:val="single" w:color="000000" w:sz="4" w:space="0"/>
              <w:bottom w:val="single" w:color="000000" w:sz="4" w:space="0"/>
              <w:right w:val="single" w:color="000000" w:sz="4" w:space="0"/>
            </w:tcBorders>
            <w:vAlign w:val="center"/>
          </w:tcPr>
          <w:p w14:paraId="0A42B3C0">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4CD49570">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229A4E50">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12933F75">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6BB9605D">
            <w:pPr>
              <w:topLinePunct/>
              <w:adjustRightInd w:val="0"/>
              <w:snapToGrid w:val="0"/>
              <w:jc w:val="center"/>
              <w:textAlignment w:val="center"/>
              <w:rPr>
                <w:rFonts w:eastAsia="仿宋"/>
                <w:color w:val="000000"/>
                <w:sz w:val="24"/>
              </w:rPr>
            </w:pPr>
            <w:r>
              <w:rPr>
                <w:rFonts w:eastAsia="仿宋"/>
                <w:color w:val="000000"/>
                <w:kern w:val="0"/>
                <w:sz w:val="24"/>
                <w:lang w:bidi="ar"/>
              </w:rPr>
              <w:t>87</w:t>
            </w:r>
          </w:p>
        </w:tc>
        <w:tc>
          <w:tcPr>
            <w:tcW w:w="838" w:type="pct"/>
            <w:tcBorders>
              <w:top w:val="single" w:color="000000" w:sz="4" w:space="0"/>
              <w:left w:val="single" w:color="000000" w:sz="4" w:space="0"/>
              <w:bottom w:val="single" w:color="000000" w:sz="4" w:space="0"/>
              <w:right w:val="single" w:color="000000" w:sz="4" w:space="0"/>
            </w:tcBorders>
            <w:vAlign w:val="center"/>
          </w:tcPr>
          <w:p w14:paraId="2A1C7D3D">
            <w:pPr>
              <w:topLinePunct/>
              <w:adjustRightInd w:val="0"/>
              <w:snapToGrid w:val="0"/>
              <w:textAlignment w:val="center"/>
              <w:rPr>
                <w:rFonts w:eastAsia="仿宋"/>
                <w:color w:val="000000"/>
                <w:sz w:val="24"/>
              </w:rPr>
            </w:pPr>
            <w:r>
              <w:rPr>
                <w:rFonts w:eastAsia="仿宋"/>
                <w:color w:val="000000"/>
                <w:kern w:val="0"/>
                <w:sz w:val="24"/>
                <w:lang w:bidi="ar"/>
              </w:rPr>
              <w:t>对生产、经营、使用国家禁止生产、经营、使用的危险化学品的行政处罚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5273A347">
            <w:pPr>
              <w:topLinePunct/>
              <w:adjustRightInd w:val="0"/>
              <w:snapToGrid w:val="0"/>
              <w:jc w:val="left"/>
              <w:textAlignment w:val="center"/>
              <w:rPr>
                <w:rFonts w:eastAsia="仿宋"/>
                <w:color w:val="000000"/>
                <w:sz w:val="24"/>
              </w:rPr>
            </w:pPr>
            <w:r>
              <w:rPr>
                <w:rFonts w:eastAsia="仿宋"/>
                <w:color w:val="000000"/>
                <w:kern w:val="0"/>
                <w:sz w:val="24"/>
                <w:lang w:bidi="ar"/>
              </w:rPr>
              <w:t>《危险化学品安全管理条例》</w:t>
            </w:r>
            <w:r>
              <w:rPr>
                <w:rFonts w:eastAsia="仿宋"/>
                <w:color w:val="000000"/>
                <w:kern w:val="0"/>
                <w:sz w:val="24"/>
                <w:lang w:bidi="ar"/>
              </w:rPr>
              <w:br w:type="textWrapping"/>
            </w:r>
            <w:r>
              <w:rPr>
                <w:rFonts w:eastAsia="仿宋"/>
                <w:color w:val="000000"/>
                <w:kern w:val="0"/>
                <w:sz w:val="24"/>
                <w:lang w:bidi="ar"/>
              </w:rPr>
              <w:t>第七十五条  生产、经营、使用国家禁止生产、经营、使用的危险化学品的，由安全生产监督管理部门责令停止生产、经营、使用活动，处20万元以上50万元以下的罚款，有违法所得的，没收违法所得；构成犯罪的，依法追究刑事责任。</w:t>
            </w:r>
            <w:r>
              <w:rPr>
                <w:rFonts w:eastAsia="仿宋"/>
                <w:color w:val="000000"/>
                <w:kern w:val="0"/>
                <w:sz w:val="24"/>
                <w:lang w:bidi="ar"/>
              </w:rPr>
              <w:br w:type="textWrapping"/>
            </w:r>
            <w:r>
              <w:rPr>
                <w:rFonts w:eastAsia="仿宋"/>
                <w:color w:val="000000"/>
                <w:kern w:val="0"/>
                <w:sz w:val="24"/>
                <w:lang w:bidi="ar"/>
              </w:rPr>
              <w:t>有前款规定行为的，安全生产监督管理部门还应当责令其对所生产、经营、使用的危险化学品进行无害化处理。</w:t>
            </w:r>
            <w:r>
              <w:rPr>
                <w:rFonts w:eastAsia="仿宋"/>
                <w:color w:val="000000"/>
                <w:kern w:val="0"/>
                <w:sz w:val="24"/>
                <w:lang w:bidi="ar"/>
              </w:rPr>
              <w:br w:type="textWrapping"/>
            </w:r>
            <w:r>
              <w:rPr>
                <w:rFonts w:eastAsia="仿宋"/>
                <w:color w:val="000000"/>
                <w:kern w:val="0"/>
                <w:sz w:val="24"/>
                <w:lang w:bidi="ar"/>
              </w:rPr>
              <w:t>违反国家关于危险化学品使用的限制性规定使用危险化学品的，依照本条第一款的规定处理。</w:t>
            </w:r>
          </w:p>
        </w:tc>
        <w:tc>
          <w:tcPr>
            <w:tcW w:w="476" w:type="pct"/>
            <w:tcBorders>
              <w:top w:val="single" w:color="000000" w:sz="4" w:space="0"/>
              <w:left w:val="single" w:color="000000" w:sz="4" w:space="0"/>
              <w:bottom w:val="single" w:color="000000" w:sz="4" w:space="0"/>
              <w:right w:val="single" w:color="000000" w:sz="4" w:space="0"/>
            </w:tcBorders>
            <w:vAlign w:val="center"/>
          </w:tcPr>
          <w:p w14:paraId="6268C382">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6CC9CE6D">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3F881F6F">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2C6671AD">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21F1E79A">
            <w:pPr>
              <w:topLinePunct/>
              <w:adjustRightInd w:val="0"/>
              <w:snapToGrid w:val="0"/>
              <w:jc w:val="center"/>
              <w:textAlignment w:val="center"/>
              <w:rPr>
                <w:rFonts w:eastAsia="仿宋"/>
                <w:color w:val="000000"/>
                <w:sz w:val="24"/>
              </w:rPr>
            </w:pPr>
            <w:r>
              <w:rPr>
                <w:rFonts w:eastAsia="仿宋"/>
                <w:color w:val="000000"/>
                <w:kern w:val="0"/>
                <w:sz w:val="24"/>
                <w:lang w:bidi="ar"/>
              </w:rPr>
              <w:t>88</w:t>
            </w:r>
          </w:p>
        </w:tc>
        <w:tc>
          <w:tcPr>
            <w:tcW w:w="838" w:type="pct"/>
            <w:tcBorders>
              <w:top w:val="single" w:color="000000" w:sz="4" w:space="0"/>
              <w:left w:val="single" w:color="000000" w:sz="4" w:space="0"/>
              <w:bottom w:val="single" w:color="000000" w:sz="4" w:space="0"/>
              <w:right w:val="single" w:color="000000" w:sz="4" w:space="0"/>
            </w:tcBorders>
            <w:vAlign w:val="center"/>
          </w:tcPr>
          <w:p w14:paraId="1D8C65BF">
            <w:pPr>
              <w:topLinePunct/>
              <w:adjustRightInd w:val="0"/>
              <w:snapToGrid w:val="0"/>
              <w:textAlignment w:val="center"/>
              <w:rPr>
                <w:rFonts w:eastAsia="仿宋"/>
                <w:color w:val="000000"/>
                <w:sz w:val="24"/>
              </w:rPr>
            </w:pPr>
            <w:r>
              <w:rPr>
                <w:rFonts w:eastAsia="仿宋"/>
                <w:color w:val="000000"/>
                <w:kern w:val="0"/>
                <w:sz w:val="24"/>
                <w:lang w:bidi="ar"/>
              </w:rPr>
              <w:t>对生产、储存危险化学品的企业或者使用危险化学品从事生产的企业未按规定将安全评价报告、整改方案落实情况报备，或者储存危险化学品的单位未将其剧毒化学品以及储存数量构成重大危险源的其他危险化学品的储存数量、储存地点以及管理人员的情况报备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3D4BD849">
            <w:pPr>
              <w:topLinePunct/>
              <w:adjustRightInd w:val="0"/>
              <w:snapToGrid w:val="0"/>
              <w:jc w:val="left"/>
              <w:textAlignment w:val="center"/>
              <w:rPr>
                <w:rFonts w:eastAsia="仿宋"/>
                <w:color w:val="000000"/>
                <w:sz w:val="24"/>
              </w:rPr>
            </w:pPr>
            <w:r>
              <w:rPr>
                <w:rFonts w:eastAsia="仿宋"/>
                <w:color w:val="000000"/>
                <w:kern w:val="0"/>
                <w:sz w:val="24"/>
                <w:lang w:bidi="ar"/>
              </w:rPr>
              <w:t>《危险化学品安全管理条例》</w:t>
            </w:r>
            <w:r>
              <w:rPr>
                <w:rFonts w:eastAsia="仿宋"/>
                <w:color w:val="000000"/>
                <w:kern w:val="0"/>
                <w:sz w:val="24"/>
                <w:lang w:bidi="ar"/>
              </w:rPr>
              <w:br w:type="textWrapping"/>
            </w:r>
            <w:r>
              <w:rPr>
                <w:rFonts w:eastAsia="仿宋"/>
                <w:color w:val="000000"/>
                <w:kern w:val="0"/>
                <w:sz w:val="24"/>
                <w:lang w:bidi="ar"/>
              </w:rPr>
              <w:t>第八十一条第一款、第二款  有下列情形之一的，由公安机关责令改正，可以处1万元以下的罚款；拒不改正的，处1万元以上5万元以下的罚款：（一）生产、储存、使用剧毒化学品、易制爆危险化学品的单位不如实记录生产、储存、使用的剧毒化学品、易制爆危险化学品的数量、流向的；（二）生产、储存、使用剧毒化学品、易制爆危险化学品的单位发现剧毒化学品、易制爆危险化学品丢失或者被盗，不立即向公安机关报告的；（三）储存剧毒化学品的单位未将剧毒化学品的储存数量、储存地点以及管理人员的情况报所在地县级人民政府公安机关备案的；（四）危险化学品生产企业、经营企业不如实记录剧毒化学品、易制爆危险化学品购买单位的名称、地址、经办人的姓名、身份证号码以及所购买的剧毒化学品、易制爆危险化学品的品种、数量、用途，或者保存销售记录和相关材料的时间少于1年的；（五）剧毒化学品、易制爆危险化学品的销售企业、购买单位未在规定的时限内将所销售、购买的剧毒化学品、易制爆危险化学品的品种、数量以及流向信息报所在地县级人民政府公安机关备案的；（六）使用剧毒化学品、易制爆危险化学品的单位依照本条例规定转让其购买的剧毒化学品、易制爆危险化学品，未将有关情况向所在地县级人民政府公安机关报告的。</w:t>
            </w:r>
            <w:r>
              <w:rPr>
                <w:rFonts w:eastAsia="仿宋"/>
                <w:color w:val="000000"/>
                <w:kern w:val="0"/>
                <w:sz w:val="24"/>
                <w:lang w:bidi="ar"/>
              </w:rPr>
              <w:br w:type="textWrapping"/>
            </w:r>
            <w:r>
              <w:rPr>
                <w:rFonts w:eastAsia="仿宋"/>
                <w:color w:val="000000"/>
                <w:kern w:val="0"/>
                <w:sz w:val="24"/>
                <w:lang w:bidi="ar"/>
              </w:rPr>
              <w:t>生产、储存危险化学品的企业或者使用危险化学品从事生产的企业未按照本条例规定将安全评价报告以及整改方案的落实情况报安全生产监督管理部门或者港口行政管理部门备案，或者储存危险化学品的单位未将其剧毒化学品以及储存数量构成重大危险源的其他危险化学品的储存数量、储存地点以及管理人员的情况报安全生产监督管理部门或者港口行政管理部门备案的，分别由安全生产监督管理部门或者港口行政管理部门依照前款规定予以处罚。</w:t>
            </w:r>
          </w:p>
        </w:tc>
        <w:tc>
          <w:tcPr>
            <w:tcW w:w="476" w:type="pct"/>
            <w:tcBorders>
              <w:top w:val="single" w:color="000000" w:sz="4" w:space="0"/>
              <w:left w:val="single" w:color="000000" w:sz="4" w:space="0"/>
              <w:bottom w:val="single" w:color="000000" w:sz="4" w:space="0"/>
              <w:right w:val="single" w:color="000000" w:sz="4" w:space="0"/>
            </w:tcBorders>
            <w:vAlign w:val="center"/>
          </w:tcPr>
          <w:p w14:paraId="2E4F2D6A">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7491EC7B">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30607458">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5E9935E7">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4865D9C9">
            <w:pPr>
              <w:topLinePunct/>
              <w:adjustRightInd w:val="0"/>
              <w:snapToGrid w:val="0"/>
              <w:jc w:val="center"/>
              <w:textAlignment w:val="center"/>
              <w:rPr>
                <w:rFonts w:eastAsia="仿宋"/>
                <w:color w:val="000000"/>
                <w:sz w:val="24"/>
              </w:rPr>
            </w:pPr>
            <w:r>
              <w:rPr>
                <w:rFonts w:eastAsia="仿宋"/>
                <w:color w:val="000000"/>
                <w:kern w:val="0"/>
                <w:sz w:val="24"/>
                <w:lang w:bidi="ar"/>
              </w:rPr>
              <w:t>89</w:t>
            </w:r>
          </w:p>
        </w:tc>
        <w:tc>
          <w:tcPr>
            <w:tcW w:w="838" w:type="pct"/>
            <w:tcBorders>
              <w:top w:val="single" w:color="000000" w:sz="4" w:space="0"/>
              <w:left w:val="single" w:color="000000" w:sz="4" w:space="0"/>
              <w:bottom w:val="single" w:color="000000" w:sz="4" w:space="0"/>
              <w:right w:val="single" w:color="000000" w:sz="4" w:space="0"/>
            </w:tcBorders>
            <w:vAlign w:val="center"/>
          </w:tcPr>
          <w:p w14:paraId="2F741D7C">
            <w:pPr>
              <w:topLinePunct/>
              <w:adjustRightInd w:val="0"/>
              <w:snapToGrid w:val="0"/>
              <w:textAlignment w:val="center"/>
              <w:rPr>
                <w:rFonts w:eastAsia="仿宋"/>
                <w:color w:val="000000"/>
                <w:sz w:val="24"/>
              </w:rPr>
            </w:pPr>
            <w:r>
              <w:rPr>
                <w:rFonts w:eastAsia="仿宋"/>
                <w:color w:val="000000"/>
                <w:kern w:val="0"/>
                <w:sz w:val="24"/>
                <w:lang w:bidi="ar"/>
              </w:rPr>
              <w:t>对生产、储存、使用危险化学品的单位转产、停产、停业或者解散，未采取有效措施处置危险化学品生产装置、储存设施以及库存的危险化学品，或者丢弃危险化学品的行政处罚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74AF9D02">
            <w:pPr>
              <w:topLinePunct/>
              <w:adjustRightInd w:val="0"/>
              <w:snapToGrid w:val="0"/>
              <w:jc w:val="left"/>
              <w:textAlignment w:val="center"/>
              <w:rPr>
                <w:rFonts w:eastAsia="仿宋"/>
                <w:color w:val="000000"/>
                <w:sz w:val="24"/>
              </w:rPr>
            </w:pPr>
            <w:r>
              <w:rPr>
                <w:rFonts w:eastAsia="仿宋"/>
                <w:color w:val="000000"/>
                <w:kern w:val="0"/>
                <w:sz w:val="24"/>
                <w:lang w:bidi="ar"/>
              </w:rPr>
              <w:t>《危险化学品安全管理条例》</w:t>
            </w:r>
            <w:r>
              <w:rPr>
                <w:rFonts w:eastAsia="仿宋"/>
                <w:color w:val="000000"/>
                <w:kern w:val="0"/>
                <w:sz w:val="24"/>
                <w:lang w:bidi="ar"/>
              </w:rPr>
              <w:br w:type="textWrapping"/>
            </w:r>
            <w:r>
              <w:rPr>
                <w:rFonts w:eastAsia="仿宋"/>
                <w:color w:val="000000"/>
                <w:kern w:val="0"/>
                <w:sz w:val="24"/>
                <w:lang w:bidi="ar"/>
              </w:rPr>
              <w:t>第八十二条第一款  生产、储存、使用危险化学品的单位转产、停产、停业或者解散，未采取有效措施及时、妥善处置其危险化学品生产装置、储存设施以及库存的危险化学品，或者丢弃危险化学品的，由安全生产监督管理部门责令改正，处5万元以上10万元以下的罚款；构成犯罪的，依法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3F7882DA">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3A276220">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68027A75">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23CC253F">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2EE54517">
            <w:pPr>
              <w:topLinePunct/>
              <w:adjustRightInd w:val="0"/>
              <w:snapToGrid w:val="0"/>
              <w:jc w:val="center"/>
              <w:textAlignment w:val="center"/>
              <w:rPr>
                <w:rFonts w:eastAsia="仿宋"/>
                <w:color w:val="000000"/>
                <w:sz w:val="24"/>
              </w:rPr>
            </w:pPr>
            <w:r>
              <w:rPr>
                <w:rFonts w:eastAsia="仿宋"/>
                <w:color w:val="000000"/>
                <w:kern w:val="0"/>
                <w:sz w:val="24"/>
                <w:lang w:bidi="ar"/>
              </w:rPr>
              <w:t>90</w:t>
            </w:r>
          </w:p>
        </w:tc>
        <w:tc>
          <w:tcPr>
            <w:tcW w:w="838" w:type="pct"/>
            <w:tcBorders>
              <w:top w:val="single" w:color="000000" w:sz="4" w:space="0"/>
              <w:left w:val="single" w:color="000000" w:sz="4" w:space="0"/>
              <w:bottom w:val="single" w:color="000000" w:sz="4" w:space="0"/>
              <w:right w:val="single" w:color="000000" w:sz="4" w:space="0"/>
            </w:tcBorders>
            <w:vAlign w:val="center"/>
          </w:tcPr>
          <w:p w14:paraId="1CB51008">
            <w:pPr>
              <w:topLinePunct/>
              <w:adjustRightInd w:val="0"/>
              <w:snapToGrid w:val="0"/>
              <w:textAlignment w:val="center"/>
              <w:rPr>
                <w:rFonts w:eastAsia="仿宋"/>
                <w:color w:val="000000"/>
                <w:sz w:val="24"/>
              </w:rPr>
            </w:pPr>
            <w:r>
              <w:rPr>
                <w:rFonts w:eastAsia="仿宋"/>
                <w:color w:val="000000"/>
                <w:kern w:val="0"/>
                <w:sz w:val="24"/>
                <w:lang w:bidi="ar"/>
              </w:rPr>
              <w:t>对生产、储存、使用危险化学品的单位有重复使用危险化学品包装物、容器前不进行检查等行为的行政处罚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20D5B0B0">
            <w:pPr>
              <w:topLinePunct/>
              <w:adjustRightInd w:val="0"/>
              <w:snapToGrid w:val="0"/>
              <w:jc w:val="left"/>
              <w:textAlignment w:val="center"/>
              <w:rPr>
                <w:rFonts w:eastAsia="仿宋"/>
                <w:color w:val="000000"/>
                <w:sz w:val="24"/>
              </w:rPr>
            </w:pPr>
            <w:r>
              <w:rPr>
                <w:rFonts w:eastAsia="仿宋"/>
                <w:color w:val="000000"/>
                <w:kern w:val="0"/>
                <w:sz w:val="24"/>
                <w:lang w:bidi="ar"/>
              </w:rPr>
              <w:t>1.《危险化学品安全管理条例》</w:t>
            </w:r>
            <w:r>
              <w:rPr>
                <w:rFonts w:eastAsia="仿宋"/>
                <w:color w:val="000000"/>
                <w:kern w:val="0"/>
                <w:sz w:val="24"/>
                <w:lang w:bidi="ar"/>
              </w:rPr>
              <w:br w:type="textWrapping"/>
            </w:r>
            <w:r>
              <w:rPr>
                <w:rFonts w:eastAsia="仿宋"/>
                <w:color w:val="000000"/>
                <w:kern w:val="0"/>
                <w:sz w:val="24"/>
                <w:lang w:bidi="ar"/>
              </w:rPr>
              <w:t>第八十条第一款第一项、第二项、第三项、第四项、第六项、第七项  生产、储存、使用危险化学品的单位有下列情形之一的，由安全生产监督管理部门责令改正，处5万元以上10万元以下的罚款；拒不改正的，责令停产停业整顿直至由原发证机关吊销其相关许可证件，并由工商行政管理部门责令其办理经营范围变更登记或者吊销其营业执照；有关责任人员构成犯罪的，依法追究刑事责任：（一）对重复使用的危险化学品包装物、容器，在重复使用前不进行检查的；（二）未根据其生产、储存的危险化学品的种类和危险特性，在作业场所设置相关安全设施、设备，或者未按照国家标准、行业标准或者国家有关规定对安全设施、设备进行经常性维护、保养的；（三）未依照本条例规定对其安全生产条件定期进行安全评价的；（四）未将危险化学品储存在专用仓库内，或者未将剧毒化学品以及储存数量构成重大危险源的其他危险化学品在专用仓库内单独存放的；（六）危险化学品专用仓库不符合国家标准、行业标准的要求的；（七）未对危险化学品专用仓库的安全设施、设备定期进行检测、检验的。</w:t>
            </w:r>
            <w:r>
              <w:rPr>
                <w:rFonts w:eastAsia="仿宋"/>
                <w:color w:val="000000"/>
                <w:kern w:val="0"/>
                <w:sz w:val="24"/>
                <w:lang w:bidi="ar"/>
              </w:rPr>
              <w:br w:type="textWrapping"/>
            </w:r>
            <w:r>
              <w:rPr>
                <w:rFonts w:eastAsia="仿宋"/>
                <w:color w:val="000000"/>
                <w:kern w:val="0"/>
                <w:sz w:val="24"/>
                <w:lang w:bidi="ar"/>
              </w:rPr>
              <w:t>2.《危险化学品经营许可证管理办法》</w:t>
            </w:r>
            <w:r>
              <w:rPr>
                <w:rFonts w:eastAsia="仿宋"/>
                <w:color w:val="000000"/>
                <w:kern w:val="0"/>
                <w:sz w:val="24"/>
                <w:lang w:bidi="ar"/>
              </w:rPr>
              <w:br w:type="textWrapping"/>
            </w:r>
            <w:r>
              <w:rPr>
                <w:rFonts w:eastAsia="仿宋"/>
                <w:color w:val="000000"/>
                <w:kern w:val="0"/>
                <w:sz w:val="24"/>
                <w:lang w:bidi="ar"/>
              </w:rPr>
              <w:t>第三十条第一项、第二项、第三项、第四项、第六项、第七项  带有储存设施的企业违反《危险化学品安全管理条例》规定，有下列情形之一的，责令改正，处5万元以上10万元以下的罚款；拒不改正的，责令停产停业整顿；经停产停业整顿仍不具备法律、法规、规章、国家标准和行业标准规定的安全生产条件的，吊销其经营许可证：（一）对重复使用的危险化学品包装物、容器，在重复使用前不进行检查的；（二）未根据其储存的危险化学品的种类和危险特性，在作业场所设置相关安全设施、设备，或者未按照国家标准、行业标准或者国家有关规定对安全设施、设备进行经常性维护、保养的；（三）未将危险化学品储存在专用仓库内，或者未将剧毒化学品以及储存数量构成重大危险源的其他危险化学品在专用仓库内单独存放的；（四）未对其安全生产条件定期进行安全评价的；（六）危险化学品专用仓库不符合国家标准、行业标准的要求的；（七）未对危险化学品专用仓库的安全设施、设备定期进行检测、检验的。</w:t>
            </w:r>
          </w:p>
        </w:tc>
        <w:tc>
          <w:tcPr>
            <w:tcW w:w="476" w:type="pct"/>
            <w:tcBorders>
              <w:top w:val="single" w:color="000000" w:sz="4" w:space="0"/>
              <w:left w:val="single" w:color="000000" w:sz="4" w:space="0"/>
              <w:bottom w:val="single" w:color="000000" w:sz="4" w:space="0"/>
              <w:right w:val="single" w:color="000000" w:sz="4" w:space="0"/>
            </w:tcBorders>
            <w:vAlign w:val="center"/>
          </w:tcPr>
          <w:p w14:paraId="1E765145">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64B0E2B7">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2B798E80">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6D2EF444">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0E807AB1">
            <w:pPr>
              <w:topLinePunct/>
              <w:adjustRightInd w:val="0"/>
              <w:snapToGrid w:val="0"/>
              <w:jc w:val="center"/>
              <w:textAlignment w:val="center"/>
              <w:rPr>
                <w:rFonts w:eastAsia="仿宋"/>
                <w:color w:val="000000"/>
                <w:sz w:val="24"/>
              </w:rPr>
            </w:pPr>
            <w:r>
              <w:rPr>
                <w:rFonts w:eastAsia="仿宋"/>
                <w:color w:val="000000"/>
                <w:kern w:val="0"/>
                <w:sz w:val="24"/>
                <w:lang w:bidi="ar"/>
              </w:rPr>
              <w:t>91</w:t>
            </w:r>
          </w:p>
        </w:tc>
        <w:tc>
          <w:tcPr>
            <w:tcW w:w="838" w:type="pct"/>
            <w:tcBorders>
              <w:top w:val="single" w:color="000000" w:sz="4" w:space="0"/>
              <w:left w:val="single" w:color="000000" w:sz="4" w:space="0"/>
              <w:bottom w:val="single" w:color="000000" w:sz="4" w:space="0"/>
              <w:right w:val="single" w:color="000000" w:sz="4" w:space="0"/>
            </w:tcBorders>
            <w:vAlign w:val="center"/>
          </w:tcPr>
          <w:p w14:paraId="3EE427CA">
            <w:pPr>
              <w:topLinePunct/>
              <w:adjustRightInd w:val="0"/>
              <w:snapToGrid w:val="0"/>
              <w:textAlignment w:val="center"/>
              <w:rPr>
                <w:rFonts w:eastAsia="仿宋"/>
                <w:color w:val="000000"/>
                <w:sz w:val="24"/>
              </w:rPr>
            </w:pPr>
            <w:r>
              <w:rPr>
                <w:rFonts w:eastAsia="仿宋"/>
                <w:color w:val="000000"/>
                <w:kern w:val="0"/>
                <w:sz w:val="24"/>
                <w:lang w:bidi="ar"/>
              </w:rPr>
              <w:t>对危险化学品生产企业、经营企业有向不具有相关许可证件或者证明文件的单位销售剧毒化学品、易制爆危险化学品等情形的行政处罚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620168F5">
            <w:pPr>
              <w:topLinePunct/>
              <w:adjustRightInd w:val="0"/>
              <w:snapToGrid w:val="0"/>
              <w:jc w:val="left"/>
              <w:textAlignment w:val="center"/>
              <w:rPr>
                <w:rFonts w:eastAsia="仿宋"/>
                <w:color w:val="000000"/>
                <w:sz w:val="24"/>
              </w:rPr>
            </w:pPr>
            <w:r>
              <w:rPr>
                <w:rFonts w:eastAsia="仿宋"/>
                <w:color w:val="000000"/>
                <w:kern w:val="0"/>
                <w:sz w:val="24"/>
                <w:lang w:bidi="ar"/>
              </w:rPr>
              <w:t>《危险化学品安全管理条例》</w:t>
            </w:r>
            <w:r>
              <w:rPr>
                <w:rFonts w:eastAsia="仿宋"/>
                <w:color w:val="000000"/>
                <w:kern w:val="0"/>
                <w:sz w:val="24"/>
                <w:lang w:bidi="ar"/>
              </w:rPr>
              <w:br w:type="textWrapping"/>
            </w:r>
            <w:r>
              <w:rPr>
                <w:rFonts w:eastAsia="仿宋"/>
                <w:color w:val="000000"/>
                <w:kern w:val="0"/>
                <w:sz w:val="24"/>
                <w:lang w:bidi="ar"/>
              </w:rPr>
              <w:t>第三十八条第一款、第二款  依法取得危险化学品安全生产许可证、危险化学品安全使用许可证、危险化学品经营许可证的企业，凭相应的许可证件购买剧毒化学品、易制爆危险化学品。民用爆炸物品生产企业凭民用爆炸物品生产许可证购买易制爆危险化学品。</w:t>
            </w:r>
            <w:r>
              <w:rPr>
                <w:rFonts w:eastAsia="仿宋"/>
                <w:color w:val="000000"/>
                <w:kern w:val="0"/>
                <w:sz w:val="24"/>
                <w:lang w:bidi="ar"/>
              </w:rPr>
              <w:br w:type="textWrapping"/>
            </w:r>
            <w:r>
              <w:rPr>
                <w:rFonts w:eastAsia="仿宋"/>
                <w:color w:val="000000"/>
                <w:kern w:val="0"/>
                <w:sz w:val="24"/>
                <w:lang w:bidi="ar"/>
              </w:rPr>
              <w:t>前款规定以外的单位购买剧毒化学品的，应当向所在地县级人民政府公安机关申请取得剧毒化学品购买许可证；购买易制爆危险化学品的，应当持本单位出具的合法用途说明。</w:t>
            </w:r>
            <w:r>
              <w:rPr>
                <w:rFonts w:eastAsia="仿宋"/>
                <w:color w:val="000000"/>
                <w:kern w:val="0"/>
                <w:sz w:val="24"/>
                <w:lang w:bidi="ar"/>
              </w:rPr>
              <w:br w:type="textWrapping"/>
            </w:r>
            <w:r>
              <w:rPr>
                <w:rFonts w:eastAsia="仿宋"/>
                <w:color w:val="000000"/>
                <w:kern w:val="0"/>
                <w:sz w:val="24"/>
                <w:lang w:bidi="ar"/>
              </w:rPr>
              <w:t>第八十四条第一款  危险化学品生产企业、经营企业有下列情形之一的，由安全生产监督管理部门责令改正，没收违法所得，并处10万元以上20万元以下的罚款；拒不改正的，责令停产停业整顿直至吊销其危险化学品安全生产许可证、危险化学品经营许可证，并由工商行政管理部门责令其办理经营范围变更登记或者吊销其营业执照：（一）向不具有本条例第三十八条第一款、第二款规定的相关许可证件或者证明文件的单位销售剧毒化学品、易制爆危险化学品的；（二）不按照剧毒化学品购买许可证载明的品种、数量销售剧毒化学品的；（三）向个人销售剧毒化学品（属于剧毒化学品的农药除外）、易制爆危险化学品的。</w:t>
            </w:r>
          </w:p>
        </w:tc>
        <w:tc>
          <w:tcPr>
            <w:tcW w:w="476" w:type="pct"/>
            <w:tcBorders>
              <w:top w:val="single" w:color="000000" w:sz="4" w:space="0"/>
              <w:left w:val="single" w:color="000000" w:sz="4" w:space="0"/>
              <w:bottom w:val="single" w:color="000000" w:sz="4" w:space="0"/>
              <w:right w:val="single" w:color="000000" w:sz="4" w:space="0"/>
            </w:tcBorders>
            <w:vAlign w:val="center"/>
          </w:tcPr>
          <w:p w14:paraId="602EA137">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3958C695">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05EE8CD8">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66AF5936">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22B90A2F">
            <w:pPr>
              <w:topLinePunct/>
              <w:adjustRightInd w:val="0"/>
              <w:snapToGrid w:val="0"/>
              <w:jc w:val="center"/>
              <w:textAlignment w:val="center"/>
              <w:rPr>
                <w:rFonts w:eastAsia="仿宋"/>
                <w:color w:val="000000"/>
                <w:sz w:val="24"/>
              </w:rPr>
            </w:pPr>
            <w:r>
              <w:rPr>
                <w:rFonts w:eastAsia="仿宋"/>
                <w:color w:val="000000"/>
                <w:kern w:val="0"/>
                <w:sz w:val="24"/>
                <w:lang w:bidi="ar"/>
              </w:rPr>
              <w:t>92</w:t>
            </w:r>
          </w:p>
        </w:tc>
        <w:tc>
          <w:tcPr>
            <w:tcW w:w="838" w:type="pct"/>
            <w:tcBorders>
              <w:top w:val="single" w:color="000000" w:sz="4" w:space="0"/>
              <w:left w:val="single" w:color="000000" w:sz="4" w:space="0"/>
              <w:bottom w:val="single" w:color="000000" w:sz="4" w:space="0"/>
              <w:right w:val="single" w:color="000000" w:sz="4" w:space="0"/>
            </w:tcBorders>
            <w:vAlign w:val="center"/>
          </w:tcPr>
          <w:p w14:paraId="398E356E">
            <w:pPr>
              <w:topLinePunct/>
              <w:adjustRightInd w:val="0"/>
              <w:snapToGrid w:val="0"/>
              <w:textAlignment w:val="center"/>
              <w:rPr>
                <w:rFonts w:eastAsia="仿宋"/>
                <w:color w:val="000000"/>
                <w:sz w:val="24"/>
              </w:rPr>
            </w:pPr>
            <w:r>
              <w:rPr>
                <w:rFonts w:eastAsia="仿宋"/>
                <w:color w:val="000000"/>
                <w:kern w:val="0"/>
                <w:sz w:val="24"/>
                <w:lang w:bidi="ar"/>
              </w:rPr>
              <w:t>对生产、储存、使用危险化学品的单位转产、停产、停业或者解散，未按规定将危险化学品生产装置、储存设施以及库存危险化学品的处置方案报备的行政处罚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68DE68A6">
            <w:pPr>
              <w:topLinePunct/>
              <w:adjustRightInd w:val="0"/>
              <w:snapToGrid w:val="0"/>
              <w:jc w:val="left"/>
              <w:textAlignment w:val="center"/>
              <w:rPr>
                <w:rFonts w:eastAsia="仿宋"/>
                <w:color w:val="000000"/>
                <w:sz w:val="24"/>
              </w:rPr>
            </w:pPr>
            <w:r>
              <w:rPr>
                <w:rFonts w:eastAsia="仿宋"/>
                <w:color w:val="000000"/>
                <w:kern w:val="0"/>
                <w:sz w:val="24"/>
                <w:lang w:bidi="ar"/>
              </w:rPr>
              <w:t>《危险化学品安全管理条例》</w:t>
            </w:r>
            <w:r>
              <w:rPr>
                <w:rFonts w:eastAsia="仿宋"/>
                <w:color w:val="000000"/>
                <w:kern w:val="0"/>
                <w:sz w:val="24"/>
                <w:lang w:bidi="ar"/>
              </w:rPr>
              <w:br w:type="textWrapping"/>
            </w:r>
            <w:r>
              <w:rPr>
                <w:rFonts w:eastAsia="仿宋"/>
                <w:color w:val="000000"/>
                <w:kern w:val="0"/>
                <w:sz w:val="24"/>
                <w:lang w:bidi="ar"/>
              </w:rPr>
              <w:t>第二十七条  生产、储存危险化学品的单位转产、停产、停业或者解散的，应当采取有效措施，及时、妥善处置其危险化学品生产装置、储存设施以及库存的危险化学品，不得丢弃危险化学品；处置方案应当报所在地县级人民政府安全生产监督管理部门、工业和信息化主管部门、环境保护主管部门和公安机关备案。安全生产监督管理部门应当会同环境保护主管部门和公安机关对处置情况进行监督检查，发现未依照规定处置的，应当责令其立即处置。</w:t>
            </w:r>
            <w:r>
              <w:rPr>
                <w:rFonts w:eastAsia="仿宋"/>
                <w:color w:val="000000"/>
                <w:kern w:val="0"/>
                <w:sz w:val="24"/>
                <w:lang w:bidi="ar"/>
              </w:rPr>
              <w:br w:type="textWrapping"/>
            </w:r>
            <w:r>
              <w:rPr>
                <w:rFonts w:eastAsia="仿宋"/>
                <w:color w:val="000000"/>
                <w:kern w:val="0"/>
                <w:sz w:val="24"/>
                <w:lang w:bidi="ar"/>
              </w:rPr>
              <w:t>第三十二条  本条例第十六条关于生产实施重点环境管理的危险化学品的企业的规定，适用于使用实施重点环境管理的危险化学品从事生产的企业；第二十条、第二十一条、第二十三条第一款、第二十七条关于生产、储存危险化学品的单位的规定，适用于使用危险化学品的单位；第二十二条关于生产、储存危险化学品的企业的规定，适用于使用危险化学品从事生产的企业。</w:t>
            </w:r>
            <w:r>
              <w:rPr>
                <w:rFonts w:eastAsia="仿宋"/>
                <w:color w:val="000000"/>
                <w:kern w:val="0"/>
                <w:sz w:val="24"/>
                <w:lang w:bidi="ar"/>
              </w:rPr>
              <w:br w:type="textWrapping"/>
            </w:r>
            <w:r>
              <w:rPr>
                <w:rFonts w:eastAsia="仿宋"/>
                <w:color w:val="000000"/>
                <w:kern w:val="0"/>
                <w:sz w:val="24"/>
                <w:lang w:bidi="ar"/>
              </w:rPr>
              <w:t>第八十二条第二款  生产、储存、使用危险化学品的单位转产、停产、停业或者解散，未依照本条例规定将其危险化学品生产装置、储存设施以及库存危险化学品的处置方案报有关部门备案的，分别由有关部门责令改正，可以处1万元以下的罚款；拒不改正的，处1万元以上5万元以下的罚款。</w:t>
            </w:r>
          </w:p>
        </w:tc>
        <w:tc>
          <w:tcPr>
            <w:tcW w:w="476" w:type="pct"/>
            <w:tcBorders>
              <w:top w:val="single" w:color="000000" w:sz="4" w:space="0"/>
              <w:left w:val="single" w:color="000000" w:sz="4" w:space="0"/>
              <w:bottom w:val="single" w:color="000000" w:sz="4" w:space="0"/>
              <w:right w:val="single" w:color="000000" w:sz="4" w:space="0"/>
            </w:tcBorders>
            <w:vAlign w:val="center"/>
          </w:tcPr>
          <w:p w14:paraId="2744E16E">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70FAD170">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09610B04">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36FBE158">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37A9B7F1">
            <w:pPr>
              <w:topLinePunct/>
              <w:adjustRightInd w:val="0"/>
              <w:snapToGrid w:val="0"/>
              <w:jc w:val="center"/>
              <w:textAlignment w:val="center"/>
              <w:rPr>
                <w:rFonts w:eastAsia="仿宋"/>
                <w:color w:val="000000"/>
                <w:sz w:val="24"/>
              </w:rPr>
            </w:pPr>
            <w:r>
              <w:rPr>
                <w:rFonts w:eastAsia="仿宋"/>
                <w:color w:val="000000"/>
                <w:kern w:val="0"/>
                <w:sz w:val="24"/>
                <w:lang w:bidi="ar"/>
              </w:rPr>
              <w:t>93</w:t>
            </w:r>
          </w:p>
        </w:tc>
        <w:tc>
          <w:tcPr>
            <w:tcW w:w="838" w:type="pct"/>
            <w:tcBorders>
              <w:top w:val="single" w:color="000000" w:sz="4" w:space="0"/>
              <w:left w:val="single" w:color="000000" w:sz="4" w:space="0"/>
              <w:bottom w:val="single" w:color="000000" w:sz="4" w:space="0"/>
              <w:right w:val="single" w:color="000000" w:sz="4" w:space="0"/>
            </w:tcBorders>
            <w:vAlign w:val="center"/>
          </w:tcPr>
          <w:p w14:paraId="5DFF1C6F">
            <w:pPr>
              <w:topLinePunct/>
              <w:adjustRightInd w:val="0"/>
              <w:snapToGrid w:val="0"/>
              <w:textAlignment w:val="center"/>
              <w:rPr>
                <w:rFonts w:eastAsia="仿宋"/>
                <w:color w:val="000000"/>
                <w:sz w:val="24"/>
              </w:rPr>
            </w:pPr>
            <w:r>
              <w:rPr>
                <w:rFonts w:eastAsia="仿宋"/>
                <w:color w:val="000000"/>
                <w:kern w:val="0"/>
                <w:sz w:val="24"/>
                <w:lang w:bidi="ar"/>
              </w:rPr>
              <w:t>对危险化学品生产企业、进口企业不办理危险化学品登记，或者发现其生产、进口的危险化学品有新的危险特性不办理危险化学品登记内容变更手续的行政处罚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66827724">
            <w:pPr>
              <w:topLinePunct/>
              <w:adjustRightInd w:val="0"/>
              <w:snapToGrid w:val="0"/>
              <w:jc w:val="left"/>
              <w:textAlignment w:val="center"/>
              <w:rPr>
                <w:rFonts w:eastAsia="仿宋"/>
                <w:color w:val="000000"/>
                <w:sz w:val="24"/>
              </w:rPr>
            </w:pPr>
            <w:r>
              <w:rPr>
                <w:rFonts w:eastAsia="仿宋"/>
                <w:color w:val="000000"/>
                <w:kern w:val="0"/>
                <w:sz w:val="24"/>
                <w:lang w:bidi="ar"/>
              </w:rPr>
              <w:t>1.《危险化学品安全管理条例》</w:t>
            </w:r>
            <w:r>
              <w:rPr>
                <w:rFonts w:eastAsia="仿宋"/>
                <w:color w:val="000000"/>
                <w:kern w:val="0"/>
                <w:sz w:val="24"/>
                <w:lang w:bidi="ar"/>
              </w:rPr>
              <w:br w:type="textWrapping"/>
            </w:r>
            <w:r>
              <w:rPr>
                <w:rFonts w:eastAsia="仿宋"/>
                <w:color w:val="000000"/>
                <w:kern w:val="0"/>
                <w:sz w:val="24"/>
                <w:lang w:bidi="ar"/>
              </w:rPr>
              <w:t>第七十八条第一款第十二项  有下列情形之一的，由安全生产监督管理部门责令改正，可以处5万元以下的罚款；拒不改正的，处5万元以上10万元以下的罚款；情节严重的，责令停产停业整顿：（十二）危险化学品生产企业、进口企业不办理危险化学品登记，或者发现其生产、进口的危险化学品有新的危险特性不办理危险化学品登记内容变更手续的。</w:t>
            </w:r>
            <w:r>
              <w:rPr>
                <w:rFonts w:eastAsia="仿宋"/>
                <w:color w:val="000000"/>
                <w:kern w:val="0"/>
                <w:sz w:val="24"/>
                <w:lang w:bidi="ar"/>
              </w:rPr>
              <w:br w:type="textWrapping"/>
            </w:r>
            <w:r>
              <w:rPr>
                <w:rFonts w:eastAsia="仿宋"/>
                <w:color w:val="000000"/>
                <w:kern w:val="0"/>
                <w:sz w:val="24"/>
                <w:lang w:bidi="ar"/>
              </w:rPr>
              <w:t>2.《危险化学品登记管理办法》</w:t>
            </w:r>
            <w:r>
              <w:rPr>
                <w:rFonts w:eastAsia="仿宋"/>
                <w:color w:val="000000"/>
                <w:kern w:val="0"/>
                <w:sz w:val="24"/>
                <w:lang w:bidi="ar"/>
              </w:rPr>
              <w:br w:type="textWrapping"/>
            </w:r>
            <w:r>
              <w:rPr>
                <w:rFonts w:eastAsia="仿宋"/>
                <w:color w:val="000000"/>
                <w:kern w:val="0"/>
                <w:sz w:val="24"/>
                <w:lang w:bidi="ar"/>
              </w:rPr>
              <w:t>第二十九条  登记企业不办理危险化学品登记，登记品种发生变化或者发现其生产、进口的危险化学品有新的危险特性不办理危险化学品登记内容变更手续的，责令改正，可以处5万元以下的罚款；拒不改正的，处5万元以上10万元以下的罚款；情节严重的，责令停产停业整顿。</w:t>
            </w:r>
          </w:p>
        </w:tc>
        <w:tc>
          <w:tcPr>
            <w:tcW w:w="476" w:type="pct"/>
            <w:tcBorders>
              <w:top w:val="single" w:color="000000" w:sz="4" w:space="0"/>
              <w:left w:val="single" w:color="000000" w:sz="4" w:space="0"/>
              <w:bottom w:val="single" w:color="000000" w:sz="4" w:space="0"/>
              <w:right w:val="single" w:color="000000" w:sz="4" w:space="0"/>
            </w:tcBorders>
            <w:vAlign w:val="center"/>
          </w:tcPr>
          <w:p w14:paraId="3C907CA7">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5269D085">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42B1E11D">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76B755AD">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732933F7">
            <w:pPr>
              <w:topLinePunct/>
              <w:adjustRightInd w:val="0"/>
              <w:snapToGrid w:val="0"/>
              <w:jc w:val="center"/>
              <w:textAlignment w:val="center"/>
              <w:rPr>
                <w:rFonts w:eastAsia="仿宋"/>
                <w:color w:val="000000"/>
                <w:sz w:val="24"/>
              </w:rPr>
            </w:pPr>
            <w:r>
              <w:rPr>
                <w:rFonts w:eastAsia="仿宋"/>
                <w:color w:val="000000"/>
                <w:kern w:val="0"/>
                <w:sz w:val="24"/>
                <w:lang w:bidi="ar"/>
              </w:rPr>
              <w:t>94</w:t>
            </w:r>
          </w:p>
        </w:tc>
        <w:tc>
          <w:tcPr>
            <w:tcW w:w="838" w:type="pct"/>
            <w:tcBorders>
              <w:top w:val="single" w:color="000000" w:sz="4" w:space="0"/>
              <w:left w:val="single" w:color="000000" w:sz="4" w:space="0"/>
              <w:bottom w:val="single" w:color="000000" w:sz="4" w:space="0"/>
              <w:right w:val="single" w:color="000000" w:sz="4" w:space="0"/>
            </w:tcBorders>
            <w:vAlign w:val="center"/>
          </w:tcPr>
          <w:p w14:paraId="51BCF86E">
            <w:pPr>
              <w:topLinePunct/>
              <w:adjustRightInd w:val="0"/>
              <w:snapToGrid w:val="0"/>
              <w:textAlignment w:val="center"/>
              <w:rPr>
                <w:rFonts w:eastAsia="仿宋"/>
                <w:color w:val="000000"/>
                <w:sz w:val="24"/>
              </w:rPr>
            </w:pPr>
            <w:r>
              <w:rPr>
                <w:rFonts w:eastAsia="仿宋"/>
                <w:color w:val="000000"/>
                <w:kern w:val="0"/>
                <w:sz w:val="24"/>
                <w:lang w:bidi="ar"/>
              </w:rPr>
              <w:t>对危险化学品生产企业、进口企业有在危险化学品登记证有效期内企业名称等发生变化，未按规定办理登记变更手续等行为的行政处罚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330E49EC">
            <w:pPr>
              <w:topLinePunct/>
              <w:adjustRightInd w:val="0"/>
              <w:snapToGrid w:val="0"/>
              <w:jc w:val="left"/>
              <w:textAlignment w:val="center"/>
              <w:rPr>
                <w:rFonts w:eastAsia="仿宋"/>
                <w:color w:val="000000"/>
                <w:sz w:val="24"/>
              </w:rPr>
            </w:pPr>
            <w:r>
              <w:rPr>
                <w:rFonts w:eastAsia="仿宋"/>
                <w:color w:val="000000"/>
                <w:kern w:val="0"/>
                <w:sz w:val="24"/>
                <w:lang w:bidi="ar"/>
              </w:rPr>
              <w:t>《危险化学品登记管理办法》</w:t>
            </w:r>
            <w:r>
              <w:rPr>
                <w:rFonts w:eastAsia="仿宋"/>
                <w:color w:val="000000"/>
                <w:kern w:val="0"/>
                <w:sz w:val="24"/>
                <w:lang w:bidi="ar"/>
              </w:rPr>
              <w:br w:type="textWrapping"/>
            </w:r>
            <w:r>
              <w:rPr>
                <w:rFonts w:eastAsia="仿宋"/>
                <w:color w:val="000000"/>
                <w:kern w:val="0"/>
                <w:sz w:val="24"/>
                <w:lang w:bidi="ar"/>
              </w:rPr>
              <w:t>第三十条第二项、第三项、第四项、第五项  登记企业有下列行为之一的，责令改正，可以处3万元以下的罚款：（二）在危险化学品登记证有效期内企业名称、注册地址、应急咨询服务电话发生变化，未按规定按时办理危险化学品登记变更手续的；（三）危险化学品登记证有效期满后，未按规定申请复核换证，继续进行生产或者进口的；（四）转让、冒用或者使用伪造的危险化学品登记证，或者不如实填报登记内容、提交有关材料的；（五）拒绝、阻挠登记机构对本企业危险化学品登记情况进行现场核查的。</w:t>
            </w:r>
          </w:p>
        </w:tc>
        <w:tc>
          <w:tcPr>
            <w:tcW w:w="476" w:type="pct"/>
            <w:tcBorders>
              <w:top w:val="single" w:color="000000" w:sz="4" w:space="0"/>
              <w:left w:val="single" w:color="000000" w:sz="4" w:space="0"/>
              <w:bottom w:val="single" w:color="000000" w:sz="4" w:space="0"/>
              <w:right w:val="single" w:color="000000" w:sz="4" w:space="0"/>
            </w:tcBorders>
            <w:vAlign w:val="center"/>
          </w:tcPr>
          <w:p w14:paraId="7F547132">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1BC0EA82">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026747CA">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0B9C7812">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554EBA9B">
            <w:pPr>
              <w:topLinePunct/>
              <w:adjustRightInd w:val="0"/>
              <w:snapToGrid w:val="0"/>
              <w:jc w:val="center"/>
              <w:textAlignment w:val="center"/>
              <w:rPr>
                <w:rFonts w:eastAsia="仿宋"/>
                <w:color w:val="000000"/>
                <w:sz w:val="24"/>
              </w:rPr>
            </w:pPr>
            <w:r>
              <w:rPr>
                <w:rFonts w:eastAsia="仿宋"/>
                <w:color w:val="000000"/>
                <w:kern w:val="0"/>
                <w:sz w:val="24"/>
                <w:lang w:bidi="ar"/>
              </w:rPr>
              <w:t>95</w:t>
            </w:r>
          </w:p>
        </w:tc>
        <w:tc>
          <w:tcPr>
            <w:tcW w:w="838" w:type="pct"/>
            <w:tcBorders>
              <w:top w:val="single" w:color="000000" w:sz="4" w:space="0"/>
              <w:left w:val="single" w:color="000000" w:sz="4" w:space="0"/>
              <w:bottom w:val="single" w:color="000000" w:sz="4" w:space="0"/>
              <w:right w:val="single" w:color="000000" w:sz="4" w:space="0"/>
            </w:tcBorders>
            <w:vAlign w:val="center"/>
          </w:tcPr>
          <w:p w14:paraId="71B63706">
            <w:pPr>
              <w:topLinePunct/>
              <w:adjustRightInd w:val="0"/>
              <w:snapToGrid w:val="0"/>
              <w:textAlignment w:val="center"/>
              <w:rPr>
                <w:rFonts w:eastAsia="仿宋"/>
                <w:color w:val="000000"/>
                <w:sz w:val="24"/>
              </w:rPr>
            </w:pPr>
            <w:r>
              <w:rPr>
                <w:rFonts w:eastAsia="仿宋"/>
                <w:color w:val="000000"/>
                <w:kern w:val="0"/>
                <w:sz w:val="24"/>
                <w:lang w:bidi="ar"/>
              </w:rPr>
              <w:t>对危险化学品生产企业、进口企业未按规定向用户提供应急咨询服务的行政处罚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206E0D41">
            <w:pPr>
              <w:topLinePunct/>
              <w:adjustRightInd w:val="0"/>
              <w:snapToGrid w:val="0"/>
              <w:jc w:val="left"/>
              <w:textAlignment w:val="center"/>
              <w:rPr>
                <w:rFonts w:eastAsia="仿宋"/>
                <w:color w:val="000000"/>
                <w:sz w:val="24"/>
              </w:rPr>
            </w:pPr>
            <w:r>
              <w:rPr>
                <w:rFonts w:eastAsia="仿宋"/>
                <w:color w:val="000000"/>
                <w:kern w:val="0"/>
                <w:sz w:val="24"/>
                <w:lang w:bidi="ar"/>
              </w:rPr>
              <w:t>《危险化学品登记管理办法》</w:t>
            </w:r>
            <w:r>
              <w:rPr>
                <w:rFonts w:eastAsia="仿宋"/>
                <w:color w:val="000000"/>
                <w:kern w:val="0"/>
                <w:sz w:val="24"/>
                <w:lang w:bidi="ar"/>
              </w:rPr>
              <w:br w:type="textWrapping"/>
            </w:r>
            <w:r>
              <w:rPr>
                <w:rFonts w:eastAsia="仿宋"/>
                <w:color w:val="000000"/>
                <w:kern w:val="0"/>
                <w:sz w:val="24"/>
                <w:lang w:bidi="ar"/>
              </w:rPr>
              <w:t>第二十二条  危险化学品生产企业应当设立由专职人员24小时值守的国内固定服务电话，针对本办法第十二条规定的内容向用户提供危险化学品事故应急咨询服务，为危险化学品事故应急救援提供技术指导和必要的协助。专职值守人员应当熟悉本企业危险化学品的危险特性和应急处置技术，准确回答有关咨询问题。</w:t>
            </w:r>
            <w:r>
              <w:rPr>
                <w:rFonts w:eastAsia="仿宋"/>
                <w:color w:val="000000"/>
                <w:kern w:val="0"/>
                <w:sz w:val="24"/>
                <w:lang w:bidi="ar"/>
              </w:rPr>
              <w:br w:type="textWrapping"/>
            </w:r>
            <w:r>
              <w:rPr>
                <w:rFonts w:eastAsia="仿宋"/>
                <w:color w:val="000000"/>
                <w:kern w:val="0"/>
                <w:sz w:val="24"/>
                <w:lang w:bidi="ar"/>
              </w:rPr>
              <w:t>危险化学品生产企业不能提供前款规定应急咨询服务的，应当委托登记机构代理应急咨询服务。</w:t>
            </w:r>
            <w:r>
              <w:rPr>
                <w:rFonts w:eastAsia="仿宋"/>
                <w:color w:val="000000"/>
                <w:kern w:val="0"/>
                <w:sz w:val="24"/>
                <w:lang w:bidi="ar"/>
              </w:rPr>
              <w:br w:type="textWrapping"/>
            </w:r>
            <w:r>
              <w:rPr>
                <w:rFonts w:eastAsia="仿宋"/>
                <w:color w:val="000000"/>
                <w:kern w:val="0"/>
                <w:sz w:val="24"/>
                <w:lang w:bidi="ar"/>
              </w:rPr>
              <w:t>危险化学品进口企业应当自行或者委托进口代理商、登记机构提供符合本条第一款要求的应急咨询服务，并在其进口的危险化学品安全标签上标明应急咨询服务电话号码。</w:t>
            </w:r>
            <w:r>
              <w:rPr>
                <w:rFonts w:eastAsia="仿宋"/>
                <w:color w:val="000000"/>
                <w:kern w:val="0"/>
                <w:sz w:val="24"/>
                <w:lang w:bidi="ar"/>
              </w:rPr>
              <w:br w:type="textWrapping"/>
            </w:r>
            <w:r>
              <w:rPr>
                <w:rFonts w:eastAsia="仿宋"/>
                <w:color w:val="000000"/>
                <w:kern w:val="0"/>
                <w:sz w:val="24"/>
                <w:lang w:bidi="ar"/>
              </w:rPr>
              <w:t>从事代理应急咨询服务的登记机构，应当设立由专职人员24小时值守的国内固定服务电话，建有完善的化学品应急救援数据库，配备在线数字录音设备和8名以上专业人员，能够同时受理3起以上应急咨询，准确提供化学品泄漏、火灾、爆炸、中毒等事故应急处置有关信息和建议。</w:t>
            </w:r>
            <w:r>
              <w:rPr>
                <w:rFonts w:eastAsia="仿宋"/>
                <w:color w:val="000000"/>
                <w:kern w:val="0"/>
                <w:sz w:val="24"/>
                <w:lang w:bidi="ar"/>
              </w:rPr>
              <w:br w:type="textWrapping"/>
            </w:r>
            <w:r>
              <w:rPr>
                <w:rFonts w:eastAsia="仿宋"/>
                <w:color w:val="000000"/>
                <w:kern w:val="0"/>
                <w:sz w:val="24"/>
                <w:lang w:bidi="ar"/>
              </w:rPr>
              <w:t>第三十条第一项  登记企业有下列行为之一的，责令改正，可以处3万元以下的罚款：（一）未向用户提供应急咨询服务或者应急咨询服务不符合本办法第二十二条规定的；</w:t>
            </w:r>
          </w:p>
        </w:tc>
        <w:tc>
          <w:tcPr>
            <w:tcW w:w="476" w:type="pct"/>
            <w:tcBorders>
              <w:top w:val="single" w:color="000000" w:sz="4" w:space="0"/>
              <w:left w:val="single" w:color="000000" w:sz="4" w:space="0"/>
              <w:bottom w:val="single" w:color="000000" w:sz="4" w:space="0"/>
              <w:right w:val="single" w:color="000000" w:sz="4" w:space="0"/>
            </w:tcBorders>
            <w:vAlign w:val="center"/>
          </w:tcPr>
          <w:p w14:paraId="38B1375F">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4B557FAC">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4CCB82FC">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21A496A0">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341257F1">
            <w:pPr>
              <w:topLinePunct/>
              <w:adjustRightInd w:val="0"/>
              <w:snapToGrid w:val="0"/>
              <w:jc w:val="center"/>
              <w:textAlignment w:val="center"/>
              <w:rPr>
                <w:rFonts w:eastAsia="仿宋"/>
                <w:color w:val="000000"/>
                <w:sz w:val="24"/>
              </w:rPr>
            </w:pPr>
            <w:r>
              <w:rPr>
                <w:rFonts w:eastAsia="仿宋"/>
                <w:color w:val="000000"/>
                <w:kern w:val="0"/>
                <w:sz w:val="24"/>
                <w:lang w:bidi="ar"/>
              </w:rPr>
              <w:t>96</w:t>
            </w:r>
          </w:p>
        </w:tc>
        <w:tc>
          <w:tcPr>
            <w:tcW w:w="838" w:type="pct"/>
            <w:tcBorders>
              <w:top w:val="single" w:color="000000" w:sz="4" w:space="0"/>
              <w:left w:val="single" w:color="000000" w:sz="4" w:space="0"/>
              <w:bottom w:val="single" w:color="000000" w:sz="4" w:space="0"/>
              <w:right w:val="single" w:color="000000" w:sz="4" w:space="0"/>
            </w:tcBorders>
            <w:vAlign w:val="center"/>
          </w:tcPr>
          <w:p w14:paraId="4A7B291B">
            <w:pPr>
              <w:topLinePunct/>
              <w:adjustRightInd w:val="0"/>
              <w:snapToGrid w:val="0"/>
              <w:textAlignment w:val="center"/>
              <w:rPr>
                <w:rFonts w:eastAsia="仿宋"/>
                <w:color w:val="000000"/>
                <w:sz w:val="24"/>
              </w:rPr>
            </w:pPr>
            <w:r>
              <w:rPr>
                <w:rFonts w:eastAsia="仿宋"/>
                <w:color w:val="000000"/>
                <w:kern w:val="0"/>
                <w:sz w:val="24"/>
                <w:lang w:bidi="ar"/>
              </w:rPr>
              <w:t>对化工和危险化学品企业涉及重点监管危险化工工艺的装置未实现自动化控制，系统未实现紧急停车功能，装备的自动化控制系统、紧急停车系统未投入使用的行政处罚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0B1FB5F2">
            <w:pPr>
              <w:topLinePunct/>
              <w:adjustRightInd w:val="0"/>
              <w:snapToGrid w:val="0"/>
              <w:jc w:val="left"/>
              <w:textAlignment w:val="center"/>
              <w:rPr>
                <w:rFonts w:eastAsia="仿宋"/>
                <w:color w:val="000000"/>
                <w:sz w:val="24"/>
              </w:rPr>
            </w:pPr>
            <w:r>
              <w:rPr>
                <w:rFonts w:eastAsia="仿宋"/>
                <w:color w:val="000000"/>
                <w:kern w:val="0"/>
                <w:sz w:val="24"/>
                <w:lang w:bidi="ar"/>
              </w:rPr>
              <w:t>1.《国家安全监管总局关于印发〈化工和危险化学品生产经营单位重大生产安全事故隐患判定标准（试行）〉和〈烟花爆竹生产经营单位重大生产安全事故隐患判定标准（试行）〉的通知》（安监总管三〔2017〕121号）</w:t>
            </w:r>
            <w:r>
              <w:rPr>
                <w:rFonts w:eastAsia="仿宋"/>
                <w:color w:val="000000"/>
                <w:kern w:val="0"/>
                <w:sz w:val="24"/>
                <w:lang w:bidi="ar"/>
              </w:rPr>
              <w:br w:type="textWrapping"/>
            </w:r>
            <w:r>
              <w:rPr>
                <w:rFonts w:eastAsia="仿宋"/>
                <w:color w:val="000000"/>
                <w:kern w:val="0"/>
                <w:sz w:val="24"/>
                <w:lang w:bidi="ar"/>
              </w:rPr>
              <w:t>化工和危险化学品类：</w:t>
            </w:r>
            <w:r>
              <w:rPr>
                <w:rFonts w:eastAsia="仿宋"/>
                <w:color w:val="000000"/>
                <w:kern w:val="0"/>
                <w:sz w:val="24"/>
                <w:lang w:bidi="ar"/>
              </w:rPr>
              <w:br w:type="textWrapping"/>
            </w:r>
            <w:r>
              <w:rPr>
                <w:rFonts w:eastAsia="仿宋"/>
                <w:color w:val="000000"/>
                <w:kern w:val="0"/>
                <w:sz w:val="24"/>
                <w:lang w:bidi="ar"/>
              </w:rPr>
              <w:t>四、涉及重点监管危险化工工艺的装置未实现自动化控制，系统未实现紧急停车功能，装备的自动化控制系统、紧急停车系统未投入使用。</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543E2BCF">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3822F3DE">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7F2D1D1A">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0CF99528">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1A172EFA">
            <w:pPr>
              <w:topLinePunct/>
              <w:adjustRightInd w:val="0"/>
              <w:snapToGrid w:val="0"/>
              <w:jc w:val="center"/>
              <w:textAlignment w:val="center"/>
              <w:rPr>
                <w:rFonts w:eastAsia="仿宋"/>
                <w:color w:val="000000"/>
                <w:sz w:val="24"/>
              </w:rPr>
            </w:pPr>
            <w:r>
              <w:rPr>
                <w:rFonts w:eastAsia="仿宋"/>
                <w:color w:val="000000"/>
                <w:kern w:val="0"/>
                <w:sz w:val="24"/>
                <w:lang w:bidi="ar"/>
              </w:rPr>
              <w:t>97</w:t>
            </w:r>
          </w:p>
        </w:tc>
        <w:tc>
          <w:tcPr>
            <w:tcW w:w="838" w:type="pct"/>
            <w:tcBorders>
              <w:top w:val="single" w:color="000000" w:sz="4" w:space="0"/>
              <w:left w:val="single" w:color="000000" w:sz="4" w:space="0"/>
              <w:bottom w:val="single" w:color="000000" w:sz="4" w:space="0"/>
              <w:right w:val="single" w:color="000000" w:sz="4" w:space="0"/>
            </w:tcBorders>
            <w:vAlign w:val="center"/>
          </w:tcPr>
          <w:p w14:paraId="32E4238F">
            <w:pPr>
              <w:topLinePunct/>
              <w:adjustRightInd w:val="0"/>
              <w:snapToGrid w:val="0"/>
              <w:textAlignment w:val="center"/>
              <w:rPr>
                <w:rFonts w:eastAsia="仿宋"/>
                <w:color w:val="000000"/>
                <w:sz w:val="24"/>
              </w:rPr>
            </w:pPr>
            <w:r>
              <w:rPr>
                <w:rFonts w:eastAsia="仿宋"/>
                <w:color w:val="000000"/>
                <w:kern w:val="0"/>
                <w:sz w:val="24"/>
                <w:lang w:bidi="ar"/>
              </w:rPr>
              <w:t>对化工和危险化学品企业的全压力式液化烃储罐未按国家标准设置注水措施的行政处罚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069704D1">
            <w:pPr>
              <w:topLinePunct/>
              <w:adjustRightInd w:val="0"/>
              <w:snapToGrid w:val="0"/>
              <w:jc w:val="left"/>
              <w:textAlignment w:val="center"/>
              <w:rPr>
                <w:rFonts w:eastAsia="仿宋"/>
                <w:color w:val="000000"/>
                <w:sz w:val="24"/>
              </w:rPr>
            </w:pPr>
            <w:r>
              <w:rPr>
                <w:rFonts w:eastAsia="仿宋"/>
                <w:color w:val="000000"/>
                <w:kern w:val="0"/>
                <w:sz w:val="24"/>
                <w:lang w:bidi="ar"/>
              </w:rPr>
              <w:t>1.《国家安全监管总局关于印发〈化工和危险化学品生产经营单位重大生产安全事故隐患判定标准（试行）〉和〈烟花爆竹生产经营单位重大生产安全事故隐患判定标准（试行）〉的通知》（安监总管三〔2017〕121号）</w:t>
            </w:r>
            <w:r>
              <w:rPr>
                <w:rFonts w:eastAsia="仿宋"/>
                <w:color w:val="000000"/>
                <w:kern w:val="0"/>
                <w:sz w:val="24"/>
                <w:lang w:bidi="ar"/>
              </w:rPr>
              <w:br w:type="textWrapping"/>
            </w:r>
            <w:r>
              <w:rPr>
                <w:rFonts w:eastAsia="仿宋"/>
                <w:color w:val="000000"/>
                <w:kern w:val="0"/>
                <w:sz w:val="24"/>
                <w:lang w:bidi="ar"/>
              </w:rPr>
              <w:t>化工和危险化学品类：</w:t>
            </w:r>
            <w:r>
              <w:rPr>
                <w:rFonts w:eastAsia="仿宋"/>
                <w:color w:val="000000"/>
                <w:kern w:val="0"/>
                <w:sz w:val="24"/>
                <w:lang w:bidi="ar"/>
              </w:rPr>
              <w:br w:type="textWrapping"/>
            </w:r>
            <w:r>
              <w:rPr>
                <w:rFonts w:eastAsia="仿宋"/>
                <w:color w:val="000000"/>
                <w:kern w:val="0"/>
                <w:sz w:val="24"/>
                <w:lang w:bidi="ar"/>
              </w:rPr>
              <w:t>六、全压力式液化烃储罐未按国家标准设置注水措施。</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707E3C30">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4725450A">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5611D68C">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17E7AD3A">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10209E74">
            <w:pPr>
              <w:topLinePunct/>
              <w:adjustRightInd w:val="0"/>
              <w:snapToGrid w:val="0"/>
              <w:jc w:val="center"/>
              <w:textAlignment w:val="center"/>
              <w:rPr>
                <w:rFonts w:eastAsia="仿宋"/>
                <w:color w:val="000000"/>
                <w:sz w:val="24"/>
              </w:rPr>
            </w:pPr>
            <w:r>
              <w:rPr>
                <w:rFonts w:eastAsia="仿宋"/>
                <w:color w:val="000000"/>
                <w:kern w:val="0"/>
                <w:sz w:val="24"/>
                <w:lang w:bidi="ar"/>
              </w:rPr>
              <w:t>98</w:t>
            </w:r>
          </w:p>
        </w:tc>
        <w:tc>
          <w:tcPr>
            <w:tcW w:w="838" w:type="pct"/>
            <w:tcBorders>
              <w:top w:val="single" w:color="000000" w:sz="4" w:space="0"/>
              <w:left w:val="single" w:color="000000" w:sz="4" w:space="0"/>
              <w:bottom w:val="single" w:color="000000" w:sz="4" w:space="0"/>
              <w:right w:val="single" w:color="000000" w:sz="4" w:space="0"/>
            </w:tcBorders>
            <w:vAlign w:val="center"/>
          </w:tcPr>
          <w:p w14:paraId="1FC88E47">
            <w:pPr>
              <w:topLinePunct/>
              <w:adjustRightInd w:val="0"/>
              <w:snapToGrid w:val="0"/>
              <w:textAlignment w:val="center"/>
              <w:rPr>
                <w:rFonts w:eastAsia="仿宋"/>
                <w:color w:val="000000"/>
                <w:sz w:val="24"/>
              </w:rPr>
            </w:pPr>
            <w:r>
              <w:rPr>
                <w:rFonts w:eastAsia="仿宋"/>
                <w:color w:val="000000"/>
                <w:kern w:val="0"/>
                <w:sz w:val="24"/>
                <w:lang w:bidi="ar"/>
              </w:rPr>
              <w:t>对化工和危险化学品企业液化烃、液氨、液氯等易燃易爆、有毒有害液化气体的充装未使用万向管道充装系统的行政处罚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4B084344">
            <w:pPr>
              <w:topLinePunct/>
              <w:adjustRightInd w:val="0"/>
              <w:snapToGrid w:val="0"/>
              <w:jc w:val="left"/>
              <w:textAlignment w:val="center"/>
              <w:rPr>
                <w:rFonts w:eastAsia="仿宋"/>
                <w:color w:val="000000"/>
                <w:sz w:val="24"/>
              </w:rPr>
            </w:pPr>
            <w:r>
              <w:rPr>
                <w:rFonts w:eastAsia="仿宋"/>
                <w:color w:val="000000"/>
                <w:kern w:val="0"/>
                <w:sz w:val="24"/>
                <w:lang w:bidi="ar"/>
              </w:rPr>
              <w:t>1.《国家安全监管总局关于印发〈化工和危险化学品生产经营单位重大生产安全事故隐患判定标准（试行）〉和〈烟花爆竹生产经营单位重大生产安全事故隐患判定标准（试行）〉的通知》（安监总管三〔2017〕121号）</w:t>
            </w:r>
            <w:r>
              <w:rPr>
                <w:rFonts w:eastAsia="仿宋"/>
                <w:color w:val="000000"/>
                <w:kern w:val="0"/>
                <w:sz w:val="24"/>
                <w:lang w:bidi="ar"/>
              </w:rPr>
              <w:br w:type="textWrapping"/>
            </w:r>
            <w:r>
              <w:rPr>
                <w:rFonts w:eastAsia="仿宋"/>
                <w:color w:val="000000"/>
                <w:kern w:val="0"/>
                <w:sz w:val="24"/>
                <w:lang w:bidi="ar"/>
              </w:rPr>
              <w:t>化工和危险化学品类：</w:t>
            </w:r>
            <w:r>
              <w:rPr>
                <w:rFonts w:eastAsia="仿宋"/>
                <w:color w:val="000000"/>
                <w:kern w:val="0"/>
                <w:sz w:val="24"/>
                <w:lang w:bidi="ar"/>
              </w:rPr>
              <w:br w:type="textWrapping"/>
            </w:r>
            <w:r>
              <w:rPr>
                <w:rFonts w:eastAsia="仿宋"/>
                <w:color w:val="000000"/>
                <w:kern w:val="0"/>
                <w:sz w:val="24"/>
                <w:lang w:bidi="ar"/>
              </w:rPr>
              <w:t>七、液化烃、液氨、液氯等易燃易爆、有毒有害液化气体的充装未使用万向管道充装系统。</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3AA78133">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26EC5851">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46768553">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66A822E0">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5B019790">
            <w:pPr>
              <w:topLinePunct/>
              <w:adjustRightInd w:val="0"/>
              <w:snapToGrid w:val="0"/>
              <w:jc w:val="center"/>
              <w:textAlignment w:val="center"/>
              <w:rPr>
                <w:rFonts w:eastAsia="仿宋"/>
                <w:color w:val="000000"/>
                <w:sz w:val="24"/>
              </w:rPr>
            </w:pPr>
            <w:r>
              <w:rPr>
                <w:rFonts w:eastAsia="仿宋"/>
                <w:color w:val="000000"/>
                <w:kern w:val="0"/>
                <w:sz w:val="24"/>
                <w:lang w:bidi="ar"/>
              </w:rPr>
              <w:t>99</w:t>
            </w:r>
          </w:p>
        </w:tc>
        <w:tc>
          <w:tcPr>
            <w:tcW w:w="838" w:type="pct"/>
            <w:tcBorders>
              <w:top w:val="single" w:color="000000" w:sz="4" w:space="0"/>
              <w:left w:val="single" w:color="000000" w:sz="4" w:space="0"/>
              <w:bottom w:val="single" w:color="000000" w:sz="4" w:space="0"/>
              <w:right w:val="single" w:color="000000" w:sz="4" w:space="0"/>
            </w:tcBorders>
            <w:vAlign w:val="center"/>
          </w:tcPr>
          <w:p w14:paraId="68A4BD6F">
            <w:pPr>
              <w:topLinePunct/>
              <w:adjustRightInd w:val="0"/>
              <w:snapToGrid w:val="0"/>
              <w:textAlignment w:val="center"/>
              <w:rPr>
                <w:rFonts w:eastAsia="仿宋"/>
                <w:color w:val="000000"/>
                <w:sz w:val="24"/>
              </w:rPr>
            </w:pPr>
            <w:r>
              <w:rPr>
                <w:rFonts w:eastAsia="仿宋"/>
                <w:color w:val="000000"/>
                <w:kern w:val="0"/>
                <w:sz w:val="24"/>
                <w:lang w:bidi="ar"/>
              </w:rPr>
              <w:t>对化工和危险化学品企业在役化工装置未经正规设计且未进行安全设计诊断的行政处罚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373C0C54">
            <w:pPr>
              <w:topLinePunct/>
              <w:adjustRightInd w:val="0"/>
              <w:snapToGrid w:val="0"/>
              <w:jc w:val="left"/>
              <w:textAlignment w:val="center"/>
              <w:rPr>
                <w:rFonts w:eastAsia="仿宋"/>
                <w:color w:val="000000"/>
                <w:sz w:val="24"/>
              </w:rPr>
            </w:pPr>
            <w:r>
              <w:rPr>
                <w:rFonts w:eastAsia="仿宋"/>
                <w:color w:val="000000"/>
                <w:kern w:val="0"/>
                <w:sz w:val="24"/>
                <w:lang w:bidi="ar"/>
              </w:rPr>
              <w:t>1.《国家安全监管总局关于印发〈化工和危险化学品生产经营单位重大生产安全事故隐患判定标准（试行）〉和〈烟花爆竹生产经营单位重大生产安全事故隐患判定标准（试行）〉的通知》（安监总管三〔2017〕121号）</w:t>
            </w:r>
            <w:r>
              <w:rPr>
                <w:rFonts w:eastAsia="仿宋"/>
                <w:color w:val="000000"/>
                <w:kern w:val="0"/>
                <w:sz w:val="24"/>
                <w:lang w:bidi="ar"/>
              </w:rPr>
              <w:br w:type="textWrapping"/>
            </w:r>
            <w:r>
              <w:rPr>
                <w:rFonts w:eastAsia="仿宋"/>
                <w:color w:val="000000"/>
                <w:kern w:val="0"/>
                <w:sz w:val="24"/>
                <w:lang w:bidi="ar"/>
              </w:rPr>
              <w:t>化工和危险化学品类：</w:t>
            </w:r>
            <w:r>
              <w:rPr>
                <w:rFonts w:eastAsia="仿宋"/>
                <w:color w:val="000000"/>
                <w:kern w:val="0"/>
                <w:sz w:val="24"/>
                <w:lang w:bidi="ar"/>
              </w:rPr>
              <w:br w:type="textWrapping"/>
            </w:r>
            <w:r>
              <w:rPr>
                <w:rFonts w:eastAsia="仿宋"/>
                <w:color w:val="000000"/>
                <w:kern w:val="0"/>
                <w:sz w:val="24"/>
                <w:lang w:bidi="ar"/>
              </w:rPr>
              <w:t>十、在役化工装置未经正规设计且未进行安全设计诊断。</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0E43FCB3">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27A5FA72">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5653F718">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5DD181AE">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39320E3A">
            <w:pPr>
              <w:topLinePunct/>
              <w:adjustRightInd w:val="0"/>
              <w:snapToGrid w:val="0"/>
              <w:jc w:val="center"/>
              <w:textAlignment w:val="center"/>
              <w:rPr>
                <w:rFonts w:eastAsia="仿宋"/>
                <w:color w:val="000000"/>
                <w:sz w:val="24"/>
              </w:rPr>
            </w:pPr>
            <w:r>
              <w:rPr>
                <w:rFonts w:eastAsia="仿宋"/>
                <w:color w:val="000000"/>
                <w:kern w:val="0"/>
                <w:sz w:val="24"/>
                <w:lang w:bidi="ar"/>
              </w:rPr>
              <w:t>100</w:t>
            </w:r>
          </w:p>
        </w:tc>
        <w:tc>
          <w:tcPr>
            <w:tcW w:w="838" w:type="pct"/>
            <w:tcBorders>
              <w:top w:val="single" w:color="000000" w:sz="4" w:space="0"/>
              <w:left w:val="single" w:color="000000" w:sz="4" w:space="0"/>
              <w:bottom w:val="single" w:color="000000" w:sz="4" w:space="0"/>
              <w:right w:val="single" w:color="000000" w:sz="4" w:space="0"/>
            </w:tcBorders>
            <w:vAlign w:val="center"/>
          </w:tcPr>
          <w:p w14:paraId="5F1AFB5E">
            <w:pPr>
              <w:topLinePunct/>
              <w:adjustRightInd w:val="0"/>
              <w:snapToGrid w:val="0"/>
              <w:textAlignment w:val="center"/>
              <w:rPr>
                <w:rFonts w:eastAsia="仿宋"/>
                <w:color w:val="000000"/>
                <w:sz w:val="24"/>
              </w:rPr>
            </w:pPr>
            <w:r>
              <w:rPr>
                <w:rFonts w:eastAsia="仿宋"/>
                <w:color w:val="000000"/>
                <w:kern w:val="0"/>
                <w:sz w:val="24"/>
                <w:lang w:bidi="ar"/>
              </w:rPr>
              <w:t>对化工和危险化学品企业的控制室或机柜间面向具有火灾、爆炸危险性装置一侧不满足国家标准关于防火防爆要求的行政处罚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53358ADE">
            <w:pPr>
              <w:topLinePunct/>
              <w:adjustRightInd w:val="0"/>
              <w:snapToGrid w:val="0"/>
              <w:jc w:val="left"/>
              <w:textAlignment w:val="center"/>
              <w:rPr>
                <w:rFonts w:eastAsia="仿宋"/>
                <w:color w:val="000000"/>
                <w:sz w:val="24"/>
              </w:rPr>
            </w:pPr>
            <w:r>
              <w:rPr>
                <w:rFonts w:eastAsia="仿宋"/>
                <w:color w:val="000000"/>
                <w:kern w:val="0"/>
                <w:sz w:val="24"/>
                <w:lang w:bidi="ar"/>
              </w:rPr>
              <w:t>1.《国家安全监管总局关于印发〈化工和危险化学品生产经营单位重大生产安全事故隐患判定标准（试行）〉和〈烟花爆竹生产经营单位重大生产安全事故隐患判定标准（试行）〉的通知》（安监总管三〔2017〕121号）</w:t>
            </w:r>
            <w:r>
              <w:rPr>
                <w:rFonts w:eastAsia="仿宋"/>
                <w:color w:val="000000"/>
                <w:kern w:val="0"/>
                <w:sz w:val="24"/>
                <w:lang w:bidi="ar"/>
              </w:rPr>
              <w:br w:type="textWrapping"/>
            </w:r>
            <w:r>
              <w:rPr>
                <w:rFonts w:eastAsia="仿宋"/>
                <w:color w:val="000000"/>
                <w:kern w:val="0"/>
                <w:sz w:val="24"/>
                <w:lang w:bidi="ar"/>
              </w:rPr>
              <w:t>化工和危险化学品类：</w:t>
            </w:r>
            <w:r>
              <w:rPr>
                <w:rFonts w:eastAsia="仿宋"/>
                <w:color w:val="000000"/>
                <w:kern w:val="0"/>
                <w:sz w:val="24"/>
                <w:lang w:bidi="ar"/>
              </w:rPr>
              <w:br w:type="textWrapping"/>
            </w:r>
            <w:r>
              <w:rPr>
                <w:rFonts w:eastAsia="仿宋"/>
                <w:color w:val="000000"/>
                <w:kern w:val="0"/>
                <w:sz w:val="24"/>
                <w:lang w:bidi="ar"/>
              </w:rPr>
              <w:t>十三、控制室或机柜间面向具有火灾、爆炸危险性装置一侧不满足国家标准关于防火防爆的要求。</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0FBBEC4A">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370F6543">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53461A3A">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0FCED5FA">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3B0B272C">
            <w:pPr>
              <w:topLinePunct/>
              <w:adjustRightInd w:val="0"/>
              <w:snapToGrid w:val="0"/>
              <w:jc w:val="center"/>
              <w:textAlignment w:val="center"/>
              <w:rPr>
                <w:rFonts w:eastAsia="仿宋"/>
                <w:color w:val="000000"/>
                <w:sz w:val="24"/>
              </w:rPr>
            </w:pPr>
            <w:r>
              <w:rPr>
                <w:rFonts w:eastAsia="仿宋"/>
                <w:color w:val="000000"/>
                <w:kern w:val="0"/>
                <w:sz w:val="24"/>
                <w:lang w:bidi="ar"/>
              </w:rPr>
              <w:t>101</w:t>
            </w:r>
          </w:p>
        </w:tc>
        <w:tc>
          <w:tcPr>
            <w:tcW w:w="838" w:type="pct"/>
            <w:tcBorders>
              <w:top w:val="single" w:color="000000" w:sz="4" w:space="0"/>
              <w:left w:val="single" w:color="000000" w:sz="4" w:space="0"/>
              <w:bottom w:val="single" w:color="000000" w:sz="4" w:space="0"/>
              <w:right w:val="single" w:color="000000" w:sz="4" w:space="0"/>
            </w:tcBorders>
            <w:vAlign w:val="center"/>
          </w:tcPr>
          <w:p w14:paraId="5FB292D4">
            <w:pPr>
              <w:topLinePunct/>
              <w:adjustRightInd w:val="0"/>
              <w:snapToGrid w:val="0"/>
              <w:textAlignment w:val="center"/>
              <w:rPr>
                <w:rFonts w:eastAsia="仿宋"/>
                <w:color w:val="000000"/>
                <w:sz w:val="24"/>
              </w:rPr>
            </w:pPr>
            <w:r>
              <w:rPr>
                <w:rFonts w:eastAsia="仿宋"/>
                <w:color w:val="000000"/>
                <w:kern w:val="0"/>
                <w:sz w:val="24"/>
                <w:lang w:bidi="ar"/>
              </w:rPr>
              <w:t>对化工和危险化学品企业的安全阀、爆破片等安全附件未正常投用的行政处罚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54EB2766">
            <w:pPr>
              <w:topLinePunct/>
              <w:adjustRightInd w:val="0"/>
              <w:snapToGrid w:val="0"/>
              <w:jc w:val="left"/>
              <w:textAlignment w:val="center"/>
              <w:rPr>
                <w:rFonts w:eastAsia="仿宋"/>
                <w:color w:val="000000"/>
                <w:sz w:val="24"/>
              </w:rPr>
            </w:pPr>
            <w:r>
              <w:rPr>
                <w:rFonts w:eastAsia="仿宋"/>
                <w:color w:val="000000"/>
                <w:kern w:val="0"/>
                <w:sz w:val="24"/>
                <w:lang w:bidi="ar"/>
              </w:rPr>
              <w:t>1.《国家安全监管总局关于印发〈化工和危险化学品生产经营单位重大生产安全事故隐患判定标准（试行）〉和〈烟花爆竹生产经营单位重大生产安全事故隐患判定标准（试行）〉的通知》（安监总管三〔2017〕121号）</w:t>
            </w:r>
            <w:r>
              <w:rPr>
                <w:rFonts w:eastAsia="仿宋"/>
                <w:color w:val="000000"/>
                <w:kern w:val="0"/>
                <w:sz w:val="24"/>
                <w:lang w:bidi="ar"/>
              </w:rPr>
              <w:br w:type="textWrapping"/>
            </w:r>
            <w:r>
              <w:rPr>
                <w:rFonts w:eastAsia="仿宋"/>
                <w:color w:val="000000"/>
                <w:kern w:val="0"/>
                <w:sz w:val="24"/>
                <w:lang w:bidi="ar"/>
              </w:rPr>
              <w:t>化工和危险化学品类：</w:t>
            </w:r>
            <w:r>
              <w:rPr>
                <w:rFonts w:eastAsia="仿宋"/>
                <w:color w:val="000000"/>
                <w:kern w:val="0"/>
                <w:sz w:val="24"/>
                <w:lang w:bidi="ar"/>
              </w:rPr>
              <w:br w:type="textWrapping"/>
            </w:r>
            <w:r>
              <w:rPr>
                <w:rFonts w:eastAsia="仿宋"/>
                <w:color w:val="000000"/>
                <w:kern w:val="0"/>
                <w:sz w:val="24"/>
                <w:lang w:bidi="ar"/>
              </w:rPr>
              <w:t>十五、安全阀、爆破片等安全附件未正常投用。</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4DD45932">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586D4E96">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1290D3E9">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2E1A642E">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623B73C0">
            <w:pPr>
              <w:topLinePunct/>
              <w:adjustRightInd w:val="0"/>
              <w:snapToGrid w:val="0"/>
              <w:jc w:val="center"/>
              <w:textAlignment w:val="center"/>
              <w:rPr>
                <w:rFonts w:eastAsia="仿宋"/>
                <w:color w:val="000000"/>
                <w:sz w:val="24"/>
              </w:rPr>
            </w:pPr>
            <w:r>
              <w:rPr>
                <w:rFonts w:eastAsia="仿宋"/>
                <w:color w:val="000000"/>
                <w:kern w:val="0"/>
                <w:sz w:val="24"/>
                <w:lang w:bidi="ar"/>
              </w:rPr>
              <w:t>102</w:t>
            </w:r>
          </w:p>
        </w:tc>
        <w:tc>
          <w:tcPr>
            <w:tcW w:w="838" w:type="pct"/>
            <w:tcBorders>
              <w:top w:val="single" w:color="000000" w:sz="4" w:space="0"/>
              <w:left w:val="single" w:color="000000" w:sz="4" w:space="0"/>
              <w:bottom w:val="single" w:color="000000" w:sz="4" w:space="0"/>
              <w:right w:val="single" w:color="000000" w:sz="4" w:space="0"/>
            </w:tcBorders>
            <w:vAlign w:val="center"/>
          </w:tcPr>
          <w:p w14:paraId="6A0839AE">
            <w:pPr>
              <w:topLinePunct/>
              <w:adjustRightInd w:val="0"/>
              <w:snapToGrid w:val="0"/>
              <w:textAlignment w:val="center"/>
              <w:rPr>
                <w:rFonts w:eastAsia="仿宋"/>
                <w:color w:val="000000"/>
                <w:sz w:val="24"/>
              </w:rPr>
            </w:pPr>
            <w:r>
              <w:rPr>
                <w:rFonts w:eastAsia="仿宋"/>
                <w:color w:val="000000"/>
                <w:kern w:val="0"/>
                <w:sz w:val="24"/>
                <w:lang w:bidi="ar"/>
              </w:rPr>
              <w:t>对化工和危险化学品企业中光气、氯气等剧毒气体及硫化氢气体管道穿越除厂区外的公共区域的行政处罚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237105DE">
            <w:pPr>
              <w:topLinePunct/>
              <w:adjustRightInd w:val="0"/>
              <w:snapToGrid w:val="0"/>
              <w:jc w:val="left"/>
              <w:textAlignment w:val="center"/>
              <w:rPr>
                <w:rFonts w:eastAsia="仿宋"/>
                <w:color w:val="000000"/>
                <w:sz w:val="24"/>
              </w:rPr>
            </w:pPr>
            <w:r>
              <w:rPr>
                <w:rFonts w:eastAsia="仿宋"/>
                <w:color w:val="000000"/>
                <w:kern w:val="0"/>
                <w:sz w:val="24"/>
                <w:lang w:bidi="ar"/>
              </w:rPr>
              <w:t>1.《国家安全监管总局关于印发〈化工和危险化学品生产经营单位重大生产安全事故隐患判定标准（试行）〉和〈烟花爆竹生产经营单位重大生产安全事故隐患判定标准（试行）〉的通知》（安监总管三〔2017〕121号）</w:t>
            </w:r>
            <w:r>
              <w:rPr>
                <w:rFonts w:eastAsia="仿宋"/>
                <w:color w:val="000000"/>
                <w:kern w:val="0"/>
                <w:sz w:val="24"/>
                <w:lang w:bidi="ar"/>
              </w:rPr>
              <w:br w:type="textWrapping"/>
            </w:r>
            <w:r>
              <w:rPr>
                <w:rFonts w:eastAsia="仿宋"/>
                <w:color w:val="000000"/>
                <w:kern w:val="0"/>
                <w:sz w:val="24"/>
                <w:lang w:bidi="ar"/>
              </w:rPr>
              <w:t>化工和危险化学品类：</w:t>
            </w:r>
            <w:r>
              <w:rPr>
                <w:rFonts w:eastAsia="仿宋"/>
                <w:color w:val="000000"/>
                <w:kern w:val="0"/>
                <w:sz w:val="24"/>
                <w:lang w:bidi="ar"/>
              </w:rPr>
              <w:br w:type="textWrapping"/>
            </w:r>
            <w:r>
              <w:rPr>
                <w:rFonts w:eastAsia="仿宋"/>
                <w:color w:val="000000"/>
                <w:kern w:val="0"/>
                <w:sz w:val="24"/>
                <w:lang w:bidi="ar"/>
              </w:rPr>
              <w:t>八、光气、氯气等剧毒气体及硫化氢气体管道穿越除厂区（包括化工园区、工业园区）外的公共区域。</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2F740812">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6015CA94">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37FEA10A">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03C9E007">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5AED10C8">
            <w:pPr>
              <w:topLinePunct/>
              <w:adjustRightInd w:val="0"/>
              <w:snapToGrid w:val="0"/>
              <w:jc w:val="center"/>
              <w:textAlignment w:val="center"/>
              <w:rPr>
                <w:rFonts w:eastAsia="仿宋"/>
                <w:color w:val="000000"/>
                <w:sz w:val="24"/>
              </w:rPr>
            </w:pPr>
            <w:r>
              <w:rPr>
                <w:rFonts w:eastAsia="仿宋"/>
                <w:color w:val="000000"/>
                <w:kern w:val="0"/>
                <w:sz w:val="24"/>
                <w:lang w:bidi="ar"/>
              </w:rPr>
              <w:t>103</w:t>
            </w:r>
          </w:p>
        </w:tc>
        <w:tc>
          <w:tcPr>
            <w:tcW w:w="838" w:type="pct"/>
            <w:tcBorders>
              <w:top w:val="single" w:color="000000" w:sz="4" w:space="0"/>
              <w:left w:val="single" w:color="000000" w:sz="4" w:space="0"/>
              <w:bottom w:val="single" w:color="000000" w:sz="4" w:space="0"/>
              <w:right w:val="single" w:color="000000" w:sz="4" w:space="0"/>
            </w:tcBorders>
            <w:vAlign w:val="center"/>
          </w:tcPr>
          <w:p w14:paraId="0A8D4315">
            <w:pPr>
              <w:topLinePunct/>
              <w:adjustRightInd w:val="0"/>
              <w:snapToGrid w:val="0"/>
              <w:textAlignment w:val="center"/>
              <w:rPr>
                <w:rFonts w:eastAsia="仿宋"/>
                <w:color w:val="000000"/>
                <w:sz w:val="24"/>
              </w:rPr>
            </w:pPr>
            <w:r>
              <w:rPr>
                <w:rFonts w:eastAsia="仿宋"/>
                <w:color w:val="000000"/>
                <w:kern w:val="0"/>
                <w:sz w:val="24"/>
                <w:lang w:bidi="ar"/>
              </w:rPr>
              <w:t>对化工和危险化学品企业地区架空电力线路穿越生产区且不符合国家标准要求的行政处罚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6C0631F0">
            <w:pPr>
              <w:topLinePunct/>
              <w:adjustRightInd w:val="0"/>
              <w:snapToGrid w:val="0"/>
              <w:jc w:val="left"/>
              <w:textAlignment w:val="center"/>
              <w:rPr>
                <w:rFonts w:eastAsia="仿宋"/>
                <w:color w:val="000000"/>
                <w:sz w:val="24"/>
              </w:rPr>
            </w:pPr>
            <w:r>
              <w:rPr>
                <w:rFonts w:eastAsia="仿宋"/>
                <w:color w:val="000000"/>
                <w:kern w:val="0"/>
                <w:sz w:val="24"/>
                <w:lang w:bidi="ar"/>
              </w:rPr>
              <w:t>1.《国家安全监管总局关于印发〈化工和危险化学品生产经营单位重大生产安全事故隐患判定标准（试行）〉和〈烟花爆竹生产经营单位重大生产安全事故隐患判定标准（试行）〉的通知》（安监总管三〔2017〕121号）</w:t>
            </w:r>
            <w:r>
              <w:rPr>
                <w:rFonts w:eastAsia="仿宋"/>
                <w:color w:val="000000"/>
                <w:kern w:val="0"/>
                <w:sz w:val="24"/>
                <w:lang w:bidi="ar"/>
              </w:rPr>
              <w:br w:type="textWrapping"/>
            </w:r>
            <w:r>
              <w:rPr>
                <w:rFonts w:eastAsia="仿宋"/>
                <w:color w:val="000000"/>
                <w:kern w:val="0"/>
                <w:sz w:val="24"/>
                <w:lang w:bidi="ar"/>
              </w:rPr>
              <w:t>化工和危险化学品类：</w:t>
            </w:r>
            <w:r>
              <w:rPr>
                <w:rFonts w:eastAsia="仿宋"/>
                <w:color w:val="000000"/>
                <w:kern w:val="0"/>
                <w:sz w:val="24"/>
                <w:lang w:bidi="ar"/>
              </w:rPr>
              <w:br w:type="textWrapping"/>
            </w:r>
            <w:r>
              <w:rPr>
                <w:rFonts w:eastAsia="仿宋"/>
                <w:color w:val="000000"/>
                <w:kern w:val="0"/>
                <w:sz w:val="24"/>
                <w:lang w:bidi="ar"/>
              </w:rPr>
              <w:t>九、地区架空电力线路穿越生产区且不符合国家标准要求。</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18828FA1">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432C8AC7">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2F586153">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6BC104C4">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4F63A225">
            <w:pPr>
              <w:topLinePunct/>
              <w:adjustRightInd w:val="0"/>
              <w:snapToGrid w:val="0"/>
              <w:jc w:val="center"/>
              <w:textAlignment w:val="center"/>
              <w:rPr>
                <w:rFonts w:eastAsia="仿宋"/>
                <w:color w:val="000000"/>
                <w:sz w:val="24"/>
              </w:rPr>
            </w:pPr>
            <w:r>
              <w:rPr>
                <w:rFonts w:eastAsia="仿宋"/>
                <w:color w:val="000000"/>
                <w:kern w:val="0"/>
                <w:sz w:val="24"/>
                <w:lang w:bidi="ar"/>
              </w:rPr>
              <w:t>104</w:t>
            </w:r>
          </w:p>
        </w:tc>
        <w:tc>
          <w:tcPr>
            <w:tcW w:w="838" w:type="pct"/>
            <w:tcBorders>
              <w:top w:val="single" w:color="000000" w:sz="4" w:space="0"/>
              <w:left w:val="single" w:color="000000" w:sz="4" w:space="0"/>
              <w:bottom w:val="single" w:color="000000" w:sz="4" w:space="0"/>
              <w:right w:val="single" w:color="000000" w:sz="4" w:space="0"/>
            </w:tcBorders>
            <w:vAlign w:val="center"/>
          </w:tcPr>
          <w:p w14:paraId="669B10B0">
            <w:pPr>
              <w:topLinePunct/>
              <w:adjustRightInd w:val="0"/>
              <w:snapToGrid w:val="0"/>
              <w:textAlignment w:val="center"/>
              <w:rPr>
                <w:rFonts w:eastAsia="仿宋"/>
                <w:color w:val="000000"/>
                <w:sz w:val="24"/>
              </w:rPr>
            </w:pPr>
            <w:r>
              <w:rPr>
                <w:rFonts w:eastAsia="仿宋"/>
                <w:color w:val="000000"/>
                <w:kern w:val="0"/>
                <w:sz w:val="24"/>
                <w:lang w:bidi="ar"/>
              </w:rPr>
              <w:t>对化工和危险化学品企业有构成一级、二级重大危险源的危险化学品罐区未实现紧急切断功能等行为的行政处罚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2FCD39B6">
            <w:pPr>
              <w:topLinePunct/>
              <w:adjustRightInd w:val="0"/>
              <w:snapToGrid w:val="0"/>
              <w:jc w:val="left"/>
              <w:textAlignment w:val="center"/>
              <w:rPr>
                <w:rFonts w:eastAsia="仿宋"/>
                <w:color w:val="000000"/>
                <w:sz w:val="24"/>
              </w:rPr>
            </w:pPr>
            <w:r>
              <w:rPr>
                <w:rFonts w:eastAsia="仿宋"/>
                <w:color w:val="000000"/>
                <w:kern w:val="0"/>
                <w:sz w:val="24"/>
                <w:lang w:bidi="ar"/>
              </w:rPr>
              <w:t>1.《国家安全监管总局关于印发〈化工和危险化学品生产经营单位重大生产安全事故隐患判定标准（试行）〉和〈烟花爆竹生产经营单位重大生产安全事故隐患判定标准（试行）〉的通知》（安监总管三〔2017〕121号）</w:t>
            </w:r>
            <w:r>
              <w:rPr>
                <w:rFonts w:eastAsia="仿宋"/>
                <w:color w:val="000000"/>
                <w:kern w:val="0"/>
                <w:sz w:val="24"/>
                <w:lang w:bidi="ar"/>
              </w:rPr>
              <w:br w:type="textWrapping"/>
            </w:r>
            <w:r>
              <w:rPr>
                <w:rFonts w:eastAsia="仿宋"/>
                <w:color w:val="000000"/>
                <w:kern w:val="0"/>
                <w:sz w:val="24"/>
                <w:lang w:bidi="ar"/>
              </w:rPr>
              <w:t>化工和危险化学品类：</w:t>
            </w:r>
            <w:r>
              <w:rPr>
                <w:rFonts w:eastAsia="仿宋"/>
                <w:color w:val="000000"/>
                <w:kern w:val="0"/>
                <w:sz w:val="24"/>
                <w:lang w:bidi="ar"/>
              </w:rPr>
              <w:br w:type="textWrapping"/>
            </w:r>
            <w:r>
              <w:rPr>
                <w:rFonts w:eastAsia="仿宋"/>
                <w:color w:val="000000"/>
                <w:kern w:val="0"/>
                <w:sz w:val="24"/>
                <w:lang w:bidi="ar"/>
              </w:rPr>
              <w:t>五、构成一级、二级重大危险源的危险化学品罐区未实现紧急切断功能；涉及毒性气体、液化气体、剧毒液体的一级、二级重大危险源的危险化学品罐区未配备独立的安全仪表系统。</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102EBBEC">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0924A641">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0F7D655E">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6B07FF8C">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225C61A3">
            <w:pPr>
              <w:topLinePunct/>
              <w:adjustRightInd w:val="0"/>
              <w:snapToGrid w:val="0"/>
              <w:jc w:val="center"/>
              <w:textAlignment w:val="center"/>
              <w:rPr>
                <w:rFonts w:eastAsia="仿宋"/>
                <w:color w:val="000000"/>
                <w:sz w:val="24"/>
              </w:rPr>
            </w:pPr>
            <w:r>
              <w:rPr>
                <w:rFonts w:eastAsia="仿宋"/>
                <w:color w:val="000000"/>
                <w:kern w:val="0"/>
                <w:sz w:val="24"/>
                <w:lang w:bidi="ar"/>
              </w:rPr>
              <w:t>105</w:t>
            </w:r>
          </w:p>
        </w:tc>
        <w:tc>
          <w:tcPr>
            <w:tcW w:w="838" w:type="pct"/>
            <w:tcBorders>
              <w:top w:val="single" w:color="000000" w:sz="4" w:space="0"/>
              <w:left w:val="single" w:color="000000" w:sz="4" w:space="0"/>
              <w:bottom w:val="single" w:color="000000" w:sz="4" w:space="0"/>
              <w:right w:val="single" w:color="000000" w:sz="4" w:space="0"/>
            </w:tcBorders>
            <w:vAlign w:val="center"/>
          </w:tcPr>
          <w:p w14:paraId="7AF6D1AF">
            <w:pPr>
              <w:topLinePunct/>
              <w:adjustRightInd w:val="0"/>
              <w:snapToGrid w:val="0"/>
              <w:textAlignment w:val="center"/>
              <w:rPr>
                <w:rFonts w:eastAsia="仿宋"/>
                <w:color w:val="000000"/>
                <w:sz w:val="24"/>
              </w:rPr>
            </w:pPr>
            <w:r>
              <w:rPr>
                <w:rFonts w:eastAsia="仿宋"/>
                <w:color w:val="000000"/>
                <w:kern w:val="0"/>
                <w:sz w:val="24"/>
                <w:lang w:bidi="ar"/>
              </w:rPr>
              <w:t>对化工和危险化学品企业化工生产装置未按国家标准要求设置双重电源供电，自动化控制系统未设置不间断电源的行政处罚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0C5BECEB">
            <w:pPr>
              <w:topLinePunct/>
              <w:adjustRightInd w:val="0"/>
              <w:snapToGrid w:val="0"/>
              <w:jc w:val="left"/>
              <w:textAlignment w:val="center"/>
              <w:rPr>
                <w:rFonts w:eastAsia="仿宋"/>
                <w:color w:val="000000"/>
                <w:sz w:val="24"/>
              </w:rPr>
            </w:pPr>
            <w:r>
              <w:rPr>
                <w:rFonts w:eastAsia="仿宋"/>
                <w:color w:val="000000"/>
                <w:kern w:val="0"/>
                <w:sz w:val="24"/>
                <w:lang w:bidi="ar"/>
              </w:rPr>
              <w:t>1.《国家安全监管总局关于印发〈化工和危险化学品生产经营单位重大生产安全事故隐患判定标准（试行）〉和〈烟花爆竹生产经营单位重大生产安全事故隐患判定标准（试行）〉的通知》（安监总管三〔2017〕121号）</w:t>
            </w:r>
            <w:r>
              <w:rPr>
                <w:rFonts w:eastAsia="仿宋"/>
                <w:color w:val="000000"/>
                <w:kern w:val="0"/>
                <w:sz w:val="24"/>
                <w:lang w:bidi="ar"/>
              </w:rPr>
              <w:br w:type="textWrapping"/>
            </w:r>
            <w:r>
              <w:rPr>
                <w:rFonts w:eastAsia="仿宋"/>
                <w:color w:val="000000"/>
                <w:kern w:val="0"/>
                <w:sz w:val="24"/>
                <w:lang w:bidi="ar"/>
              </w:rPr>
              <w:t>化工和危险化学品类：</w:t>
            </w:r>
            <w:r>
              <w:rPr>
                <w:rFonts w:eastAsia="仿宋"/>
                <w:color w:val="000000"/>
                <w:kern w:val="0"/>
                <w:sz w:val="24"/>
                <w:lang w:bidi="ar"/>
              </w:rPr>
              <w:br w:type="textWrapping"/>
            </w:r>
            <w:r>
              <w:rPr>
                <w:rFonts w:eastAsia="仿宋"/>
                <w:color w:val="000000"/>
                <w:kern w:val="0"/>
                <w:sz w:val="24"/>
                <w:lang w:bidi="ar"/>
              </w:rPr>
              <w:t>十四、化工生产装置未按国家标准要求设置双重电源供电，自动化控制系统未设置不间断电源。</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3B46022F">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406E3147">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42DF323F">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68539FAC">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7E559D02">
            <w:pPr>
              <w:topLinePunct/>
              <w:adjustRightInd w:val="0"/>
              <w:snapToGrid w:val="0"/>
              <w:jc w:val="center"/>
              <w:textAlignment w:val="center"/>
              <w:rPr>
                <w:rFonts w:eastAsia="仿宋"/>
                <w:color w:val="000000"/>
                <w:sz w:val="24"/>
              </w:rPr>
            </w:pPr>
            <w:r>
              <w:rPr>
                <w:rFonts w:eastAsia="仿宋"/>
                <w:color w:val="000000"/>
                <w:kern w:val="0"/>
                <w:sz w:val="24"/>
                <w:lang w:bidi="ar"/>
              </w:rPr>
              <w:t>106</w:t>
            </w:r>
          </w:p>
        </w:tc>
        <w:tc>
          <w:tcPr>
            <w:tcW w:w="838" w:type="pct"/>
            <w:tcBorders>
              <w:top w:val="single" w:color="000000" w:sz="4" w:space="0"/>
              <w:left w:val="single" w:color="000000" w:sz="4" w:space="0"/>
              <w:bottom w:val="single" w:color="000000" w:sz="4" w:space="0"/>
              <w:right w:val="single" w:color="000000" w:sz="4" w:space="0"/>
            </w:tcBorders>
            <w:vAlign w:val="center"/>
          </w:tcPr>
          <w:p w14:paraId="1188DAA0">
            <w:pPr>
              <w:topLinePunct/>
              <w:adjustRightInd w:val="0"/>
              <w:snapToGrid w:val="0"/>
              <w:textAlignment w:val="center"/>
              <w:rPr>
                <w:rFonts w:eastAsia="仿宋"/>
                <w:color w:val="000000"/>
                <w:sz w:val="24"/>
              </w:rPr>
            </w:pPr>
            <w:r>
              <w:rPr>
                <w:rFonts w:eastAsia="仿宋"/>
                <w:color w:val="000000"/>
                <w:kern w:val="0"/>
                <w:sz w:val="24"/>
                <w:lang w:bidi="ar"/>
              </w:rPr>
              <w:t>对化工和危险化学品企业新开发的危险化学品生产工艺未经小试、中试、工业化试验直接进行工业化生产等行为的行政处罚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1FF44019">
            <w:pPr>
              <w:topLinePunct/>
              <w:adjustRightInd w:val="0"/>
              <w:snapToGrid w:val="0"/>
              <w:jc w:val="left"/>
              <w:textAlignment w:val="center"/>
              <w:rPr>
                <w:rFonts w:eastAsia="仿宋"/>
                <w:color w:val="000000"/>
                <w:sz w:val="24"/>
              </w:rPr>
            </w:pPr>
            <w:r>
              <w:rPr>
                <w:rFonts w:eastAsia="仿宋"/>
                <w:color w:val="000000"/>
                <w:kern w:val="0"/>
                <w:sz w:val="24"/>
                <w:lang w:bidi="ar"/>
              </w:rPr>
              <w:t>1.《国家安全监管总局关于印发〈化工和危险化学品生产经营单位重大生产安全事故隐患判定标准（试行）〉和〈烟花爆竹生产经营单位重大生产安全事故隐患判定标准（试行）〉的通知》（安监总管三〔2017〕121号）</w:t>
            </w:r>
            <w:r>
              <w:rPr>
                <w:rFonts w:eastAsia="仿宋"/>
                <w:color w:val="000000"/>
                <w:kern w:val="0"/>
                <w:sz w:val="24"/>
                <w:lang w:bidi="ar"/>
              </w:rPr>
              <w:br w:type="textWrapping"/>
            </w:r>
            <w:r>
              <w:rPr>
                <w:rFonts w:eastAsia="仿宋"/>
                <w:color w:val="000000"/>
                <w:kern w:val="0"/>
                <w:sz w:val="24"/>
                <w:lang w:bidi="ar"/>
              </w:rPr>
              <w:t>化工和危险化学品类：</w:t>
            </w:r>
            <w:r>
              <w:rPr>
                <w:rFonts w:eastAsia="仿宋"/>
                <w:color w:val="000000"/>
                <w:kern w:val="0"/>
                <w:sz w:val="24"/>
                <w:lang w:bidi="ar"/>
              </w:rPr>
              <w:br w:type="textWrapping"/>
            </w:r>
            <w:r>
              <w:rPr>
                <w:rFonts w:eastAsia="仿宋"/>
                <w:color w:val="000000"/>
                <w:kern w:val="0"/>
                <w:sz w:val="24"/>
                <w:lang w:bidi="ar"/>
              </w:rPr>
              <w:t>十九、新开发的危险化学品生产工艺未经小试、中试、工业化试验直接进行工业化生产；国内首次使用的化工工艺未经过省级人民政府有关部门组织的安全可靠性论证；新建装置未制定试生产方案投料开车；精细化工企业未按规范性文件要求开展反应安全风险评估。</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2B53AE42">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5FAB449E">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18C4FEFC">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622A155B">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1EE1BC33">
            <w:pPr>
              <w:topLinePunct/>
              <w:adjustRightInd w:val="0"/>
              <w:snapToGrid w:val="0"/>
              <w:jc w:val="center"/>
              <w:textAlignment w:val="center"/>
              <w:rPr>
                <w:rFonts w:eastAsia="仿宋"/>
                <w:color w:val="000000"/>
                <w:sz w:val="24"/>
              </w:rPr>
            </w:pPr>
            <w:r>
              <w:rPr>
                <w:rFonts w:eastAsia="仿宋"/>
                <w:color w:val="000000"/>
                <w:kern w:val="0"/>
                <w:sz w:val="24"/>
                <w:lang w:bidi="ar"/>
              </w:rPr>
              <w:t>107</w:t>
            </w:r>
          </w:p>
        </w:tc>
        <w:tc>
          <w:tcPr>
            <w:tcW w:w="838" w:type="pct"/>
            <w:tcBorders>
              <w:top w:val="single" w:color="000000" w:sz="4" w:space="0"/>
              <w:left w:val="single" w:color="000000" w:sz="4" w:space="0"/>
              <w:bottom w:val="single" w:color="000000" w:sz="4" w:space="0"/>
              <w:right w:val="single" w:color="000000" w:sz="4" w:space="0"/>
            </w:tcBorders>
            <w:vAlign w:val="center"/>
          </w:tcPr>
          <w:p w14:paraId="7956FAC7">
            <w:pPr>
              <w:topLinePunct/>
              <w:adjustRightInd w:val="0"/>
              <w:snapToGrid w:val="0"/>
              <w:textAlignment w:val="center"/>
              <w:rPr>
                <w:rFonts w:eastAsia="仿宋"/>
                <w:color w:val="000000"/>
                <w:sz w:val="24"/>
              </w:rPr>
            </w:pPr>
            <w:r>
              <w:rPr>
                <w:rFonts w:eastAsia="仿宋"/>
                <w:color w:val="000000"/>
                <w:kern w:val="0"/>
                <w:sz w:val="24"/>
                <w:lang w:bidi="ar"/>
              </w:rPr>
              <w:t>对化工和危险化学品企业未制定操作规程和工艺控制指标的行政处罚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31FBA68C">
            <w:pPr>
              <w:topLinePunct/>
              <w:adjustRightInd w:val="0"/>
              <w:snapToGrid w:val="0"/>
              <w:jc w:val="left"/>
              <w:textAlignment w:val="center"/>
              <w:rPr>
                <w:rFonts w:eastAsia="仿宋"/>
                <w:color w:val="000000"/>
                <w:sz w:val="24"/>
              </w:rPr>
            </w:pPr>
            <w:r>
              <w:rPr>
                <w:rFonts w:eastAsia="仿宋"/>
                <w:color w:val="000000"/>
                <w:kern w:val="0"/>
                <w:sz w:val="24"/>
                <w:lang w:bidi="ar"/>
              </w:rPr>
              <w:t>1.《国家安全监管总局关于印发〈化工和危险化学品生产经营单位重大生产安全事故隐患判定标准（试行）〉和〈烟花爆竹生产经营单位重大生产安全事故隐患判定标准（试行）〉的通知》（安监总管三〔2017〕121号）</w:t>
            </w:r>
            <w:r>
              <w:rPr>
                <w:rFonts w:eastAsia="仿宋"/>
                <w:color w:val="000000"/>
                <w:kern w:val="0"/>
                <w:sz w:val="24"/>
                <w:lang w:bidi="ar"/>
              </w:rPr>
              <w:br w:type="textWrapping"/>
            </w:r>
            <w:r>
              <w:rPr>
                <w:rFonts w:eastAsia="仿宋"/>
                <w:color w:val="000000"/>
                <w:kern w:val="0"/>
                <w:sz w:val="24"/>
                <w:lang w:bidi="ar"/>
              </w:rPr>
              <w:t>化工和危险化学品类：</w:t>
            </w:r>
            <w:r>
              <w:rPr>
                <w:rFonts w:eastAsia="仿宋"/>
                <w:color w:val="000000"/>
                <w:kern w:val="0"/>
                <w:sz w:val="24"/>
                <w:lang w:bidi="ar"/>
              </w:rPr>
              <w:br w:type="textWrapping"/>
            </w:r>
            <w:r>
              <w:rPr>
                <w:rFonts w:eastAsia="仿宋"/>
                <w:color w:val="000000"/>
                <w:kern w:val="0"/>
                <w:sz w:val="24"/>
                <w:lang w:bidi="ar"/>
              </w:rPr>
              <w:t>十七、未制定操作规程和工艺控制指标。</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17E3E211">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7BDD3166">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4F466CA6">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45998D5A">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7F9AF0F7">
            <w:pPr>
              <w:topLinePunct/>
              <w:adjustRightInd w:val="0"/>
              <w:snapToGrid w:val="0"/>
              <w:jc w:val="center"/>
              <w:textAlignment w:val="center"/>
              <w:rPr>
                <w:rFonts w:eastAsia="仿宋"/>
                <w:color w:val="000000"/>
                <w:sz w:val="24"/>
              </w:rPr>
            </w:pPr>
            <w:r>
              <w:rPr>
                <w:rFonts w:eastAsia="仿宋"/>
                <w:color w:val="000000"/>
                <w:kern w:val="0"/>
                <w:sz w:val="24"/>
                <w:lang w:bidi="ar"/>
              </w:rPr>
              <w:t>108</w:t>
            </w:r>
          </w:p>
        </w:tc>
        <w:tc>
          <w:tcPr>
            <w:tcW w:w="838" w:type="pct"/>
            <w:tcBorders>
              <w:top w:val="single" w:color="000000" w:sz="4" w:space="0"/>
              <w:left w:val="single" w:color="000000" w:sz="4" w:space="0"/>
              <w:bottom w:val="single" w:color="000000" w:sz="4" w:space="0"/>
              <w:right w:val="single" w:color="000000" w:sz="4" w:space="0"/>
            </w:tcBorders>
            <w:vAlign w:val="center"/>
          </w:tcPr>
          <w:p w14:paraId="4E9D1528">
            <w:pPr>
              <w:topLinePunct/>
              <w:adjustRightInd w:val="0"/>
              <w:snapToGrid w:val="0"/>
              <w:textAlignment w:val="center"/>
              <w:rPr>
                <w:rFonts w:eastAsia="仿宋"/>
                <w:color w:val="000000"/>
                <w:sz w:val="24"/>
              </w:rPr>
            </w:pPr>
            <w:r>
              <w:rPr>
                <w:rFonts w:eastAsia="仿宋"/>
                <w:color w:val="000000"/>
                <w:kern w:val="0"/>
                <w:sz w:val="24"/>
                <w:lang w:bidi="ar"/>
              </w:rPr>
              <w:t>对化工和危险化学品企业未按照国家标准制定动火、进入受限空间等特殊作业管理制度，或者制度未有效执行的行政处罚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214CDE70">
            <w:pPr>
              <w:topLinePunct/>
              <w:adjustRightInd w:val="0"/>
              <w:snapToGrid w:val="0"/>
              <w:jc w:val="left"/>
              <w:textAlignment w:val="center"/>
              <w:rPr>
                <w:rFonts w:eastAsia="仿宋"/>
                <w:color w:val="000000"/>
                <w:sz w:val="24"/>
              </w:rPr>
            </w:pPr>
            <w:r>
              <w:rPr>
                <w:rFonts w:eastAsia="仿宋"/>
                <w:color w:val="000000"/>
                <w:kern w:val="0"/>
                <w:sz w:val="24"/>
                <w:lang w:bidi="ar"/>
              </w:rPr>
              <w:t>1.《国家安全监管总局关于印发〈化工和危险化学品生产经营单位重大生产安全事故隐患判定标准（试行）〉和〈烟花爆竹生产经营单位重大生产安全事故隐患判定标准（试行）〉的通知》（安监总管三〔2017〕121号）</w:t>
            </w:r>
            <w:r>
              <w:rPr>
                <w:rFonts w:eastAsia="仿宋"/>
                <w:color w:val="000000"/>
                <w:kern w:val="0"/>
                <w:sz w:val="24"/>
                <w:lang w:bidi="ar"/>
              </w:rPr>
              <w:br w:type="textWrapping"/>
            </w:r>
            <w:r>
              <w:rPr>
                <w:rFonts w:eastAsia="仿宋"/>
                <w:color w:val="000000"/>
                <w:kern w:val="0"/>
                <w:sz w:val="24"/>
                <w:lang w:bidi="ar"/>
              </w:rPr>
              <w:t>化工和危险化学品类：</w:t>
            </w:r>
            <w:r>
              <w:rPr>
                <w:rFonts w:eastAsia="仿宋"/>
                <w:color w:val="000000"/>
                <w:kern w:val="0"/>
                <w:sz w:val="24"/>
                <w:lang w:bidi="ar"/>
              </w:rPr>
              <w:br w:type="textWrapping"/>
            </w:r>
            <w:r>
              <w:rPr>
                <w:rFonts w:eastAsia="仿宋"/>
                <w:color w:val="000000"/>
                <w:kern w:val="0"/>
                <w:sz w:val="24"/>
                <w:lang w:bidi="ar"/>
              </w:rPr>
              <w:t>十八、未按照国家标准制定动火、进入受限空间等特殊作业管理制度，或者制度未有效执行。</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第一百零一条第一项  生产经营单位有下列行为之一的，责令限期改正，处十万元以下的罚款；逾期未改正的，责令停产停业整顿，并处十万元以上二十万元以下的罚款，对其直接负责的主管人员和其他直接责任人员处二万元以上五万元以下的罚款；构成犯罪的，依照刑法有关规定追究刑事责任：（一）生产、经营、运输、储存、使用危险物品或者处置废弃危险物品，未建立专门安全管理制度、未采取可靠的安全措施的；</w:t>
            </w:r>
          </w:p>
        </w:tc>
        <w:tc>
          <w:tcPr>
            <w:tcW w:w="476" w:type="pct"/>
            <w:tcBorders>
              <w:top w:val="single" w:color="000000" w:sz="4" w:space="0"/>
              <w:left w:val="single" w:color="000000" w:sz="4" w:space="0"/>
              <w:bottom w:val="single" w:color="000000" w:sz="4" w:space="0"/>
              <w:right w:val="single" w:color="000000" w:sz="4" w:space="0"/>
            </w:tcBorders>
            <w:vAlign w:val="center"/>
          </w:tcPr>
          <w:p w14:paraId="3895EDE7">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4F94035C">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6278BDE1">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13F1F442">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4EDB1521">
            <w:pPr>
              <w:topLinePunct/>
              <w:adjustRightInd w:val="0"/>
              <w:snapToGrid w:val="0"/>
              <w:jc w:val="center"/>
              <w:textAlignment w:val="center"/>
              <w:rPr>
                <w:rFonts w:eastAsia="仿宋"/>
                <w:color w:val="000000"/>
                <w:sz w:val="24"/>
              </w:rPr>
            </w:pPr>
            <w:r>
              <w:rPr>
                <w:rFonts w:eastAsia="仿宋"/>
                <w:color w:val="000000"/>
                <w:kern w:val="0"/>
                <w:sz w:val="24"/>
                <w:lang w:bidi="ar"/>
              </w:rPr>
              <w:t>109</w:t>
            </w:r>
          </w:p>
        </w:tc>
        <w:tc>
          <w:tcPr>
            <w:tcW w:w="838" w:type="pct"/>
            <w:tcBorders>
              <w:top w:val="single" w:color="000000" w:sz="4" w:space="0"/>
              <w:left w:val="single" w:color="000000" w:sz="4" w:space="0"/>
              <w:bottom w:val="single" w:color="000000" w:sz="4" w:space="0"/>
              <w:right w:val="single" w:color="000000" w:sz="4" w:space="0"/>
            </w:tcBorders>
            <w:vAlign w:val="center"/>
          </w:tcPr>
          <w:p w14:paraId="29DA2C6A">
            <w:pPr>
              <w:topLinePunct/>
              <w:adjustRightInd w:val="0"/>
              <w:snapToGrid w:val="0"/>
              <w:textAlignment w:val="center"/>
              <w:rPr>
                <w:rFonts w:eastAsia="仿宋"/>
                <w:color w:val="000000"/>
                <w:sz w:val="24"/>
              </w:rPr>
            </w:pPr>
            <w:r>
              <w:rPr>
                <w:rFonts w:eastAsia="仿宋"/>
                <w:color w:val="000000"/>
                <w:kern w:val="0"/>
                <w:sz w:val="24"/>
                <w:lang w:bidi="ar"/>
              </w:rPr>
              <w:t>对危险化学品生产、经营单位主要负责人和安全生产管理人员未依法经考核合格的行政处罚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2560A12B">
            <w:pPr>
              <w:topLinePunct/>
              <w:adjustRightInd w:val="0"/>
              <w:snapToGrid w:val="0"/>
              <w:jc w:val="left"/>
              <w:textAlignment w:val="center"/>
              <w:rPr>
                <w:rFonts w:eastAsia="仿宋"/>
                <w:color w:val="000000"/>
                <w:sz w:val="24"/>
              </w:rPr>
            </w:pPr>
            <w:r>
              <w:rPr>
                <w:rFonts w:eastAsia="仿宋"/>
                <w:color w:val="000000"/>
                <w:kern w:val="0"/>
                <w:sz w:val="24"/>
                <w:lang w:bidi="ar"/>
              </w:rPr>
              <w:t>1.《国家安全监管总局关于印发〈化工和危险化学品生产经营单位重大生产安全事故隐患判定标准（试行）〉和〈烟花爆竹生产经营单位重大生产安全事故隐患判定标准（试行）〉的通知》（安监总管三〔2017〕121号）</w:t>
            </w:r>
            <w:r>
              <w:rPr>
                <w:rFonts w:eastAsia="仿宋"/>
                <w:color w:val="000000"/>
                <w:kern w:val="0"/>
                <w:sz w:val="24"/>
                <w:lang w:bidi="ar"/>
              </w:rPr>
              <w:br w:type="textWrapping"/>
            </w:r>
            <w:r>
              <w:rPr>
                <w:rFonts w:eastAsia="仿宋"/>
                <w:color w:val="000000"/>
                <w:kern w:val="0"/>
                <w:sz w:val="24"/>
                <w:lang w:bidi="ar"/>
              </w:rPr>
              <w:t>化工和危险化学品类：</w:t>
            </w:r>
            <w:r>
              <w:rPr>
                <w:rFonts w:eastAsia="仿宋"/>
                <w:color w:val="000000"/>
                <w:kern w:val="0"/>
                <w:sz w:val="24"/>
                <w:lang w:bidi="ar"/>
              </w:rPr>
              <w:br w:type="textWrapping"/>
            </w:r>
            <w:r>
              <w:rPr>
                <w:rFonts w:eastAsia="仿宋"/>
                <w:color w:val="000000"/>
                <w:kern w:val="0"/>
                <w:sz w:val="24"/>
                <w:lang w:bidi="ar"/>
              </w:rPr>
              <w:t>一、危险化学品生产、经营单位主要负责人和安全生产管理人员未依法经考核合格。</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第九十七条第二项  生产经营单位有下列行为之一的，责令限期改正，处十万元以下的罚款；逾期未改正的，责令停产停业整顿，并处十万元以上二十万元以下的罚款，对其直接负责的主管人员和其他直接责任人员处二万元以上五万元以下的罚款：（二）危险物品的生产、经营、储存、装卸单位以及矿山、金属冶炼、建筑施工、运输单位的主要负责人和安全生产管理人员未按照规定经考核合格的；</w:t>
            </w:r>
          </w:p>
        </w:tc>
        <w:tc>
          <w:tcPr>
            <w:tcW w:w="476" w:type="pct"/>
            <w:tcBorders>
              <w:top w:val="single" w:color="000000" w:sz="4" w:space="0"/>
              <w:left w:val="single" w:color="000000" w:sz="4" w:space="0"/>
              <w:bottom w:val="single" w:color="000000" w:sz="4" w:space="0"/>
              <w:right w:val="single" w:color="000000" w:sz="4" w:space="0"/>
            </w:tcBorders>
            <w:vAlign w:val="center"/>
          </w:tcPr>
          <w:p w14:paraId="5119CCAE">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768F045A">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5B4BF05C">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7823FDAA">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2B43D673">
            <w:pPr>
              <w:topLinePunct/>
              <w:adjustRightInd w:val="0"/>
              <w:snapToGrid w:val="0"/>
              <w:jc w:val="center"/>
              <w:textAlignment w:val="center"/>
              <w:rPr>
                <w:rFonts w:eastAsia="仿宋"/>
                <w:color w:val="000000"/>
                <w:sz w:val="24"/>
              </w:rPr>
            </w:pPr>
            <w:r>
              <w:rPr>
                <w:rFonts w:eastAsia="仿宋"/>
                <w:color w:val="000000"/>
                <w:kern w:val="0"/>
                <w:sz w:val="24"/>
                <w:lang w:bidi="ar"/>
              </w:rPr>
              <w:t>110</w:t>
            </w:r>
          </w:p>
        </w:tc>
        <w:tc>
          <w:tcPr>
            <w:tcW w:w="838" w:type="pct"/>
            <w:tcBorders>
              <w:top w:val="single" w:color="000000" w:sz="4" w:space="0"/>
              <w:left w:val="single" w:color="000000" w:sz="4" w:space="0"/>
              <w:bottom w:val="single" w:color="000000" w:sz="4" w:space="0"/>
              <w:right w:val="single" w:color="000000" w:sz="4" w:space="0"/>
            </w:tcBorders>
            <w:vAlign w:val="center"/>
          </w:tcPr>
          <w:p w14:paraId="1FA8B9C4">
            <w:pPr>
              <w:topLinePunct/>
              <w:adjustRightInd w:val="0"/>
              <w:snapToGrid w:val="0"/>
              <w:textAlignment w:val="center"/>
              <w:rPr>
                <w:rFonts w:eastAsia="仿宋"/>
                <w:color w:val="000000"/>
                <w:sz w:val="24"/>
              </w:rPr>
            </w:pPr>
            <w:r>
              <w:rPr>
                <w:rFonts w:eastAsia="仿宋"/>
                <w:color w:val="000000"/>
                <w:kern w:val="0"/>
                <w:sz w:val="24"/>
                <w:lang w:bidi="ar"/>
              </w:rPr>
              <w:t>对化工和危险化学品企业特种作业人员未持证上岗的行政处罚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3CDFCC84">
            <w:pPr>
              <w:topLinePunct/>
              <w:adjustRightInd w:val="0"/>
              <w:snapToGrid w:val="0"/>
              <w:jc w:val="left"/>
              <w:textAlignment w:val="center"/>
              <w:rPr>
                <w:rFonts w:eastAsia="仿宋"/>
                <w:color w:val="000000"/>
                <w:sz w:val="24"/>
              </w:rPr>
            </w:pPr>
            <w:r>
              <w:rPr>
                <w:rFonts w:eastAsia="仿宋"/>
                <w:color w:val="000000"/>
                <w:kern w:val="0"/>
                <w:sz w:val="24"/>
                <w:lang w:bidi="ar"/>
              </w:rPr>
              <w:t>1.《国家安全监管总局关于印发〈化工和危险化学品生产经营单位重大生产安全事故隐患判定标准（试行）〉和〈烟花爆竹生产经营单位重大生产安全事故隐患判定标准（试行）〉的通知》（安监总管三〔2017〕121号）</w:t>
            </w:r>
            <w:r>
              <w:rPr>
                <w:rFonts w:eastAsia="仿宋"/>
                <w:color w:val="000000"/>
                <w:kern w:val="0"/>
                <w:sz w:val="24"/>
                <w:lang w:bidi="ar"/>
              </w:rPr>
              <w:br w:type="textWrapping"/>
            </w:r>
            <w:r>
              <w:rPr>
                <w:rFonts w:eastAsia="仿宋"/>
                <w:color w:val="000000"/>
                <w:kern w:val="0"/>
                <w:sz w:val="24"/>
                <w:lang w:bidi="ar"/>
              </w:rPr>
              <w:t>化工和危险化学品类：</w:t>
            </w:r>
            <w:r>
              <w:rPr>
                <w:rFonts w:eastAsia="仿宋"/>
                <w:color w:val="000000"/>
                <w:kern w:val="0"/>
                <w:sz w:val="24"/>
                <w:lang w:bidi="ar"/>
              </w:rPr>
              <w:br w:type="textWrapping"/>
            </w:r>
            <w:r>
              <w:rPr>
                <w:rFonts w:eastAsia="仿宋"/>
                <w:color w:val="000000"/>
                <w:kern w:val="0"/>
                <w:sz w:val="24"/>
                <w:lang w:bidi="ar"/>
              </w:rPr>
              <w:t>二、特种作业人员未持证上岗。</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第九十七条第七项  生产经营单位有下列行为之一的，责令限期改正，处十万元以下的罚款；逾期未改正的，责令停产停业整顿，并处十万元以上二十万元以下的罚款，对其直接负责的主管人员和其他直接责任人员处二万元以上五万元以下的罚款：（七）特种作业人员未按照规定经专门的安全作业培训并取得相应资格，上岗作业的。</w:t>
            </w:r>
          </w:p>
        </w:tc>
        <w:tc>
          <w:tcPr>
            <w:tcW w:w="476" w:type="pct"/>
            <w:tcBorders>
              <w:top w:val="single" w:color="000000" w:sz="4" w:space="0"/>
              <w:left w:val="single" w:color="000000" w:sz="4" w:space="0"/>
              <w:bottom w:val="single" w:color="000000" w:sz="4" w:space="0"/>
              <w:right w:val="single" w:color="000000" w:sz="4" w:space="0"/>
            </w:tcBorders>
            <w:vAlign w:val="center"/>
          </w:tcPr>
          <w:p w14:paraId="17A8CF3F">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41F8729B">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6035190E">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087BBE37">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26C2CC06">
            <w:pPr>
              <w:topLinePunct/>
              <w:adjustRightInd w:val="0"/>
              <w:snapToGrid w:val="0"/>
              <w:jc w:val="center"/>
              <w:textAlignment w:val="center"/>
              <w:rPr>
                <w:rFonts w:eastAsia="仿宋"/>
                <w:color w:val="000000"/>
                <w:sz w:val="24"/>
              </w:rPr>
            </w:pPr>
            <w:r>
              <w:rPr>
                <w:rFonts w:eastAsia="仿宋"/>
                <w:color w:val="000000"/>
                <w:kern w:val="0"/>
                <w:sz w:val="24"/>
                <w:lang w:bidi="ar"/>
              </w:rPr>
              <w:t>111</w:t>
            </w:r>
          </w:p>
        </w:tc>
        <w:tc>
          <w:tcPr>
            <w:tcW w:w="838" w:type="pct"/>
            <w:tcBorders>
              <w:top w:val="single" w:color="000000" w:sz="4" w:space="0"/>
              <w:left w:val="single" w:color="000000" w:sz="4" w:space="0"/>
              <w:bottom w:val="single" w:color="000000" w:sz="4" w:space="0"/>
              <w:right w:val="single" w:color="000000" w:sz="4" w:space="0"/>
            </w:tcBorders>
            <w:vAlign w:val="center"/>
          </w:tcPr>
          <w:p w14:paraId="7D2EEA79">
            <w:pPr>
              <w:topLinePunct/>
              <w:adjustRightInd w:val="0"/>
              <w:snapToGrid w:val="0"/>
              <w:textAlignment w:val="center"/>
              <w:rPr>
                <w:rFonts w:eastAsia="仿宋"/>
                <w:color w:val="000000"/>
                <w:sz w:val="24"/>
              </w:rPr>
            </w:pPr>
            <w:r>
              <w:rPr>
                <w:rFonts w:eastAsia="仿宋"/>
                <w:color w:val="000000"/>
                <w:kern w:val="0"/>
                <w:sz w:val="24"/>
                <w:lang w:bidi="ar"/>
              </w:rPr>
              <w:t>对化工和危险化学品企业未制定实施生产安全事故隐患排查治理制度的行政处罚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1FC60197">
            <w:pPr>
              <w:topLinePunct/>
              <w:adjustRightInd w:val="0"/>
              <w:snapToGrid w:val="0"/>
              <w:jc w:val="left"/>
              <w:textAlignment w:val="center"/>
              <w:rPr>
                <w:rFonts w:eastAsia="仿宋"/>
                <w:color w:val="000000"/>
                <w:sz w:val="24"/>
              </w:rPr>
            </w:pPr>
            <w:r>
              <w:rPr>
                <w:rFonts w:eastAsia="仿宋"/>
                <w:color w:val="000000"/>
                <w:kern w:val="0"/>
                <w:sz w:val="24"/>
                <w:lang w:bidi="ar"/>
              </w:rPr>
              <w:t>1.《国家安全监管总局关于印发〈化工和危险化学品生产经营单位重大生产安全事故隐患判定标准（试行）〉和〈烟花爆竹生产经营单位重大生产安全事故隐患判定标准（试行）〉的通知》（安监总管三〔2017〕121号）</w:t>
            </w:r>
            <w:r>
              <w:rPr>
                <w:rFonts w:eastAsia="仿宋"/>
                <w:color w:val="000000"/>
                <w:kern w:val="0"/>
                <w:sz w:val="24"/>
                <w:lang w:bidi="ar"/>
              </w:rPr>
              <w:br w:type="textWrapping"/>
            </w:r>
            <w:r>
              <w:rPr>
                <w:rFonts w:eastAsia="仿宋"/>
                <w:color w:val="000000"/>
                <w:kern w:val="0"/>
                <w:sz w:val="24"/>
                <w:lang w:bidi="ar"/>
              </w:rPr>
              <w:t>化工和危险化学品类：</w:t>
            </w:r>
            <w:r>
              <w:rPr>
                <w:rFonts w:eastAsia="仿宋"/>
                <w:color w:val="000000"/>
                <w:kern w:val="0"/>
                <w:sz w:val="24"/>
                <w:lang w:bidi="ar"/>
              </w:rPr>
              <w:br w:type="textWrapping"/>
            </w:r>
            <w:r>
              <w:rPr>
                <w:rFonts w:eastAsia="仿宋"/>
                <w:color w:val="000000"/>
                <w:kern w:val="0"/>
                <w:sz w:val="24"/>
                <w:lang w:bidi="ar"/>
              </w:rPr>
              <w:t>十六、未建立与岗位相匹配的全员安全生产责任制或者未制定实施生产安全事故隐患排查治理制度。</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第一百零一条第五项  生产经营单位有下列行为之一的，责令限期改正，处十万元以下的罚款；逾期未改正的，责令停产停业整顿，并处十万元以上二十万元以下的罚款，对其直接负责的主管人员和其他直接责任人员处二万元以上五万元以下的罚款；构成犯罪的，依照刑法有关规定追究刑事责任：（五）未建立事故隐患排查治理制度，或者重大事故隐患排查治理情况未按照规定报告的。</w:t>
            </w:r>
          </w:p>
        </w:tc>
        <w:tc>
          <w:tcPr>
            <w:tcW w:w="476" w:type="pct"/>
            <w:tcBorders>
              <w:top w:val="single" w:color="000000" w:sz="4" w:space="0"/>
              <w:left w:val="single" w:color="000000" w:sz="4" w:space="0"/>
              <w:bottom w:val="single" w:color="000000" w:sz="4" w:space="0"/>
              <w:right w:val="single" w:color="000000" w:sz="4" w:space="0"/>
            </w:tcBorders>
            <w:vAlign w:val="center"/>
          </w:tcPr>
          <w:p w14:paraId="7763ECE0">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24E00C0C">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07A8A337">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05223AD2">
        <w:tblPrEx>
          <w:tblCellMar>
            <w:top w:w="0" w:type="dxa"/>
            <w:left w:w="108" w:type="dxa"/>
            <w:bottom w:w="0" w:type="dxa"/>
            <w:right w:w="108" w:type="dxa"/>
          </w:tblCellMar>
        </w:tblPrEx>
        <w:trPr>
          <w:trHeight w:val="4269"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180BA19A">
            <w:pPr>
              <w:topLinePunct/>
              <w:adjustRightInd w:val="0"/>
              <w:snapToGrid w:val="0"/>
              <w:jc w:val="center"/>
              <w:textAlignment w:val="center"/>
              <w:rPr>
                <w:rFonts w:eastAsia="仿宋"/>
                <w:color w:val="000000"/>
                <w:sz w:val="24"/>
              </w:rPr>
            </w:pPr>
            <w:r>
              <w:rPr>
                <w:rFonts w:eastAsia="仿宋"/>
                <w:color w:val="000000"/>
                <w:kern w:val="0"/>
                <w:sz w:val="24"/>
                <w:lang w:bidi="ar"/>
              </w:rPr>
              <w:t>112</w:t>
            </w:r>
          </w:p>
        </w:tc>
        <w:tc>
          <w:tcPr>
            <w:tcW w:w="838" w:type="pct"/>
            <w:tcBorders>
              <w:top w:val="single" w:color="000000" w:sz="4" w:space="0"/>
              <w:left w:val="single" w:color="000000" w:sz="4" w:space="0"/>
              <w:bottom w:val="single" w:color="000000" w:sz="4" w:space="0"/>
              <w:right w:val="single" w:color="000000" w:sz="4" w:space="0"/>
            </w:tcBorders>
            <w:vAlign w:val="center"/>
          </w:tcPr>
          <w:p w14:paraId="1B6DB941">
            <w:pPr>
              <w:topLinePunct/>
              <w:adjustRightInd w:val="0"/>
              <w:snapToGrid w:val="0"/>
              <w:textAlignment w:val="center"/>
              <w:rPr>
                <w:rFonts w:eastAsia="仿宋"/>
                <w:color w:val="000000"/>
                <w:sz w:val="24"/>
              </w:rPr>
            </w:pPr>
            <w:r>
              <w:rPr>
                <w:rFonts w:eastAsia="仿宋"/>
                <w:color w:val="000000"/>
                <w:kern w:val="0"/>
                <w:sz w:val="24"/>
                <w:lang w:bidi="ar"/>
              </w:rPr>
              <w:t>对化工和危险化学品企业未建立与岗位相匹配的全员安全生产责任制的行政处罚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08F021D6">
            <w:pPr>
              <w:topLinePunct/>
              <w:adjustRightInd w:val="0"/>
              <w:snapToGrid w:val="0"/>
              <w:jc w:val="left"/>
              <w:textAlignment w:val="center"/>
              <w:rPr>
                <w:rFonts w:eastAsia="仿宋"/>
                <w:color w:val="000000"/>
                <w:sz w:val="24"/>
              </w:rPr>
            </w:pPr>
            <w:r>
              <w:rPr>
                <w:rFonts w:eastAsia="仿宋"/>
                <w:color w:val="000000"/>
                <w:kern w:val="0"/>
                <w:sz w:val="24"/>
                <w:lang w:bidi="ar"/>
              </w:rPr>
              <w:t>1.《国家安全监管总局关于印发〈化工和危险化学品生产经营单位重大生产安全事故隐患判定标准（试行）〉和〈烟花爆竹生产经营单位重大生产安全事故隐患判定标准（试行）〉的通知》（安监总管三〔2017〕121号）</w:t>
            </w:r>
            <w:r>
              <w:rPr>
                <w:rFonts w:eastAsia="仿宋"/>
                <w:color w:val="000000"/>
                <w:kern w:val="0"/>
                <w:sz w:val="24"/>
                <w:lang w:bidi="ar"/>
              </w:rPr>
              <w:br w:type="textWrapping"/>
            </w:r>
            <w:r>
              <w:rPr>
                <w:rFonts w:eastAsia="仿宋"/>
                <w:color w:val="000000"/>
                <w:kern w:val="0"/>
                <w:sz w:val="24"/>
                <w:lang w:bidi="ar"/>
              </w:rPr>
              <w:t>化工和危险化学品类：</w:t>
            </w:r>
            <w:r>
              <w:rPr>
                <w:rFonts w:eastAsia="仿宋"/>
                <w:color w:val="000000"/>
                <w:kern w:val="0"/>
                <w:sz w:val="24"/>
                <w:lang w:bidi="ar"/>
              </w:rPr>
              <w:br w:type="textWrapping"/>
            </w:r>
            <w:r>
              <w:rPr>
                <w:rFonts w:eastAsia="仿宋"/>
                <w:color w:val="000000"/>
                <w:kern w:val="0"/>
                <w:sz w:val="24"/>
                <w:lang w:bidi="ar"/>
              </w:rPr>
              <w:t>十六、未建立与岗位相匹配的全员安全生产责任制或者未制定实施生产安全事故隐患排查治理制度。</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14C685E5">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1983CB31">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58713DCC">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3F0C4B8D">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4706ED72">
            <w:pPr>
              <w:topLinePunct/>
              <w:adjustRightInd w:val="0"/>
              <w:snapToGrid w:val="0"/>
              <w:jc w:val="center"/>
              <w:textAlignment w:val="center"/>
              <w:rPr>
                <w:rFonts w:eastAsia="仿宋"/>
                <w:color w:val="000000"/>
                <w:sz w:val="24"/>
              </w:rPr>
            </w:pPr>
            <w:r>
              <w:rPr>
                <w:rFonts w:eastAsia="仿宋"/>
                <w:color w:val="000000"/>
                <w:kern w:val="0"/>
                <w:sz w:val="24"/>
                <w:lang w:bidi="ar"/>
              </w:rPr>
              <w:t>113</w:t>
            </w:r>
          </w:p>
        </w:tc>
        <w:tc>
          <w:tcPr>
            <w:tcW w:w="838" w:type="pct"/>
            <w:tcBorders>
              <w:top w:val="single" w:color="000000" w:sz="4" w:space="0"/>
              <w:left w:val="single" w:color="000000" w:sz="4" w:space="0"/>
              <w:bottom w:val="single" w:color="000000" w:sz="4" w:space="0"/>
              <w:right w:val="single" w:color="000000" w:sz="4" w:space="0"/>
            </w:tcBorders>
            <w:vAlign w:val="center"/>
          </w:tcPr>
          <w:p w14:paraId="4B6D479B">
            <w:pPr>
              <w:topLinePunct/>
              <w:adjustRightInd w:val="0"/>
              <w:snapToGrid w:val="0"/>
              <w:textAlignment w:val="center"/>
              <w:rPr>
                <w:rFonts w:eastAsia="仿宋"/>
                <w:color w:val="000000"/>
                <w:sz w:val="24"/>
              </w:rPr>
            </w:pPr>
            <w:r>
              <w:rPr>
                <w:rFonts w:eastAsia="仿宋"/>
                <w:color w:val="000000"/>
                <w:kern w:val="0"/>
                <w:sz w:val="24"/>
                <w:lang w:bidi="ar"/>
              </w:rPr>
              <w:t>对化工和危险化学品企业使用淘汰落后安全技术工艺、设备目录列出的工艺、设备的行政处罚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30F51B75">
            <w:pPr>
              <w:topLinePunct/>
              <w:adjustRightInd w:val="0"/>
              <w:snapToGrid w:val="0"/>
              <w:jc w:val="left"/>
              <w:textAlignment w:val="center"/>
              <w:rPr>
                <w:rFonts w:eastAsia="仿宋"/>
                <w:color w:val="000000"/>
                <w:sz w:val="24"/>
              </w:rPr>
            </w:pPr>
            <w:r>
              <w:rPr>
                <w:rFonts w:eastAsia="仿宋"/>
                <w:color w:val="000000"/>
                <w:kern w:val="0"/>
                <w:sz w:val="24"/>
                <w:lang w:bidi="ar"/>
              </w:rPr>
              <w:t>1.《国家安全监管总局关于印发〈化工和危险化学品生产经营单位重大生产安全事故隐患判定标准（试行）〉和〈烟花爆竹生产经营单位重大生产安全事故隐患判定标准（试行）〉的通知》（安监总管三〔2017〕121号）</w:t>
            </w:r>
            <w:r>
              <w:rPr>
                <w:rFonts w:eastAsia="仿宋"/>
                <w:color w:val="000000"/>
                <w:kern w:val="0"/>
                <w:sz w:val="24"/>
                <w:lang w:bidi="ar"/>
              </w:rPr>
              <w:br w:type="textWrapping"/>
            </w:r>
            <w:r>
              <w:rPr>
                <w:rFonts w:eastAsia="仿宋"/>
                <w:color w:val="000000"/>
                <w:kern w:val="0"/>
                <w:sz w:val="24"/>
                <w:lang w:bidi="ar"/>
              </w:rPr>
              <w:t>化工和危险化学品类：</w:t>
            </w:r>
            <w:r>
              <w:rPr>
                <w:rFonts w:eastAsia="仿宋"/>
                <w:color w:val="000000"/>
                <w:kern w:val="0"/>
                <w:sz w:val="24"/>
                <w:lang w:bidi="ar"/>
              </w:rPr>
              <w:br w:type="textWrapping"/>
            </w:r>
            <w:r>
              <w:rPr>
                <w:rFonts w:eastAsia="仿宋"/>
                <w:color w:val="000000"/>
                <w:kern w:val="0"/>
                <w:sz w:val="24"/>
                <w:lang w:bidi="ar"/>
              </w:rPr>
              <w:t>十一、使用淘汰落后安全技术工艺、设备目录列出的工艺、设备。</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第九十九条第七项  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七）使用应当淘汰的危及生产安全的工艺、设备的；</w:t>
            </w:r>
          </w:p>
        </w:tc>
        <w:tc>
          <w:tcPr>
            <w:tcW w:w="476" w:type="pct"/>
            <w:tcBorders>
              <w:top w:val="single" w:color="000000" w:sz="4" w:space="0"/>
              <w:left w:val="single" w:color="000000" w:sz="4" w:space="0"/>
              <w:bottom w:val="single" w:color="000000" w:sz="4" w:space="0"/>
              <w:right w:val="single" w:color="000000" w:sz="4" w:space="0"/>
            </w:tcBorders>
            <w:vAlign w:val="center"/>
          </w:tcPr>
          <w:p w14:paraId="159583D2">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36D1FBE1">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1B048FB7">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3676221C">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036C8643">
            <w:pPr>
              <w:topLinePunct/>
              <w:adjustRightInd w:val="0"/>
              <w:snapToGrid w:val="0"/>
              <w:jc w:val="center"/>
              <w:textAlignment w:val="center"/>
              <w:rPr>
                <w:rFonts w:eastAsia="仿宋"/>
                <w:color w:val="000000"/>
                <w:sz w:val="24"/>
              </w:rPr>
            </w:pPr>
            <w:r>
              <w:rPr>
                <w:rFonts w:eastAsia="仿宋"/>
                <w:color w:val="000000"/>
                <w:kern w:val="0"/>
                <w:sz w:val="24"/>
                <w:lang w:bidi="ar"/>
              </w:rPr>
              <w:t>114</w:t>
            </w:r>
          </w:p>
        </w:tc>
        <w:tc>
          <w:tcPr>
            <w:tcW w:w="838" w:type="pct"/>
            <w:tcBorders>
              <w:top w:val="single" w:color="000000" w:sz="4" w:space="0"/>
              <w:left w:val="single" w:color="000000" w:sz="4" w:space="0"/>
              <w:bottom w:val="single" w:color="000000" w:sz="4" w:space="0"/>
              <w:right w:val="single" w:color="000000" w:sz="4" w:space="0"/>
            </w:tcBorders>
            <w:vAlign w:val="center"/>
          </w:tcPr>
          <w:p w14:paraId="6D94C3F7">
            <w:pPr>
              <w:topLinePunct/>
              <w:adjustRightInd w:val="0"/>
              <w:snapToGrid w:val="0"/>
              <w:textAlignment w:val="center"/>
              <w:rPr>
                <w:rFonts w:eastAsia="仿宋"/>
                <w:color w:val="000000"/>
                <w:sz w:val="24"/>
              </w:rPr>
            </w:pPr>
            <w:r>
              <w:rPr>
                <w:rFonts w:eastAsia="仿宋"/>
                <w:color w:val="000000"/>
                <w:kern w:val="0"/>
                <w:sz w:val="24"/>
                <w:lang w:bidi="ar"/>
              </w:rPr>
              <w:t>对化工和危险化学品企业涉及可燃和有毒有害气体泄漏的场所未按国家标准设置检测报警装置，爆炸危险场所未按国家标准安装使用防爆电气设备的行政处罚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300FA3B2">
            <w:pPr>
              <w:topLinePunct/>
              <w:adjustRightInd w:val="0"/>
              <w:snapToGrid w:val="0"/>
              <w:jc w:val="left"/>
              <w:textAlignment w:val="center"/>
              <w:rPr>
                <w:rFonts w:eastAsia="仿宋"/>
                <w:color w:val="000000"/>
                <w:sz w:val="24"/>
              </w:rPr>
            </w:pPr>
            <w:r>
              <w:rPr>
                <w:rFonts w:eastAsia="仿宋"/>
                <w:color w:val="000000"/>
                <w:kern w:val="0"/>
                <w:sz w:val="24"/>
                <w:lang w:bidi="ar"/>
              </w:rPr>
              <w:t>1.《国家安全监管总局关于印发〈化工和危险化学品生产经营单位重大生产安全事故隐患判定标准（试行）〉和〈烟花爆竹生产经营单位重大生产安全事故隐患判定标准（试行）〉的通知》（安监总管三〔2017〕121号）</w:t>
            </w:r>
            <w:r>
              <w:rPr>
                <w:rFonts w:eastAsia="仿宋"/>
                <w:color w:val="000000"/>
                <w:kern w:val="0"/>
                <w:sz w:val="24"/>
                <w:lang w:bidi="ar"/>
              </w:rPr>
              <w:br w:type="textWrapping"/>
            </w:r>
            <w:r>
              <w:rPr>
                <w:rFonts w:eastAsia="仿宋"/>
                <w:color w:val="000000"/>
                <w:kern w:val="0"/>
                <w:sz w:val="24"/>
                <w:lang w:bidi="ar"/>
              </w:rPr>
              <w:t>化工和危险化学品类：</w:t>
            </w:r>
            <w:r>
              <w:rPr>
                <w:rFonts w:eastAsia="仿宋"/>
                <w:color w:val="000000"/>
                <w:kern w:val="0"/>
                <w:sz w:val="24"/>
                <w:lang w:bidi="ar"/>
              </w:rPr>
              <w:br w:type="textWrapping"/>
            </w:r>
            <w:r>
              <w:rPr>
                <w:rFonts w:eastAsia="仿宋"/>
                <w:color w:val="000000"/>
                <w:kern w:val="0"/>
                <w:sz w:val="24"/>
                <w:lang w:bidi="ar"/>
              </w:rPr>
              <w:t>十二、涉及可燃和有毒有害气体泄漏的场所未按国家标准设置检测报警装置，爆炸危险场所未按国家标准安装使用防爆电气设备。</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第九十九条第二项  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二）安全设备的安装、使用、检测、改造和报废不符合国家标准或者行业标准的；</w:t>
            </w:r>
          </w:p>
        </w:tc>
        <w:tc>
          <w:tcPr>
            <w:tcW w:w="476" w:type="pct"/>
            <w:tcBorders>
              <w:top w:val="single" w:color="000000" w:sz="4" w:space="0"/>
              <w:left w:val="single" w:color="000000" w:sz="4" w:space="0"/>
              <w:bottom w:val="single" w:color="000000" w:sz="4" w:space="0"/>
              <w:right w:val="single" w:color="000000" w:sz="4" w:space="0"/>
            </w:tcBorders>
            <w:vAlign w:val="center"/>
          </w:tcPr>
          <w:p w14:paraId="1DA7CC2B">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470DAFE8">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7FA72CA6">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1EAEA671">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44544ED8">
            <w:pPr>
              <w:topLinePunct/>
              <w:adjustRightInd w:val="0"/>
              <w:snapToGrid w:val="0"/>
              <w:jc w:val="center"/>
              <w:textAlignment w:val="center"/>
              <w:rPr>
                <w:rFonts w:eastAsia="仿宋"/>
                <w:color w:val="000000"/>
                <w:sz w:val="24"/>
              </w:rPr>
            </w:pPr>
            <w:r>
              <w:rPr>
                <w:rFonts w:eastAsia="仿宋"/>
                <w:color w:val="000000"/>
                <w:kern w:val="0"/>
                <w:sz w:val="24"/>
                <w:lang w:bidi="ar"/>
              </w:rPr>
              <w:t>115</w:t>
            </w:r>
          </w:p>
        </w:tc>
        <w:tc>
          <w:tcPr>
            <w:tcW w:w="838" w:type="pct"/>
            <w:tcBorders>
              <w:top w:val="single" w:color="000000" w:sz="4" w:space="0"/>
              <w:left w:val="single" w:color="000000" w:sz="4" w:space="0"/>
              <w:bottom w:val="single" w:color="000000" w:sz="4" w:space="0"/>
              <w:right w:val="single" w:color="000000" w:sz="4" w:space="0"/>
            </w:tcBorders>
            <w:vAlign w:val="center"/>
          </w:tcPr>
          <w:p w14:paraId="58CD2D19">
            <w:pPr>
              <w:topLinePunct/>
              <w:adjustRightInd w:val="0"/>
              <w:snapToGrid w:val="0"/>
              <w:textAlignment w:val="center"/>
              <w:rPr>
                <w:rFonts w:eastAsia="仿宋"/>
                <w:color w:val="000000"/>
                <w:sz w:val="24"/>
              </w:rPr>
            </w:pPr>
            <w:r>
              <w:rPr>
                <w:rFonts w:eastAsia="仿宋"/>
                <w:color w:val="000000"/>
                <w:kern w:val="0"/>
                <w:sz w:val="24"/>
                <w:lang w:bidi="ar"/>
              </w:rPr>
              <w:t>对非药品类易制毒化学品生产、经营单位未按规定建立管理制度和安全管理制度的行政处罚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6F196A70">
            <w:pPr>
              <w:topLinePunct/>
              <w:adjustRightInd w:val="0"/>
              <w:snapToGrid w:val="0"/>
              <w:jc w:val="left"/>
              <w:textAlignment w:val="center"/>
              <w:rPr>
                <w:rFonts w:eastAsia="仿宋"/>
                <w:color w:val="000000"/>
                <w:sz w:val="24"/>
              </w:rPr>
            </w:pPr>
            <w:r>
              <w:rPr>
                <w:rFonts w:eastAsia="仿宋"/>
                <w:color w:val="000000"/>
                <w:kern w:val="0"/>
                <w:sz w:val="24"/>
                <w:lang w:bidi="ar"/>
              </w:rPr>
              <w:t>1.《易制毒化学品管理条例》</w:t>
            </w:r>
            <w:r>
              <w:rPr>
                <w:rFonts w:eastAsia="仿宋"/>
                <w:color w:val="000000"/>
                <w:kern w:val="0"/>
                <w:sz w:val="24"/>
                <w:lang w:bidi="ar"/>
              </w:rPr>
              <w:br w:type="textWrapping"/>
            </w:r>
            <w:r>
              <w:rPr>
                <w:rFonts w:eastAsia="仿宋"/>
                <w:color w:val="000000"/>
                <w:kern w:val="0"/>
                <w:sz w:val="24"/>
                <w:lang w:bidi="ar"/>
              </w:rPr>
              <w:t>第四十条第一款第一项  违反本条例规定，有下列行为之一的，由负有监督管理职责的行政主管部门给予警告，责令限期改正，处1万元以上5万元以下的罚款；对违反规定生产、经营、购买的易制毒化学品可以予以没收；逾期不改正的，责令限期停产停业整顿；逾期整顿不合格的，吊销相应的许可证：（一）易制毒化学品生产、经营、购买、运输或者进口、出口单位未按规定建立安全管理制度的；</w:t>
            </w:r>
            <w:r>
              <w:rPr>
                <w:rFonts w:eastAsia="仿宋"/>
                <w:color w:val="000000"/>
                <w:kern w:val="0"/>
                <w:sz w:val="24"/>
                <w:lang w:bidi="ar"/>
              </w:rPr>
              <w:br w:type="textWrapping"/>
            </w:r>
            <w:r>
              <w:rPr>
                <w:rFonts w:eastAsia="仿宋"/>
                <w:color w:val="000000"/>
                <w:kern w:val="0"/>
                <w:sz w:val="24"/>
                <w:lang w:bidi="ar"/>
              </w:rPr>
              <w:t>2.《非药品类易制毒化学品生产、经营许可办法》</w:t>
            </w:r>
            <w:r>
              <w:rPr>
                <w:rFonts w:eastAsia="仿宋"/>
                <w:color w:val="000000"/>
                <w:kern w:val="0"/>
                <w:sz w:val="24"/>
                <w:lang w:bidi="ar"/>
              </w:rPr>
              <w:br w:type="textWrapping"/>
            </w:r>
            <w:r>
              <w:rPr>
                <w:rFonts w:eastAsia="仿宋"/>
                <w:color w:val="000000"/>
                <w:kern w:val="0"/>
                <w:sz w:val="24"/>
                <w:lang w:bidi="ar"/>
              </w:rPr>
              <w:t>第三十条第一项  对于有下列行为之一的，由县级以上人民政府安全生产监督管理部门给予警告，责令限期改正，处1万元以上5万元以下的罚款；对违反规定生产、经营的非药品类易制毒化学品，可以予以没收；逾期不改正的，责令限期停产停业整顿；逾期整顿不合格的，吊销相应的许可证：（一）易制毒化学品生产、经营单位未按规定建立易制毒化学品的管理制度和安全管理制度的；</w:t>
            </w:r>
          </w:p>
        </w:tc>
        <w:tc>
          <w:tcPr>
            <w:tcW w:w="476" w:type="pct"/>
            <w:tcBorders>
              <w:top w:val="single" w:color="000000" w:sz="4" w:space="0"/>
              <w:left w:val="single" w:color="000000" w:sz="4" w:space="0"/>
              <w:bottom w:val="single" w:color="000000" w:sz="4" w:space="0"/>
              <w:right w:val="single" w:color="000000" w:sz="4" w:space="0"/>
            </w:tcBorders>
            <w:vAlign w:val="center"/>
          </w:tcPr>
          <w:p w14:paraId="4F6F674D">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02CF6811">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750F8220">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79D9C5F5">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3C5CFDE6">
            <w:pPr>
              <w:topLinePunct/>
              <w:adjustRightInd w:val="0"/>
              <w:snapToGrid w:val="0"/>
              <w:jc w:val="center"/>
              <w:textAlignment w:val="center"/>
              <w:rPr>
                <w:rFonts w:eastAsia="仿宋"/>
                <w:color w:val="000000"/>
                <w:sz w:val="24"/>
              </w:rPr>
            </w:pPr>
            <w:r>
              <w:rPr>
                <w:rFonts w:eastAsia="仿宋"/>
                <w:color w:val="000000"/>
                <w:kern w:val="0"/>
                <w:sz w:val="24"/>
                <w:lang w:bidi="ar"/>
              </w:rPr>
              <w:t>116</w:t>
            </w:r>
          </w:p>
        </w:tc>
        <w:tc>
          <w:tcPr>
            <w:tcW w:w="838" w:type="pct"/>
            <w:tcBorders>
              <w:top w:val="single" w:color="000000" w:sz="4" w:space="0"/>
              <w:left w:val="single" w:color="000000" w:sz="4" w:space="0"/>
              <w:bottom w:val="single" w:color="000000" w:sz="4" w:space="0"/>
              <w:right w:val="single" w:color="000000" w:sz="4" w:space="0"/>
            </w:tcBorders>
            <w:vAlign w:val="center"/>
          </w:tcPr>
          <w:p w14:paraId="73E85092">
            <w:pPr>
              <w:topLinePunct/>
              <w:adjustRightInd w:val="0"/>
              <w:snapToGrid w:val="0"/>
              <w:textAlignment w:val="center"/>
              <w:rPr>
                <w:rFonts w:eastAsia="仿宋"/>
                <w:color w:val="000000"/>
                <w:sz w:val="24"/>
              </w:rPr>
            </w:pPr>
            <w:r>
              <w:rPr>
                <w:rFonts w:eastAsia="仿宋"/>
                <w:color w:val="000000"/>
                <w:kern w:val="0"/>
                <w:sz w:val="24"/>
                <w:lang w:bidi="ar"/>
              </w:rPr>
              <w:t>对将非药品类易制毒化学品生产、经营许可证或者备案证明转借他人使用的行政处罚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5E758C2C">
            <w:pPr>
              <w:topLinePunct/>
              <w:adjustRightInd w:val="0"/>
              <w:snapToGrid w:val="0"/>
              <w:jc w:val="left"/>
              <w:textAlignment w:val="center"/>
              <w:rPr>
                <w:rFonts w:eastAsia="仿宋"/>
                <w:color w:val="000000"/>
                <w:sz w:val="24"/>
              </w:rPr>
            </w:pPr>
            <w:r>
              <w:rPr>
                <w:rFonts w:eastAsia="仿宋"/>
                <w:color w:val="000000"/>
                <w:kern w:val="0"/>
                <w:sz w:val="24"/>
                <w:lang w:bidi="ar"/>
              </w:rPr>
              <w:t>1.《易制毒化学品管理条例》</w:t>
            </w:r>
            <w:r>
              <w:rPr>
                <w:rFonts w:eastAsia="仿宋"/>
                <w:color w:val="000000"/>
                <w:kern w:val="0"/>
                <w:sz w:val="24"/>
                <w:lang w:bidi="ar"/>
              </w:rPr>
              <w:br w:type="textWrapping"/>
            </w:r>
            <w:r>
              <w:rPr>
                <w:rFonts w:eastAsia="仿宋"/>
                <w:color w:val="000000"/>
                <w:kern w:val="0"/>
                <w:sz w:val="24"/>
                <w:lang w:bidi="ar"/>
              </w:rPr>
              <w:t>第四十条第一款第二项  违反本条例规定，有下列行为之一的，由负有监督管理职责的行政主管部门给予警告，责令限期改正，处1万元以上5万元以下的罚款；对违反规定生产、经营、购买的易制毒化学品可以予以没收；逾期不改正的，责令限期停产停业整顿；逾期整顿不合格的，吊销相应的许可证：（二）将许可证或者备案证明转借他人使用的；</w:t>
            </w:r>
            <w:r>
              <w:rPr>
                <w:rFonts w:eastAsia="仿宋"/>
                <w:color w:val="000000"/>
                <w:kern w:val="0"/>
                <w:sz w:val="24"/>
                <w:lang w:bidi="ar"/>
              </w:rPr>
              <w:br w:type="textWrapping"/>
            </w:r>
            <w:r>
              <w:rPr>
                <w:rFonts w:eastAsia="仿宋"/>
                <w:color w:val="000000"/>
                <w:kern w:val="0"/>
                <w:sz w:val="24"/>
                <w:lang w:bidi="ar"/>
              </w:rPr>
              <w:t>2.《非药品类易制毒化学品生产、经营许可办法》</w:t>
            </w:r>
            <w:r>
              <w:rPr>
                <w:rFonts w:eastAsia="仿宋"/>
                <w:color w:val="000000"/>
                <w:kern w:val="0"/>
                <w:sz w:val="24"/>
                <w:lang w:bidi="ar"/>
              </w:rPr>
              <w:br w:type="textWrapping"/>
            </w:r>
            <w:r>
              <w:rPr>
                <w:rFonts w:eastAsia="仿宋"/>
                <w:color w:val="000000"/>
                <w:kern w:val="0"/>
                <w:sz w:val="24"/>
                <w:lang w:bidi="ar"/>
              </w:rPr>
              <w:t>第三十条第二项  对于有下列行为之一的，由县级以上人民政府安全生产监督管理部门给予警告，责令限期改正，处1万元以上5万元以下的罚款；对违反规定生产、经营的非药品类易制毒化学品，可以予以没收；逾期不改正的，责令限期停产停业整顿；逾期整顿不合格的，吊销相应的许可证：（二）将许可证或者备案证明转借他人使用的；</w:t>
            </w:r>
          </w:p>
        </w:tc>
        <w:tc>
          <w:tcPr>
            <w:tcW w:w="476" w:type="pct"/>
            <w:tcBorders>
              <w:top w:val="single" w:color="000000" w:sz="4" w:space="0"/>
              <w:left w:val="single" w:color="000000" w:sz="4" w:space="0"/>
              <w:bottom w:val="single" w:color="000000" w:sz="4" w:space="0"/>
              <w:right w:val="single" w:color="000000" w:sz="4" w:space="0"/>
            </w:tcBorders>
            <w:vAlign w:val="center"/>
          </w:tcPr>
          <w:p w14:paraId="083DA6C8">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15F5EE49">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0816FF76">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707A83B7">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4177D03A">
            <w:pPr>
              <w:topLinePunct/>
              <w:adjustRightInd w:val="0"/>
              <w:snapToGrid w:val="0"/>
              <w:jc w:val="center"/>
              <w:textAlignment w:val="center"/>
              <w:rPr>
                <w:rFonts w:eastAsia="仿宋"/>
                <w:color w:val="000000"/>
                <w:sz w:val="24"/>
              </w:rPr>
            </w:pPr>
            <w:r>
              <w:rPr>
                <w:rFonts w:eastAsia="仿宋"/>
                <w:color w:val="000000"/>
                <w:kern w:val="0"/>
                <w:sz w:val="24"/>
                <w:lang w:bidi="ar"/>
              </w:rPr>
              <w:t>117</w:t>
            </w:r>
          </w:p>
        </w:tc>
        <w:tc>
          <w:tcPr>
            <w:tcW w:w="838" w:type="pct"/>
            <w:tcBorders>
              <w:top w:val="single" w:color="000000" w:sz="4" w:space="0"/>
              <w:left w:val="single" w:color="000000" w:sz="4" w:space="0"/>
              <w:bottom w:val="single" w:color="000000" w:sz="4" w:space="0"/>
              <w:right w:val="single" w:color="000000" w:sz="4" w:space="0"/>
            </w:tcBorders>
            <w:vAlign w:val="center"/>
          </w:tcPr>
          <w:p w14:paraId="37BA7BA6">
            <w:pPr>
              <w:topLinePunct/>
              <w:adjustRightInd w:val="0"/>
              <w:snapToGrid w:val="0"/>
              <w:textAlignment w:val="center"/>
              <w:rPr>
                <w:rFonts w:eastAsia="仿宋"/>
                <w:color w:val="000000"/>
                <w:sz w:val="24"/>
              </w:rPr>
            </w:pPr>
            <w:r>
              <w:rPr>
                <w:rFonts w:eastAsia="仿宋"/>
                <w:color w:val="000000"/>
                <w:kern w:val="0"/>
                <w:sz w:val="24"/>
                <w:lang w:bidi="ar"/>
              </w:rPr>
              <w:t>对超出许可的品种、数量，生产、经营非药品类易制毒化学品的行政处罚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75E09129">
            <w:pPr>
              <w:topLinePunct/>
              <w:adjustRightInd w:val="0"/>
              <w:snapToGrid w:val="0"/>
              <w:jc w:val="left"/>
              <w:textAlignment w:val="center"/>
              <w:rPr>
                <w:rFonts w:eastAsia="仿宋"/>
                <w:color w:val="000000"/>
                <w:sz w:val="24"/>
              </w:rPr>
            </w:pPr>
            <w:r>
              <w:rPr>
                <w:rFonts w:eastAsia="仿宋"/>
                <w:color w:val="000000"/>
                <w:kern w:val="0"/>
                <w:sz w:val="24"/>
                <w:lang w:bidi="ar"/>
              </w:rPr>
              <w:t>1.《易制毒化学品管理条例》</w:t>
            </w:r>
            <w:r>
              <w:rPr>
                <w:rFonts w:eastAsia="仿宋"/>
                <w:color w:val="000000"/>
                <w:kern w:val="0"/>
                <w:sz w:val="24"/>
                <w:lang w:bidi="ar"/>
              </w:rPr>
              <w:br w:type="textWrapping"/>
            </w:r>
            <w:r>
              <w:rPr>
                <w:rFonts w:eastAsia="仿宋"/>
                <w:color w:val="000000"/>
                <w:kern w:val="0"/>
                <w:sz w:val="24"/>
                <w:lang w:bidi="ar"/>
              </w:rPr>
              <w:t>第四十条第一款第三项  违反本条例规定，有下列行为之一的，由负有监督管理职责的行政主管部门给予警告，责令限期改正，处1万元以上5万元以下的罚款；对违反规定生产、经营、购买的易制毒化学品可以予以没收；逾期不改正的，责令限期停产停业整顿；逾期整顿不合格的，吊销相应的许可证：（三）超出许可的品种、数量生产、经营、购买易制毒化学品的；</w:t>
            </w:r>
            <w:r>
              <w:rPr>
                <w:rFonts w:eastAsia="仿宋"/>
                <w:color w:val="000000"/>
                <w:kern w:val="0"/>
                <w:sz w:val="24"/>
                <w:lang w:bidi="ar"/>
              </w:rPr>
              <w:br w:type="textWrapping"/>
            </w:r>
            <w:r>
              <w:rPr>
                <w:rFonts w:eastAsia="仿宋"/>
                <w:color w:val="000000"/>
                <w:kern w:val="0"/>
                <w:sz w:val="24"/>
                <w:lang w:bidi="ar"/>
              </w:rPr>
              <w:t>2.《非药品类易制毒化学品生产、经营许可办法》</w:t>
            </w:r>
            <w:r>
              <w:rPr>
                <w:rFonts w:eastAsia="仿宋"/>
                <w:color w:val="000000"/>
                <w:kern w:val="0"/>
                <w:sz w:val="24"/>
                <w:lang w:bidi="ar"/>
              </w:rPr>
              <w:br w:type="textWrapping"/>
            </w:r>
            <w:r>
              <w:rPr>
                <w:rFonts w:eastAsia="仿宋"/>
                <w:color w:val="000000"/>
                <w:kern w:val="0"/>
                <w:sz w:val="24"/>
                <w:lang w:bidi="ar"/>
              </w:rPr>
              <w:t>第三十条第三项  对于有下列行为之一的，由县级以上人民政府安全生产监督管理部门给予警告，责令限期改正，处1万元以上5万元以下的罚款；对违反规定生产、经营的非药品类易制毒化学品，可以予以没收；逾期不改正的，责令限期停产停业整顿；逾期整顿不合格的，吊销相应的许可证：（三）超出许可的品种、数量，生产、经营非药品类易制毒化学品的；</w:t>
            </w:r>
          </w:p>
        </w:tc>
        <w:tc>
          <w:tcPr>
            <w:tcW w:w="476" w:type="pct"/>
            <w:tcBorders>
              <w:top w:val="single" w:color="000000" w:sz="4" w:space="0"/>
              <w:left w:val="single" w:color="000000" w:sz="4" w:space="0"/>
              <w:bottom w:val="single" w:color="000000" w:sz="4" w:space="0"/>
              <w:right w:val="single" w:color="000000" w:sz="4" w:space="0"/>
            </w:tcBorders>
            <w:vAlign w:val="center"/>
          </w:tcPr>
          <w:p w14:paraId="023375F2">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1665966E">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5AC65841">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3DBBBFD4">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77001ED3">
            <w:pPr>
              <w:topLinePunct/>
              <w:adjustRightInd w:val="0"/>
              <w:snapToGrid w:val="0"/>
              <w:jc w:val="center"/>
              <w:textAlignment w:val="center"/>
              <w:rPr>
                <w:rFonts w:eastAsia="仿宋"/>
                <w:color w:val="000000"/>
                <w:sz w:val="24"/>
              </w:rPr>
            </w:pPr>
            <w:r>
              <w:rPr>
                <w:rFonts w:eastAsia="仿宋"/>
                <w:color w:val="000000"/>
                <w:kern w:val="0"/>
                <w:sz w:val="24"/>
                <w:lang w:bidi="ar"/>
              </w:rPr>
              <w:t>118</w:t>
            </w:r>
          </w:p>
        </w:tc>
        <w:tc>
          <w:tcPr>
            <w:tcW w:w="838" w:type="pct"/>
            <w:tcBorders>
              <w:top w:val="single" w:color="000000" w:sz="4" w:space="0"/>
              <w:left w:val="single" w:color="000000" w:sz="4" w:space="0"/>
              <w:bottom w:val="single" w:color="000000" w:sz="4" w:space="0"/>
              <w:right w:val="single" w:color="000000" w:sz="4" w:space="0"/>
            </w:tcBorders>
            <w:vAlign w:val="center"/>
          </w:tcPr>
          <w:p w14:paraId="17B54061">
            <w:pPr>
              <w:topLinePunct/>
              <w:adjustRightInd w:val="0"/>
              <w:snapToGrid w:val="0"/>
              <w:textAlignment w:val="center"/>
              <w:rPr>
                <w:rFonts w:eastAsia="仿宋"/>
                <w:color w:val="000000"/>
                <w:sz w:val="24"/>
              </w:rPr>
            </w:pPr>
            <w:r>
              <w:rPr>
                <w:rFonts w:eastAsia="仿宋"/>
                <w:color w:val="000000"/>
                <w:kern w:val="0"/>
                <w:sz w:val="24"/>
                <w:lang w:bidi="ar"/>
              </w:rPr>
              <w:t>对非药品类易制毒化学品的产品包装和使用说明书不符合规定的行政处罚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0E2CFE4D">
            <w:pPr>
              <w:topLinePunct/>
              <w:adjustRightInd w:val="0"/>
              <w:snapToGrid w:val="0"/>
              <w:jc w:val="left"/>
              <w:textAlignment w:val="center"/>
              <w:rPr>
                <w:rFonts w:eastAsia="仿宋"/>
                <w:color w:val="000000"/>
                <w:sz w:val="24"/>
              </w:rPr>
            </w:pPr>
            <w:r>
              <w:rPr>
                <w:rFonts w:eastAsia="仿宋"/>
                <w:color w:val="000000"/>
                <w:kern w:val="0"/>
                <w:sz w:val="24"/>
                <w:lang w:bidi="ar"/>
              </w:rPr>
              <w:t>1.《易制毒化学品管理条例》</w:t>
            </w:r>
            <w:r>
              <w:rPr>
                <w:rFonts w:eastAsia="仿宋"/>
                <w:color w:val="000000"/>
                <w:kern w:val="0"/>
                <w:sz w:val="24"/>
                <w:lang w:bidi="ar"/>
              </w:rPr>
              <w:br w:type="textWrapping"/>
            </w:r>
            <w:r>
              <w:rPr>
                <w:rFonts w:eastAsia="仿宋"/>
                <w:color w:val="000000"/>
                <w:kern w:val="0"/>
                <w:sz w:val="24"/>
                <w:lang w:bidi="ar"/>
              </w:rPr>
              <w:t>第四条  易制毒化学品的产品包装和使用说明书，应当标明产品的名称（含学名和通用名）、化学分子式和成分。</w:t>
            </w:r>
            <w:r>
              <w:rPr>
                <w:rFonts w:eastAsia="仿宋"/>
                <w:color w:val="000000"/>
                <w:kern w:val="0"/>
                <w:sz w:val="24"/>
                <w:lang w:bidi="ar"/>
              </w:rPr>
              <w:br w:type="textWrapping"/>
            </w:r>
            <w:r>
              <w:rPr>
                <w:rFonts w:eastAsia="仿宋"/>
                <w:color w:val="000000"/>
                <w:kern w:val="0"/>
                <w:sz w:val="24"/>
                <w:lang w:bidi="ar"/>
              </w:rPr>
              <w:t>第四十条第一款第七项  违反本条例规定，有下列行为之一的，由负有监督管理职责的行政主管部门给予警告，责令限期改正，处1万元以上5万元以下的罚款；对违反规定生产、经营、购买的易制毒化学品可以予以没收；逾期不改正的，责令限期停产停业整顿；逾期整顿不合格的，吊销相应的许可证：（七）易制毒化学品的产品包装和使用说明书不符合本条例规定要求的；</w:t>
            </w:r>
            <w:r>
              <w:rPr>
                <w:rFonts w:eastAsia="仿宋"/>
                <w:color w:val="000000"/>
                <w:kern w:val="0"/>
                <w:sz w:val="24"/>
                <w:lang w:bidi="ar"/>
              </w:rPr>
              <w:br w:type="textWrapping"/>
            </w:r>
            <w:r>
              <w:rPr>
                <w:rFonts w:eastAsia="仿宋"/>
                <w:color w:val="000000"/>
                <w:kern w:val="0"/>
                <w:sz w:val="24"/>
                <w:lang w:bidi="ar"/>
              </w:rPr>
              <w:t>2.《非药品类易制毒化学品生产、经营许可办法》</w:t>
            </w:r>
            <w:r>
              <w:rPr>
                <w:rFonts w:eastAsia="仿宋"/>
                <w:color w:val="000000"/>
                <w:kern w:val="0"/>
                <w:sz w:val="24"/>
                <w:lang w:bidi="ar"/>
              </w:rPr>
              <w:br w:type="textWrapping"/>
            </w:r>
            <w:r>
              <w:rPr>
                <w:rFonts w:eastAsia="仿宋"/>
                <w:color w:val="000000"/>
                <w:kern w:val="0"/>
                <w:sz w:val="24"/>
                <w:lang w:bidi="ar"/>
              </w:rPr>
              <w:t>第三十条第四项  对于有下列行为之一的，由县级以上人民政府安全生产监督管理部门给予警告，责令限期改正，处1万元以上5万元以下的罚款；对违反规定生产、经营的非药品类易制毒化学品，可以予以没收；逾期不改正的，责令限期停产停业整顿；逾期整顿不合格的，吊销相应的许可证：（四）易制毒化学品的产品包装和使用说明书不符合《条例》规定要求的；</w:t>
            </w:r>
          </w:p>
        </w:tc>
        <w:tc>
          <w:tcPr>
            <w:tcW w:w="476" w:type="pct"/>
            <w:tcBorders>
              <w:top w:val="single" w:color="000000" w:sz="4" w:space="0"/>
              <w:left w:val="single" w:color="000000" w:sz="4" w:space="0"/>
              <w:bottom w:val="single" w:color="000000" w:sz="4" w:space="0"/>
              <w:right w:val="single" w:color="000000" w:sz="4" w:space="0"/>
            </w:tcBorders>
            <w:vAlign w:val="center"/>
          </w:tcPr>
          <w:p w14:paraId="122DF771">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562B22C7">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56D17744">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113B6588">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10E8D07C">
            <w:pPr>
              <w:topLinePunct/>
              <w:adjustRightInd w:val="0"/>
              <w:snapToGrid w:val="0"/>
              <w:jc w:val="center"/>
              <w:textAlignment w:val="center"/>
              <w:rPr>
                <w:rFonts w:eastAsia="仿宋"/>
                <w:color w:val="000000"/>
                <w:sz w:val="24"/>
              </w:rPr>
            </w:pPr>
            <w:r>
              <w:rPr>
                <w:rFonts w:eastAsia="仿宋"/>
                <w:color w:val="000000"/>
                <w:kern w:val="0"/>
                <w:sz w:val="24"/>
                <w:lang w:bidi="ar"/>
              </w:rPr>
              <w:t>119</w:t>
            </w:r>
          </w:p>
        </w:tc>
        <w:tc>
          <w:tcPr>
            <w:tcW w:w="838" w:type="pct"/>
            <w:tcBorders>
              <w:top w:val="single" w:color="000000" w:sz="4" w:space="0"/>
              <w:left w:val="single" w:color="000000" w:sz="4" w:space="0"/>
              <w:bottom w:val="single" w:color="000000" w:sz="4" w:space="0"/>
              <w:right w:val="single" w:color="000000" w:sz="4" w:space="0"/>
            </w:tcBorders>
            <w:vAlign w:val="center"/>
          </w:tcPr>
          <w:p w14:paraId="000DE209">
            <w:pPr>
              <w:topLinePunct/>
              <w:adjustRightInd w:val="0"/>
              <w:snapToGrid w:val="0"/>
              <w:textAlignment w:val="center"/>
              <w:rPr>
                <w:rFonts w:eastAsia="仿宋"/>
                <w:color w:val="000000"/>
                <w:sz w:val="24"/>
              </w:rPr>
            </w:pPr>
            <w:r>
              <w:rPr>
                <w:rFonts w:eastAsia="仿宋"/>
                <w:color w:val="000000"/>
                <w:kern w:val="0"/>
                <w:sz w:val="24"/>
                <w:lang w:bidi="ar"/>
              </w:rPr>
              <w:t>对生产、经营非药品类易制毒化学品的单位未按规定报告年度生产、经营等情况的行政处罚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493EF9AE">
            <w:pPr>
              <w:topLinePunct/>
              <w:adjustRightInd w:val="0"/>
              <w:snapToGrid w:val="0"/>
              <w:jc w:val="left"/>
              <w:textAlignment w:val="center"/>
              <w:rPr>
                <w:rFonts w:eastAsia="仿宋"/>
                <w:color w:val="000000"/>
                <w:sz w:val="24"/>
              </w:rPr>
            </w:pPr>
            <w:r>
              <w:rPr>
                <w:rFonts w:eastAsia="仿宋"/>
                <w:color w:val="000000"/>
                <w:kern w:val="0"/>
                <w:sz w:val="24"/>
                <w:lang w:bidi="ar"/>
              </w:rPr>
              <w:t>1.《易制毒化学品管理条例》</w:t>
            </w:r>
            <w:r>
              <w:rPr>
                <w:rFonts w:eastAsia="仿宋"/>
                <w:color w:val="000000"/>
                <w:kern w:val="0"/>
                <w:sz w:val="24"/>
                <w:lang w:bidi="ar"/>
              </w:rPr>
              <w:br w:type="textWrapping"/>
            </w:r>
            <w:r>
              <w:rPr>
                <w:rFonts w:eastAsia="仿宋"/>
                <w:color w:val="000000"/>
                <w:kern w:val="0"/>
                <w:sz w:val="24"/>
                <w:lang w:bidi="ar"/>
              </w:rPr>
              <w:t>第四十条第一款第八项  违反本条例规定，有下列行为之一的，由负有监督管理职责的行政主管部门给予警告，责令限期改正，处1万元以上5万元以下的罚款；对违反规定生产、经营、购买的易制毒化学品可以予以没收；逾期不改正的，责令限期停产停业整顿；逾期整顿不合格的，吊销相应的许可证：（八）生产、经营易制毒化学品的单位不如实或者不按时向有关行政主管部门和公安机关报告年度生产、经销和库存等情况的。</w:t>
            </w:r>
            <w:r>
              <w:rPr>
                <w:rFonts w:eastAsia="仿宋"/>
                <w:color w:val="000000"/>
                <w:kern w:val="0"/>
                <w:sz w:val="24"/>
                <w:lang w:bidi="ar"/>
              </w:rPr>
              <w:br w:type="textWrapping"/>
            </w:r>
            <w:r>
              <w:rPr>
                <w:rFonts w:eastAsia="仿宋"/>
                <w:color w:val="000000"/>
                <w:kern w:val="0"/>
                <w:sz w:val="24"/>
                <w:lang w:bidi="ar"/>
              </w:rPr>
              <w:t>2.《非药品类易制毒化学品生产、经营许可办法》</w:t>
            </w:r>
            <w:r>
              <w:rPr>
                <w:rFonts w:eastAsia="仿宋"/>
                <w:color w:val="000000"/>
                <w:kern w:val="0"/>
                <w:sz w:val="24"/>
                <w:lang w:bidi="ar"/>
              </w:rPr>
              <w:br w:type="textWrapping"/>
            </w:r>
            <w:r>
              <w:rPr>
                <w:rFonts w:eastAsia="仿宋"/>
                <w:color w:val="000000"/>
                <w:kern w:val="0"/>
                <w:sz w:val="24"/>
                <w:lang w:bidi="ar"/>
              </w:rPr>
              <w:t>第三十条第五项  对于有下列行为之一的，由县级以上人民政府安全生产监督管理部门给予警告，责令限期改正，处1万元以上5万元以下的罚款；对违反规定生产、经营的非药品类易制毒化学品，可以予以没收；逾期不改正的，责令限期停产停业整顿；逾期整顿不合格的，吊销相应的许可证：（五）生产、经营非药品类易制毒化学品的单位不如实或者不按时向安全生产监督管理部门报告年度生产、经营等情况的。</w:t>
            </w:r>
          </w:p>
        </w:tc>
        <w:tc>
          <w:tcPr>
            <w:tcW w:w="476" w:type="pct"/>
            <w:tcBorders>
              <w:top w:val="single" w:color="000000" w:sz="4" w:space="0"/>
              <w:left w:val="single" w:color="000000" w:sz="4" w:space="0"/>
              <w:bottom w:val="single" w:color="000000" w:sz="4" w:space="0"/>
              <w:right w:val="single" w:color="000000" w:sz="4" w:space="0"/>
            </w:tcBorders>
            <w:vAlign w:val="center"/>
          </w:tcPr>
          <w:p w14:paraId="36938D5A">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1198917F">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731C1BD3">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4C4BD96C">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78D4F8F0">
            <w:pPr>
              <w:topLinePunct/>
              <w:adjustRightInd w:val="0"/>
              <w:snapToGrid w:val="0"/>
              <w:jc w:val="center"/>
              <w:textAlignment w:val="center"/>
              <w:rPr>
                <w:rFonts w:eastAsia="仿宋"/>
                <w:color w:val="000000"/>
                <w:sz w:val="24"/>
              </w:rPr>
            </w:pPr>
            <w:r>
              <w:rPr>
                <w:rFonts w:eastAsia="仿宋"/>
                <w:color w:val="000000"/>
                <w:kern w:val="0"/>
                <w:sz w:val="24"/>
                <w:lang w:bidi="ar"/>
              </w:rPr>
              <w:t>120</w:t>
            </w:r>
          </w:p>
        </w:tc>
        <w:tc>
          <w:tcPr>
            <w:tcW w:w="838" w:type="pct"/>
            <w:tcBorders>
              <w:top w:val="single" w:color="000000" w:sz="4" w:space="0"/>
              <w:left w:val="single" w:color="000000" w:sz="4" w:space="0"/>
              <w:bottom w:val="single" w:color="000000" w:sz="4" w:space="0"/>
              <w:right w:val="single" w:color="000000" w:sz="4" w:space="0"/>
            </w:tcBorders>
            <w:vAlign w:val="center"/>
          </w:tcPr>
          <w:p w14:paraId="7BFA2862">
            <w:pPr>
              <w:topLinePunct/>
              <w:adjustRightInd w:val="0"/>
              <w:snapToGrid w:val="0"/>
              <w:textAlignment w:val="center"/>
              <w:rPr>
                <w:rFonts w:eastAsia="仿宋"/>
                <w:color w:val="000000"/>
                <w:sz w:val="24"/>
              </w:rPr>
            </w:pPr>
            <w:r>
              <w:rPr>
                <w:rFonts w:eastAsia="仿宋"/>
                <w:color w:val="000000"/>
                <w:kern w:val="0"/>
                <w:sz w:val="24"/>
                <w:lang w:bidi="ar"/>
              </w:rPr>
              <w:t>对生产、经营非药品类易制毒化学品的单位有未经许可或者备案擅自生产、经营非药品类易制毒化学品等行为的行政处罚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3E6DA07D">
            <w:pPr>
              <w:topLinePunct/>
              <w:adjustRightInd w:val="0"/>
              <w:snapToGrid w:val="0"/>
              <w:jc w:val="left"/>
              <w:textAlignment w:val="center"/>
              <w:rPr>
                <w:rFonts w:eastAsia="仿宋"/>
                <w:color w:val="000000"/>
                <w:sz w:val="24"/>
              </w:rPr>
            </w:pPr>
            <w:r>
              <w:rPr>
                <w:rFonts w:eastAsia="仿宋"/>
                <w:color w:val="000000"/>
                <w:kern w:val="0"/>
                <w:sz w:val="24"/>
                <w:lang w:bidi="ar"/>
              </w:rPr>
              <w:t>《易制毒化学品管理条例》</w:t>
            </w:r>
            <w:r>
              <w:rPr>
                <w:rFonts w:eastAsia="仿宋"/>
                <w:color w:val="000000"/>
                <w:kern w:val="0"/>
                <w:sz w:val="24"/>
                <w:lang w:bidi="ar"/>
              </w:rPr>
              <w:br w:type="textWrapping"/>
            </w:r>
            <w:r>
              <w:rPr>
                <w:rFonts w:eastAsia="仿宋"/>
                <w:color w:val="000000"/>
                <w:kern w:val="0"/>
                <w:sz w:val="24"/>
                <w:lang w:bidi="ar"/>
              </w:rPr>
              <w:t>第三十八条  违反本条例规定，未经许可或者备案擅自生产、经营、购买、运输易制毒化学品，伪造申请材料骗取易制毒化学品生产、经营、购买或者运输许可证，使用他人的或者伪造、变造、失效的许可证生产、经营、购买、运输易制毒化学品的，由公安机关没收非法生产、经营、购买或者运输的易制毒化学品、用于非法生产易制毒化学品的原料以及非法生产、经营、购买或者运输易制毒化学品的设备、工具，处非法生产、经营、购买或者运输的易制毒化学品货值10倍以上20倍以下的罚款，货值的20倍不足1万元的，按1万元罚款；有违法所得的，没收违法所得；有营业执照的，由市场监督管理部门吊销营业执照；构成犯罪的，依法追究刑事责任。</w:t>
            </w:r>
            <w:r>
              <w:rPr>
                <w:rFonts w:eastAsia="仿宋"/>
                <w:color w:val="000000"/>
                <w:kern w:val="0"/>
                <w:sz w:val="24"/>
                <w:lang w:bidi="ar"/>
              </w:rPr>
              <w:br w:type="textWrapping"/>
            </w:r>
            <w:r>
              <w:rPr>
                <w:rFonts w:eastAsia="仿宋"/>
                <w:color w:val="000000"/>
                <w:kern w:val="0"/>
                <w:sz w:val="24"/>
                <w:lang w:bidi="ar"/>
              </w:rPr>
              <w:t>对有前款规定违法行为的单位或者个人，有关行政主管部门可以自作出行政处罚决定之日起3年内，停止受理其易制毒化学品生产、经营、购买、运输或者进口、出口许可申请。</w:t>
            </w:r>
          </w:p>
        </w:tc>
        <w:tc>
          <w:tcPr>
            <w:tcW w:w="476" w:type="pct"/>
            <w:tcBorders>
              <w:top w:val="single" w:color="000000" w:sz="4" w:space="0"/>
              <w:left w:val="single" w:color="000000" w:sz="4" w:space="0"/>
              <w:bottom w:val="single" w:color="000000" w:sz="4" w:space="0"/>
              <w:right w:val="single" w:color="000000" w:sz="4" w:space="0"/>
            </w:tcBorders>
            <w:vAlign w:val="center"/>
          </w:tcPr>
          <w:p w14:paraId="256A324A">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1912CC9F">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75CC9714">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66BA17D5">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6DC4B561">
            <w:pPr>
              <w:topLinePunct/>
              <w:adjustRightInd w:val="0"/>
              <w:snapToGrid w:val="0"/>
              <w:jc w:val="center"/>
              <w:textAlignment w:val="center"/>
              <w:rPr>
                <w:rFonts w:eastAsia="仿宋"/>
                <w:color w:val="000000"/>
                <w:sz w:val="24"/>
              </w:rPr>
            </w:pPr>
            <w:r>
              <w:rPr>
                <w:rFonts w:eastAsia="仿宋"/>
                <w:color w:val="000000"/>
                <w:kern w:val="0"/>
                <w:sz w:val="24"/>
                <w:lang w:bidi="ar"/>
              </w:rPr>
              <w:t>121</w:t>
            </w:r>
          </w:p>
        </w:tc>
        <w:tc>
          <w:tcPr>
            <w:tcW w:w="838" w:type="pct"/>
            <w:tcBorders>
              <w:top w:val="single" w:color="000000" w:sz="4" w:space="0"/>
              <w:left w:val="single" w:color="000000" w:sz="4" w:space="0"/>
              <w:bottom w:val="single" w:color="000000" w:sz="4" w:space="0"/>
              <w:right w:val="single" w:color="000000" w:sz="4" w:space="0"/>
            </w:tcBorders>
            <w:vAlign w:val="center"/>
          </w:tcPr>
          <w:p w14:paraId="7111009A">
            <w:pPr>
              <w:topLinePunct/>
              <w:adjustRightInd w:val="0"/>
              <w:snapToGrid w:val="0"/>
              <w:textAlignment w:val="center"/>
              <w:rPr>
                <w:rFonts w:eastAsia="仿宋"/>
                <w:color w:val="000000"/>
                <w:sz w:val="24"/>
              </w:rPr>
            </w:pPr>
            <w:r>
              <w:rPr>
                <w:rFonts w:eastAsia="仿宋"/>
                <w:color w:val="000000"/>
                <w:kern w:val="0"/>
                <w:sz w:val="24"/>
                <w:lang w:bidi="ar"/>
              </w:rPr>
              <w:t>对生产、经营非药品类易制毒化学品的单位或者个人拒不接受安全生产监督管理部门监督检查的行政处罚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60D9B189">
            <w:pPr>
              <w:topLinePunct/>
              <w:adjustRightInd w:val="0"/>
              <w:snapToGrid w:val="0"/>
              <w:jc w:val="left"/>
              <w:textAlignment w:val="center"/>
              <w:rPr>
                <w:rFonts w:eastAsia="仿宋"/>
                <w:color w:val="000000"/>
                <w:sz w:val="24"/>
              </w:rPr>
            </w:pPr>
            <w:r>
              <w:rPr>
                <w:rFonts w:eastAsia="仿宋"/>
                <w:color w:val="000000"/>
                <w:kern w:val="0"/>
                <w:sz w:val="24"/>
                <w:lang w:bidi="ar"/>
              </w:rPr>
              <w:t>1.《易制毒化学品管理条例》</w:t>
            </w:r>
            <w:r>
              <w:rPr>
                <w:rFonts w:eastAsia="仿宋"/>
                <w:color w:val="000000"/>
                <w:kern w:val="0"/>
                <w:sz w:val="24"/>
                <w:lang w:bidi="ar"/>
              </w:rPr>
              <w:br w:type="textWrapping"/>
            </w:r>
            <w:r>
              <w:rPr>
                <w:rFonts w:eastAsia="仿宋"/>
                <w:color w:val="000000"/>
                <w:kern w:val="0"/>
                <w:sz w:val="24"/>
                <w:lang w:bidi="ar"/>
              </w:rPr>
              <w:t>第四十二条  生产、经营、购买、运输或者进口、出口易制毒化学品的单位或者个人拒不接受有关行政主管部门监督检查的，由负有监督管理职责的行政主管部门责令改正，对直接负责的主管人员以及其他直接责任人员给予警告；情节严重的，对单位处1万元以上5万元以下的罚款，对直接负责的主管人员以及其他直接责任人员处1000元以上5000元以下的罚款；有违反治安管理行为的，依法给予治安管理处罚；构成犯罪的，依法追究刑事责任。</w:t>
            </w:r>
            <w:r>
              <w:rPr>
                <w:rFonts w:eastAsia="仿宋"/>
                <w:color w:val="000000"/>
                <w:kern w:val="0"/>
                <w:sz w:val="24"/>
                <w:lang w:bidi="ar"/>
              </w:rPr>
              <w:br w:type="textWrapping"/>
            </w:r>
            <w:r>
              <w:rPr>
                <w:rFonts w:eastAsia="仿宋"/>
                <w:color w:val="000000"/>
                <w:kern w:val="0"/>
                <w:sz w:val="24"/>
                <w:lang w:bidi="ar"/>
              </w:rPr>
              <w:t>2.《非药品类易制毒化学品生产、经营许可办法》</w:t>
            </w:r>
            <w:r>
              <w:rPr>
                <w:rFonts w:eastAsia="仿宋"/>
                <w:color w:val="000000"/>
                <w:kern w:val="0"/>
                <w:sz w:val="24"/>
                <w:lang w:bidi="ar"/>
              </w:rPr>
              <w:br w:type="textWrapping"/>
            </w:r>
            <w:r>
              <w:rPr>
                <w:rFonts w:eastAsia="仿宋"/>
                <w:color w:val="000000"/>
                <w:kern w:val="0"/>
                <w:sz w:val="24"/>
                <w:lang w:bidi="ar"/>
              </w:rPr>
              <w:t>第三十一条  生产、经营非药品类易制毒化学品的单位或者个人拒不接受安全生产监督管理部门监督检查的，由县级以上人民政府安全生产监督管理部门责令改正，对直接负责的主管人员以及其他直接责任人员给予警告；情节严重的，对单位处1万元以上5万元以下的罚款，对直接负责的主管人员以及其他直接责任人员处1000元以上5000元以下的罚款。</w:t>
            </w:r>
          </w:p>
        </w:tc>
        <w:tc>
          <w:tcPr>
            <w:tcW w:w="476" w:type="pct"/>
            <w:tcBorders>
              <w:top w:val="single" w:color="000000" w:sz="4" w:space="0"/>
              <w:left w:val="single" w:color="000000" w:sz="4" w:space="0"/>
              <w:bottom w:val="single" w:color="000000" w:sz="4" w:space="0"/>
              <w:right w:val="single" w:color="000000" w:sz="4" w:space="0"/>
            </w:tcBorders>
            <w:vAlign w:val="center"/>
          </w:tcPr>
          <w:p w14:paraId="13460FEE">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30F18332">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5FA8FC77">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2BA6E084">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4D96DA99">
            <w:pPr>
              <w:topLinePunct/>
              <w:adjustRightInd w:val="0"/>
              <w:snapToGrid w:val="0"/>
              <w:jc w:val="center"/>
              <w:textAlignment w:val="center"/>
              <w:rPr>
                <w:rFonts w:eastAsia="仿宋"/>
                <w:color w:val="000000"/>
                <w:sz w:val="24"/>
              </w:rPr>
            </w:pPr>
            <w:r>
              <w:rPr>
                <w:rFonts w:eastAsia="仿宋"/>
                <w:color w:val="000000"/>
                <w:kern w:val="0"/>
                <w:sz w:val="24"/>
                <w:lang w:bidi="ar"/>
              </w:rPr>
              <w:t>122</w:t>
            </w:r>
          </w:p>
        </w:tc>
        <w:tc>
          <w:tcPr>
            <w:tcW w:w="838" w:type="pct"/>
            <w:tcBorders>
              <w:top w:val="single" w:color="000000" w:sz="4" w:space="0"/>
              <w:left w:val="single" w:color="000000" w:sz="4" w:space="0"/>
              <w:bottom w:val="single" w:color="000000" w:sz="4" w:space="0"/>
              <w:right w:val="single" w:color="000000" w:sz="4" w:space="0"/>
            </w:tcBorders>
            <w:vAlign w:val="center"/>
          </w:tcPr>
          <w:p w14:paraId="06A720D4">
            <w:pPr>
              <w:topLinePunct/>
              <w:adjustRightInd w:val="0"/>
              <w:snapToGrid w:val="0"/>
              <w:textAlignment w:val="center"/>
              <w:rPr>
                <w:rFonts w:eastAsia="仿宋"/>
                <w:color w:val="000000"/>
                <w:sz w:val="24"/>
              </w:rPr>
            </w:pPr>
            <w:r>
              <w:rPr>
                <w:rFonts w:eastAsia="仿宋"/>
                <w:color w:val="000000"/>
                <w:kern w:val="0"/>
                <w:sz w:val="24"/>
                <w:lang w:bidi="ar"/>
              </w:rPr>
              <w:t>对烟花爆竹生产企业有未按安全生产许可证核定的产品种类进行生产等行为的行政处罚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1E291557">
            <w:pPr>
              <w:topLinePunct/>
              <w:adjustRightInd w:val="0"/>
              <w:snapToGrid w:val="0"/>
              <w:jc w:val="left"/>
              <w:textAlignment w:val="center"/>
              <w:rPr>
                <w:rFonts w:eastAsia="仿宋"/>
                <w:color w:val="000000"/>
                <w:sz w:val="24"/>
              </w:rPr>
            </w:pPr>
            <w:r>
              <w:rPr>
                <w:rFonts w:eastAsia="仿宋"/>
                <w:color w:val="000000"/>
                <w:kern w:val="0"/>
                <w:sz w:val="24"/>
                <w:lang w:bidi="ar"/>
              </w:rPr>
              <w:t>《烟花爆竹安全管理条例》</w:t>
            </w:r>
            <w:r>
              <w:rPr>
                <w:rFonts w:eastAsia="仿宋"/>
                <w:color w:val="000000"/>
                <w:kern w:val="0"/>
                <w:sz w:val="24"/>
                <w:lang w:bidi="ar"/>
              </w:rPr>
              <w:br w:type="textWrapping"/>
            </w:r>
            <w:r>
              <w:rPr>
                <w:rFonts w:eastAsia="仿宋"/>
                <w:color w:val="000000"/>
                <w:kern w:val="0"/>
                <w:sz w:val="24"/>
                <w:lang w:bidi="ar"/>
              </w:rPr>
              <w:t>第三十七条  生产烟花爆竹的企业有下列行为之一的，由安全生产监督管理部门责令限期改正，处1万元以上5万元以下的罚款；逾期不改正的，责令停产停业整顿，情节严重的，吊销安全生产许可证：（一）未按照安全生产许可证核定的产品种类进行生产的；（二）生产工序或者生产作业不符合有关国家标准、行业标准的；（三）雇佣未经设区的市人民政府安全生产监督管理部门考核合格的人员从事危险工序作业的；（四）生产烟花爆竹使用的原料不符合国家标准规定的，或者使用的原料超过国家标准规定的用量限制的；（五）使用按照国家标准规定禁止使用或者禁忌配伍的物质生产烟花爆竹的；（六）未按照国家标准的规定在烟花爆竹产品上标注燃放说明，或者未在烟花爆竹的包装物上印制易燃易爆危险物品警示标志的。</w:t>
            </w:r>
          </w:p>
        </w:tc>
        <w:tc>
          <w:tcPr>
            <w:tcW w:w="476" w:type="pct"/>
            <w:tcBorders>
              <w:top w:val="single" w:color="000000" w:sz="4" w:space="0"/>
              <w:left w:val="single" w:color="000000" w:sz="4" w:space="0"/>
              <w:bottom w:val="single" w:color="000000" w:sz="4" w:space="0"/>
              <w:right w:val="single" w:color="000000" w:sz="4" w:space="0"/>
            </w:tcBorders>
            <w:vAlign w:val="center"/>
          </w:tcPr>
          <w:p w14:paraId="318E1E31">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133632C8">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7D86E6C7">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6B71B1CD">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72080C84">
            <w:pPr>
              <w:topLinePunct/>
              <w:adjustRightInd w:val="0"/>
              <w:snapToGrid w:val="0"/>
              <w:jc w:val="center"/>
              <w:textAlignment w:val="center"/>
              <w:rPr>
                <w:rFonts w:eastAsia="仿宋"/>
                <w:color w:val="000000"/>
                <w:sz w:val="24"/>
              </w:rPr>
            </w:pPr>
            <w:r>
              <w:rPr>
                <w:rFonts w:eastAsia="仿宋"/>
                <w:color w:val="000000"/>
                <w:kern w:val="0"/>
                <w:sz w:val="24"/>
                <w:lang w:bidi="ar"/>
              </w:rPr>
              <w:t>123</w:t>
            </w:r>
          </w:p>
        </w:tc>
        <w:tc>
          <w:tcPr>
            <w:tcW w:w="838" w:type="pct"/>
            <w:tcBorders>
              <w:top w:val="single" w:color="000000" w:sz="4" w:space="0"/>
              <w:left w:val="single" w:color="000000" w:sz="4" w:space="0"/>
              <w:bottom w:val="single" w:color="000000" w:sz="4" w:space="0"/>
              <w:right w:val="single" w:color="000000" w:sz="4" w:space="0"/>
            </w:tcBorders>
            <w:vAlign w:val="center"/>
          </w:tcPr>
          <w:p w14:paraId="3C0FB3AA">
            <w:pPr>
              <w:topLinePunct/>
              <w:adjustRightInd w:val="0"/>
              <w:snapToGrid w:val="0"/>
              <w:textAlignment w:val="center"/>
              <w:rPr>
                <w:rFonts w:eastAsia="仿宋"/>
                <w:color w:val="000000"/>
                <w:sz w:val="24"/>
              </w:rPr>
            </w:pPr>
            <w:r>
              <w:rPr>
                <w:rFonts w:eastAsia="仿宋"/>
                <w:color w:val="000000"/>
                <w:kern w:val="0"/>
                <w:sz w:val="24"/>
                <w:lang w:bidi="ar"/>
              </w:rPr>
              <w:t>对烟花爆竹生产经营企业主要负责人、安全生产管理人员未依法经考核合格的行政处罚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29E8BFD6">
            <w:pPr>
              <w:topLinePunct/>
              <w:adjustRightInd w:val="0"/>
              <w:snapToGrid w:val="0"/>
              <w:jc w:val="left"/>
              <w:textAlignment w:val="center"/>
              <w:rPr>
                <w:rFonts w:eastAsia="仿宋"/>
                <w:color w:val="000000"/>
                <w:sz w:val="24"/>
              </w:rPr>
            </w:pPr>
            <w:r>
              <w:rPr>
                <w:rFonts w:eastAsia="仿宋"/>
                <w:color w:val="000000"/>
                <w:kern w:val="0"/>
                <w:sz w:val="24"/>
                <w:lang w:bidi="ar"/>
              </w:rPr>
              <w:t>1.《国家安全监管总局关于印发〈化工和危险化学品生产经营单位重大生产安全事故隐患判定标准（试行）〉和〈烟花爆竹生产经营单位重大生产安全事故隐患判定标准（试行）〉的通知》（安监总管三〔2017〕121号）</w:t>
            </w:r>
            <w:r>
              <w:rPr>
                <w:rFonts w:eastAsia="仿宋"/>
                <w:color w:val="000000"/>
                <w:kern w:val="0"/>
                <w:sz w:val="24"/>
                <w:lang w:bidi="ar"/>
              </w:rPr>
              <w:br w:type="textWrapping"/>
            </w:r>
            <w:r>
              <w:rPr>
                <w:rFonts w:eastAsia="仿宋"/>
                <w:color w:val="000000"/>
                <w:kern w:val="0"/>
                <w:sz w:val="24"/>
                <w:lang w:bidi="ar"/>
              </w:rPr>
              <w:t>烟花爆竹类：</w:t>
            </w:r>
            <w:r>
              <w:rPr>
                <w:rFonts w:eastAsia="仿宋"/>
                <w:color w:val="000000"/>
                <w:kern w:val="0"/>
                <w:sz w:val="24"/>
                <w:lang w:bidi="ar"/>
              </w:rPr>
              <w:br w:type="textWrapping"/>
            </w:r>
            <w:r>
              <w:rPr>
                <w:rFonts w:eastAsia="仿宋"/>
                <w:color w:val="000000"/>
                <w:kern w:val="0"/>
                <w:sz w:val="24"/>
                <w:lang w:bidi="ar"/>
              </w:rPr>
              <w:t>一、主要负责人、安全生产管理人员未依法经考核合格。</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第九十七条第二项  生产经营单位有下列行为之一的，责令限期改正，处十万元以下的罚款；逾期未改正的，责令停产停业整顿，并处十万元以上二十万元以下的罚款，对其直接负责的主管人员和其他直接责任人员处二万元以上五万元以下的罚款：（二）危险物品的生产、经营、储存、装卸单位以及矿山、金属冶炼、建筑施工、运输单位的主要负责人和安全生产管理人员未按照规定经考核合格的；</w:t>
            </w:r>
          </w:p>
        </w:tc>
        <w:tc>
          <w:tcPr>
            <w:tcW w:w="476" w:type="pct"/>
            <w:tcBorders>
              <w:top w:val="single" w:color="000000" w:sz="4" w:space="0"/>
              <w:left w:val="single" w:color="000000" w:sz="4" w:space="0"/>
              <w:bottom w:val="single" w:color="000000" w:sz="4" w:space="0"/>
              <w:right w:val="single" w:color="000000" w:sz="4" w:space="0"/>
            </w:tcBorders>
            <w:vAlign w:val="center"/>
          </w:tcPr>
          <w:p w14:paraId="7AE77341">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03CD84A4">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277517FC">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47A00530">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02E99B3E">
            <w:pPr>
              <w:topLinePunct/>
              <w:adjustRightInd w:val="0"/>
              <w:snapToGrid w:val="0"/>
              <w:jc w:val="center"/>
              <w:textAlignment w:val="center"/>
              <w:rPr>
                <w:rFonts w:eastAsia="仿宋"/>
                <w:color w:val="000000"/>
                <w:sz w:val="24"/>
              </w:rPr>
            </w:pPr>
            <w:r>
              <w:rPr>
                <w:rFonts w:eastAsia="仿宋"/>
                <w:color w:val="000000"/>
                <w:kern w:val="0"/>
                <w:sz w:val="24"/>
                <w:lang w:bidi="ar"/>
              </w:rPr>
              <w:t>124</w:t>
            </w:r>
          </w:p>
        </w:tc>
        <w:tc>
          <w:tcPr>
            <w:tcW w:w="838" w:type="pct"/>
            <w:tcBorders>
              <w:top w:val="single" w:color="000000" w:sz="4" w:space="0"/>
              <w:left w:val="single" w:color="000000" w:sz="4" w:space="0"/>
              <w:bottom w:val="single" w:color="000000" w:sz="4" w:space="0"/>
              <w:right w:val="single" w:color="000000" w:sz="4" w:space="0"/>
            </w:tcBorders>
            <w:vAlign w:val="center"/>
          </w:tcPr>
          <w:p w14:paraId="0AF66870">
            <w:pPr>
              <w:topLinePunct/>
              <w:adjustRightInd w:val="0"/>
              <w:snapToGrid w:val="0"/>
              <w:textAlignment w:val="center"/>
              <w:rPr>
                <w:rFonts w:eastAsia="仿宋"/>
                <w:color w:val="000000"/>
                <w:sz w:val="24"/>
              </w:rPr>
            </w:pPr>
            <w:r>
              <w:rPr>
                <w:rFonts w:eastAsia="仿宋"/>
                <w:color w:val="000000"/>
                <w:kern w:val="0"/>
                <w:sz w:val="24"/>
                <w:lang w:bidi="ar"/>
              </w:rPr>
              <w:t>对烟花爆竹生产经营企业特种作业人员未持证上岗的行政处罚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3231F6F9">
            <w:pPr>
              <w:topLinePunct/>
              <w:adjustRightInd w:val="0"/>
              <w:snapToGrid w:val="0"/>
              <w:jc w:val="left"/>
              <w:textAlignment w:val="center"/>
              <w:rPr>
                <w:rFonts w:eastAsia="仿宋"/>
                <w:color w:val="000000"/>
                <w:sz w:val="24"/>
              </w:rPr>
            </w:pPr>
            <w:r>
              <w:rPr>
                <w:rFonts w:eastAsia="仿宋"/>
                <w:color w:val="000000"/>
                <w:kern w:val="0"/>
                <w:sz w:val="24"/>
                <w:lang w:bidi="ar"/>
              </w:rPr>
              <w:t>1.《国家安全监管总局关于印发〈化工和危险化学品生产经营单位重大生产安全事故隐患判定标准（试行）〉和〈烟花爆竹生产经营单位重大生产安全事故隐患判定标准（试行）〉的通知》（安监总管三〔2017〕121号）</w:t>
            </w:r>
            <w:r>
              <w:rPr>
                <w:rFonts w:eastAsia="仿宋"/>
                <w:color w:val="000000"/>
                <w:kern w:val="0"/>
                <w:sz w:val="24"/>
                <w:lang w:bidi="ar"/>
              </w:rPr>
              <w:br w:type="textWrapping"/>
            </w:r>
            <w:r>
              <w:rPr>
                <w:rFonts w:eastAsia="仿宋"/>
                <w:color w:val="000000"/>
                <w:kern w:val="0"/>
                <w:sz w:val="24"/>
                <w:lang w:bidi="ar"/>
              </w:rPr>
              <w:t>烟花爆竹类：</w:t>
            </w:r>
            <w:r>
              <w:rPr>
                <w:rFonts w:eastAsia="仿宋"/>
                <w:color w:val="000000"/>
                <w:kern w:val="0"/>
                <w:sz w:val="24"/>
                <w:lang w:bidi="ar"/>
              </w:rPr>
              <w:br w:type="textWrapping"/>
            </w:r>
            <w:r>
              <w:rPr>
                <w:rFonts w:eastAsia="仿宋"/>
                <w:color w:val="000000"/>
                <w:kern w:val="0"/>
                <w:sz w:val="24"/>
                <w:lang w:bidi="ar"/>
              </w:rPr>
              <w:t>二、特种作业人员未持证上岗，作业人员带药检维修设备设施。</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第九十七条第七项  生产经营单位有下列行为之一的，责令限期改正，处十万元以下的罚款；逾期未改正的，责令停产停业整顿，并处十万元以上二十万元以下的罚款，对其直接负责的主管人员和其他直接责任人员处二万元以上五万元以下的罚款：（七）特种作业人员未按照规定经专门的安全作业培训并取得相应资格，上岗作业的。</w:t>
            </w:r>
          </w:p>
        </w:tc>
        <w:tc>
          <w:tcPr>
            <w:tcW w:w="476" w:type="pct"/>
            <w:tcBorders>
              <w:top w:val="single" w:color="000000" w:sz="4" w:space="0"/>
              <w:left w:val="single" w:color="000000" w:sz="4" w:space="0"/>
              <w:bottom w:val="single" w:color="000000" w:sz="4" w:space="0"/>
              <w:right w:val="single" w:color="000000" w:sz="4" w:space="0"/>
            </w:tcBorders>
            <w:vAlign w:val="center"/>
          </w:tcPr>
          <w:p w14:paraId="2DE234A7">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542C25FC">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3646E419">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196D5113">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55C8A4FD">
            <w:pPr>
              <w:topLinePunct/>
              <w:adjustRightInd w:val="0"/>
              <w:snapToGrid w:val="0"/>
              <w:jc w:val="center"/>
              <w:textAlignment w:val="center"/>
              <w:rPr>
                <w:rFonts w:eastAsia="仿宋"/>
                <w:color w:val="000000"/>
                <w:sz w:val="24"/>
              </w:rPr>
            </w:pPr>
            <w:r>
              <w:rPr>
                <w:rFonts w:eastAsia="仿宋"/>
                <w:color w:val="000000"/>
                <w:kern w:val="0"/>
                <w:sz w:val="24"/>
                <w:lang w:bidi="ar"/>
              </w:rPr>
              <w:t>125</w:t>
            </w:r>
          </w:p>
        </w:tc>
        <w:tc>
          <w:tcPr>
            <w:tcW w:w="838" w:type="pct"/>
            <w:tcBorders>
              <w:top w:val="single" w:color="000000" w:sz="4" w:space="0"/>
              <w:left w:val="single" w:color="000000" w:sz="4" w:space="0"/>
              <w:bottom w:val="single" w:color="000000" w:sz="4" w:space="0"/>
              <w:right w:val="single" w:color="000000" w:sz="4" w:space="0"/>
            </w:tcBorders>
            <w:vAlign w:val="center"/>
          </w:tcPr>
          <w:p w14:paraId="6039631C">
            <w:pPr>
              <w:topLinePunct/>
              <w:adjustRightInd w:val="0"/>
              <w:snapToGrid w:val="0"/>
              <w:textAlignment w:val="center"/>
              <w:rPr>
                <w:rFonts w:eastAsia="仿宋"/>
                <w:color w:val="000000"/>
                <w:sz w:val="24"/>
              </w:rPr>
            </w:pPr>
            <w:r>
              <w:rPr>
                <w:rFonts w:eastAsia="仿宋"/>
                <w:color w:val="000000"/>
                <w:kern w:val="0"/>
                <w:sz w:val="24"/>
                <w:lang w:bidi="ar"/>
              </w:rPr>
              <w:t>对烟花爆竹生产经营企业特种作业人员带药检维修设备设施的行政处罚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6D607EFF">
            <w:pPr>
              <w:topLinePunct/>
              <w:adjustRightInd w:val="0"/>
              <w:snapToGrid w:val="0"/>
              <w:jc w:val="left"/>
              <w:textAlignment w:val="center"/>
              <w:rPr>
                <w:rFonts w:eastAsia="仿宋"/>
                <w:color w:val="000000"/>
                <w:sz w:val="24"/>
              </w:rPr>
            </w:pPr>
            <w:r>
              <w:rPr>
                <w:rFonts w:eastAsia="仿宋"/>
                <w:color w:val="000000"/>
                <w:kern w:val="0"/>
                <w:sz w:val="24"/>
                <w:lang w:bidi="ar"/>
              </w:rPr>
              <w:t>1.《国家安全监管总局关于印发〈化工和危险化学品生产经营单位重大生产安全事故隐患判定标准（试行）〉和〈烟花爆竹生产经营单位重大生产安全事故隐患判定标准（试行）〉的通知》（安监总管三〔2017〕121号）</w:t>
            </w:r>
            <w:r>
              <w:rPr>
                <w:rFonts w:eastAsia="仿宋"/>
                <w:color w:val="000000"/>
                <w:kern w:val="0"/>
                <w:sz w:val="24"/>
                <w:lang w:bidi="ar"/>
              </w:rPr>
              <w:br w:type="textWrapping"/>
            </w:r>
            <w:r>
              <w:rPr>
                <w:rFonts w:eastAsia="仿宋"/>
                <w:color w:val="000000"/>
                <w:kern w:val="0"/>
                <w:sz w:val="24"/>
                <w:lang w:bidi="ar"/>
              </w:rPr>
              <w:t>烟花爆竹类：</w:t>
            </w:r>
            <w:r>
              <w:rPr>
                <w:rFonts w:eastAsia="仿宋"/>
                <w:color w:val="000000"/>
                <w:kern w:val="0"/>
                <w:sz w:val="24"/>
                <w:lang w:bidi="ar"/>
              </w:rPr>
              <w:br w:type="textWrapping"/>
            </w:r>
            <w:r>
              <w:rPr>
                <w:rFonts w:eastAsia="仿宋"/>
                <w:color w:val="000000"/>
                <w:kern w:val="0"/>
                <w:sz w:val="24"/>
                <w:lang w:bidi="ar"/>
              </w:rPr>
              <w:t>二、特种作业人员未持证上岗，作业人员带药检维修设备设施。</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44FC6288">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7187FDF1">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028E3389">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2F860FB2">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7209DEB8">
            <w:pPr>
              <w:topLinePunct/>
              <w:adjustRightInd w:val="0"/>
              <w:snapToGrid w:val="0"/>
              <w:jc w:val="center"/>
              <w:textAlignment w:val="center"/>
              <w:rPr>
                <w:rFonts w:eastAsia="仿宋"/>
                <w:color w:val="000000"/>
                <w:sz w:val="24"/>
              </w:rPr>
            </w:pPr>
            <w:r>
              <w:rPr>
                <w:rFonts w:eastAsia="仿宋"/>
                <w:color w:val="000000"/>
                <w:kern w:val="0"/>
                <w:sz w:val="24"/>
                <w:lang w:bidi="ar"/>
              </w:rPr>
              <w:t>126</w:t>
            </w:r>
          </w:p>
        </w:tc>
        <w:tc>
          <w:tcPr>
            <w:tcW w:w="838" w:type="pct"/>
            <w:tcBorders>
              <w:top w:val="single" w:color="000000" w:sz="4" w:space="0"/>
              <w:left w:val="single" w:color="000000" w:sz="4" w:space="0"/>
              <w:bottom w:val="single" w:color="000000" w:sz="4" w:space="0"/>
              <w:right w:val="single" w:color="000000" w:sz="4" w:space="0"/>
            </w:tcBorders>
            <w:vAlign w:val="center"/>
          </w:tcPr>
          <w:p w14:paraId="3FD3315F">
            <w:pPr>
              <w:topLinePunct/>
              <w:adjustRightInd w:val="0"/>
              <w:snapToGrid w:val="0"/>
              <w:textAlignment w:val="center"/>
              <w:rPr>
                <w:rFonts w:eastAsia="仿宋"/>
                <w:color w:val="000000"/>
                <w:sz w:val="24"/>
              </w:rPr>
            </w:pPr>
            <w:r>
              <w:rPr>
                <w:rFonts w:eastAsia="仿宋"/>
                <w:color w:val="000000"/>
                <w:kern w:val="0"/>
                <w:sz w:val="24"/>
                <w:lang w:bidi="ar"/>
              </w:rPr>
              <w:t>对烟花爆竹生产经营企业职工自行携带工器具、机器设备进厂进行涉药作业的行政处罚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7E8226E7">
            <w:pPr>
              <w:topLinePunct/>
              <w:adjustRightInd w:val="0"/>
              <w:snapToGrid w:val="0"/>
              <w:jc w:val="left"/>
              <w:textAlignment w:val="center"/>
              <w:rPr>
                <w:rFonts w:eastAsia="仿宋"/>
                <w:color w:val="000000"/>
                <w:sz w:val="24"/>
              </w:rPr>
            </w:pPr>
            <w:r>
              <w:rPr>
                <w:rFonts w:eastAsia="仿宋"/>
                <w:color w:val="000000"/>
                <w:kern w:val="0"/>
                <w:sz w:val="24"/>
                <w:lang w:bidi="ar"/>
              </w:rPr>
              <w:t>1.《国家安全监管总局关于印发〈化工和危险化学品生产经营单位重大生产安全事故隐患判定标准（试行）〉和〈烟花爆竹生产经营单位重大生产安全事故隐患判定标准（试行）〉的通知》（安监总管三〔2017〕121号）</w:t>
            </w:r>
            <w:r>
              <w:rPr>
                <w:rFonts w:eastAsia="仿宋"/>
                <w:color w:val="000000"/>
                <w:kern w:val="0"/>
                <w:sz w:val="24"/>
                <w:lang w:bidi="ar"/>
              </w:rPr>
              <w:br w:type="textWrapping"/>
            </w:r>
            <w:r>
              <w:rPr>
                <w:rFonts w:eastAsia="仿宋"/>
                <w:color w:val="000000"/>
                <w:kern w:val="0"/>
                <w:sz w:val="24"/>
                <w:lang w:bidi="ar"/>
              </w:rPr>
              <w:t>烟花爆竹类：</w:t>
            </w:r>
            <w:r>
              <w:rPr>
                <w:rFonts w:eastAsia="仿宋"/>
                <w:color w:val="000000"/>
                <w:kern w:val="0"/>
                <w:sz w:val="24"/>
                <w:lang w:bidi="ar"/>
              </w:rPr>
              <w:br w:type="textWrapping"/>
            </w:r>
            <w:r>
              <w:rPr>
                <w:rFonts w:eastAsia="仿宋"/>
                <w:color w:val="000000"/>
                <w:kern w:val="0"/>
                <w:sz w:val="24"/>
                <w:lang w:bidi="ar"/>
              </w:rPr>
              <w:t>三、职工自行携带工器具、机器设备进厂进行涉药作业。</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471B7472">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103A3E3C">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3FEFF4CA">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74521915">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785A20EA">
            <w:pPr>
              <w:topLinePunct/>
              <w:adjustRightInd w:val="0"/>
              <w:snapToGrid w:val="0"/>
              <w:jc w:val="center"/>
              <w:textAlignment w:val="center"/>
              <w:rPr>
                <w:rFonts w:eastAsia="仿宋"/>
                <w:color w:val="000000"/>
                <w:sz w:val="24"/>
              </w:rPr>
            </w:pPr>
            <w:r>
              <w:rPr>
                <w:rFonts w:eastAsia="仿宋"/>
                <w:color w:val="000000"/>
                <w:kern w:val="0"/>
                <w:sz w:val="24"/>
                <w:lang w:bidi="ar"/>
              </w:rPr>
              <w:t>127</w:t>
            </w:r>
          </w:p>
        </w:tc>
        <w:tc>
          <w:tcPr>
            <w:tcW w:w="838" w:type="pct"/>
            <w:tcBorders>
              <w:top w:val="single" w:color="000000" w:sz="4" w:space="0"/>
              <w:left w:val="single" w:color="000000" w:sz="4" w:space="0"/>
              <w:bottom w:val="single" w:color="000000" w:sz="4" w:space="0"/>
              <w:right w:val="single" w:color="000000" w:sz="4" w:space="0"/>
            </w:tcBorders>
            <w:vAlign w:val="center"/>
          </w:tcPr>
          <w:p w14:paraId="19CA4A7D">
            <w:pPr>
              <w:topLinePunct/>
              <w:adjustRightInd w:val="0"/>
              <w:snapToGrid w:val="0"/>
              <w:textAlignment w:val="center"/>
              <w:rPr>
                <w:rFonts w:eastAsia="仿宋"/>
                <w:color w:val="000000"/>
                <w:sz w:val="24"/>
              </w:rPr>
            </w:pPr>
            <w:r>
              <w:rPr>
                <w:rFonts w:eastAsia="仿宋"/>
                <w:color w:val="000000"/>
                <w:kern w:val="0"/>
                <w:sz w:val="24"/>
                <w:lang w:bidi="ar"/>
              </w:rPr>
              <w:t>对烟花爆竹生产经营企业工（库）房实际作业人员数量超过核定人数的行政处罚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4960F153">
            <w:pPr>
              <w:topLinePunct/>
              <w:adjustRightInd w:val="0"/>
              <w:snapToGrid w:val="0"/>
              <w:jc w:val="left"/>
              <w:textAlignment w:val="center"/>
              <w:rPr>
                <w:rFonts w:eastAsia="仿宋"/>
                <w:color w:val="000000"/>
                <w:sz w:val="24"/>
              </w:rPr>
            </w:pPr>
            <w:r>
              <w:rPr>
                <w:rFonts w:eastAsia="仿宋"/>
                <w:color w:val="000000"/>
                <w:kern w:val="0"/>
                <w:sz w:val="24"/>
                <w:lang w:bidi="ar"/>
              </w:rPr>
              <w:t>1.《国家安全监管总局关于印发〈化工和危险化学品生产经营单位重大生产安全事故隐患判定标准（试行）〉和〈烟花爆竹生产经营单位重大生产安全事故隐患判定标准（试行）〉的通知》（安监总管三〔2017〕121号）</w:t>
            </w:r>
            <w:r>
              <w:rPr>
                <w:rFonts w:eastAsia="仿宋"/>
                <w:color w:val="000000"/>
                <w:kern w:val="0"/>
                <w:sz w:val="24"/>
                <w:lang w:bidi="ar"/>
              </w:rPr>
              <w:br w:type="textWrapping"/>
            </w:r>
            <w:r>
              <w:rPr>
                <w:rFonts w:eastAsia="仿宋"/>
                <w:color w:val="000000"/>
                <w:kern w:val="0"/>
                <w:sz w:val="24"/>
                <w:lang w:bidi="ar"/>
              </w:rPr>
              <w:t>烟花爆竹类：</w:t>
            </w:r>
            <w:r>
              <w:rPr>
                <w:rFonts w:eastAsia="仿宋"/>
                <w:color w:val="000000"/>
                <w:kern w:val="0"/>
                <w:sz w:val="24"/>
                <w:lang w:bidi="ar"/>
              </w:rPr>
              <w:br w:type="textWrapping"/>
            </w:r>
            <w:r>
              <w:rPr>
                <w:rFonts w:eastAsia="仿宋"/>
                <w:color w:val="000000"/>
                <w:kern w:val="0"/>
                <w:sz w:val="24"/>
                <w:lang w:bidi="ar"/>
              </w:rPr>
              <w:t>四、工（库）房实际作业人员数量超过核定人数。</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55FD0085">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27EE37A8">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6C6A8FA7">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65C52CCA">
        <w:tblPrEx>
          <w:tblCellMar>
            <w:top w:w="0" w:type="dxa"/>
            <w:left w:w="108" w:type="dxa"/>
            <w:bottom w:w="0" w:type="dxa"/>
            <w:right w:w="108" w:type="dxa"/>
          </w:tblCellMar>
        </w:tblPrEx>
        <w:trPr>
          <w:trHeight w:val="38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714C386E">
            <w:pPr>
              <w:topLinePunct/>
              <w:adjustRightInd w:val="0"/>
              <w:snapToGrid w:val="0"/>
              <w:jc w:val="center"/>
              <w:textAlignment w:val="center"/>
              <w:rPr>
                <w:rFonts w:eastAsia="仿宋"/>
                <w:color w:val="000000"/>
                <w:sz w:val="24"/>
              </w:rPr>
            </w:pPr>
            <w:r>
              <w:rPr>
                <w:rFonts w:eastAsia="仿宋"/>
                <w:color w:val="000000"/>
                <w:kern w:val="0"/>
                <w:sz w:val="24"/>
                <w:lang w:bidi="ar"/>
              </w:rPr>
              <w:t>128</w:t>
            </w:r>
          </w:p>
        </w:tc>
        <w:tc>
          <w:tcPr>
            <w:tcW w:w="838" w:type="pct"/>
            <w:tcBorders>
              <w:top w:val="single" w:color="000000" w:sz="4" w:space="0"/>
              <w:left w:val="single" w:color="000000" w:sz="4" w:space="0"/>
              <w:bottom w:val="single" w:color="000000" w:sz="4" w:space="0"/>
              <w:right w:val="single" w:color="000000" w:sz="4" w:space="0"/>
            </w:tcBorders>
            <w:vAlign w:val="center"/>
          </w:tcPr>
          <w:p w14:paraId="5B8AD126">
            <w:pPr>
              <w:topLinePunct/>
              <w:adjustRightInd w:val="0"/>
              <w:snapToGrid w:val="0"/>
              <w:textAlignment w:val="center"/>
              <w:rPr>
                <w:rFonts w:eastAsia="仿宋"/>
                <w:color w:val="000000"/>
                <w:sz w:val="24"/>
              </w:rPr>
            </w:pPr>
            <w:r>
              <w:rPr>
                <w:rFonts w:eastAsia="仿宋"/>
                <w:color w:val="000000"/>
                <w:kern w:val="0"/>
                <w:sz w:val="24"/>
                <w:lang w:bidi="ar"/>
              </w:rPr>
              <w:t>对烟花爆竹生产经营企业工（库）房实际滞留、存储药量超过核定药量的行政处罚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32828B38">
            <w:pPr>
              <w:topLinePunct/>
              <w:adjustRightInd w:val="0"/>
              <w:snapToGrid w:val="0"/>
              <w:jc w:val="left"/>
              <w:textAlignment w:val="center"/>
              <w:rPr>
                <w:rFonts w:eastAsia="仿宋"/>
                <w:color w:val="000000"/>
                <w:sz w:val="24"/>
              </w:rPr>
            </w:pPr>
            <w:r>
              <w:rPr>
                <w:rFonts w:eastAsia="仿宋"/>
                <w:color w:val="000000"/>
                <w:kern w:val="0"/>
                <w:sz w:val="24"/>
                <w:lang w:bidi="ar"/>
              </w:rPr>
              <w:t>1.《国家安全监管总局关于印发〈化工和危险化学品生产经营单位重大生产安全事故隐患判定标准（试行）〉和〈烟花爆竹生产经营单位重大生产安全事故隐患判定标准（试行）〉的通知》（安监总管三〔2017〕121号）</w:t>
            </w:r>
            <w:r>
              <w:rPr>
                <w:rFonts w:eastAsia="仿宋"/>
                <w:color w:val="000000"/>
                <w:kern w:val="0"/>
                <w:sz w:val="24"/>
                <w:lang w:bidi="ar"/>
              </w:rPr>
              <w:br w:type="textWrapping"/>
            </w:r>
            <w:r>
              <w:rPr>
                <w:rFonts w:eastAsia="仿宋"/>
                <w:color w:val="000000"/>
                <w:kern w:val="0"/>
                <w:sz w:val="24"/>
                <w:lang w:bidi="ar"/>
              </w:rPr>
              <w:t>烟花爆竹类：</w:t>
            </w:r>
            <w:r>
              <w:rPr>
                <w:rFonts w:eastAsia="仿宋"/>
                <w:color w:val="000000"/>
                <w:kern w:val="0"/>
                <w:sz w:val="24"/>
                <w:lang w:bidi="ar"/>
              </w:rPr>
              <w:br w:type="textWrapping"/>
            </w:r>
            <w:r>
              <w:rPr>
                <w:rFonts w:eastAsia="仿宋"/>
                <w:color w:val="000000"/>
                <w:kern w:val="0"/>
                <w:sz w:val="24"/>
                <w:lang w:bidi="ar"/>
              </w:rPr>
              <w:t>五、工（库）房实际滞留、存储药量超过核定药量。</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29D98858">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0D32DB7E">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64194E3F">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286A9F7E">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28BC5BE3">
            <w:pPr>
              <w:topLinePunct/>
              <w:adjustRightInd w:val="0"/>
              <w:snapToGrid w:val="0"/>
              <w:jc w:val="center"/>
              <w:textAlignment w:val="center"/>
              <w:rPr>
                <w:rFonts w:eastAsia="仿宋"/>
                <w:color w:val="000000"/>
                <w:sz w:val="24"/>
              </w:rPr>
            </w:pPr>
            <w:r>
              <w:rPr>
                <w:rFonts w:eastAsia="仿宋"/>
                <w:color w:val="000000"/>
                <w:kern w:val="0"/>
                <w:sz w:val="24"/>
                <w:lang w:bidi="ar"/>
              </w:rPr>
              <w:t>129</w:t>
            </w:r>
          </w:p>
        </w:tc>
        <w:tc>
          <w:tcPr>
            <w:tcW w:w="838" w:type="pct"/>
            <w:tcBorders>
              <w:top w:val="single" w:color="000000" w:sz="4" w:space="0"/>
              <w:left w:val="single" w:color="000000" w:sz="4" w:space="0"/>
              <w:bottom w:val="single" w:color="000000" w:sz="4" w:space="0"/>
              <w:right w:val="single" w:color="000000" w:sz="4" w:space="0"/>
            </w:tcBorders>
            <w:vAlign w:val="center"/>
          </w:tcPr>
          <w:p w14:paraId="268A54F2">
            <w:pPr>
              <w:topLinePunct/>
              <w:adjustRightInd w:val="0"/>
              <w:snapToGrid w:val="0"/>
              <w:textAlignment w:val="center"/>
              <w:rPr>
                <w:rFonts w:eastAsia="仿宋"/>
                <w:color w:val="000000"/>
                <w:sz w:val="24"/>
              </w:rPr>
            </w:pPr>
            <w:r>
              <w:rPr>
                <w:rFonts w:eastAsia="仿宋"/>
                <w:color w:val="000000"/>
                <w:kern w:val="0"/>
                <w:sz w:val="24"/>
                <w:lang w:bidi="ar"/>
              </w:rPr>
              <w:t>对烟花爆竹生产经营企业工（库）房内、外部安全距离不足，防护屏障缺失或者不符合要求的行政处罚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0967EFB9">
            <w:pPr>
              <w:topLinePunct/>
              <w:adjustRightInd w:val="0"/>
              <w:snapToGrid w:val="0"/>
              <w:jc w:val="left"/>
              <w:textAlignment w:val="center"/>
              <w:rPr>
                <w:rFonts w:eastAsia="仿宋"/>
                <w:color w:val="000000"/>
                <w:sz w:val="24"/>
              </w:rPr>
            </w:pPr>
            <w:r>
              <w:rPr>
                <w:rFonts w:eastAsia="仿宋"/>
                <w:color w:val="000000"/>
                <w:kern w:val="0"/>
                <w:sz w:val="24"/>
                <w:lang w:bidi="ar"/>
              </w:rPr>
              <w:t>1.《国家安全监管总局关于印发〈化工和危险化学品生产经营单位重大生产安全事故隐患判定标准（试行）〉和〈烟花爆竹生产经营单位重大生产安全事故隐患判定标准（试行）〉的通知》（安监总管三〔2017〕121号）</w:t>
            </w:r>
            <w:r>
              <w:rPr>
                <w:rFonts w:eastAsia="仿宋"/>
                <w:color w:val="000000"/>
                <w:kern w:val="0"/>
                <w:sz w:val="24"/>
                <w:lang w:bidi="ar"/>
              </w:rPr>
              <w:br w:type="textWrapping"/>
            </w:r>
            <w:r>
              <w:rPr>
                <w:rFonts w:eastAsia="仿宋"/>
                <w:color w:val="000000"/>
                <w:kern w:val="0"/>
                <w:sz w:val="24"/>
                <w:lang w:bidi="ar"/>
              </w:rPr>
              <w:t>烟花爆竹类：</w:t>
            </w:r>
            <w:r>
              <w:rPr>
                <w:rFonts w:eastAsia="仿宋"/>
                <w:color w:val="000000"/>
                <w:kern w:val="0"/>
                <w:sz w:val="24"/>
                <w:lang w:bidi="ar"/>
              </w:rPr>
              <w:br w:type="textWrapping"/>
            </w:r>
            <w:r>
              <w:rPr>
                <w:rFonts w:eastAsia="仿宋"/>
                <w:color w:val="000000"/>
                <w:kern w:val="0"/>
                <w:sz w:val="24"/>
                <w:lang w:bidi="ar"/>
              </w:rPr>
              <w:t>六、工（库）房内、外部安全距离不足，防护屏障缺失或者不符合要求。</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60D934E9">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0A24D72C">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5784A1FD">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7DC78AC6">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2159AD67">
            <w:pPr>
              <w:topLinePunct/>
              <w:adjustRightInd w:val="0"/>
              <w:snapToGrid w:val="0"/>
              <w:jc w:val="center"/>
              <w:textAlignment w:val="center"/>
              <w:rPr>
                <w:rFonts w:eastAsia="仿宋"/>
                <w:color w:val="000000"/>
                <w:sz w:val="24"/>
              </w:rPr>
            </w:pPr>
            <w:r>
              <w:rPr>
                <w:rFonts w:eastAsia="仿宋"/>
                <w:color w:val="000000"/>
                <w:kern w:val="0"/>
                <w:sz w:val="24"/>
                <w:lang w:bidi="ar"/>
              </w:rPr>
              <w:t>130</w:t>
            </w:r>
          </w:p>
        </w:tc>
        <w:tc>
          <w:tcPr>
            <w:tcW w:w="838" w:type="pct"/>
            <w:tcBorders>
              <w:top w:val="single" w:color="000000" w:sz="4" w:space="0"/>
              <w:left w:val="single" w:color="000000" w:sz="4" w:space="0"/>
              <w:bottom w:val="single" w:color="000000" w:sz="4" w:space="0"/>
              <w:right w:val="single" w:color="000000" w:sz="4" w:space="0"/>
            </w:tcBorders>
            <w:vAlign w:val="center"/>
          </w:tcPr>
          <w:p w14:paraId="30B99F4F">
            <w:pPr>
              <w:topLinePunct/>
              <w:adjustRightInd w:val="0"/>
              <w:snapToGrid w:val="0"/>
              <w:textAlignment w:val="center"/>
              <w:rPr>
                <w:rFonts w:eastAsia="仿宋"/>
                <w:color w:val="000000"/>
                <w:sz w:val="24"/>
              </w:rPr>
            </w:pPr>
            <w:r>
              <w:rPr>
                <w:rFonts w:eastAsia="仿宋"/>
                <w:color w:val="000000"/>
                <w:kern w:val="0"/>
                <w:sz w:val="24"/>
                <w:lang w:bidi="ar"/>
              </w:rPr>
              <w:t>对烟花爆竹生产经营企业防静电、防火、防雷设备设施缺失或者失效的行政处罚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3F8C0953">
            <w:pPr>
              <w:topLinePunct/>
              <w:adjustRightInd w:val="0"/>
              <w:snapToGrid w:val="0"/>
              <w:jc w:val="left"/>
              <w:textAlignment w:val="center"/>
              <w:rPr>
                <w:rFonts w:eastAsia="仿宋"/>
                <w:color w:val="000000"/>
                <w:sz w:val="24"/>
              </w:rPr>
            </w:pPr>
            <w:r>
              <w:rPr>
                <w:rFonts w:eastAsia="仿宋"/>
                <w:color w:val="000000"/>
                <w:kern w:val="0"/>
                <w:sz w:val="24"/>
                <w:lang w:bidi="ar"/>
              </w:rPr>
              <w:t>1.《国家安全监管总局关于印发〈化工和危险化学品生产经营单位重大生产安全事故隐患判定标准（试行）〉和〈烟花爆竹生产经营单位重大生产安全事故隐患判定标准（试行）〉的通知》（安监总管三〔2017〕121号）</w:t>
            </w:r>
            <w:r>
              <w:rPr>
                <w:rFonts w:eastAsia="仿宋"/>
                <w:color w:val="000000"/>
                <w:kern w:val="0"/>
                <w:sz w:val="24"/>
                <w:lang w:bidi="ar"/>
              </w:rPr>
              <w:br w:type="textWrapping"/>
            </w:r>
            <w:r>
              <w:rPr>
                <w:rFonts w:eastAsia="仿宋"/>
                <w:color w:val="000000"/>
                <w:kern w:val="0"/>
                <w:sz w:val="24"/>
                <w:lang w:bidi="ar"/>
              </w:rPr>
              <w:t>烟花爆竹类：</w:t>
            </w:r>
            <w:r>
              <w:rPr>
                <w:rFonts w:eastAsia="仿宋"/>
                <w:color w:val="000000"/>
                <w:kern w:val="0"/>
                <w:sz w:val="24"/>
                <w:lang w:bidi="ar"/>
              </w:rPr>
              <w:br w:type="textWrapping"/>
            </w:r>
            <w:r>
              <w:rPr>
                <w:rFonts w:eastAsia="仿宋"/>
                <w:color w:val="000000"/>
                <w:kern w:val="0"/>
                <w:sz w:val="24"/>
                <w:lang w:bidi="ar"/>
              </w:rPr>
              <w:t>七、防静电、防火、防雷设备设施缺失或者失效。</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第九十九条第二项  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二）安全设备的安装、使用、检测、改造和报废不符合国家标准或者行业标准的；</w:t>
            </w:r>
          </w:p>
        </w:tc>
        <w:tc>
          <w:tcPr>
            <w:tcW w:w="476" w:type="pct"/>
            <w:tcBorders>
              <w:top w:val="single" w:color="000000" w:sz="4" w:space="0"/>
              <w:left w:val="single" w:color="000000" w:sz="4" w:space="0"/>
              <w:bottom w:val="single" w:color="000000" w:sz="4" w:space="0"/>
              <w:right w:val="single" w:color="000000" w:sz="4" w:space="0"/>
            </w:tcBorders>
            <w:vAlign w:val="center"/>
          </w:tcPr>
          <w:p w14:paraId="6D3FBAA9">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31E6018B">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1B058964">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650967A2">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170C6801">
            <w:pPr>
              <w:topLinePunct/>
              <w:adjustRightInd w:val="0"/>
              <w:snapToGrid w:val="0"/>
              <w:jc w:val="center"/>
              <w:textAlignment w:val="center"/>
              <w:rPr>
                <w:rFonts w:eastAsia="仿宋"/>
                <w:color w:val="000000"/>
                <w:sz w:val="24"/>
              </w:rPr>
            </w:pPr>
            <w:r>
              <w:rPr>
                <w:rFonts w:eastAsia="仿宋"/>
                <w:color w:val="000000"/>
                <w:kern w:val="0"/>
                <w:sz w:val="24"/>
                <w:lang w:bidi="ar"/>
              </w:rPr>
              <w:t>131</w:t>
            </w:r>
          </w:p>
        </w:tc>
        <w:tc>
          <w:tcPr>
            <w:tcW w:w="838" w:type="pct"/>
            <w:tcBorders>
              <w:top w:val="single" w:color="000000" w:sz="4" w:space="0"/>
              <w:left w:val="single" w:color="000000" w:sz="4" w:space="0"/>
              <w:bottom w:val="single" w:color="000000" w:sz="4" w:space="0"/>
              <w:right w:val="single" w:color="000000" w:sz="4" w:space="0"/>
            </w:tcBorders>
            <w:vAlign w:val="center"/>
          </w:tcPr>
          <w:p w14:paraId="78439F3B">
            <w:pPr>
              <w:topLinePunct/>
              <w:adjustRightInd w:val="0"/>
              <w:snapToGrid w:val="0"/>
              <w:textAlignment w:val="center"/>
              <w:rPr>
                <w:rFonts w:eastAsia="仿宋"/>
                <w:color w:val="000000"/>
                <w:sz w:val="24"/>
              </w:rPr>
            </w:pPr>
            <w:r>
              <w:rPr>
                <w:rFonts w:eastAsia="仿宋"/>
                <w:color w:val="000000"/>
                <w:kern w:val="0"/>
                <w:sz w:val="24"/>
                <w:lang w:bidi="ar"/>
              </w:rPr>
              <w:t>对烟花爆竹生产经营企业擅自改变工（库）房用途或者违规私搭乱建的行政处罚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61E69326">
            <w:pPr>
              <w:topLinePunct/>
              <w:adjustRightInd w:val="0"/>
              <w:snapToGrid w:val="0"/>
              <w:jc w:val="left"/>
              <w:textAlignment w:val="center"/>
              <w:rPr>
                <w:rFonts w:eastAsia="仿宋"/>
                <w:color w:val="000000"/>
                <w:sz w:val="24"/>
              </w:rPr>
            </w:pPr>
            <w:r>
              <w:rPr>
                <w:rFonts w:eastAsia="仿宋"/>
                <w:color w:val="000000"/>
                <w:kern w:val="0"/>
                <w:sz w:val="24"/>
                <w:lang w:bidi="ar"/>
              </w:rPr>
              <w:t>1.《国家安全监管总局关于印发〈化工和危险化学品生产经营单位重大生产安全事故隐患判定标准（试行）〉和〈烟花爆竹生产经营单位重大生产安全事故隐患判定标准（试行）〉的通知》（安监总管三〔2017〕121号）</w:t>
            </w:r>
            <w:r>
              <w:rPr>
                <w:rFonts w:eastAsia="仿宋"/>
                <w:color w:val="000000"/>
                <w:kern w:val="0"/>
                <w:sz w:val="24"/>
                <w:lang w:bidi="ar"/>
              </w:rPr>
              <w:br w:type="textWrapping"/>
            </w:r>
            <w:r>
              <w:rPr>
                <w:rFonts w:eastAsia="仿宋"/>
                <w:color w:val="000000"/>
                <w:kern w:val="0"/>
                <w:sz w:val="24"/>
                <w:lang w:bidi="ar"/>
              </w:rPr>
              <w:t>烟花爆竹类：</w:t>
            </w:r>
            <w:r>
              <w:rPr>
                <w:rFonts w:eastAsia="仿宋"/>
                <w:color w:val="000000"/>
                <w:kern w:val="0"/>
                <w:sz w:val="24"/>
                <w:lang w:bidi="ar"/>
              </w:rPr>
              <w:br w:type="textWrapping"/>
            </w:r>
            <w:r>
              <w:rPr>
                <w:rFonts w:eastAsia="仿宋"/>
                <w:color w:val="000000"/>
                <w:kern w:val="0"/>
                <w:sz w:val="24"/>
                <w:lang w:bidi="ar"/>
              </w:rPr>
              <w:t>八、擅自改变工（库）房用途或者违规私搭乱建。</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39B1B63E">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40270DA3">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0E96638E">
            <w:pPr>
              <w:topLinePunct/>
              <w:adjustRightInd w:val="0"/>
              <w:snapToGrid w:val="0"/>
              <w:jc w:val="center"/>
              <w:textAlignment w:val="center"/>
              <w:rPr>
                <w:rFonts w:eastAsia="仿宋"/>
                <w:color w:val="000000"/>
                <w:sz w:val="24"/>
              </w:rPr>
            </w:pPr>
            <w:r>
              <w:rPr>
                <w:rFonts w:hint="eastAsia" w:eastAsia="仿宋"/>
                <w:color w:val="000000"/>
                <w:kern w:val="0"/>
                <w:sz w:val="24"/>
                <w:lang w:eastAsia="zh-CN" w:bidi="ar"/>
              </w:rPr>
              <w:t>县级</w:t>
            </w:r>
          </w:p>
        </w:tc>
      </w:tr>
      <w:tr w14:paraId="1B69D57D">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0417128B">
            <w:pPr>
              <w:topLinePunct/>
              <w:adjustRightInd w:val="0"/>
              <w:snapToGrid w:val="0"/>
              <w:jc w:val="center"/>
              <w:textAlignment w:val="center"/>
              <w:rPr>
                <w:rFonts w:eastAsia="仿宋"/>
                <w:color w:val="000000"/>
                <w:sz w:val="24"/>
              </w:rPr>
            </w:pPr>
            <w:r>
              <w:rPr>
                <w:rFonts w:eastAsia="仿宋"/>
                <w:color w:val="000000"/>
                <w:kern w:val="0"/>
                <w:sz w:val="24"/>
                <w:lang w:bidi="ar"/>
              </w:rPr>
              <w:t>132</w:t>
            </w:r>
          </w:p>
        </w:tc>
        <w:tc>
          <w:tcPr>
            <w:tcW w:w="838" w:type="pct"/>
            <w:tcBorders>
              <w:top w:val="single" w:color="000000" w:sz="4" w:space="0"/>
              <w:left w:val="single" w:color="000000" w:sz="4" w:space="0"/>
              <w:bottom w:val="single" w:color="000000" w:sz="4" w:space="0"/>
              <w:right w:val="single" w:color="000000" w:sz="4" w:space="0"/>
            </w:tcBorders>
            <w:vAlign w:val="center"/>
          </w:tcPr>
          <w:p w14:paraId="56FBA1E8">
            <w:pPr>
              <w:topLinePunct/>
              <w:adjustRightInd w:val="0"/>
              <w:snapToGrid w:val="0"/>
              <w:textAlignment w:val="center"/>
              <w:rPr>
                <w:rFonts w:eastAsia="仿宋"/>
                <w:color w:val="000000"/>
                <w:sz w:val="24"/>
              </w:rPr>
            </w:pPr>
            <w:r>
              <w:rPr>
                <w:rFonts w:eastAsia="仿宋"/>
                <w:color w:val="000000"/>
                <w:kern w:val="0"/>
                <w:sz w:val="24"/>
                <w:lang w:bidi="ar"/>
              </w:rPr>
              <w:t>对烟花爆竹生产经营企业工厂围墙缺失或者分区设置不符合国家标准的行政处罚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0B26B818">
            <w:pPr>
              <w:topLinePunct/>
              <w:adjustRightInd w:val="0"/>
              <w:snapToGrid w:val="0"/>
              <w:jc w:val="left"/>
              <w:textAlignment w:val="center"/>
              <w:rPr>
                <w:rFonts w:eastAsia="仿宋"/>
                <w:color w:val="000000"/>
                <w:sz w:val="24"/>
              </w:rPr>
            </w:pPr>
            <w:r>
              <w:rPr>
                <w:rFonts w:eastAsia="仿宋"/>
                <w:color w:val="000000"/>
                <w:kern w:val="0"/>
                <w:sz w:val="24"/>
                <w:lang w:bidi="ar"/>
              </w:rPr>
              <w:t>1.《国家安全监管总局关于印发〈化工和危险化学品生产经营单位重大生产安全事故隐患判定标准（试行）〉和〈烟花爆竹生产经营单位重大生产安全事故隐患判定标准（试行）〉的通知》（安监总管三〔2017〕121号）</w:t>
            </w:r>
            <w:r>
              <w:rPr>
                <w:rFonts w:eastAsia="仿宋"/>
                <w:color w:val="000000"/>
                <w:kern w:val="0"/>
                <w:sz w:val="24"/>
                <w:lang w:bidi="ar"/>
              </w:rPr>
              <w:br w:type="textWrapping"/>
            </w:r>
            <w:r>
              <w:rPr>
                <w:rFonts w:eastAsia="仿宋"/>
                <w:color w:val="000000"/>
                <w:kern w:val="0"/>
                <w:sz w:val="24"/>
                <w:lang w:bidi="ar"/>
              </w:rPr>
              <w:t>烟花爆竹类：</w:t>
            </w:r>
            <w:r>
              <w:rPr>
                <w:rFonts w:eastAsia="仿宋"/>
                <w:color w:val="000000"/>
                <w:kern w:val="0"/>
                <w:sz w:val="24"/>
                <w:lang w:bidi="ar"/>
              </w:rPr>
              <w:br w:type="textWrapping"/>
            </w:r>
            <w:r>
              <w:rPr>
                <w:rFonts w:eastAsia="仿宋"/>
                <w:color w:val="000000"/>
                <w:kern w:val="0"/>
                <w:sz w:val="24"/>
                <w:lang w:bidi="ar"/>
              </w:rPr>
              <w:t>九、工厂围墙缺失或者分区设置不符合国家标准。</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7014B419">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50191AE3">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1843C0E9">
            <w:pPr>
              <w:topLinePunct/>
              <w:adjustRightInd w:val="0"/>
              <w:snapToGrid w:val="0"/>
              <w:jc w:val="center"/>
              <w:textAlignment w:val="center"/>
              <w:rPr>
                <w:rFonts w:eastAsia="仿宋"/>
                <w:color w:val="000000"/>
                <w:sz w:val="24"/>
              </w:rPr>
            </w:pPr>
            <w:r>
              <w:rPr>
                <w:rFonts w:hint="eastAsia" w:eastAsia="仿宋"/>
                <w:color w:val="000000"/>
                <w:kern w:val="0"/>
                <w:sz w:val="24"/>
                <w:lang w:eastAsia="zh-CN" w:bidi="ar"/>
              </w:rPr>
              <w:t>县级</w:t>
            </w:r>
          </w:p>
        </w:tc>
      </w:tr>
      <w:tr w14:paraId="15425499">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40F96259">
            <w:pPr>
              <w:topLinePunct/>
              <w:adjustRightInd w:val="0"/>
              <w:snapToGrid w:val="0"/>
              <w:jc w:val="center"/>
              <w:textAlignment w:val="center"/>
              <w:rPr>
                <w:rFonts w:eastAsia="仿宋"/>
                <w:color w:val="000000"/>
                <w:sz w:val="24"/>
              </w:rPr>
            </w:pPr>
            <w:r>
              <w:rPr>
                <w:rFonts w:eastAsia="仿宋"/>
                <w:color w:val="000000"/>
                <w:kern w:val="0"/>
                <w:sz w:val="24"/>
                <w:lang w:bidi="ar"/>
              </w:rPr>
              <w:t>133</w:t>
            </w:r>
          </w:p>
        </w:tc>
        <w:tc>
          <w:tcPr>
            <w:tcW w:w="838" w:type="pct"/>
            <w:tcBorders>
              <w:top w:val="single" w:color="000000" w:sz="4" w:space="0"/>
              <w:left w:val="single" w:color="000000" w:sz="4" w:space="0"/>
              <w:bottom w:val="single" w:color="000000" w:sz="4" w:space="0"/>
              <w:right w:val="single" w:color="000000" w:sz="4" w:space="0"/>
            </w:tcBorders>
            <w:vAlign w:val="center"/>
          </w:tcPr>
          <w:p w14:paraId="3D4C7B1B">
            <w:pPr>
              <w:topLinePunct/>
              <w:adjustRightInd w:val="0"/>
              <w:snapToGrid w:val="0"/>
              <w:textAlignment w:val="center"/>
              <w:rPr>
                <w:rFonts w:eastAsia="仿宋"/>
                <w:color w:val="000000"/>
                <w:sz w:val="24"/>
              </w:rPr>
            </w:pPr>
            <w:r>
              <w:rPr>
                <w:rFonts w:eastAsia="仿宋"/>
                <w:color w:val="000000"/>
                <w:kern w:val="0"/>
                <w:sz w:val="24"/>
                <w:lang w:bidi="ar"/>
              </w:rPr>
              <w:t>对烟花爆竹生产经营企业将氧化剂、还原剂同库储存、违规预混或者在同一工房内粉碎、称量的行政处罚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6C98DE16">
            <w:pPr>
              <w:topLinePunct/>
              <w:adjustRightInd w:val="0"/>
              <w:snapToGrid w:val="0"/>
              <w:jc w:val="left"/>
              <w:textAlignment w:val="center"/>
              <w:rPr>
                <w:rFonts w:eastAsia="仿宋"/>
                <w:color w:val="000000"/>
                <w:sz w:val="24"/>
              </w:rPr>
            </w:pPr>
            <w:r>
              <w:rPr>
                <w:rFonts w:eastAsia="仿宋"/>
                <w:color w:val="000000"/>
                <w:kern w:val="0"/>
                <w:sz w:val="24"/>
                <w:lang w:bidi="ar"/>
              </w:rPr>
              <w:t>1.《国家安全监管总局关于印发〈化工和危险化学品生产经营单位重大生产安全事故隐患判定标准（试行）〉和〈烟花爆竹生产经营单位重大生产安全事故隐患判定标准（试行）〉的通知》（安监总管三〔2017〕121号）</w:t>
            </w:r>
            <w:r>
              <w:rPr>
                <w:rFonts w:eastAsia="仿宋"/>
                <w:color w:val="000000"/>
                <w:kern w:val="0"/>
                <w:sz w:val="24"/>
                <w:lang w:bidi="ar"/>
              </w:rPr>
              <w:br w:type="textWrapping"/>
            </w:r>
            <w:r>
              <w:rPr>
                <w:rFonts w:eastAsia="仿宋"/>
                <w:color w:val="000000"/>
                <w:kern w:val="0"/>
                <w:sz w:val="24"/>
                <w:lang w:bidi="ar"/>
              </w:rPr>
              <w:t>烟花爆竹类：</w:t>
            </w:r>
            <w:r>
              <w:rPr>
                <w:rFonts w:eastAsia="仿宋"/>
                <w:color w:val="000000"/>
                <w:kern w:val="0"/>
                <w:sz w:val="24"/>
                <w:lang w:bidi="ar"/>
              </w:rPr>
              <w:br w:type="textWrapping"/>
            </w:r>
            <w:r>
              <w:rPr>
                <w:rFonts w:eastAsia="仿宋"/>
                <w:color w:val="000000"/>
                <w:kern w:val="0"/>
                <w:sz w:val="24"/>
                <w:lang w:bidi="ar"/>
              </w:rPr>
              <w:t>十、将氧化剂、还原剂同库储存、违规预混或者在同一工房内粉碎、称量。</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58E2EFCD">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48A84D9B">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70EE1CBC">
            <w:pPr>
              <w:topLinePunct/>
              <w:adjustRightInd w:val="0"/>
              <w:snapToGrid w:val="0"/>
              <w:jc w:val="center"/>
              <w:textAlignment w:val="center"/>
              <w:rPr>
                <w:rFonts w:eastAsia="仿宋"/>
                <w:color w:val="000000"/>
                <w:sz w:val="24"/>
              </w:rPr>
            </w:pPr>
            <w:r>
              <w:rPr>
                <w:rFonts w:hint="eastAsia" w:eastAsia="仿宋"/>
                <w:color w:val="000000"/>
                <w:kern w:val="0"/>
                <w:sz w:val="24"/>
                <w:lang w:eastAsia="zh-CN" w:bidi="ar"/>
              </w:rPr>
              <w:t>县级</w:t>
            </w:r>
          </w:p>
        </w:tc>
      </w:tr>
      <w:tr w14:paraId="64E31505">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09D6CB59">
            <w:pPr>
              <w:topLinePunct/>
              <w:adjustRightInd w:val="0"/>
              <w:snapToGrid w:val="0"/>
              <w:jc w:val="center"/>
              <w:textAlignment w:val="center"/>
              <w:rPr>
                <w:rFonts w:eastAsia="仿宋"/>
                <w:color w:val="000000"/>
                <w:sz w:val="24"/>
              </w:rPr>
            </w:pPr>
            <w:r>
              <w:rPr>
                <w:rFonts w:eastAsia="仿宋"/>
                <w:color w:val="000000"/>
                <w:kern w:val="0"/>
                <w:sz w:val="24"/>
                <w:lang w:bidi="ar"/>
              </w:rPr>
              <w:t>134</w:t>
            </w:r>
          </w:p>
        </w:tc>
        <w:tc>
          <w:tcPr>
            <w:tcW w:w="838" w:type="pct"/>
            <w:tcBorders>
              <w:top w:val="single" w:color="000000" w:sz="4" w:space="0"/>
              <w:left w:val="single" w:color="000000" w:sz="4" w:space="0"/>
              <w:bottom w:val="single" w:color="000000" w:sz="4" w:space="0"/>
              <w:right w:val="single" w:color="000000" w:sz="4" w:space="0"/>
            </w:tcBorders>
            <w:vAlign w:val="center"/>
          </w:tcPr>
          <w:p w14:paraId="0F70C2AA">
            <w:pPr>
              <w:topLinePunct/>
              <w:adjustRightInd w:val="0"/>
              <w:snapToGrid w:val="0"/>
              <w:textAlignment w:val="center"/>
              <w:rPr>
                <w:rFonts w:eastAsia="仿宋"/>
                <w:color w:val="000000"/>
                <w:sz w:val="24"/>
              </w:rPr>
            </w:pPr>
            <w:r>
              <w:rPr>
                <w:rFonts w:eastAsia="仿宋"/>
                <w:color w:val="000000"/>
                <w:kern w:val="0"/>
                <w:sz w:val="24"/>
                <w:lang w:bidi="ar"/>
              </w:rPr>
              <w:t>对烟花爆竹生产经营企业在用涉药机械设备未经安全性论证或者擅自更改、改变用途的行政处罚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32781BB9">
            <w:pPr>
              <w:topLinePunct/>
              <w:adjustRightInd w:val="0"/>
              <w:snapToGrid w:val="0"/>
              <w:jc w:val="left"/>
              <w:textAlignment w:val="center"/>
              <w:rPr>
                <w:rFonts w:eastAsia="仿宋"/>
                <w:color w:val="000000"/>
                <w:sz w:val="24"/>
              </w:rPr>
            </w:pPr>
            <w:r>
              <w:rPr>
                <w:rFonts w:eastAsia="仿宋"/>
                <w:color w:val="000000"/>
                <w:kern w:val="0"/>
                <w:sz w:val="24"/>
                <w:lang w:bidi="ar"/>
              </w:rPr>
              <w:t>1.《国家安全监管总局关于印发〈化工和危险化学品生产经营单位重大生产安全事故隐患判定标准（试行）〉和〈烟花爆竹生产经营单位重大生产安全事故隐患判定标准（试行）〉的通知》（安监总管三〔2017〕121号）</w:t>
            </w:r>
            <w:r>
              <w:rPr>
                <w:rFonts w:eastAsia="仿宋"/>
                <w:color w:val="000000"/>
                <w:kern w:val="0"/>
                <w:sz w:val="24"/>
                <w:lang w:bidi="ar"/>
              </w:rPr>
              <w:br w:type="textWrapping"/>
            </w:r>
            <w:r>
              <w:rPr>
                <w:rFonts w:eastAsia="仿宋"/>
                <w:color w:val="000000"/>
                <w:kern w:val="0"/>
                <w:sz w:val="24"/>
                <w:lang w:bidi="ar"/>
              </w:rPr>
              <w:t>烟花爆竹类：</w:t>
            </w:r>
            <w:r>
              <w:rPr>
                <w:rFonts w:eastAsia="仿宋"/>
                <w:color w:val="000000"/>
                <w:kern w:val="0"/>
                <w:sz w:val="24"/>
                <w:lang w:bidi="ar"/>
              </w:rPr>
              <w:br w:type="textWrapping"/>
            </w:r>
            <w:r>
              <w:rPr>
                <w:rFonts w:eastAsia="仿宋"/>
                <w:color w:val="000000"/>
                <w:kern w:val="0"/>
                <w:sz w:val="24"/>
                <w:lang w:bidi="ar"/>
              </w:rPr>
              <w:t>十一、在用涉药机械设备未经安全性论证或者擅自更改、改变用途。</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4930A3D9">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5FD28419">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105737F9">
            <w:pPr>
              <w:topLinePunct/>
              <w:adjustRightInd w:val="0"/>
              <w:snapToGrid w:val="0"/>
              <w:jc w:val="center"/>
              <w:textAlignment w:val="center"/>
              <w:rPr>
                <w:rFonts w:eastAsia="仿宋"/>
                <w:color w:val="000000"/>
                <w:sz w:val="24"/>
              </w:rPr>
            </w:pPr>
            <w:r>
              <w:rPr>
                <w:rFonts w:hint="eastAsia" w:eastAsia="仿宋"/>
                <w:color w:val="000000"/>
                <w:kern w:val="0"/>
                <w:sz w:val="24"/>
                <w:lang w:eastAsia="zh-CN" w:bidi="ar"/>
              </w:rPr>
              <w:t>县级</w:t>
            </w:r>
          </w:p>
        </w:tc>
      </w:tr>
      <w:tr w14:paraId="2E18741C">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7704579C">
            <w:pPr>
              <w:topLinePunct/>
              <w:adjustRightInd w:val="0"/>
              <w:snapToGrid w:val="0"/>
              <w:jc w:val="center"/>
              <w:textAlignment w:val="center"/>
              <w:rPr>
                <w:rFonts w:eastAsia="仿宋"/>
                <w:color w:val="000000"/>
                <w:sz w:val="24"/>
              </w:rPr>
            </w:pPr>
            <w:r>
              <w:rPr>
                <w:rFonts w:eastAsia="仿宋"/>
                <w:color w:val="000000"/>
                <w:kern w:val="0"/>
                <w:sz w:val="24"/>
                <w:lang w:bidi="ar"/>
              </w:rPr>
              <w:t>135</w:t>
            </w:r>
          </w:p>
        </w:tc>
        <w:tc>
          <w:tcPr>
            <w:tcW w:w="838" w:type="pct"/>
            <w:tcBorders>
              <w:top w:val="single" w:color="000000" w:sz="4" w:space="0"/>
              <w:left w:val="single" w:color="000000" w:sz="4" w:space="0"/>
              <w:bottom w:val="single" w:color="000000" w:sz="4" w:space="0"/>
              <w:right w:val="single" w:color="000000" w:sz="4" w:space="0"/>
            </w:tcBorders>
            <w:vAlign w:val="center"/>
          </w:tcPr>
          <w:p w14:paraId="07747497">
            <w:pPr>
              <w:topLinePunct/>
              <w:adjustRightInd w:val="0"/>
              <w:snapToGrid w:val="0"/>
              <w:textAlignment w:val="center"/>
              <w:rPr>
                <w:rFonts w:eastAsia="仿宋"/>
                <w:color w:val="000000"/>
                <w:sz w:val="24"/>
              </w:rPr>
            </w:pPr>
            <w:r>
              <w:rPr>
                <w:rFonts w:eastAsia="仿宋"/>
                <w:color w:val="000000"/>
                <w:kern w:val="0"/>
                <w:sz w:val="24"/>
                <w:lang w:bidi="ar"/>
              </w:rPr>
              <w:t>对烟花爆竹生产经营企业中转库、药物总库和成品总库的存储能力与设计产能不匹配的行政处罚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0EF452C4">
            <w:pPr>
              <w:topLinePunct/>
              <w:adjustRightInd w:val="0"/>
              <w:snapToGrid w:val="0"/>
              <w:jc w:val="left"/>
              <w:textAlignment w:val="center"/>
              <w:rPr>
                <w:rFonts w:eastAsia="仿宋"/>
                <w:color w:val="000000"/>
                <w:sz w:val="24"/>
              </w:rPr>
            </w:pPr>
            <w:r>
              <w:rPr>
                <w:rFonts w:eastAsia="仿宋"/>
                <w:color w:val="000000"/>
                <w:kern w:val="0"/>
                <w:sz w:val="24"/>
                <w:lang w:bidi="ar"/>
              </w:rPr>
              <w:t>1.《国家安全监管总局关于印发〈化工和危险化学品生产经营单位重大生产安全事故隐患判定标准（试行）〉和〈烟花爆竹生产经营单位重大生产安全事故隐患判定标准（试行）〉的通知》（安监总管三〔2017〕121号）</w:t>
            </w:r>
            <w:r>
              <w:rPr>
                <w:rFonts w:eastAsia="仿宋"/>
                <w:color w:val="000000"/>
                <w:kern w:val="0"/>
                <w:sz w:val="24"/>
                <w:lang w:bidi="ar"/>
              </w:rPr>
              <w:br w:type="textWrapping"/>
            </w:r>
            <w:r>
              <w:rPr>
                <w:rFonts w:eastAsia="仿宋"/>
                <w:color w:val="000000"/>
                <w:kern w:val="0"/>
                <w:sz w:val="24"/>
                <w:lang w:bidi="ar"/>
              </w:rPr>
              <w:t>烟花爆竹类：</w:t>
            </w:r>
            <w:r>
              <w:rPr>
                <w:rFonts w:eastAsia="仿宋"/>
                <w:color w:val="000000"/>
                <w:kern w:val="0"/>
                <w:sz w:val="24"/>
                <w:lang w:bidi="ar"/>
              </w:rPr>
              <w:br w:type="textWrapping"/>
            </w:r>
            <w:r>
              <w:rPr>
                <w:rFonts w:eastAsia="仿宋"/>
                <w:color w:val="000000"/>
                <w:kern w:val="0"/>
                <w:sz w:val="24"/>
                <w:lang w:bidi="ar"/>
              </w:rPr>
              <w:t>十二、中转库、药物总库和成品总库的存储能力与设计产能不匹配。</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1BFB1629">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39B42894">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4A7DD102">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602486B3">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196368B7">
            <w:pPr>
              <w:topLinePunct/>
              <w:adjustRightInd w:val="0"/>
              <w:snapToGrid w:val="0"/>
              <w:jc w:val="center"/>
              <w:textAlignment w:val="center"/>
              <w:rPr>
                <w:rFonts w:eastAsia="仿宋"/>
                <w:color w:val="000000"/>
                <w:sz w:val="24"/>
              </w:rPr>
            </w:pPr>
            <w:r>
              <w:rPr>
                <w:rFonts w:eastAsia="仿宋"/>
                <w:color w:val="000000"/>
                <w:kern w:val="0"/>
                <w:sz w:val="24"/>
                <w:lang w:bidi="ar"/>
              </w:rPr>
              <w:t>136</w:t>
            </w:r>
          </w:p>
        </w:tc>
        <w:tc>
          <w:tcPr>
            <w:tcW w:w="838" w:type="pct"/>
            <w:tcBorders>
              <w:top w:val="single" w:color="000000" w:sz="4" w:space="0"/>
              <w:left w:val="single" w:color="000000" w:sz="4" w:space="0"/>
              <w:bottom w:val="single" w:color="000000" w:sz="4" w:space="0"/>
              <w:right w:val="single" w:color="000000" w:sz="4" w:space="0"/>
            </w:tcBorders>
            <w:vAlign w:val="center"/>
          </w:tcPr>
          <w:p w14:paraId="621B271A">
            <w:pPr>
              <w:topLinePunct/>
              <w:adjustRightInd w:val="0"/>
              <w:snapToGrid w:val="0"/>
              <w:textAlignment w:val="center"/>
              <w:rPr>
                <w:rFonts w:eastAsia="仿宋"/>
                <w:color w:val="000000"/>
                <w:sz w:val="24"/>
              </w:rPr>
            </w:pPr>
            <w:r>
              <w:rPr>
                <w:rFonts w:eastAsia="仿宋"/>
                <w:color w:val="000000"/>
                <w:kern w:val="0"/>
                <w:sz w:val="24"/>
                <w:lang w:bidi="ar"/>
              </w:rPr>
              <w:t>对烟花爆竹生产经营企业未制定实施生产安全事故隐患排查治理制度的行政处罚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6FB54D6F">
            <w:pPr>
              <w:topLinePunct/>
              <w:adjustRightInd w:val="0"/>
              <w:snapToGrid w:val="0"/>
              <w:jc w:val="left"/>
              <w:textAlignment w:val="center"/>
              <w:rPr>
                <w:rFonts w:eastAsia="仿宋"/>
                <w:color w:val="000000"/>
                <w:sz w:val="24"/>
              </w:rPr>
            </w:pPr>
            <w:r>
              <w:rPr>
                <w:rFonts w:eastAsia="仿宋"/>
                <w:color w:val="000000"/>
                <w:kern w:val="0"/>
                <w:sz w:val="24"/>
                <w:lang w:bidi="ar"/>
              </w:rPr>
              <w:t>1.《国家安全监管总局关于印发〈化工和危险化学品生产经营单位重大生产安全事故隐患判定标准（试行）〉和〈烟花爆竹生产经营单位重大生产安全事故隐患判定标准（试行）〉的通知》（安监总管三〔2017〕121号）</w:t>
            </w:r>
            <w:r>
              <w:rPr>
                <w:rFonts w:eastAsia="仿宋"/>
                <w:color w:val="000000"/>
                <w:kern w:val="0"/>
                <w:sz w:val="24"/>
                <w:lang w:bidi="ar"/>
              </w:rPr>
              <w:br w:type="textWrapping"/>
            </w:r>
            <w:r>
              <w:rPr>
                <w:rFonts w:eastAsia="仿宋"/>
                <w:color w:val="000000"/>
                <w:kern w:val="0"/>
                <w:sz w:val="24"/>
                <w:lang w:bidi="ar"/>
              </w:rPr>
              <w:t>烟花爆竹类：</w:t>
            </w:r>
            <w:r>
              <w:rPr>
                <w:rFonts w:eastAsia="仿宋"/>
                <w:color w:val="000000"/>
                <w:kern w:val="0"/>
                <w:sz w:val="24"/>
                <w:lang w:bidi="ar"/>
              </w:rPr>
              <w:br w:type="textWrapping"/>
            </w:r>
            <w:r>
              <w:rPr>
                <w:rFonts w:eastAsia="仿宋"/>
                <w:color w:val="000000"/>
                <w:kern w:val="0"/>
                <w:sz w:val="24"/>
                <w:lang w:bidi="ar"/>
              </w:rPr>
              <w:t>十三、未建立与岗位相匹配的全员安全生产责任制或者未制定实施生产安全事故隐患排查治理制度。</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第一百零一条第五项  生产经营单位有下列行为之一的，责令限期改正，处十万元以下的罚款；逾期未改正的，责令停产停业整顿，并处十万元以上二十万元以下的罚款，对其直接负责的主管人员和其他直接责任人员处二万元以上五万元以下的罚款；构成犯罪的，依照刑法有关规定追究刑事责任：（五）未建立事故隐患排查治理制度，或者重大事故隐患排查治理情况未按照规定报告的。</w:t>
            </w:r>
          </w:p>
        </w:tc>
        <w:tc>
          <w:tcPr>
            <w:tcW w:w="476" w:type="pct"/>
            <w:tcBorders>
              <w:top w:val="single" w:color="000000" w:sz="4" w:space="0"/>
              <w:left w:val="single" w:color="000000" w:sz="4" w:space="0"/>
              <w:bottom w:val="single" w:color="000000" w:sz="4" w:space="0"/>
              <w:right w:val="single" w:color="000000" w:sz="4" w:space="0"/>
            </w:tcBorders>
            <w:vAlign w:val="center"/>
          </w:tcPr>
          <w:p w14:paraId="131F1E23">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7A4F0F8C">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6AF97B2D">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2F7E6F92">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096A26E5">
            <w:pPr>
              <w:topLinePunct/>
              <w:adjustRightInd w:val="0"/>
              <w:snapToGrid w:val="0"/>
              <w:jc w:val="center"/>
              <w:textAlignment w:val="center"/>
              <w:rPr>
                <w:rFonts w:eastAsia="仿宋"/>
                <w:color w:val="000000"/>
                <w:sz w:val="24"/>
              </w:rPr>
            </w:pPr>
            <w:r>
              <w:rPr>
                <w:rFonts w:eastAsia="仿宋"/>
                <w:color w:val="000000"/>
                <w:kern w:val="0"/>
                <w:sz w:val="24"/>
                <w:lang w:bidi="ar"/>
              </w:rPr>
              <w:t>137</w:t>
            </w:r>
          </w:p>
        </w:tc>
        <w:tc>
          <w:tcPr>
            <w:tcW w:w="838" w:type="pct"/>
            <w:tcBorders>
              <w:top w:val="single" w:color="000000" w:sz="4" w:space="0"/>
              <w:left w:val="single" w:color="000000" w:sz="4" w:space="0"/>
              <w:bottom w:val="single" w:color="000000" w:sz="4" w:space="0"/>
              <w:right w:val="single" w:color="000000" w:sz="4" w:space="0"/>
            </w:tcBorders>
            <w:vAlign w:val="center"/>
          </w:tcPr>
          <w:p w14:paraId="0D92612E">
            <w:pPr>
              <w:topLinePunct/>
              <w:adjustRightInd w:val="0"/>
              <w:snapToGrid w:val="0"/>
              <w:textAlignment w:val="center"/>
              <w:rPr>
                <w:rFonts w:eastAsia="仿宋"/>
                <w:color w:val="000000"/>
                <w:sz w:val="24"/>
              </w:rPr>
            </w:pPr>
            <w:r>
              <w:rPr>
                <w:rFonts w:eastAsia="仿宋"/>
                <w:color w:val="000000"/>
                <w:kern w:val="0"/>
                <w:sz w:val="24"/>
                <w:lang w:bidi="ar"/>
              </w:rPr>
              <w:t>对烟花爆竹生产经营企业未建立与岗位相匹配的全员安全生产责任制的行政处罚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2A3B17F8">
            <w:pPr>
              <w:topLinePunct/>
              <w:adjustRightInd w:val="0"/>
              <w:snapToGrid w:val="0"/>
              <w:jc w:val="left"/>
              <w:textAlignment w:val="center"/>
              <w:rPr>
                <w:rFonts w:eastAsia="仿宋"/>
                <w:color w:val="000000"/>
                <w:sz w:val="24"/>
              </w:rPr>
            </w:pPr>
            <w:r>
              <w:rPr>
                <w:rFonts w:eastAsia="仿宋"/>
                <w:color w:val="000000"/>
                <w:kern w:val="0"/>
                <w:sz w:val="24"/>
                <w:lang w:bidi="ar"/>
              </w:rPr>
              <w:t>1.《国家安全监管总局关于印发〈化工和危险化学品生产经营单位重大生产安全事故隐患判定标准（试行）〉和〈烟花爆竹生产经营单位重大生产安全事故隐患判定标准（试行）〉的通知》（安监总管三〔2017〕121号）</w:t>
            </w:r>
            <w:r>
              <w:rPr>
                <w:rFonts w:eastAsia="仿宋"/>
                <w:color w:val="000000"/>
                <w:kern w:val="0"/>
                <w:sz w:val="24"/>
                <w:lang w:bidi="ar"/>
              </w:rPr>
              <w:br w:type="textWrapping"/>
            </w:r>
            <w:r>
              <w:rPr>
                <w:rFonts w:eastAsia="仿宋"/>
                <w:color w:val="000000"/>
                <w:kern w:val="0"/>
                <w:sz w:val="24"/>
                <w:lang w:bidi="ar"/>
              </w:rPr>
              <w:t>烟花爆竹类：</w:t>
            </w:r>
            <w:r>
              <w:rPr>
                <w:rFonts w:eastAsia="仿宋"/>
                <w:color w:val="000000"/>
                <w:kern w:val="0"/>
                <w:sz w:val="24"/>
                <w:lang w:bidi="ar"/>
              </w:rPr>
              <w:br w:type="textWrapping"/>
            </w:r>
            <w:r>
              <w:rPr>
                <w:rFonts w:eastAsia="仿宋"/>
                <w:color w:val="000000"/>
                <w:kern w:val="0"/>
                <w:sz w:val="24"/>
                <w:lang w:bidi="ar"/>
              </w:rPr>
              <w:t>十三、未建立与岗位相匹配的全员安全生产责任制或者未制定实施生产安全事故隐患排查治理制度。</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24FF66C2">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39EE2E25">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528AAAE3">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71936FD5">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3D64EDBB">
            <w:pPr>
              <w:topLinePunct/>
              <w:adjustRightInd w:val="0"/>
              <w:snapToGrid w:val="0"/>
              <w:jc w:val="center"/>
              <w:textAlignment w:val="center"/>
              <w:rPr>
                <w:rFonts w:eastAsia="仿宋"/>
                <w:color w:val="000000"/>
                <w:sz w:val="24"/>
              </w:rPr>
            </w:pPr>
            <w:r>
              <w:rPr>
                <w:rFonts w:eastAsia="仿宋"/>
                <w:color w:val="000000"/>
                <w:kern w:val="0"/>
                <w:sz w:val="24"/>
                <w:lang w:bidi="ar"/>
              </w:rPr>
              <w:t>138</w:t>
            </w:r>
          </w:p>
        </w:tc>
        <w:tc>
          <w:tcPr>
            <w:tcW w:w="838" w:type="pct"/>
            <w:tcBorders>
              <w:top w:val="single" w:color="000000" w:sz="4" w:space="0"/>
              <w:left w:val="single" w:color="000000" w:sz="4" w:space="0"/>
              <w:bottom w:val="single" w:color="000000" w:sz="4" w:space="0"/>
              <w:right w:val="single" w:color="000000" w:sz="4" w:space="0"/>
            </w:tcBorders>
            <w:vAlign w:val="center"/>
          </w:tcPr>
          <w:p w14:paraId="2F7E7DD6">
            <w:pPr>
              <w:topLinePunct/>
              <w:adjustRightInd w:val="0"/>
              <w:snapToGrid w:val="0"/>
              <w:textAlignment w:val="center"/>
              <w:rPr>
                <w:rFonts w:eastAsia="仿宋"/>
                <w:color w:val="000000"/>
                <w:sz w:val="24"/>
              </w:rPr>
            </w:pPr>
            <w:r>
              <w:rPr>
                <w:rFonts w:eastAsia="仿宋"/>
                <w:color w:val="000000"/>
                <w:kern w:val="0"/>
                <w:sz w:val="24"/>
                <w:lang w:bidi="ar"/>
              </w:rPr>
              <w:t>对烟花爆竹生产经营企业生产经营的产品种类、危险等级超许可范围或者生产使用违禁药物的行政处罚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037A3D33">
            <w:pPr>
              <w:topLinePunct/>
              <w:adjustRightInd w:val="0"/>
              <w:snapToGrid w:val="0"/>
              <w:jc w:val="left"/>
              <w:textAlignment w:val="center"/>
              <w:rPr>
                <w:rFonts w:eastAsia="仿宋"/>
                <w:color w:val="000000"/>
                <w:sz w:val="24"/>
              </w:rPr>
            </w:pPr>
            <w:r>
              <w:rPr>
                <w:rFonts w:eastAsia="仿宋"/>
                <w:color w:val="000000"/>
                <w:kern w:val="0"/>
                <w:sz w:val="24"/>
                <w:lang w:bidi="ar"/>
              </w:rPr>
              <w:t>1.《国家安全监管总局关于印发〈化工和危险化学品生产经营单位重大生产安全事故隐患判定标准（试行）〉和〈烟花爆竹生产经营单位重大生产安全事故隐患判定标准（试行）〉的通知》（安监总管三〔2017〕121号）</w:t>
            </w:r>
            <w:r>
              <w:rPr>
                <w:rFonts w:eastAsia="仿宋"/>
                <w:color w:val="000000"/>
                <w:kern w:val="0"/>
                <w:sz w:val="24"/>
                <w:lang w:bidi="ar"/>
              </w:rPr>
              <w:br w:type="textWrapping"/>
            </w:r>
            <w:r>
              <w:rPr>
                <w:rFonts w:eastAsia="仿宋"/>
                <w:color w:val="000000"/>
                <w:kern w:val="0"/>
                <w:sz w:val="24"/>
                <w:lang w:bidi="ar"/>
              </w:rPr>
              <w:t>烟花爆竹类：</w:t>
            </w:r>
            <w:r>
              <w:rPr>
                <w:rFonts w:eastAsia="仿宋"/>
                <w:color w:val="000000"/>
                <w:kern w:val="0"/>
                <w:sz w:val="24"/>
                <w:lang w:bidi="ar"/>
              </w:rPr>
              <w:br w:type="textWrapping"/>
            </w:r>
            <w:r>
              <w:rPr>
                <w:rFonts w:eastAsia="仿宋"/>
                <w:color w:val="000000"/>
                <w:kern w:val="0"/>
                <w:sz w:val="24"/>
                <w:lang w:bidi="ar"/>
              </w:rPr>
              <w:t>十五、生产经营的产品种类、危险等级超许可范围或者生产使用违禁药物。</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708EE27A">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79F8B3E9">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75416304">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01CC7D5C">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7DEA7FF2">
            <w:pPr>
              <w:topLinePunct/>
              <w:adjustRightInd w:val="0"/>
              <w:snapToGrid w:val="0"/>
              <w:jc w:val="center"/>
              <w:textAlignment w:val="center"/>
              <w:rPr>
                <w:rFonts w:eastAsia="仿宋"/>
                <w:color w:val="000000"/>
                <w:sz w:val="24"/>
              </w:rPr>
            </w:pPr>
            <w:r>
              <w:rPr>
                <w:rFonts w:eastAsia="仿宋"/>
                <w:color w:val="000000"/>
                <w:kern w:val="0"/>
                <w:sz w:val="24"/>
                <w:lang w:bidi="ar"/>
              </w:rPr>
              <w:t>139</w:t>
            </w:r>
          </w:p>
        </w:tc>
        <w:tc>
          <w:tcPr>
            <w:tcW w:w="838" w:type="pct"/>
            <w:tcBorders>
              <w:top w:val="single" w:color="000000" w:sz="4" w:space="0"/>
              <w:left w:val="single" w:color="000000" w:sz="4" w:space="0"/>
              <w:bottom w:val="single" w:color="000000" w:sz="4" w:space="0"/>
              <w:right w:val="single" w:color="000000" w:sz="4" w:space="0"/>
            </w:tcBorders>
            <w:vAlign w:val="center"/>
          </w:tcPr>
          <w:p w14:paraId="0ABCC828">
            <w:pPr>
              <w:topLinePunct/>
              <w:adjustRightInd w:val="0"/>
              <w:snapToGrid w:val="0"/>
              <w:textAlignment w:val="center"/>
              <w:rPr>
                <w:rFonts w:eastAsia="仿宋"/>
                <w:color w:val="000000"/>
                <w:sz w:val="24"/>
              </w:rPr>
            </w:pPr>
            <w:r>
              <w:rPr>
                <w:rFonts w:eastAsia="仿宋"/>
                <w:color w:val="000000"/>
                <w:kern w:val="0"/>
                <w:sz w:val="24"/>
                <w:lang w:bidi="ar"/>
              </w:rPr>
              <w:t>对烟花爆竹生产经营企业分包转包生产线、工房、库房组织生产经营的行政处罚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37F3626D">
            <w:pPr>
              <w:topLinePunct/>
              <w:adjustRightInd w:val="0"/>
              <w:snapToGrid w:val="0"/>
              <w:jc w:val="left"/>
              <w:textAlignment w:val="center"/>
              <w:rPr>
                <w:rFonts w:eastAsia="仿宋"/>
                <w:color w:val="000000"/>
                <w:sz w:val="24"/>
              </w:rPr>
            </w:pPr>
            <w:r>
              <w:rPr>
                <w:rFonts w:eastAsia="仿宋"/>
                <w:color w:val="000000"/>
                <w:kern w:val="0"/>
                <w:sz w:val="24"/>
                <w:lang w:bidi="ar"/>
              </w:rPr>
              <w:t>1.《国家安全监管总局关于印发〈化工和危险化学品生产经营单位重大生产安全事故隐患判定标准（试行）〉和〈烟花爆竹生产经营单位重大生产安全事故隐患判定标准（试行）〉的通知》（安监总管三〔2017〕121号）</w:t>
            </w:r>
            <w:r>
              <w:rPr>
                <w:rFonts w:eastAsia="仿宋"/>
                <w:color w:val="000000"/>
                <w:kern w:val="0"/>
                <w:sz w:val="24"/>
                <w:lang w:bidi="ar"/>
              </w:rPr>
              <w:br w:type="textWrapping"/>
            </w:r>
            <w:r>
              <w:rPr>
                <w:rFonts w:eastAsia="仿宋"/>
                <w:color w:val="000000"/>
                <w:kern w:val="0"/>
                <w:sz w:val="24"/>
                <w:lang w:bidi="ar"/>
              </w:rPr>
              <w:t>烟花爆竹类：</w:t>
            </w:r>
            <w:r>
              <w:rPr>
                <w:rFonts w:eastAsia="仿宋"/>
                <w:color w:val="000000"/>
                <w:kern w:val="0"/>
                <w:sz w:val="24"/>
                <w:lang w:bidi="ar"/>
              </w:rPr>
              <w:br w:type="textWrapping"/>
            </w:r>
            <w:r>
              <w:rPr>
                <w:rFonts w:eastAsia="仿宋"/>
                <w:color w:val="000000"/>
                <w:kern w:val="0"/>
                <w:sz w:val="24"/>
                <w:lang w:bidi="ar"/>
              </w:rPr>
              <w:t>十六、分包转包生产线、工房、库房组织生产经营。</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1A0AE0A6">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28B56911">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64796192">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78E48302">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760B1817">
            <w:pPr>
              <w:topLinePunct/>
              <w:adjustRightInd w:val="0"/>
              <w:snapToGrid w:val="0"/>
              <w:jc w:val="center"/>
              <w:textAlignment w:val="center"/>
              <w:rPr>
                <w:rFonts w:eastAsia="仿宋"/>
                <w:color w:val="000000"/>
                <w:sz w:val="24"/>
              </w:rPr>
            </w:pPr>
            <w:r>
              <w:rPr>
                <w:rFonts w:eastAsia="仿宋"/>
                <w:color w:val="000000"/>
                <w:kern w:val="0"/>
                <w:sz w:val="24"/>
                <w:lang w:bidi="ar"/>
              </w:rPr>
              <w:t>140</w:t>
            </w:r>
          </w:p>
        </w:tc>
        <w:tc>
          <w:tcPr>
            <w:tcW w:w="838" w:type="pct"/>
            <w:tcBorders>
              <w:top w:val="single" w:color="000000" w:sz="4" w:space="0"/>
              <w:left w:val="single" w:color="000000" w:sz="4" w:space="0"/>
              <w:bottom w:val="single" w:color="000000" w:sz="4" w:space="0"/>
              <w:right w:val="single" w:color="000000" w:sz="4" w:space="0"/>
            </w:tcBorders>
            <w:vAlign w:val="center"/>
          </w:tcPr>
          <w:p w14:paraId="3EA87B6C">
            <w:pPr>
              <w:topLinePunct/>
              <w:adjustRightInd w:val="0"/>
              <w:snapToGrid w:val="0"/>
              <w:textAlignment w:val="center"/>
              <w:rPr>
                <w:rFonts w:eastAsia="仿宋"/>
                <w:color w:val="000000"/>
                <w:sz w:val="24"/>
              </w:rPr>
            </w:pPr>
            <w:r>
              <w:rPr>
                <w:rFonts w:eastAsia="仿宋"/>
                <w:color w:val="000000"/>
                <w:kern w:val="0"/>
                <w:sz w:val="24"/>
                <w:lang w:bidi="ar"/>
              </w:rPr>
              <w:t>对烟花爆竹生产经营企业一证多厂或者多股东各自独立组织生产经营的行政处罚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19F7FB10">
            <w:pPr>
              <w:topLinePunct/>
              <w:adjustRightInd w:val="0"/>
              <w:snapToGrid w:val="0"/>
              <w:jc w:val="left"/>
              <w:textAlignment w:val="center"/>
              <w:rPr>
                <w:rFonts w:eastAsia="仿宋"/>
                <w:color w:val="000000"/>
                <w:sz w:val="24"/>
              </w:rPr>
            </w:pPr>
            <w:r>
              <w:rPr>
                <w:rFonts w:eastAsia="仿宋"/>
                <w:color w:val="000000"/>
                <w:kern w:val="0"/>
                <w:sz w:val="24"/>
                <w:lang w:bidi="ar"/>
              </w:rPr>
              <w:t>1.《国家安全监管总局关于印发〈化工和危险化学品生产经营单位重大生产安全事故隐患判定标准（试行）〉和〈烟花爆竹生产经营单位重大生产安全事故隐患判定标准（试行）〉的通知》（安监总管三〔2017〕121号）</w:t>
            </w:r>
            <w:r>
              <w:rPr>
                <w:rFonts w:eastAsia="仿宋"/>
                <w:color w:val="000000"/>
                <w:kern w:val="0"/>
                <w:sz w:val="24"/>
                <w:lang w:bidi="ar"/>
              </w:rPr>
              <w:br w:type="textWrapping"/>
            </w:r>
            <w:r>
              <w:rPr>
                <w:rFonts w:eastAsia="仿宋"/>
                <w:color w:val="000000"/>
                <w:kern w:val="0"/>
                <w:sz w:val="24"/>
                <w:lang w:bidi="ar"/>
              </w:rPr>
              <w:t>烟花爆竹类：</w:t>
            </w:r>
            <w:r>
              <w:rPr>
                <w:rFonts w:eastAsia="仿宋"/>
                <w:color w:val="000000"/>
                <w:kern w:val="0"/>
                <w:sz w:val="24"/>
                <w:lang w:bidi="ar"/>
              </w:rPr>
              <w:br w:type="textWrapping"/>
            </w:r>
            <w:r>
              <w:rPr>
                <w:rFonts w:eastAsia="仿宋"/>
                <w:color w:val="000000"/>
                <w:kern w:val="0"/>
                <w:sz w:val="24"/>
                <w:lang w:bidi="ar"/>
              </w:rPr>
              <w:t>十七、一证多厂或者多股东各自独立组织生产经营。</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7BF4E261">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382FA3D4">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2EAF5B91">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31A1D524">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59E12A84">
            <w:pPr>
              <w:topLinePunct/>
              <w:adjustRightInd w:val="0"/>
              <w:snapToGrid w:val="0"/>
              <w:jc w:val="center"/>
              <w:textAlignment w:val="center"/>
              <w:rPr>
                <w:rFonts w:eastAsia="仿宋"/>
                <w:color w:val="000000"/>
                <w:sz w:val="24"/>
              </w:rPr>
            </w:pPr>
            <w:r>
              <w:rPr>
                <w:rFonts w:eastAsia="仿宋"/>
                <w:color w:val="000000"/>
                <w:kern w:val="0"/>
                <w:sz w:val="24"/>
                <w:lang w:bidi="ar"/>
              </w:rPr>
              <w:t>141</w:t>
            </w:r>
          </w:p>
        </w:tc>
        <w:tc>
          <w:tcPr>
            <w:tcW w:w="838" w:type="pct"/>
            <w:tcBorders>
              <w:top w:val="single" w:color="000000" w:sz="4" w:space="0"/>
              <w:left w:val="single" w:color="000000" w:sz="4" w:space="0"/>
              <w:bottom w:val="single" w:color="000000" w:sz="4" w:space="0"/>
              <w:right w:val="single" w:color="000000" w:sz="4" w:space="0"/>
            </w:tcBorders>
            <w:vAlign w:val="center"/>
          </w:tcPr>
          <w:p w14:paraId="4F63CB59">
            <w:pPr>
              <w:topLinePunct/>
              <w:adjustRightInd w:val="0"/>
              <w:snapToGrid w:val="0"/>
              <w:textAlignment w:val="center"/>
              <w:rPr>
                <w:rFonts w:eastAsia="仿宋"/>
                <w:color w:val="000000"/>
                <w:sz w:val="24"/>
              </w:rPr>
            </w:pPr>
            <w:r>
              <w:rPr>
                <w:rFonts w:eastAsia="仿宋"/>
                <w:color w:val="000000"/>
                <w:kern w:val="0"/>
                <w:sz w:val="24"/>
                <w:lang w:bidi="ar"/>
              </w:rPr>
              <w:t>对烟花爆竹生产经营企业许可证过期、整顿改造、恶劣天气等停产停业期间组织生产经营的行政处罚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0C4C43D1">
            <w:pPr>
              <w:topLinePunct/>
              <w:adjustRightInd w:val="0"/>
              <w:snapToGrid w:val="0"/>
              <w:jc w:val="left"/>
              <w:textAlignment w:val="center"/>
              <w:rPr>
                <w:rFonts w:eastAsia="仿宋"/>
                <w:color w:val="000000"/>
                <w:sz w:val="24"/>
              </w:rPr>
            </w:pPr>
            <w:r>
              <w:rPr>
                <w:rFonts w:eastAsia="仿宋"/>
                <w:color w:val="000000"/>
                <w:kern w:val="0"/>
                <w:sz w:val="24"/>
                <w:lang w:bidi="ar"/>
              </w:rPr>
              <w:t>1.《国家安全监管总局关于印发〈化工和危险化学品生产经营单位重大生产安全事故隐患判定标准（试行）〉和〈烟花爆竹生产经营单位重大生产安全事故隐患判定标准（试行）〉的通知》（安监总管三〔2017〕121号）</w:t>
            </w:r>
            <w:r>
              <w:rPr>
                <w:rFonts w:eastAsia="仿宋"/>
                <w:color w:val="000000"/>
                <w:kern w:val="0"/>
                <w:sz w:val="24"/>
                <w:lang w:bidi="ar"/>
              </w:rPr>
              <w:br w:type="textWrapping"/>
            </w:r>
            <w:r>
              <w:rPr>
                <w:rFonts w:eastAsia="仿宋"/>
                <w:color w:val="000000"/>
                <w:kern w:val="0"/>
                <w:sz w:val="24"/>
                <w:lang w:bidi="ar"/>
              </w:rPr>
              <w:t>烟花爆竹类：</w:t>
            </w:r>
            <w:r>
              <w:rPr>
                <w:rFonts w:eastAsia="仿宋"/>
                <w:color w:val="000000"/>
                <w:kern w:val="0"/>
                <w:sz w:val="24"/>
                <w:lang w:bidi="ar"/>
              </w:rPr>
              <w:br w:type="textWrapping"/>
            </w:r>
            <w:r>
              <w:rPr>
                <w:rFonts w:eastAsia="仿宋"/>
                <w:color w:val="000000"/>
                <w:kern w:val="0"/>
                <w:sz w:val="24"/>
                <w:lang w:bidi="ar"/>
              </w:rPr>
              <w:t>十八、许可证过期、整顿改造、恶劣天气等停产停业期间组织生产经营。</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56DA0827">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59D266AB">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18DA3226">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0DEE0801">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179D1068">
            <w:pPr>
              <w:topLinePunct/>
              <w:adjustRightInd w:val="0"/>
              <w:snapToGrid w:val="0"/>
              <w:jc w:val="center"/>
              <w:textAlignment w:val="center"/>
              <w:rPr>
                <w:rFonts w:eastAsia="仿宋"/>
                <w:color w:val="000000"/>
                <w:sz w:val="24"/>
              </w:rPr>
            </w:pPr>
            <w:r>
              <w:rPr>
                <w:rFonts w:eastAsia="仿宋"/>
                <w:color w:val="000000"/>
                <w:kern w:val="0"/>
                <w:sz w:val="24"/>
                <w:lang w:bidi="ar"/>
              </w:rPr>
              <w:t>142</w:t>
            </w:r>
          </w:p>
        </w:tc>
        <w:tc>
          <w:tcPr>
            <w:tcW w:w="838" w:type="pct"/>
            <w:tcBorders>
              <w:top w:val="single" w:color="000000" w:sz="4" w:space="0"/>
              <w:left w:val="single" w:color="000000" w:sz="4" w:space="0"/>
              <w:bottom w:val="single" w:color="000000" w:sz="4" w:space="0"/>
              <w:right w:val="single" w:color="000000" w:sz="4" w:space="0"/>
            </w:tcBorders>
            <w:vAlign w:val="center"/>
          </w:tcPr>
          <w:p w14:paraId="79CF7233">
            <w:pPr>
              <w:topLinePunct/>
              <w:adjustRightInd w:val="0"/>
              <w:snapToGrid w:val="0"/>
              <w:textAlignment w:val="center"/>
              <w:rPr>
                <w:rFonts w:eastAsia="仿宋"/>
                <w:color w:val="000000"/>
                <w:sz w:val="24"/>
              </w:rPr>
            </w:pPr>
            <w:r>
              <w:rPr>
                <w:rFonts w:eastAsia="仿宋"/>
                <w:color w:val="000000"/>
                <w:kern w:val="0"/>
                <w:sz w:val="24"/>
                <w:lang w:bidi="ar"/>
              </w:rPr>
              <w:t>对烟花爆竹生产经营企业仓库存放其它爆炸物等危险物品或者生产经营违禁超标产品的行政处罚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37C71272">
            <w:pPr>
              <w:topLinePunct/>
              <w:adjustRightInd w:val="0"/>
              <w:snapToGrid w:val="0"/>
              <w:jc w:val="left"/>
              <w:textAlignment w:val="center"/>
              <w:rPr>
                <w:rFonts w:eastAsia="仿宋"/>
                <w:color w:val="000000"/>
                <w:sz w:val="24"/>
              </w:rPr>
            </w:pPr>
            <w:r>
              <w:rPr>
                <w:rFonts w:eastAsia="仿宋"/>
                <w:color w:val="000000"/>
                <w:kern w:val="0"/>
                <w:sz w:val="24"/>
                <w:lang w:bidi="ar"/>
              </w:rPr>
              <w:t>1.《国家安全监管总局关于印发〈化工和危险化学品生产经营单位重大生产安全事故隐患判定标准（试行）〉和〈烟花爆竹生产经营单位重大生产安全事故隐患判定标准（试行）〉的通知》（安监总管三〔2017〕121号）</w:t>
            </w:r>
            <w:r>
              <w:rPr>
                <w:rFonts w:eastAsia="仿宋"/>
                <w:color w:val="000000"/>
                <w:kern w:val="0"/>
                <w:sz w:val="24"/>
                <w:lang w:bidi="ar"/>
              </w:rPr>
              <w:br w:type="textWrapping"/>
            </w:r>
            <w:r>
              <w:rPr>
                <w:rFonts w:eastAsia="仿宋"/>
                <w:color w:val="000000"/>
                <w:kern w:val="0"/>
                <w:sz w:val="24"/>
                <w:lang w:bidi="ar"/>
              </w:rPr>
              <w:t>烟花爆竹类：</w:t>
            </w:r>
            <w:r>
              <w:rPr>
                <w:rFonts w:eastAsia="仿宋"/>
                <w:color w:val="000000"/>
                <w:kern w:val="0"/>
                <w:sz w:val="24"/>
                <w:lang w:bidi="ar"/>
              </w:rPr>
              <w:br w:type="textWrapping"/>
            </w:r>
            <w:r>
              <w:rPr>
                <w:rFonts w:eastAsia="仿宋"/>
                <w:color w:val="000000"/>
                <w:kern w:val="0"/>
                <w:sz w:val="24"/>
                <w:lang w:bidi="ar"/>
              </w:rPr>
              <w:t>十九、烟花爆竹仓库存放其它爆炸物等危险物品或者生产经营违禁超标产品。</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7D057A63">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0758054A">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2DA860E1">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70EE1394">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6E7F49B0">
            <w:pPr>
              <w:topLinePunct/>
              <w:adjustRightInd w:val="0"/>
              <w:snapToGrid w:val="0"/>
              <w:jc w:val="center"/>
              <w:textAlignment w:val="center"/>
              <w:rPr>
                <w:rFonts w:eastAsia="仿宋"/>
                <w:color w:val="000000"/>
                <w:sz w:val="24"/>
              </w:rPr>
            </w:pPr>
            <w:r>
              <w:rPr>
                <w:rFonts w:eastAsia="仿宋"/>
                <w:color w:val="000000"/>
                <w:kern w:val="0"/>
                <w:sz w:val="24"/>
                <w:lang w:bidi="ar"/>
              </w:rPr>
              <w:t>143</w:t>
            </w:r>
          </w:p>
        </w:tc>
        <w:tc>
          <w:tcPr>
            <w:tcW w:w="838" w:type="pct"/>
            <w:tcBorders>
              <w:top w:val="single" w:color="000000" w:sz="4" w:space="0"/>
              <w:left w:val="single" w:color="000000" w:sz="4" w:space="0"/>
              <w:bottom w:val="single" w:color="000000" w:sz="4" w:space="0"/>
              <w:right w:val="single" w:color="000000" w:sz="4" w:space="0"/>
            </w:tcBorders>
            <w:vAlign w:val="center"/>
          </w:tcPr>
          <w:p w14:paraId="3CA8B9A7">
            <w:pPr>
              <w:topLinePunct/>
              <w:adjustRightInd w:val="0"/>
              <w:snapToGrid w:val="0"/>
              <w:textAlignment w:val="center"/>
              <w:rPr>
                <w:rFonts w:eastAsia="仿宋"/>
                <w:color w:val="000000"/>
                <w:sz w:val="24"/>
              </w:rPr>
            </w:pPr>
            <w:r>
              <w:rPr>
                <w:rFonts w:eastAsia="仿宋"/>
                <w:color w:val="000000"/>
                <w:kern w:val="0"/>
                <w:sz w:val="24"/>
                <w:lang w:bidi="ar"/>
              </w:rPr>
              <w:t>对烟花爆竹生产经营企业有工（库）房等进行检维修等作业前，未制定安全作业方案等行为的行政处罚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16015B31">
            <w:pPr>
              <w:topLinePunct/>
              <w:adjustRightInd w:val="0"/>
              <w:snapToGrid w:val="0"/>
              <w:jc w:val="left"/>
              <w:textAlignment w:val="center"/>
              <w:rPr>
                <w:rFonts w:eastAsia="仿宋"/>
                <w:color w:val="000000"/>
                <w:sz w:val="24"/>
              </w:rPr>
            </w:pPr>
            <w:r>
              <w:rPr>
                <w:rFonts w:eastAsia="仿宋"/>
                <w:color w:val="000000"/>
                <w:kern w:val="0"/>
                <w:sz w:val="24"/>
                <w:lang w:bidi="ar"/>
              </w:rPr>
              <w:t>1.《烟花爆竹生产经营安全规定》</w:t>
            </w:r>
            <w:r>
              <w:rPr>
                <w:rFonts w:eastAsia="仿宋"/>
                <w:color w:val="000000"/>
                <w:kern w:val="0"/>
                <w:sz w:val="24"/>
                <w:lang w:bidi="ar"/>
              </w:rPr>
              <w:br w:type="textWrapping"/>
            </w:r>
            <w:r>
              <w:rPr>
                <w:rFonts w:eastAsia="仿宋"/>
                <w:color w:val="000000"/>
                <w:kern w:val="0"/>
                <w:sz w:val="24"/>
                <w:lang w:bidi="ar"/>
              </w:rPr>
              <w:t>第三十七条  生产经营单位有下列行为之一的，责令改正；拒不改正的，处一万元以上三万元以下的罚款，对其直接负责的主管人员和其他直接责任人员处五千元以上一万元以下的罚款：（一）对工（库）房、安全设施、电气线路、机械设备等进行检测、检修、维修、改造作业前，未制定安全作业方案，或者未切断被检修、维修的电气线路和机械设备电源的；（二）拒绝、阻挠受安全生产监督管理部门委托的专业技术服务机构开展检验、检测的。</w:t>
            </w:r>
          </w:p>
        </w:tc>
        <w:tc>
          <w:tcPr>
            <w:tcW w:w="476" w:type="pct"/>
            <w:tcBorders>
              <w:top w:val="single" w:color="000000" w:sz="4" w:space="0"/>
              <w:left w:val="single" w:color="000000" w:sz="4" w:space="0"/>
              <w:bottom w:val="single" w:color="000000" w:sz="4" w:space="0"/>
              <w:right w:val="single" w:color="000000" w:sz="4" w:space="0"/>
            </w:tcBorders>
            <w:vAlign w:val="center"/>
          </w:tcPr>
          <w:p w14:paraId="58885587">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25CF68F4">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1F6226B6">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3D6CF1A6">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01D87E3E">
            <w:pPr>
              <w:topLinePunct/>
              <w:adjustRightInd w:val="0"/>
              <w:snapToGrid w:val="0"/>
              <w:jc w:val="center"/>
              <w:textAlignment w:val="center"/>
              <w:rPr>
                <w:rFonts w:eastAsia="仿宋"/>
                <w:color w:val="000000"/>
                <w:sz w:val="24"/>
              </w:rPr>
            </w:pPr>
            <w:r>
              <w:rPr>
                <w:rFonts w:eastAsia="仿宋"/>
                <w:color w:val="000000"/>
                <w:kern w:val="0"/>
                <w:sz w:val="24"/>
                <w:lang w:bidi="ar"/>
              </w:rPr>
              <w:t>144</w:t>
            </w:r>
          </w:p>
        </w:tc>
        <w:tc>
          <w:tcPr>
            <w:tcW w:w="838" w:type="pct"/>
            <w:tcBorders>
              <w:top w:val="single" w:color="000000" w:sz="4" w:space="0"/>
              <w:left w:val="single" w:color="000000" w:sz="4" w:space="0"/>
              <w:bottom w:val="single" w:color="000000" w:sz="4" w:space="0"/>
              <w:right w:val="single" w:color="000000" w:sz="4" w:space="0"/>
            </w:tcBorders>
            <w:vAlign w:val="center"/>
          </w:tcPr>
          <w:p w14:paraId="347449A5">
            <w:pPr>
              <w:topLinePunct/>
              <w:adjustRightInd w:val="0"/>
              <w:snapToGrid w:val="0"/>
              <w:textAlignment w:val="center"/>
              <w:rPr>
                <w:rFonts w:eastAsia="仿宋"/>
                <w:color w:val="000000"/>
                <w:sz w:val="24"/>
              </w:rPr>
            </w:pPr>
            <w:r>
              <w:rPr>
                <w:rFonts w:eastAsia="仿宋"/>
                <w:color w:val="000000"/>
                <w:kern w:val="0"/>
                <w:sz w:val="24"/>
                <w:lang w:bidi="ar"/>
              </w:rPr>
              <w:t>对烟花爆竹生产企业、批发企业有防范静电危害的措施不符合相关国家标准或者行业标准等行为的行政处罚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71BBEC39">
            <w:pPr>
              <w:topLinePunct/>
              <w:adjustRightInd w:val="0"/>
              <w:snapToGrid w:val="0"/>
              <w:jc w:val="left"/>
              <w:textAlignment w:val="center"/>
              <w:rPr>
                <w:rFonts w:eastAsia="仿宋"/>
                <w:color w:val="000000"/>
                <w:sz w:val="24"/>
              </w:rPr>
            </w:pPr>
            <w:r>
              <w:rPr>
                <w:rFonts w:eastAsia="仿宋"/>
                <w:color w:val="000000"/>
                <w:kern w:val="0"/>
                <w:sz w:val="24"/>
                <w:lang w:bidi="ar"/>
              </w:rPr>
              <w:t>1.《烟花爆竹生产经营安全规定》</w:t>
            </w:r>
            <w:r>
              <w:rPr>
                <w:rFonts w:eastAsia="仿宋"/>
                <w:color w:val="000000"/>
                <w:kern w:val="0"/>
                <w:sz w:val="24"/>
                <w:lang w:bidi="ar"/>
              </w:rPr>
              <w:br w:type="textWrapping"/>
            </w:r>
            <w:r>
              <w:rPr>
                <w:rFonts w:eastAsia="仿宋"/>
                <w:color w:val="000000"/>
                <w:kern w:val="0"/>
                <w:sz w:val="24"/>
                <w:lang w:bidi="ar"/>
              </w:rPr>
              <w:t>第三十四条  生产企业、批发企业有下列行为之一的，责令限期改正，可以处五万元以下的罚款；逾期未改正的，处五万元以上二十万元以下的罚款，对其直接负责的主管人员和其他直接责任人员处一万元以上二万元以下的罚款；情节严重的，责令停产停业整顿：（一）防范静电危害的措施不符合相关国家标准或者行业标准规定的；（二）使用新安全设备，未进行安全性论证的；（三）在生产区、工（库）房等有药区域对安全设备进行检测、改造作业时，未将工（库）房内的药物、有药半成品、成品搬走并清理作业现场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第九十九条第二项  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二）安全设备的安装、使用、检测、改造和报废不符合国家标准或者行业标准的。</w:t>
            </w:r>
          </w:p>
        </w:tc>
        <w:tc>
          <w:tcPr>
            <w:tcW w:w="476" w:type="pct"/>
            <w:tcBorders>
              <w:top w:val="single" w:color="000000" w:sz="4" w:space="0"/>
              <w:left w:val="single" w:color="000000" w:sz="4" w:space="0"/>
              <w:bottom w:val="single" w:color="000000" w:sz="4" w:space="0"/>
              <w:right w:val="single" w:color="000000" w:sz="4" w:space="0"/>
            </w:tcBorders>
            <w:vAlign w:val="center"/>
          </w:tcPr>
          <w:p w14:paraId="2C788E4E">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01102751">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544371AD">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2D12C834">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7E6908CF">
            <w:pPr>
              <w:topLinePunct/>
              <w:adjustRightInd w:val="0"/>
              <w:snapToGrid w:val="0"/>
              <w:jc w:val="center"/>
              <w:textAlignment w:val="center"/>
              <w:rPr>
                <w:rFonts w:eastAsia="仿宋"/>
                <w:color w:val="000000"/>
                <w:sz w:val="24"/>
              </w:rPr>
            </w:pPr>
            <w:r>
              <w:rPr>
                <w:rFonts w:eastAsia="仿宋"/>
                <w:color w:val="000000"/>
                <w:kern w:val="0"/>
                <w:sz w:val="24"/>
                <w:lang w:bidi="ar"/>
              </w:rPr>
              <w:t>145</w:t>
            </w:r>
          </w:p>
        </w:tc>
        <w:tc>
          <w:tcPr>
            <w:tcW w:w="838" w:type="pct"/>
            <w:tcBorders>
              <w:top w:val="single" w:color="000000" w:sz="4" w:space="0"/>
              <w:left w:val="single" w:color="000000" w:sz="4" w:space="0"/>
              <w:bottom w:val="single" w:color="000000" w:sz="4" w:space="0"/>
              <w:right w:val="single" w:color="000000" w:sz="4" w:space="0"/>
            </w:tcBorders>
            <w:vAlign w:val="center"/>
          </w:tcPr>
          <w:p w14:paraId="1D3FF162">
            <w:pPr>
              <w:topLinePunct/>
              <w:adjustRightInd w:val="0"/>
              <w:snapToGrid w:val="0"/>
              <w:textAlignment w:val="center"/>
              <w:rPr>
                <w:rFonts w:eastAsia="仿宋"/>
                <w:color w:val="000000"/>
                <w:sz w:val="24"/>
              </w:rPr>
            </w:pPr>
            <w:r>
              <w:rPr>
                <w:rFonts w:eastAsia="仿宋"/>
                <w:color w:val="000000"/>
                <w:kern w:val="0"/>
                <w:sz w:val="24"/>
                <w:lang w:bidi="ar"/>
              </w:rPr>
              <w:t>对企业从其他企业购买烟花爆竹半成品加工后销售等行为的行政处罚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372301B7">
            <w:pPr>
              <w:topLinePunct/>
              <w:adjustRightInd w:val="0"/>
              <w:snapToGrid w:val="0"/>
              <w:jc w:val="left"/>
              <w:textAlignment w:val="center"/>
              <w:rPr>
                <w:rFonts w:eastAsia="仿宋"/>
                <w:color w:val="000000"/>
                <w:sz w:val="24"/>
              </w:rPr>
            </w:pPr>
            <w:r>
              <w:rPr>
                <w:rFonts w:eastAsia="仿宋"/>
                <w:color w:val="000000"/>
                <w:kern w:val="0"/>
                <w:sz w:val="24"/>
                <w:lang w:bidi="ar"/>
              </w:rPr>
              <w:t>1.《烟花爆竹生产企业安全生产许可证实施办法》</w:t>
            </w:r>
            <w:r>
              <w:rPr>
                <w:rFonts w:eastAsia="仿宋"/>
                <w:color w:val="000000"/>
                <w:kern w:val="0"/>
                <w:sz w:val="24"/>
                <w:lang w:bidi="ar"/>
              </w:rPr>
              <w:br w:type="textWrapping"/>
            </w:r>
            <w:r>
              <w:rPr>
                <w:rFonts w:eastAsia="仿宋"/>
                <w:color w:val="000000"/>
                <w:kern w:val="0"/>
                <w:sz w:val="24"/>
                <w:lang w:bidi="ar"/>
              </w:rPr>
              <w:t>第四十三条第二项  企业有下列行为之一的，责令停止违法活动或者限期改正，并处1万元以上3万元以下的罚款：（二）从其他企业购买烟花爆竹半成品加工后销售，或者购买其他企业烟花爆竹成品加贴本企业标签后销售，或者向其他企业销售烟花爆竹半成品的。</w:t>
            </w:r>
            <w:r>
              <w:rPr>
                <w:rFonts w:eastAsia="仿宋"/>
                <w:color w:val="000000"/>
                <w:kern w:val="0"/>
                <w:sz w:val="24"/>
                <w:lang w:bidi="ar"/>
              </w:rPr>
              <w:br w:type="textWrapping"/>
            </w:r>
            <w:r>
              <w:rPr>
                <w:rFonts w:eastAsia="仿宋"/>
                <w:color w:val="000000"/>
                <w:kern w:val="0"/>
                <w:sz w:val="24"/>
                <w:lang w:bidi="ar"/>
              </w:rPr>
              <w:t>第四十八条  本办法规定的行政处罚，由安全生产监督管理部门决定，暂扣、吊销安全生产许可证的行政处罚由发证机关决定。</w:t>
            </w:r>
          </w:p>
        </w:tc>
        <w:tc>
          <w:tcPr>
            <w:tcW w:w="476" w:type="pct"/>
            <w:tcBorders>
              <w:top w:val="single" w:color="000000" w:sz="4" w:space="0"/>
              <w:left w:val="single" w:color="000000" w:sz="4" w:space="0"/>
              <w:bottom w:val="single" w:color="000000" w:sz="4" w:space="0"/>
              <w:right w:val="single" w:color="000000" w:sz="4" w:space="0"/>
            </w:tcBorders>
            <w:vAlign w:val="center"/>
          </w:tcPr>
          <w:p w14:paraId="34CF4EB2">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176C19CC">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5CD206A8">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68E0C8F4">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3A53C7EC">
            <w:pPr>
              <w:topLinePunct/>
              <w:adjustRightInd w:val="0"/>
              <w:snapToGrid w:val="0"/>
              <w:jc w:val="center"/>
              <w:textAlignment w:val="center"/>
              <w:rPr>
                <w:rFonts w:eastAsia="仿宋"/>
                <w:color w:val="000000"/>
                <w:sz w:val="24"/>
              </w:rPr>
            </w:pPr>
            <w:r>
              <w:rPr>
                <w:rFonts w:eastAsia="仿宋"/>
                <w:color w:val="000000"/>
                <w:kern w:val="0"/>
                <w:sz w:val="24"/>
                <w:lang w:bidi="ar"/>
              </w:rPr>
              <w:t>146</w:t>
            </w:r>
          </w:p>
        </w:tc>
        <w:tc>
          <w:tcPr>
            <w:tcW w:w="838" w:type="pct"/>
            <w:tcBorders>
              <w:top w:val="single" w:color="000000" w:sz="4" w:space="0"/>
              <w:left w:val="single" w:color="000000" w:sz="4" w:space="0"/>
              <w:bottom w:val="single" w:color="000000" w:sz="4" w:space="0"/>
              <w:right w:val="single" w:color="000000" w:sz="4" w:space="0"/>
            </w:tcBorders>
            <w:vAlign w:val="center"/>
          </w:tcPr>
          <w:p w14:paraId="051D229E">
            <w:pPr>
              <w:topLinePunct/>
              <w:adjustRightInd w:val="0"/>
              <w:snapToGrid w:val="0"/>
              <w:textAlignment w:val="center"/>
              <w:rPr>
                <w:rFonts w:eastAsia="仿宋"/>
                <w:color w:val="000000"/>
                <w:sz w:val="24"/>
              </w:rPr>
            </w:pPr>
            <w:r>
              <w:rPr>
                <w:rFonts w:eastAsia="仿宋"/>
                <w:color w:val="000000"/>
                <w:kern w:val="0"/>
                <w:sz w:val="24"/>
                <w:lang w:bidi="ar"/>
              </w:rPr>
              <w:t>对烟花爆竹生产企业、批发企业工（库）房没有设置准确、清晰、醒目的定员、定量、定级标识的行政处罚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6A382F61">
            <w:pPr>
              <w:topLinePunct/>
              <w:adjustRightInd w:val="0"/>
              <w:snapToGrid w:val="0"/>
              <w:jc w:val="left"/>
              <w:textAlignment w:val="center"/>
              <w:rPr>
                <w:rFonts w:eastAsia="仿宋"/>
                <w:color w:val="000000"/>
                <w:sz w:val="24"/>
              </w:rPr>
            </w:pPr>
            <w:r>
              <w:rPr>
                <w:rFonts w:eastAsia="仿宋"/>
                <w:color w:val="000000"/>
                <w:kern w:val="0"/>
                <w:sz w:val="24"/>
                <w:lang w:bidi="ar"/>
              </w:rPr>
              <w:t>1.《烟花爆竹生产经营安全规定》</w:t>
            </w:r>
            <w:r>
              <w:rPr>
                <w:rFonts w:eastAsia="仿宋"/>
                <w:color w:val="000000"/>
                <w:kern w:val="0"/>
                <w:sz w:val="24"/>
                <w:lang w:bidi="ar"/>
              </w:rPr>
              <w:br w:type="textWrapping"/>
            </w:r>
            <w:r>
              <w:rPr>
                <w:rFonts w:eastAsia="仿宋"/>
                <w:color w:val="000000"/>
                <w:kern w:val="0"/>
                <w:sz w:val="24"/>
                <w:lang w:bidi="ar"/>
              </w:rPr>
              <w:t>第三十三条第一项  生产企业、批发企业有下列行为之一的，责令限期改正；逾期未改正的，处一万元以上三万元以下的罚款：（一）工（库）房没有设置准确、清晰、醒目的定员、定量、定级标识的。</w:t>
            </w:r>
          </w:p>
        </w:tc>
        <w:tc>
          <w:tcPr>
            <w:tcW w:w="476" w:type="pct"/>
            <w:tcBorders>
              <w:top w:val="single" w:color="000000" w:sz="4" w:space="0"/>
              <w:left w:val="single" w:color="000000" w:sz="4" w:space="0"/>
              <w:bottom w:val="single" w:color="000000" w:sz="4" w:space="0"/>
              <w:right w:val="single" w:color="000000" w:sz="4" w:space="0"/>
            </w:tcBorders>
            <w:vAlign w:val="center"/>
          </w:tcPr>
          <w:p w14:paraId="7A92FE71">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485F6014">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54909C80">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328C0CD2">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774B3F5F">
            <w:pPr>
              <w:topLinePunct/>
              <w:adjustRightInd w:val="0"/>
              <w:snapToGrid w:val="0"/>
              <w:jc w:val="center"/>
              <w:textAlignment w:val="center"/>
              <w:rPr>
                <w:rFonts w:eastAsia="仿宋"/>
                <w:color w:val="000000"/>
                <w:sz w:val="24"/>
              </w:rPr>
            </w:pPr>
            <w:r>
              <w:rPr>
                <w:rFonts w:eastAsia="仿宋"/>
                <w:color w:val="000000"/>
                <w:kern w:val="0"/>
                <w:sz w:val="24"/>
                <w:lang w:bidi="ar"/>
              </w:rPr>
              <w:t>147</w:t>
            </w:r>
          </w:p>
        </w:tc>
        <w:tc>
          <w:tcPr>
            <w:tcW w:w="838" w:type="pct"/>
            <w:tcBorders>
              <w:top w:val="single" w:color="000000" w:sz="4" w:space="0"/>
              <w:left w:val="single" w:color="000000" w:sz="4" w:space="0"/>
              <w:bottom w:val="single" w:color="000000" w:sz="4" w:space="0"/>
              <w:right w:val="single" w:color="000000" w:sz="4" w:space="0"/>
            </w:tcBorders>
            <w:vAlign w:val="center"/>
          </w:tcPr>
          <w:p w14:paraId="779EA2E8">
            <w:pPr>
              <w:topLinePunct/>
              <w:adjustRightInd w:val="0"/>
              <w:snapToGrid w:val="0"/>
              <w:textAlignment w:val="center"/>
              <w:rPr>
                <w:rFonts w:eastAsia="仿宋"/>
                <w:color w:val="000000"/>
                <w:sz w:val="24"/>
              </w:rPr>
            </w:pPr>
            <w:r>
              <w:rPr>
                <w:rFonts w:eastAsia="仿宋"/>
                <w:color w:val="000000"/>
                <w:kern w:val="0"/>
                <w:sz w:val="24"/>
                <w:lang w:bidi="ar"/>
              </w:rPr>
              <w:t>对烟花爆竹生产企业取得安全生产许可证后，将企业、生产线或者工（库）房转包、分包给不具备安全生产条件或者相应资质的其他单位或者个人的行政处罚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0657EEC9">
            <w:pPr>
              <w:topLinePunct/>
              <w:adjustRightInd w:val="0"/>
              <w:snapToGrid w:val="0"/>
              <w:jc w:val="left"/>
              <w:textAlignment w:val="center"/>
              <w:rPr>
                <w:rFonts w:eastAsia="仿宋"/>
                <w:color w:val="000000"/>
                <w:sz w:val="24"/>
              </w:rPr>
            </w:pPr>
            <w:r>
              <w:rPr>
                <w:rFonts w:eastAsia="仿宋"/>
                <w:color w:val="000000"/>
                <w:kern w:val="0"/>
                <w:sz w:val="24"/>
                <w:lang w:bidi="ar"/>
              </w:rPr>
              <w:t>1.《烟花爆竹生产企业安全生产许可证实施办法》</w:t>
            </w:r>
            <w:r>
              <w:rPr>
                <w:rFonts w:eastAsia="仿宋"/>
                <w:color w:val="000000"/>
                <w:kern w:val="0"/>
                <w:sz w:val="24"/>
                <w:lang w:bidi="ar"/>
              </w:rPr>
              <w:br w:type="textWrapping"/>
            </w:r>
            <w:r>
              <w:rPr>
                <w:rFonts w:eastAsia="仿宋"/>
                <w:color w:val="000000"/>
                <w:kern w:val="0"/>
                <w:sz w:val="24"/>
                <w:lang w:bidi="ar"/>
              </w:rPr>
              <w:t>第四十七条  企业取得安全生产许可证后，将企业、生产线或者工（库）房转包、分包给不具备安全生产条件或者相应资质的其他单位或者个人，依照《中华人民共和国安全生产法》的有关规定给予处罚。</w:t>
            </w:r>
            <w:r>
              <w:rPr>
                <w:rFonts w:eastAsia="仿宋"/>
                <w:color w:val="000000"/>
                <w:kern w:val="0"/>
                <w:sz w:val="24"/>
                <w:lang w:bidi="ar"/>
              </w:rPr>
              <w:br w:type="textWrapping"/>
            </w:r>
            <w:r>
              <w:rPr>
                <w:rFonts w:eastAsia="仿宋"/>
                <w:color w:val="000000"/>
                <w:kern w:val="0"/>
                <w:sz w:val="24"/>
                <w:lang w:bidi="ar"/>
              </w:rPr>
              <w:t>第四十八条  本办法规定的行政处罚，由安全生产监督管理部门决定，暂扣、吊销安全生产许可证的行政处罚由发证机关决定。</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第一百零三条第一款  生产经营单位将生产经营项目、场所、设备发包或者出租给不具备安全生产条件或者相应资质的单位或者个人的，责令限期改正，没收违法所得；违法所得十万元以上的，并处违法所得二倍以上五倍以下的罚款；没有违法所得或者违法所得不足十万元的，单处或者并处十万元以上二十万元以下的罚款；对其直接负责的主管人员和其他直接责任人员处一万元以上二万元以下的罚款；导致发生生产安全事故给他人造成损害的，与承包方、承租方承担连带赔偿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63B67876">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45F561F3">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38081E7B">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2012F2DF">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61B1B83E">
            <w:pPr>
              <w:topLinePunct/>
              <w:adjustRightInd w:val="0"/>
              <w:snapToGrid w:val="0"/>
              <w:jc w:val="center"/>
              <w:textAlignment w:val="center"/>
              <w:rPr>
                <w:rFonts w:eastAsia="仿宋"/>
                <w:color w:val="000000"/>
                <w:sz w:val="24"/>
              </w:rPr>
            </w:pPr>
            <w:r>
              <w:rPr>
                <w:rFonts w:eastAsia="仿宋"/>
                <w:color w:val="000000"/>
                <w:kern w:val="0"/>
                <w:sz w:val="24"/>
                <w:lang w:bidi="ar"/>
              </w:rPr>
              <w:t>148</w:t>
            </w:r>
          </w:p>
        </w:tc>
        <w:tc>
          <w:tcPr>
            <w:tcW w:w="838" w:type="pct"/>
            <w:tcBorders>
              <w:top w:val="single" w:color="000000" w:sz="4" w:space="0"/>
              <w:left w:val="single" w:color="000000" w:sz="4" w:space="0"/>
              <w:bottom w:val="single" w:color="000000" w:sz="4" w:space="0"/>
              <w:right w:val="single" w:color="000000" w:sz="4" w:space="0"/>
            </w:tcBorders>
            <w:vAlign w:val="center"/>
          </w:tcPr>
          <w:p w14:paraId="011E611E">
            <w:pPr>
              <w:topLinePunct/>
              <w:adjustRightInd w:val="0"/>
              <w:snapToGrid w:val="0"/>
              <w:textAlignment w:val="center"/>
              <w:rPr>
                <w:rFonts w:eastAsia="仿宋"/>
                <w:color w:val="000000"/>
                <w:sz w:val="24"/>
              </w:rPr>
            </w:pPr>
            <w:r>
              <w:rPr>
                <w:rFonts w:eastAsia="仿宋"/>
                <w:color w:val="000000"/>
                <w:kern w:val="0"/>
                <w:sz w:val="24"/>
                <w:lang w:bidi="ar"/>
              </w:rPr>
              <w:t>对未经许可经营、超许可范围经营、许可证过期继续经营烟花爆竹的行政处罚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79E67452">
            <w:pPr>
              <w:topLinePunct/>
              <w:adjustRightInd w:val="0"/>
              <w:snapToGrid w:val="0"/>
              <w:jc w:val="left"/>
              <w:textAlignment w:val="center"/>
              <w:rPr>
                <w:rFonts w:eastAsia="仿宋"/>
                <w:color w:val="000000"/>
                <w:sz w:val="24"/>
              </w:rPr>
            </w:pPr>
            <w:r>
              <w:rPr>
                <w:rFonts w:eastAsia="仿宋"/>
                <w:color w:val="000000"/>
                <w:kern w:val="0"/>
                <w:sz w:val="24"/>
                <w:lang w:bidi="ar"/>
              </w:rPr>
              <w:t>1.《烟花爆竹安全管理条例》</w:t>
            </w:r>
            <w:r>
              <w:rPr>
                <w:rFonts w:eastAsia="仿宋"/>
                <w:color w:val="000000"/>
                <w:kern w:val="0"/>
                <w:sz w:val="24"/>
                <w:lang w:bidi="ar"/>
              </w:rPr>
              <w:br w:type="textWrapping"/>
            </w:r>
            <w:r>
              <w:rPr>
                <w:rFonts w:eastAsia="仿宋"/>
                <w:color w:val="000000"/>
                <w:kern w:val="0"/>
                <w:sz w:val="24"/>
                <w:lang w:bidi="ar"/>
              </w:rPr>
              <w:t>第三十六条第一款  对未经许可生产、经营烟花爆竹制品，或者向未取得烟花爆竹安全生产许可的单位或者个人销售黑火药、烟火药、引火线的，由安全生产监督管理部门责令停止非法生产、经营活动，处2万元以上10万元以下的罚款，并没收非法生产、经营的物品及违法所得。</w:t>
            </w:r>
            <w:r>
              <w:rPr>
                <w:rFonts w:eastAsia="仿宋"/>
                <w:color w:val="000000"/>
                <w:kern w:val="0"/>
                <w:sz w:val="24"/>
                <w:lang w:bidi="ar"/>
              </w:rPr>
              <w:br w:type="textWrapping"/>
            </w:r>
            <w:r>
              <w:rPr>
                <w:rFonts w:eastAsia="仿宋"/>
                <w:color w:val="000000"/>
                <w:kern w:val="0"/>
                <w:sz w:val="24"/>
                <w:lang w:bidi="ar"/>
              </w:rPr>
              <w:t>2.《烟花爆竹经营许可实施办法》</w:t>
            </w:r>
            <w:r>
              <w:rPr>
                <w:rFonts w:eastAsia="仿宋"/>
                <w:color w:val="000000"/>
                <w:kern w:val="0"/>
                <w:sz w:val="24"/>
                <w:lang w:bidi="ar"/>
              </w:rPr>
              <w:br w:type="textWrapping"/>
            </w:r>
            <w:r>
              <w:rPr>
                <w:rFonts w:eastAsia="仿宋"/>
                <w:color w:val="000000"/>
                <w:kern w:val="0"/>
                <w:sz w:val="24"/>
                <w:lang w:bidi="ar"/>
              </w:rPr>
              <w:t>第三十一条  对未经许可经营、超许可范围经营、许可证过期继续经营烟花爆竹的，责令其停止非法经营活动，处2万元以上10万元以下的罚款，并没收非法经营的物品及违法所得。</w:t>
            </w:r>
          </w:p>
        </w:tc>
        <w:tc>
          <w:tcPr>
            <w:tcW w:w="476" w:type="pct"/>
            <w:tcBorders>
              <w:top w:val="single" w:color="000000" w:sz="4" w:space="0"/>
              <w:left w:val="single" w:color="000000" w:sz="4" w:space="0"/>
              <w:bottom w:val="single" w:color="000000" w:sz="4" w:space="0"/>
              <w:right w:val="single" w:color="000000" w:sz="4" w:space="0"/>
            </w:tcBorders>
            <w:vAlign w:val="center"/>
          </w:tcPr>
          <w:p w14:paraId="4259D49D">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2858B2D5">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3311C4AC">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22055940">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54D74006">
            <w:pPr>
              <w:topLinePunct/>
              <w:adjustRightInd w:val="0"/>
              <w:snapToGrid w:val="0"/>
              <w:jc w:val="center"/>
              <w:textAlignment w:val="center"/>
              <w:rPr>
                <w:rFonts w:eastAsia="仿宋"/>
                <w:color w:val="000000"/>
                <w:sz w:val="24"/>
              </w:rPr>
            </w:pPr>
            <w:r>
              <w:rPr>
                <w:rFonts w:eastAsia="仿宋"/>
                <w:color w:val="000000"/>
                <w:kern w:val="0"/>
                <w:sz w:val="24"/>
                <w:lang w:bidi="ar"/>
              </w:rPr>
              <w:t>149</w:t>
            </w:r>
          </w:p>
        </w:tc>
        <w:tc>
          <w:tcPr>
            <w:tcW w:w="838" w:type="pct"/>
            <w:tcBorders>
              <w:top w:val="single" w:color="000000" w:sz="4" w:space="0"/>
              <w:left w:val="single" w:color="000000" w:sz="4" w:space="0"/>
              <w:bottom w:val="single" w:color="000000" w:sz="4" w:space="0"/>
              <w:right w:val="single" w:color="000000" w:sz="4" w:space="0"/>
            </w:tcBorders>
            <w:vAlign w:val="center"/>
          </w:tcPr>
          <w:p w14:paraId="5FB2F75D">
            <w:pPr>
              <w:topLinePunct/>
              <w:adjustRightInd w:val="0"/>
              <w:snapToGrid w:val="0"/>
              <w:textAlignment w:val="center"/>
              <w:rPr>
                <w:rFonts w:eastAsia="仿宋"/>
                <w:color w:val="000000"/>
                <w:sz w:val="24"/>
              </w:rPr>
            </w:pPr>
            <w:r>
              <w:rPr>
                <w:rFonts w:eastAsia="仿宋"/>
                <w:color w:val="000000"/>
                <w:kern w:val="0"/>
                <w:sz w:val="24"/>
                <w:lang w:bidi="ar"/>
              </w:rPr>
              <w:t>对向未取得烟花爆竹安全生产许可的单位或者个人销售黑火药、烟火药、引火线的行政处罚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5AC34233">
            <w:pPr>
              <w:topLinePunct/>
              <w:adjustRightInd w:val="0"/>
              <w:snapToGrid w:val="0"/>
              <w:jc w:val="left"/>
              <w:textAlignment w:val="center"/>
              <w:rPr>
                <w:rFonts w:eastAsia="仿宋"/>
                <w:color w:val="000000"/>
                <w:sz w:val="24"/>
              </w:rPr>
            </w:pPr>
            <w:r>
              <w:rPr>
                <w:rFonts w:eastAsia="仿宋"/>
                <w:color w:val="000000"/>
                <w:kern w:val="0"/>
                <w:sz w:val="24"/>
                <w:lang w:bidi="ar"/>
              </w:rPr>
              <w:t>1.《烟花爆竹安全管理条例》</w:t>
            </w:r>
            <w:r>
              <w:rPr>
                <w:rFonts w:eastAsia="仿宋"/>
                <w:color w:val="000000"/>
                <w:kern w:val="0"/>
                <w:sz w:val="24"/>
                <w:lang w:bidi="ar"/>
              </w:rPr>
              <w:br w:type="textWrapping"/>
            </w:r>
            <w:r>
              <w:rPr>
                <w:rFonts w:eastAsia="仿宋"/>
                <w:color w:val="000000"/>
                <w:kern w:val="0"/>
                <w:sz w:val="24"/>
                <w:lang w:bidi="ar"/>
              </w:rPr>
              <w:t>第三十六条第一款  对未经许可生产、经营烟花爆竹制品，或者向未取得烟花爆竹安全生产许可的单位或者个人销售黑火药、烟火药、引火线的，由安全生产监督管理部门责令停止非法生产、经营活动，处2万元以上10万元以下的罚款，并没收非法生产、经营的物品及违法所得。</w:t>
            </w:r>
          </w:p>
        </w:tc>
        <w:tc>
          <w:tcPr>
            <w:tcW w:w="476" w:type="pct"/>
            <w:tcBorders>
              <w:top w:val="single" w:color="000000" w:sz="4" w:space="0"/>
              <w:left w:val="single" w:color="000000" w:sz="4" w:space="0"/>
              <w:bottom w:val="single" w:color="000000" w:sz="4" w:space="0"/>
              <w:right w:val="single" w:color="000000" w:sz="4" w:space="0"/>
            </w:tcBorders>
            <w:vAlign w:val="center"/>
          </w:tcPr>
          <w:p w14:paraId="0F0C9AA9">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36C499AA">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33292BBD">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52B427F7">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77607BB7">
            <w:pPr>
              <w:topLinePunct/>
              <w:adjustRightInd w:val="0"/>
              <w:snapToGrid w:val="0"/>
              <w:jc w:val="center"/>
              <w:textAlignment w:val="center"/>
              <w:rPr>
                <w:rFonts w:eastAsia="仿宋"/>
                <w:color w:val="000000"/>
                <w:sz w:val="24"/>
              </w:rPr>
            </w:pPr>
            <w:r>
              <w:rPr>
                <w:rFonts w:eastAsia="仿宋"/>
                <w:color w:val="000000"/>
                <w:kern w:val="0"/>
                <w:sz w:val="24"/>
                <w:lang w:bidi="ar"/>
              </w:rPr>
              <w:t>150</w:t>
            </w:r>
          </w:p>
        </w:tc>
        <w:tc>
          <w:tcPr>
            <w:tcW w:w="838" w:type="pct"/>
            <w:tcBorders>
              <w:top w:val="single" w:color="000000" w:sz="4" w:space="0"/>
              <w:left w:val="single" w:color="000000" w:sz="4" w:space="0"/>
              <w:bottom w:val="single" w:color="000000" w:sz="4" w:space="0"/>
              <w:right w:val="single" w:color="000000" w:sz="4" w:space="0"/>
            </w:tcBorders>
            <w:vAlign w:val="center"/>
          </w:tcPr>
          <w:p w14:paraId="43561B6F">
            <w:pPr>
              <w:topLinePunct/>
              <w:adjustRightInd w:val="0"/>
              <w:snapToGrid w:val="0"/>
              <w:textAlignment w:val="center"/>
              <w:rPr>
                <w:rFonts w:eastAsia="仿宋"/>
                <w:color w:val="000000"/>
                <w:sz w:val="24"/>
              </w:rPr>
            </w:pPr>
            <w:r>
              <w:rPr>
                <w:rFonts w:eastAsia="仿宋"/>
                <w:color w:val="000000"/>
                <w:kern w:val="0"/>
                <w:sz w:val="24"/>
                <w:lang w:bidi="ar"/>
              </w:rPr>
              <w:t>对烟花爆竹零售经营者变更零售点名称、主要负责人或者经营场所，未重新办理零售许可证的行政处罚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5E339C22">
            <w:pPr>
              <w:topLinePunct/>
              <w:adjustRightInd w:val="0"/>
              <w:snapToGrid w:val="0"/>
              <w:jc w:val="left"/>
              <w:textAlignment w:val="center"/>
              <w:rPr>
                <w:rFonts w:eastAsia="仿宋"/>
                <w:color w:val="000000"/>
                <w:sz w:val="24"/>
              </w:rPr>
            </w:pPr>
            <w:r>
              <w:rPr>
                <w:rFonts w:eastAsia="仿宋"/>
                <w:color w:val="000000"/>
                <w:kern w:val="0"/>
                <w:sz w:val="24"/>
                <w:lang w:bidi="ar"/>
              </w:rPr>
              <w:t>1.《烟花爆竹经营许可实施办法》</w:t>
            </w:r>
            <w:r>
              <w:rPr>
                <w:rFonts w:eastAsia="仿宋"/>
                <w:color w:val="000000"/>
                <w:kern w:val="0"/>
                <w:sz w:val="24"/>
                <w:lang w:bidi="ar"/>
              </w:rPr>
              <w:br w:type="textWrapping"/>
            </w:r>
            <w:r>
              <w:rPr>
                <w:rFonts w:eastAsia="仿宋"/>
                <w:color w:val="000000"/>
                <w:kern w:val="0"/>
                <w:sz w:val="24"/>
                <w:lang w:bidi="ar"/>
              </w:rPr>
              <w:t>第三十五条第一项  零售经营者有下列行为之一的，责令其限期改正，处1000元以上5000元以下的罚款；情节严重的，处5000元以上30000元以下的罚款：（一）变更零售点名称、主要负责人或者经营场所，未重新办理零售许可证的。</w:t>
            </w:r>
          </w:p>
        </w:tc>
        <w:tc>
          <w:tcPr>
            <w:tcW w:w="476" w:type="pct"/>
            <w:tcBorders>
              <w:top w:val="single" w:color="000000" w:sz="4" w:space="0"/>
              <w:left w:val="single" w:color="000000" w:sz="4" w:space="0"/>
              <w:bottom w:val="single" w:color="000000" w:sz="4" w:space="0"/>
              <w:right w:val="single" w:color="000000" w:sz="4" w:space="0"/>
            </w:tcBorders>
            <w:vAlign w:val="center"/>
          </w:tcPr>
          <w:p w14:paraId="0BEE9EB5">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5817FFF2">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53ED71BF">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21027D49">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2578A7AD">
            <w:pPr>
              <w:topLinePunct/>
              <w:adjustRightInd w:val="0"/>
              <w:snapToGrid w:val="0"/>
              <w:jc w:val="center"/>
              <w:textAlignment w:val="center"/>
              <w:rPr>
                <w:rFonts w:eastAsia="仿宋"/>
                <w:color w:val="000000"/>
                <w:sz w:val="24"/>
              </w:rPr>
            </w:pPr>
            <w:r>
              <w:rPr>
                <w:rFonts w:eastAsia="仿宋"/>
                <w:color w:val="000000"/>
                <w:kern w:val="0"/>
                <w:sz w:val="24"/>
                <w:lang w:bidi="ar"/>
              </w:rPr>
              <w:t>151</w:t>
            </w:r>
          </w:p>
        </w:tc>
        <w:tc>
          <w:tcPr>
            <w:tcW w:w="838" w:type="pct"/>
            <w:tcBorders>
              <w:top w:val="single" w:color="000000" w:sz="4" w:space="0"/>
              <w:left w:val="single" w:color="000000" w:sz="4" w:space="0"/>
              <w:bottom w:val="single" w:color="000000" w:sz="4" w:space="0"/>
              <w:right w:val="single" w:color="000000" w:sz="4" w:space="0"/>
            </w:tcBorders>
            <w:vAlign w:val="center"/>
          </w:tcPr>
          <w:p w14:paraId="7DB7396B">
            <w:pPr>
              <w:topLinePunct/>
              <w:adjustRightInd w:val="0"/>
              <w:snapToGrid w:val="0"/>
              <w:textAlignment w:val="center"/>
              <w:rPr>
                <w:rFonts w:eastAsia="仿宋"/>
                <w:color w:val="000000"/>
                <w:sz w:val="24"/>
              </w:rPr>
            </w:pPr>
            <w:r>
              <w:rPr>
                <w:rFonts w:eastAsia="仿宋"/>
                <w:color w:val="000000"/>
                <w:kern w:val="0"/>
                <w:sz w:val="24"/>
                <w:lang w:bidi="ar"/>
              </w:rPr>
              <w:t>对烟花爆竹经营单位出租、出借、转让、买卖、冒用经营许可证或者使用伪造的经营许可证的行政处罚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1A90A8BD">
            <w:pPr>
              <w:topLinePunct/>
              <w:adjustRightInd w:val="0"/>
              <w:snapToGrid w:val="0"/>
              <w:jc w:val="left"/>
              <w:textAlignment w:val="center"/>
              <w:rPr>
                <w:rFonts w:eastAsia="仿宋"/>
                <w:color w:val="000000"/>
                <w:sz w:val="24"/>
              </w:rPr>
            </w:pPr>
            <w:r>
              <w:rPr>
                <w:rFonts w:eastAsia="仿宋"/>
                <w:color w:val="000000"/>
                <w:kern w:val="0"/>
                <w:sz w:val="24"/>
                <w:lang w:bidi="ar"/>
              </w:rPr>
              <w:t>《烟花爆竹经营许可实施办法》（2013年10月16日公布）第三十六条 烟花爆竹经营单位出租、出借、转让、买卖烟花爆竹经营许可证的，责令其停止违法行为，处1万元以上3万元以下的罚款，并依法撤销烟花爆竹经营许可证。</w:t>
            </w:r>
            <w:r>
              <w:rPr>
                <w:rFonts w:eastAsia="仿宋"/>
                <w:color w:val="000000"/>
                <w:kern w:val="0"/>
                <w:sz w:val="24"/>
                <w:lang w:bidi="ar"/>
              </w:rPr>
              <w:br w:type="textWrapping"/>
            </w:r>
            <w:r>
              <w:rPr>
                <w:rFonts w:eastAsia="仿宋"/>
                <w:color w:val="000000"/>
                <w:kern w:val="0"/>
                <w:sz w:val="24"/>
                <w:lang w:bidi="ar"/>
              </w:rPr>
              <w:t>第三十一条 对未经许可经营、超许可范围经营、许可证过期继续经营烟花爆竹的，责令其停止非法经营活动，处2万元以上10万元以下的罚款，并没收非法经营的物品及违法所得。</w:t>
            </w:r>
          </w:p>
        </w:tc>
        <w:tc>
          <w:tcPr>
            <w:tcW w:w="476" w:type="pct"/>
            <w:tcBorders>
              <w:top w:val="single" w:color="000000" w:sz="4" w:space="0"/>
              <w:left w:val="single" w:color="000000" w:sz="4" w:space="0"/>
              <w:bottom w:val="single" w:color="000000" w:sz="4" w:space="0"/>
              <w:right w:val="single" w:color="000000" w:sz="4" w:space="0"/>
            </w:tcBorders>
            <w:vAlign w:val="center"/>
          </w:tcPr>
          <w:p w14:paraId="222AD1AA">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508D02DC">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42560E53">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05288D4B">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15734629">
            <w:pPr>
              <w:topLinePunct/>
              <w:adjustRightInd w:val="0"/>
              <w:snapToGrid w:val="0"/>
              <w:jc w:val="center"/>
              <w:textAlignment w:val="center"/>
              <w:rPr>
                <w:rFonts w:eastAsia="仿宋"/>
                <w:color w:val="000000"/>
                <w:sz w:val="24"/>
              </w:rPr>
            </w:pPr>
            <w:r>
              <w:rPr>
                <w:rFonts w:eastAsia="仿宋"/>
                <w:color w:val="000000"/>
                <w:kern w:val="0"/>
                <w:sz w:val="24"/>
                <w:lang w:bidi="ar"/>
              </w:rPr>
              <w:t>152</w:t>
            </w:r>
          </w:p>
        </w:tc>
        <w:tc>
          <w:tcPr>
            <w:tcW w:w="838" w:type="pct"/>
            <w:tcBorders>
              <w:top w:val="single" w:color="000000" w:sz="4" w:space="0"/>
              <w:left w:val="single" w:color="000000" w:sz="4" w:space="0"/>
              <w:bottom w:val="single" w:color="000000" w:sz="4" w:space="0"/>
              <w:right w:val="single" w:color="000000" w:sz="4" w:space="0"/>
            </w:tcBorders>
            <w:vAlign w:val="center"/>
          </w:tcPr>
          <w:p w14:paraId="28182412">
            <w:pPr>
              <w:topLinePunct/>
              <w:adjustRightInd w:val="0"/>
              <w:snapToGrid w:val="0"/>
              <w:textAlignment w:val="center"/>
              <w:rPr>
                <w:rFonts w:eastAsia="仿宋"/>
                <w:color w:val="000000"/>
                <w:sz w:val="24"/>
              </w:rPr>
            </w:pPr>
            <w:r>
              <w:rPr>
                <w:rFonts w:eastAsia="仿宋"/>
                <w:color w:val="000000"/>
                <w:kern w:val="0"/>
                <w:sz w:val="24"/>
                <w:lang w:bidi="ar"/>
              </w:rPr>
              <w:t>对烟花爆竹零售点与居民居住场所设置在同一建筑物内或者在零售场所使用明火的行政处罚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76AEA7D4">
            <w:pPr>
              <w:topLinePunct/>
              <w:adjustRightInd w:val="0"/>
              <w:snapToGrid w:val="0"/>
              <w:jc w:val="left"/>
              <w:textAlignment w:val="center"/>
              <w:rPr>
                <w:rFonts w:eastAsia="仿宋"/>
                <w:color w:val="000000"/>
                <w:sz w:val="24"/>
              </w:rPr>
            </w:pPr>
            <w:r>
              <w:rPr>
                <w:rFonts w:eastAsia="仿宋"/>
                <w:color w:val="000000"/>
                <w:kern w:val="0"/>
                <w:sz w:val="24"/>
                <w:lang w:bidi="ar"/>
              </w:rPr>
              <w:t>1.《国家安全监管总局关于印发〈化工和危险化学品生产经营单位重大生产安全事故隐患判定标准（试行）〉和〈烟花爆竹生产经营单位重大生产安全事故隐患判定标准（试行）〉的通知》（安监总管三〔2017〕121号）</w:t>
            </w:r>
            <w:r>
              <w:rPr>
                <w:rFonts w:eastAsia="仿宋"/>
                <w:color w:val="000000"/>
                <w:kern w:val="0"/>
                <w:sz w:val="24"/>
                <w:lang w:bidi="ar"/>
              </w:rPr>
              <w:br w:type="textWrapping"/>
            </w:r>
            <w:r>
              <w:rPr>
                <w:rFonts w:eastAsia="仿宋"/>
                <w:color w:val="000000"/>
                <w:kern w:val="0"/>
                <w:sz w:val="24"/>
                <w:lang w:bidi="ar"/>
              </w:rPr>
              <w:t>烟花爆竹类：</w:t>
            </w:r>
            <w:r>
              <w:rPr>
                <w:rFonts w:eastAsia="仿宋"/>
                <w:color w:val="000000"/>
                <w:kern w:val="0"/>
                <w:sz w:val="24"/>
                <w:lang w:bidi="ar"/>
              </w:rPr>
              <w:br w:type="textWrapping"/>
            </w:r>
            <w:r>
              <w:rPr>
                <w:rFonts w:eastAsia="仿宋"/>
                <w:color w:val="000000"/>
                <w:kern w:val="0"/>
                <w:sz w:val="24"/>
                <w:lang w:bidi="ar"/>
              </w:rPr>
              <w:t>二十、零售点与居民居住场所设置在同一建筑物内或者在零售场所使用明火。</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0B241A32">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68FAA705">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5954E945">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7B1B9D3B">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5622E7F7">
            <w:pPr>
              <w:topLinePunct/>
              <w:adjustRightInd w:val="0"/>
              <w:snapToGrid w:val="0"/>
              <w:jc w:val="center"/>
              <w:textAlignment w:val="center"/>
              <w:rPr>
                <w:rFonts w:eastAsia="仿宋"/>
                <w:color w:val="000000"/>
                <w:sz w:val="24"/>
              </w:rPr>
            </w:pPr>
            <w:r>
              <w:rPr>
                <w:rFonts w:eastAsia="仿宋"/>
                <w:color w:val="000000"/>
                <w:kern w:val="0"/>
                <w:sz w:val="24"/>
                <w:lang w:bidi="ar"/>
              </w:rPr>
              <w:t>153</w:t>
            </w:r>
          </w:p>
        </w:tc>
        <w:tc>
          <w:tcPr>
            <w:tcW w:w="838" w:type="pct"/>
            <w:tcBorders>
              <w:top w:val="single" w:color="000000" w:sz="4" w:space="0"/>
              <w:left w:val="single" w:color="000000" w:sz="4" w:space="0"/>
              <w:bottom w:val="single" w:color="000000" w:sz="4" w:space="0"/>
              <w:right w:val="single" w:color="000000" w:sz="4" w:space="0"/>
            </w:tcBorders>
            <w:vAlign w:val="center"/>
          </w:tcPr>
          <w:p w14:paraId="679E9398">
            <w:pPr>
              <w:topLinePunct/>
              <w:adjustRightInd w:val="0"/>
              <w:snapToGrid w:val="0"/>
              <w:textAlignment w:val="center"/>
              <w:rPr>
                <w:rFonts w:eastAsia="仿宋"/>
                <w:color w:val="000000"/>
                <w:sz w:val="24"/>
              </w:rPr>
            </w:pPr>
            <w:r>
              <w:rPr>
                <w:rFonts w:eastAsia="仿宋"/>
                <w:color w:val="000000"/>
                <w:kern w:val="0"/>
                <w:sz w:val="24"/>
                <w:lang w:bidi="ar"/>
              </w:rPr>
              <w:t>对烟花爆竹批发企业向烟花爆竹零售经营者供应非法生产、经营的烟花爆竹，或者供应按照规定应由专业燃放人员燃放的烟花爆竹的行政处罚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24AFC9BC">
            <w:pPr>
              <w:topLinePunct/>
              <w:adjustRightInd w:val="0"/>
              <w:snapToGrid w:val="0"/>
              <w:jc w:val="left"/>
              <w:textAlignment w:val="center"/>
              <w:rPr>
                <w:rFonts w:eastAsia="仿宋"/>
                <w:color w:val="000000"/>
                <w:sz w:val="24"/>
              </w:rPr>
            </w:pPr>
            <w:r>
              <w:rPr>
                <w:rFonts w:eastAsia="仿宋"/>
                <w:color w:val="000000"/>
                <w:kern w:val="0"/>
                <w:sz w:val="24"/>
                <w:lang w:bidi="ar"/>
              </w:rPr>
              <w:t>1.《烟花爆竹安全管理条例》</w:t>
            </w:r>
            <w:r>
              <w:rPr>
                <w:rFonts w:eastAsia="仿宋"/>
                <w:color w:val="000000"/>
                <w:kern w:val="0"/>
                <w:sz w:val="24"/>
                <w:lang w:bidi="ar"/>
              </w:rPr>
              <w:br w:type="textWrapping"/>
            </w:r>
            <w:r>
              <w:rPr>
                <w:rFonts w:eastAsia="仿宋"/>
                <w:color w:val="000000"/>
                <w:kern w:val="0"/>
                <w:sz w:val="24"/>
                <w:lang w:bidi="ar"/>
              </w:rPr>
              <w:t>第三十八条第一款  从事烟花爆竹批发的企业向从事烟花爆竹零售的经营者供应非法生产、经营的烟花爆竹，或者供应按照国家标准规定应由专业燃放人员燃放的烟花爆竹的，由安全生产监督管理部门责令停止违法行为，处2万元以上10万元以下的罚款，并没收非法经营的物品及违法所得；情节严重的，吊销烟花爆竹经营许可证。</w:t>
            </w:r>
            <w:r>
              <w:rPr>
                <w:rFonts w:eastAsia="仿宋"/>
                <w:color w:val="000000"/>
                <w:kern w:val="0"/>
                <w:sz w:val="24"/>
                <w:lang w:bidi="ar"/>
              </w:rPr>
              <w:br w:type="textWrapping"/>
            </w:r>
            <w:r>
              <w:rPr>
                <w:rFonts w:eastAsia="仿宋"/>
                <w:color w:val="000000"/>
                <w:kern w:val="0"/>
                <w:sz w:val="24"/>
                <w:lang w:bidi="ar"/>
              </w:rPr>
              <w:t>2.《烟花爆竹经营许可实施办法》</w:t>
            </w:r>
            <w:r>
              <w:rPr>
                <w:rFonts w:eastAsia="仿宋"/>
                <w:color w:val="000000"/>
                <w:kern w:val="0"/>
                <w:sz w:val="24"/>
                <w:lang w:bidi="ar"/>
              </w:rPr>
              <w:br w:type="textWrapping"/>
            </w:r>
            <w:r>
              <w:rPr>
                <w:rFonts w:eastAsia="仿宋"/>
                <w:color w:val="000000"/>
                <w:kern w:val="0"/>
                <w:sz w:val="24"/>
                <w:lang w:bidi="ar"/>
              </w:rPr>
              <w:t>第三十三条第二项、第三项  批发企业有下列行为之一的，责令其停业整顿，依法暂扣批发许可证，处2万元以上10万元以下的罚款，并没收非法经营的物品及违法所得；情节严重的，依法吊销批发许可证：（二）向零售经营者供应非法生产、经营的烟花爆竹的；（三）向零售经营者供应礼花弹等按照国家标准规定应当由专业人员燃放的烟花爆竹的。</w:t>
            </w:r>
          </w:p>
        </w:tc>
        <w:tc>
          <w:tcPr>
            <w:tcW w:w="476" w:type="pct"/>
            <w:tcBorders>
              <w:top w:val="single" w:color="000000" w:sz="4" w:space="0"/>
              <w:left w:val="single" w:color="000000" w:sz="4" w:space="0"/>
              <w:bottom w:val="single" w:color="000000" w:sz="4" w:space="0"/>
              <w:right w:val="single" w:color="000000" w:sz="4" w:space="0"/>
            </w:tcBorders>
            <w:vAlign w:val="center"/>
          </w:tcPr>
          <w:p w14:paraId="2538D764">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14F35CC0">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4CF63D46">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2EBD25CE">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5D4DE7FF">
            <w:pPr>
              <w:topLinePunct/>
              <w:adjustRightInd w:val="0"/>
              <w:snapToGrid w:val="0"/>
              <w:jc w:val="center"/>
              <w:textAlignment w:val="center"/>
              <w:rPr>
                <w:rFonts w:eastAsia="仿宋"/>
                <w:color w:val="000000"/>
                <w:sz w:val="24"/>
              </w:rPr>
            </w:pPr>
            <w:r>
              <w:rPr>
                <w:rFonts w:eastAsia="仿宋"/>
                <w:color w:val="000000"/>
                <w:kern w:val="0"/>
                <w:sz w:val="24"/>
                <w:lang w:bidi="ar"/>
              </w:rPr>
              <w:t>154</w:t>
            </w:r>
          </w:p>
        </w:tc>
        <w:tc>
          <w:tcPr>
            <w:tcW w:w="838" w:type="pct"/>
            <w:tcBorders>
              <w:top w:val="single" w:color="000000" w:sz="4" w:space="0"/>
              <w:left w:val="single" w:color="000000" w:sz="4" w:space="0"/>
              <w:bottom w:val="single" w:color="000000" w:sz="4" w:space="0"/>
              <w:right w:val="single" w:color="000000" w:sz="4" w:space="0"/>
            </w:tcBorders>
            <w:vAlign w:val="center"/>
          </w:tcPr>
          <w:p w14:paraId="2B526DC6">
            <w:pPr>
              <w:topLinePunct/>
              <w:adjustRightInd w:val="0"/>
              <w:snapToGrid w:val="0"/>
              <w:textAlignment w:val="center"/>
              <w:rPr>
                <w:rFonts w:eastAsia="仿宋"/>
                <w:color w:val="000000"/>
                <w:sz w:val="24"/>
              </w:rPr>
            </w:pPr>
            <w:r>
              <w:rPr>
                <w:rFonts w:eastAsia="仿宋"/>
                <w:color w:val="000000"/>
                <w:kern w:val="0"/>
                <w:sz w:val="24"/>
                <w:lang w:bidi="ar"/>
              </w:rPr>
              <w:t>对烟花爆竹零售经营者销售非法生产、经营的烟花爆竹，或者销售按照规定应由专业燃放人员燃放的烟花爆竹的行政处罚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69D0506F">
            <w:pPr>
              <w:topLinePunct/>
              <w:adjustRightInd w:val="0"/>
              <w:snapToGrid w:val="0"/>
              <w:jc w:val="left"/>
              <w:textAlignment w:val="center"/>
              <w:rPr>
                <w:rFonts w:eastAsia="仿宋"/>
                <w:color w:val="000000"/>
                <w:sz w:val="24"/>
              </w:rPr>
            </w:pPr>
            <w:r>
              <w:rPr>
                <w:rFonts w:eastAsia="仿宋"/>
                <w:color w:val="000000"/>
                <w:kern w:val="0"/>
                <w:sz w:val="24"/>
                <w:lang w:bidi="ar"/>
              </w:rPr>
              <w:t>1.《烟花爆竹安全管理条例》</w:t>
            </w:r>
            <w:r>
              <w:rPr>
                <w:rFonts w:eastAsia="仿宋"/>
                <w:color w:val="000000"/>
                <w:kern w:val="0"/>
                <w:sz w:val="24"/>
                <w:lang w:bidi="ar"/>
              </w:rPr>
              <w:br w:type="textWrapping"/>
            </w:r>
            <w:r>
              <w:rPr>
                <w:rFonts w:eastAsia="仿宋"/>
                <w:color w:val="000000"/>
                <w:kern w:val="0"/>
                <w:sz w:val="24"/>
                <w:lang w:bidi="ar"/>
              </w:rPr>
              <w:t>第三十八条第二款  从事烟花爆竹零售的经营者销售非法生产、经营的烟花爆竹，或者销售按照国家标准规定应由专业燃放人员燃放的烟花爆竹的，由安全生产监督管理部门责令停止违法行为，处1000元以上5000元以下的罚款，并没收非法经营的物品及违法所得；情节严重的，吊销烟花爆竹经营许可证。</w:t>
            </w:r>
            <w:r>
              <w:rPr>
                <w:rFonts w:eastAsia="仿宋"/>
                <w:color w:val="000000"/>
                <w:kern w:val="0"/>
                <w:sz w:val="24"/>
                <w:lang w:bidi="ar"/>
              </w:rPr>
              <w:br w:type="textWrapping"/>
            </w:r>
            <w:r>
              <w:rPr>
                <w:rFonts w:eastAsia="仿宋"/>
                <w:color w:val="000000"/>
                <w:kern w:val="0"/>
                <w:sz w:val="24"/>
                <w:lang w:bidi="ar"/>
              </w:rPr>
              <w:t>2.《烟花爆竹经营许可实施办法》</w:t>
            </w:r>
            <w:r>
              <w:rPr>
                <w:rFonts w:eastAsia="仿宋"/>
                <w:color w:val="000000"/>
                <w:kern w:val="0"/>
                <w:sz w:val="24"/>
                <w:lang w:bidi="ar"/>
              </w:rPr>
              <w:br w:type="textWrapping"/>
            </w:r>
            <w:r>
              <w:rPr>
                <w:rFonts w:eastAsia="仿宋"/>
                <w:color w:val="000000"/>
                <w:kern w:val="0"/>
                <w:sz w:val="24"/>
                <w:lang w:bidi="ar"/>
              </w:rPr>
              <w:t>第三十四条  零售经营者有下列行为之一的，责令其停止违法行为，处1000元以上5000元以下的罚款，并没收非法经营的物品及违法所得；情节严重的，依法吊销零售许可证：（一）销售非法生产、经营的烟花爆竹的；（二）销售礼花弹等按照国家标准规定应当由专业人员燃放的烟花爆竹的。</w:t>
            </w:r>
          </w:p>
        </w:tc>
        <w:tc>
          <w:tcPr>
            <w:tcW w:w="476" w:type="pct"/>
            <w:tcBorders>
              <w:top w:val="single" w:color="000000" w:sz="4" w:space="0"/>
              <w:left w:val="single" w:color="000000" w:sz="4" w:space="0"/>
              <w:bottom w:val="single" w:color="000000" w:sz="4" w:space="0"/>
              <w:right w:val="single" w:color="000000" w:sz="4" w:space="0"/>
            </w:tcBorders>
            <w:vAlign w:val="center"/>
          </w:tcPr>
          <w:p w14:paraId="648A177B">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28FFED7B">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7ACE57AA">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4E49F550">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6BAE6532">
            <w:pPr>
              <w:topLinePunct/>
              <w:adjustRightInd w:val="0"/>
              <w:snapToGrid w:val="0"/>
              <w:jc w:val="center"/>
              <w:textAlignment w:val="center"/>
              <w:rPr>
                <w:rFonts w:eastAsia="仿宋"/>
                <w:color w:val="000000"/>
                <w:sz w:val="24"/>
              </w:rPr>
            </w:pPr>
            <w:r>
              <w:rPr>
                <w:rFonts w:eastAsia="仿宋"/>
                <w:color w:val="000000"/>
                <w:kern w:val="0"/>
                <w:sz w:val="24"/>
                <w:lang w:bidi="ar"/>
              </w:rPr>
              <w:t>155</w:t>
            </w:r>
          </w:p>
        </w:tc>
        <w:tc>
          <w:tcPr>
            <w:tcW w:w="838" w:type="pct"/>
            <w:tcBorders>
              <w:top w:val="single" w:color="000000" w:sz="4" w:space="0"/>
              <w:left w:val="single" w:color="000000" w:sz="4" w:space="0"/>
              <w:bottom w:val="single" w:color="000000" w:sz="4" w:space="0"/>
              <w:right w:val="single" w:color="000000" w:sz="4" w:space="0"/>
            </w:tcBorders>
            <w:vAlign w:val="center"/>
          </w:tcPr>
          <w:p w14:paraId="4F4B27D8">
            <w:pPr>
              <w:topLinePunct/>
              <w:adjustRightInd w:val="0"/>
              <w:snapToGrid w:val="0"/>
              <w:textAlignment w:val="center"/>
              <w:rPr>
                <w:rFonts w:eastAsia="仿宋"/>
                <w:color w:val="000000"/>
                <w:sz w:val="24"/>
              </w:rPr>
            </w:pPr>
            <w:r>
              <w:rPr>
                <w:rFonts w:eastAsia="仿宋"/>
                <w:color w:val="000000"/>
                <w:kern w:val="0"/>
                <w:sz w:val="24"/>
                <w:lang w:bidi="ar"/>
              </w:rPr>
              <w:t>对烟花爆竹批发企业有在城市建成区内设立烟花爆竹储存仓库，或者在批发（展示）场所摆放有药样品等行为的行政处罚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33797BE3">
            <w:pPr>
              <w:topLinePunct/>
              <w:adjustRightInd w:val="0"/>
              <w:snapToGrid w:val="0"/>
              <w:jc w:val="left"/>
              <w:textAlignment w:val="center"/>
              <w:rPr>
                <w:rFonts w:eastAsia="仿宋"/>
                <w:color w:val="000000"/>
                <w:sz w:val="24"/>
              </w:rPr>
            </w:pPr>
            <w:r>
              <w:rPr>
                <w:rFonts w:eastAsia="仿宋"/>
                <w:color w:val="000000"/>
                <w:kern w:val="0"/>
                <w:sz w:val="24"/>
                <w:lang w:bidi="ar"/>
              </w:rPr>
              <w:t>1.《烟花爆竹经营许可实施办法》</w:t>
            </w:r>
            <w:r>
              <w:rPr>
                <w:rFonts w:eastAsia="仿宋"/>
                <w:color w:val="000000"/>
                <w:kern w:val="0"/>
                <w:sz w:val="24"/>
                <w:lang w:bidi="ar"/>
              </w:rPr>
              <w:br w:type="textWrapping"/>
            </w:r>
            <w:r>
              <w:rPr>
                <w:rFonts w:eastAsia="仿宋"/>
                <w:color w:val="000000"/>
                <w:kern w:val="0"/>
                <w:sz w:val="24"/>
                <w:lang w:bidi="ar"/>
              </w:rPr>
              <w:t>第三十二条  批发企业有下列行为之一的，责令其限期改正，处5000元以上3万元以下的罚款：（一）在城市建成区内设立烟花爆竹储存仓库，或者在批发（展示）场所摆放有药样品的；（二）采购和销售质量不符合国家标准或者行业标准规定的烟花爆竹的；（三）在仓库内违反国家标准或者行业标准规定储存烟花爆竹的；（四）在烟花爆竹经营许可证载明的仓库以外储存烟花爆竹的；（五）对假冒伪劣、过期、含有超量、违禁药物以及其他存在严重质量问题的烟花爆竹未及时销毁的；（六）未执行合同管理、流向登记制度或者未按照规定应用烟花爆竹流向管理信息系统的；（七）未将黑火药、引火线的采购、销售记录报所在地县级安全监管局备案的；（八）仓储设施新建、改建、扩建后，未重新申请办理许可手续的；（九）变更企业名称、主要负责人、注册地址，未申请办理许可证变更手续的；（十）向未取得零售许可证的单位或者个人销售烟花爆竹的。</w:t>
            </w:r>
          </w:p>
        </w:tc>
        <w:tc>
          <w:tcPr>
            <w:tcW w:w="476" w:type="pct"/>
            <w:tcBorders>
              <w:top w:val="single" w:color="000000" w:sz="4" w:space="0"/>
              <w:left w:val="single" w:color="000000" w:sz="4" w:space="0"/>
              <w:bottom w:val="single" w:color="000000" w:sz="4" w:space="0"/>
              <w:right w:val="single" w:color="000000" w:sz="4" w:space="0"/>
            </w:tcBorders>
            <w:vAlign w:val="center"/>
          </w:tcPr>
          <w:p w14:paraId="34E1932D">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55DD7BCC">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4668F773">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5A3C2A37">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70BF3E5E">
            <w:pPr>
              <w:topLinePunct/>
              <w:adjustRightInd w:val="0"/>
              <w:snapToGrid w:val="0"/>
              <w:jc w:val="center"/>
              <w:textAlignment w:val="center"/>
              <w:rPr>
                <w:rFonts w:eastAsia="仿宋"/>
                <w:color w:val="000000"/>
                <w:sz w:val="24"/>
              </w:rPr>
            </w:pPr>
            <w:r>
              <w:rPr>
                <w:rFonts w:eastAsia="仿宋"/>
                <w:color w:val="000000"/>
                <w:kern w:val="0"/>
                <w:sz w:val="24"/>
                <w:lang w:bidi="ar"/>
              </w:rPr>
              <w:t>156</w:t>
            </w:r>
          </w:p>
        </w:tc>
        <w:tc>
          <w:tcPr>
            <w:tcW w:w="838" w:type="pct"/>
            <w:tcBorders>
              <w:top w:val="single" w:color="000000" w:sz="4" w:space="0"/>
              <w:left w:val="single" w:color="000000" w:sz="4" w:space="0"/>
              <w:bottom w:val="single" w:color="000000" w:sz="4" w:space="0"/>
              <w:right w:val="single" w:color="000000" w:sz="4" w:space="0"/>
            </w:tcBorders>
            <w:vAlign w:val="center"/>
          </w:tcPr>
          <w:p w14:paraId="4DF69058">
            <w:pPr>
              <w:topLinePunct/>
              <w:adjustRightInd w:val="0"/>
              <w:snapToGrid w:val="0"/>
              <w:textAlignment w:val="center"/>
              <w:rPr>
                <w:rFonts w:eastAsia="仿宋"/>
                <w:color w:val="000000"/>
                <w:sz w:val="24"/>
              </w:rPr>
            </w:pPr>
            <w:r>
              <w:rPr>
                <w:rFonts w:eastAsia="仿宋"/>
                <w:color w:val="000000"/>
                <w:kern w:val="0"/>
                <w:sz w:val="24"/>
                <w:lang w:bidi="ar"/>
              </w:rPr>
              <w:t>对烟花爆竹生产企业、批发企业未向零售经营者或者零售经营场所提供烟花爆竹配送服务的行政处罚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5A71636E">
            <w:pPr>
              <w:topLinePunct/>
              <w:adjustRightInd w:val="0"/>
              <w:snapToGrid w:val="0"/>
              <w:jc w:val="left"/>
              <w:textAlignment w:val="center"/>
              <w:rPr>
                <w:rFonts w:eastAsia="仿宋"/>
                <w:color w:val="000000"/>
                <w:sz w:val="24"/>
              </w:rPr>
            </w:pPr>
            <w:r>
              <w:rPr>
                <w:rFonts w:eastAsia="仿宋"/>
                <w:color w:val="000000"/>
                <w:kern w:val="0"/>
                <w:sz w:val="24"/>
                <w:lang w:bidi="ar"/>
              </w:rPr>
              <w:t>1.《烟花爆竹生产经营安全规定》</w:t>
            </w:r>
            <w:r>
              <w:rPr>
                <w:rFonts w:eastAsia="仿宋"/>
                <w:color w:val="000000"/>
                <w:kern w:val="0"/>
                <w:sz w:val="24"/>
                <w:lang w:bidi="ar"/>
              </w:rPr>
              <w:br w:type="textWrapping"/>
            </w:r>
            <w:r>
              <w:rPr>
                <w:rFonts w:eastAsia="仿宋"/>
                <w:color w:val="000000"/>
                <w:kern w:val="0"/>
                <w:sz w:val="24"/>
                <w:lang w:bidi="ar"/>
              </w:rPr>
              <w:t>第三十三条第二项  生产企业、批发企业有下列行为之一的，责令限期改正；逾期未改正的，处一万元以上三万元以下的罚款：（二）未向零售经营者或者零售经营场所提供烟花爆竹配送服务的。</w:t>
            </w:r>
          </w:p>
        </w:tc>
        <w:tc>
          <w:tcPr>
            <w:tcW w:w="476" w:type="pct"/>
            <w:tcBorders>
              <w:top w:val="single" w:color="000000" w:sz="4" w:space="0"/>
              <w:left w:val="single" w:color="000000" w:sz="4" w:space="0"/>
              <w:bottom w:val="single" w:color="000000" w:sz="4" w:space="0"/>
              <w:right w:val="single" w:color="000000" w:sz="4" w:space="0"/>
            </w:tcBorders>
            <w:vAlign w:val="center"/>
          </w:tcPr>
          <w:p w14:paraId="5E487413">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3538DB7D">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5F23E869">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158B382B">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4CB65428">
            <w:pPr>
              <w:topLinePunct/>
              <w:adjustRightInd w:val="0"/>
              <w:snapToGrid w:val="0"/>
              <w:jc w:val="center"/>
              <w:textAlignment w:val="center"/>
              <w:rPr>
                <w:rFonts w:eastAsia="仿宋"/>
                <w:color w:val="000000"/>
                <w:sz w:val="24"/>
              </w:rPr>
            </w:pPr>
            <w:r>
              <w:rPr>
                <w:rFonts w:eastAsia="仿宋"/>
                <w:color w:val="000000"/>
                <w:kern w:val="0"/>
                <w:sz w:val="24"/>
                <w:lang w:bidi="ar"/>
              </w:rPr>
              <w:t>157</w:t>
            </w:r>
          </w:p>
        </w:tc>
        <w:tc>
          <w:tcPr>
            <w:tcW w:w="838" w:type="pct"/>
            <w:tcBorders>
              <w:top w:val="single" w:color="000000" w:sz="4" w:space="0"/>
              <w:left w:val="single" w:color="000000" w:sz="4" w:space="0"/>
              <w:bottom w:val="single" w:color="000000" w:sz="4" w:space="0"/>
              <w:right w:val="single" w:color="000000" w:sz="4" w:space="0"/>
            </w:tcBorders>
            <w:vAlign w:val="center"/>
          </w:tcPr>
          <w:p w14:paraId="7399386E">
            <w:pPr>
              <w:topLinePunct/>
              <w:adjustRightInd w:val="0"/>
              <w:snapToGrid w:val="0"/>
              <w:textAlignment w:val="center"/>
              <w:rPr>
                <w:rFonts w:eastAsia="仿宋"/>
                <w:color w:val="000000"/>
                <w:sz w:val="24"/>
              </w:rPr>
            </w:pPr>
            <w:r>
              <w:rPr>
                <w:rFonts w:eastAsia="仿宋"/>
                <w:color w:val="000000"/>
                <w:kern w:val="0"/>
                <w:sz w:val="24"/>
                <w:lang w:bidi="ar"/>
              </w:rPr>
              <w:t>对烟花爆竹零售经营者有超越许可证载明限量储存烟花爆竹等行为的行政处罚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01AE7A5C">
            <w:pPr>
              <w:topLinePunct/>
              <w:adjustRightInd w:val="0"/>
              <w:snapToGrid w:val="0"/>
              <w:jc w:val="left"/>
              <w:textAlignment w:val="center"/>
              <w:rPr>
                <w:rFonts w:eastAsia="仿宋"/>
                <w:color w:val="000000"/>
                <w:sz w:val="24"/>
              </w:rPr>
            </w:pPr>
            <w:r>
              <w:rPr>
                <w:rFonts w:eastAsia="仿宋"/>
                <w:color w:val="000000"/>
                <w:kern w:val="0"/>
                <w:sz w:val="24"/>
                <w:lang w:bidi="ar"/>
              </w:rPr>
              <w:t>1.《烟花爆竹生产经营安全规定》</w:t>
            </w:r>
            <w:r>
              <w:rPr>
                <w:rFonts w:eastAsia="仿宋"/>
                <w:color w:val="000000"/>
                <w:kern w:val="0"/>
                <w:sz w:val="24"/>
                <w:lang w:bidi="ar"/>
              </w:rPr>
              <w:br w:type="textWrapping"/>
            </w:r>
            <w:r>
              <w:rPr>
                <w:rFonts w:eastAsia="仿宋"/>
                <w:color w:val="000000"/>
                <w:kern w:val="0"/>
                <w:sz w:val="24"/>
                <w:lang w:bidi="ar"/>
              </w:rPr>
              <w:t>第三十六条  零售经营者有下列行为之一的，责令其限期改正，可以处一千元以上五千元以下的罚款；逾期未改正的，处五千元以上一万元以下的罚款：（一）超越许可证载明限量储存烟花爆竹的；（二）到批发企业仓库自行提取烟花爆竹的。</w:t>
            </w:r>
          </w:p>
        </w:tc>
        <w:tc>
          <w:tcPr>
            <w:tcW w:w="476" w:type="pct"/>
            <w:tcBorders>
              <w:top w:val="single" w:color="000000" w:sz="4" w:space="0"/>
              <w:left w:val="single" w:color="000000" w:sz="4" w:space="0"/>
              <w:bottom w:val="single" w:color="000000" w:sz="4" w:space="0"/>
              <w:right w:val="single" w:color="000000" w:sz="4" w:space="0"/>
            </w:tcBorders>
            <w:vAlign w:val="center"/>
          </w:tcPr>
          <w:p w14:paraId="1EB42F1A">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56E4DEEB">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4CDE646C">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1B93303D">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07644724">
            <w:pPr>
              <w:topLinePunct/>
              <w:adjustRightInd w:val="0"/>
              <w:snapToGrid w:val="0"/>
              <w:jc w:val="center"/>
              <w:textAlignment w:val="center"/>
              <w:rPr>
                <w:rFonts w:eastAsia="仿宋"/>
                <w:color w:val="000000"/>
                <w:sz w:val="24"/>
              </w:rPr>
            </w:pPr>
            <w:r>
              <w:rPr>
                <w:rFonts w:eastAsia="仿宋"/>
                <w:color w:val="000000"/>
                <w:kern w:val="0"/>
                <w:sz w:val="24"/>
                <w:lang w:bidi="ar"/>
              </w:rPr>
              <w:t>158</w:t>
            </w:r>
          </w:p>
        </w:tc>
        <w:tc>
          <w:tcPr>
            <w:tcW w:w="838" w:type="pct"/>
            <w:tcBorders>
              <w:top w:val="single" w:color="000000" w:sz="4" w:space="0"/>
              <w:left w:val="single" w:color="000000" w:sz="4" w:space="0"/>
              <w:bottom w:val="single" w:color="000000" w:sz="4" w:space="0"/>
              <w:right w:val="single" w:color="000000" w:sz="4" w:space="0"/>
            </w:tcBorders>
            <w:vAlign w:val="center"/>
          </w:tcPr>
          <w:p w14:paraId="18639FFD">
            <w:pPr>
              <w:topLinePunct/>
              <w:adjustRightInd w:val="0"/>
              <w:snapToGrid w:val="0"/>
              <w:textAlignment w:val="center"/>
              <w:rPr>
                <w:rFonts w:eastAsia="仿宋"/>
                <w:color w:val="000000"/>
                <w:sz w:val="24"/>
              </w:rPr>
            </w:pPr>
            <w:r>
              <w:rPr>
                <w:rFonts w:eastAsia="仿宋"/>
                <w:color w:val="000000"/>
                <w:kern w:val="0"/>
                <w:sz w:val="24"/>
                <w:lang w:bidi="ar"/>
              </w:rPr>
              <w:t>对工贸企业未对承包单位、承租单位的安全生产工作统一协调、管理，或者未定期进行安全检查的行政处罚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3CB34295">
            <w:pPr>
              <w:topLinePunct/>
              <w:adjustRightInd w:val="0"/>
              <w:snapToGrid w:val="0"/>
              <w:jc w:val="left"/>
              <w:textAlignment w:val="center"/>
              <w:rPr>
                <w:rFonts w:eastAsia="仿宋"/>
                <w:color w:val="000000"/>
                <w:sz w:val="24"/>
              </w:rPr>
            </w:pPr>
            <w:r>
              <w:rPr>
                <w:rFonts w:eastAsia="仿宋"/>
                <w:color w:val="000000"/>
                <w:kern w:val="0"/>
                <w:sz w:val="24"/>
                <w:lang w:bidi="ar"/>
              </w:rPr>
              <w:t>1.《工贸企业重大事故隐患判定标准》</w:t>
            </w:r>
            <w:r>
              <w:rPr>
                <w:rFonts w:eastAsia="仿宋"/>
                <w:color w:val="000000"/>
                <w:kern w:val="0"/>
                <w:sz w:val="24"/>
                <w:lang w:bidi="ar"/>
              </w:rPr>
              <w:br w:type="textWrapping"/>
            </w:r>
            <w:r>
              <w:rPr>
                <w:rFonts w:eastAsia="仿宋"/>
                <w:color w:val="000000"/>
                <w:kern w:val="0"/>
                <w:sz w:val="24"/>
                <w:lang w:bidi="ar"/>
              </w:rPr>
              <w:t>第三条  工贸企业有下列情形之一的，应当判定为重大事故隐患：</w:t>
            </w:r>
            <w:r>
              <w:rPr>
                <w:rFonts w:eastAsia="仿宋"/>
                <w:color w:val="000000"/>
                <w:kern w:val="0"/>
                <w:sz w:val="24"/>
                <w:lang w:bidi="ar"/>
              </w:rPr>
              <w:br w:type="textWrapping"/>
            </w:r>
            <w:r>
              <w:rPr>
                <w:rFonts w:eastAsia="仿宋"/>
                <w:color w:val="000000"/>
                <w:kern w:val="0"/>
                <w:sz w:val="24"/>
                <w:lang w:bidi="ar"/>
              </w:rPr>
              <w:t>（一）未对承包单位、承租单位的安全生产工作统一协调、管理，或者未定期进行安全检查的；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第一百零三条第二款  生产经营单位未与承包单位、承租单位签订专门的安全生产管理协议或者未在承包合同、租赁合同中明确各自的安全生产管理职责，或者未对承包单位、承租单位的安全生产统一协调、管理的，责令限期改正，处五万元以下的罚款，对其直接负责的主管人员和其他直接责任人员处一万元以下的罚款；逾期未改正的，责令停产停业整顿。</w:t>
            </w:r>
          </w:p>
        </w:tc>
        <w:tc>
          <w:tcPr>
            <w:tcW w:w="476" w:type="pct"/>
            <w:tcBorders>
              <w:top w:val="single" w:color="000000" w:sz="4" w:space="0"/>
              <w:left w:val="single" w:color="000000" w:sz="4" w:space="0"/>
              <w:bottom w:val="single" w:color="000000" w:sz="4" w:space="0"/>
              <w:right w:val="single" w:color="000000" w:sz="4" w:space="0"/>
            </w:tcBorders>
            <w:vAlign w:val="center"/>
          </w:tcPr>
          <w:p w14:paraId="2E4C5704">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7C5D64B3">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526B0A61">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70A6D942">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7ED9A29B">
            <w:pPr>
              <w:topLinePunct/>
              <w:adjustRightInd w:val="0"/>
              <w:snapToGrid w:val="0"/>
              <w:jc w:val="center"/>
              <w:textAlignment w:val="center"/>
              <w:rPr>
                <w:rFonts w:eastAsia="仿宋"/>
                <w:color w:val="000000"/>
                <w:sz w:val="24"/>
              </w:rPr>
            </w:pPr>
            <w:r>
              <w:rPr>
                <w:rFonts w:eastAsia="仿宋"/>
                <w:color w:val="000000"/>
                <w:kern w:val="0"/>
                <w:sz w:val="24"/>
                <w:lang w:bidi="ar"/>
              </w:rPr>
              <w:t>159</w:t>
            </w:r>
          </w:p>
        </w:tc>
        <w:tc>
          <w:tcPr>
            <w:tcW w:w="838" w:type="pct"/>
            <w:tcBorders>
              <w:top w:val="single" w:color="000000" w:sz="4" w:space="0"/>
              <w:left w:val="single" w:color="000000" w:sz="4" w:space="0"/>
              <w:bottom w:val="single" w:color="000000" w:sz="4" w:space="0"/>
              <w:right w:val="single" w:color="000000" w:sz="4" w:space="0"/>
            </w:tcBorders>
            <w:vAlign w:val="center"/>
          </w:tcPr>
          <w:p w14:paraId="200CD6F7">
            <w:pPr>
              <w:topLinePunct/>
              <w:adjustRightInd w:val="0"/>
              <w:snapToGrid w:val="0"/>
              <w:textAlignment w:val="center"/>
              <w:rPr>
                <w:rFonts w:eastAsia="仿宋"/>
                <w:color w:val="000000"/>
                <w:sz w:val="24"/>
              </w:rPr>
            </w:pPr>
            <w:r>
              <w:rPr>
                <w:rFonts w:eastAsia="仿宋"/>
                <w:color w:val="000000"/>
                <w:kern w:val="0"/>
                <w:sz w:val="24"/>
                <w:lang w:bidi="ar"/>
              </w:rPr>
              <w:t>对工贸企业特种作业人员未按照规定经专门的安全作业培训并取得相应资格，上岗作业的行政处罚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7D86C570">
            <w:pPr>
              <w:topLinePunct/>
              <w:adjustRightInd w:val="0"/>
              <w:snapToGrid w:val="0"/>
              <w:jc w:val="left"/>
              <w:textAlignment w:val="center"/>
              <w:rPr>
                <w:rFonts w:eastAsia="仿宋"/>
                <w:color w:val="000000"/>
                <w:sz w:val="24"/>
              </w:rPr>
            </w:pPr>
            <w:r>
              <w:rPr>
                <w:rFonts w:eastAsia="仿宋"/>
                <w:color w:val="000000"/>
                <w:kern w:val="0"/>
                <w:sz w:val="24"/>
                <w:lang w:bidi="ar"/>
              </w:rPr>
              <w:t>1.《工贸企业重大事故隐患判定标准》</w:t>
            </w:r>
            <w:r>
              <w:rPr>
                <w:rFonts w:eastAsia="仿宋"/>
                <w:color w:val="000000"/>
                <w:kern w:val="0"/>
                <w:sz w:val="24"/>
                <w:lang w:bidi="ar"/>
              </w:rPr>
              <w:br w:type="textWrapping"/>
            </w:r>
            <w:r>
              <w:rPr>
                <w:rFonts w:eastAsia="仿宋"/>
                <w:color w:val="000000"/>
                <w:kern w:val="0"/>
                <w:sz w:val="24"/>
                <w:lang w:bidi="ar"/>
              </w:rPr>
              <w:t>第三条  工贸企业有下列情形之一的，应当判定为重大事故隐患：</w:t>
            </w:r>
            <w:r>
              <w:rPr>
                <w:rFonts w:eastAsia="仿宋"/>
                <w:color w:val="000000"/>
                <w:kern w:val="0"/>
                <w:sz w:val="24"/>
                <w:lang w:bidi="ar"/>
              </w:rPr>
              <w:br w:type="textWrapping"/>
            </w:r>
            <w:r>
              <w:rPr>
                <w:rFonts w:eastAsia="仿宋"/>
                <w:color w:val="000000"/>
                <w:kern w:val="0"/>
                <w:sz w:val="24"/>
                <w:lang w:bidi="ar"/>
              </w:rPr>
              <w:t>（二）特种作业人员未按照规定经专门的安全作业培训并取得相应资格，上岗作业的；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第九十七条第七项  生产经营单位有下列行为之一的，责令限期改正，处十万元以下的罚款；逾期未改正的，责令停产停业整顿，并处十万元以上二十万元以下的罚款，对其直接负责的主管人员和其他直接责任人员处二万元以上五万元以下的罚款：（七）特种作业人员未按照规定经专门的安全作业培训并取得相应资格，上岗作业的。</w:t>
            </w:r>
          </w:p>
        </w:tc>
        <w:tc>
          <w:tcPr>
            <w:tcW w:w="476" w:type="pct"/>
            <w:tcBorders>
              <w:top w:val="single" w:color="000000" w:sz="4" w:space="0"/>
              <w:left w:val="single" w:color="000000" w:sz="4" w:space="0"/>
              <w:bottom w:val="single" w:color="000000" w:sz="4" w:space="0"/>
              <w:right w:val="single" w:color="000000" w:sz="4" w:space="0"/>
            </w:tcBorders>
            <w:vAlign w:val="center"/>
          </w:tcPr>
          <w:p w14:paraId="0762DDE2">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1FF56E5B">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500DA07F">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11A72D30">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70C63C15">
            <w:pPr>
              <w:topLinePunct/>
              <w:adjustRightInd w:val="0"/>
              <w:snapToGrid w:val="0"/>
              <w:jc w:val="center"/>
              <w:textAlignment w:val="center"/>
              <w:rPr>
                <w:rFonts w:eastAsia="仿宋"/>
                <w:color w:val="000000"/>
                <w:sz w:val="24"/>
              </w:rPr>
            </w:pPr>
            <w:r>
              <w:rPr>
                <w:rFonts w:eastAsia="仿宋"/>
                <w:color w:val="000000"/>
                <w:kern w:val="0"/>
                <w:sz w:val="24"/>
                <w:lang w:bidi="ar"/>
              </w:rPr>
              <w:t>160</w:t>
            </w:r>
          </w:p>
        </w:tc>
        <w:tc>
          <w:tcPr>
            <w:tcW w:w="838" w:type="pct"/>
            <w:tcBorders>
              <w:top w:val="single" w:color="000000" w:sz="4" w:space="0"/>
              <w:left w:val="single" w:color="000000" w:sz="4" w:space="0"/>
              <w:bottom w:val="single" w:color="000000" w:sz="4" w:space="0"/>
              <w:right w:val="single" w:color="000000" w:sz="4" w:space="0"/>
            </w:tcBorders>
            <w:vAlign w:val="center"/>
          </w:tcPr>
          <w:p w14:paraId="44E38145">
            <w:pPr>
              <w:topLinePunct/>
              <w:adjustRightInd w:val="0"/>
              <w:snapToGrid w:val="0"/>
              <w:textAlignment w:val="center"/>
              <w:rPr>
                <w:rFonts w:eastAsia="仿宋"/>
                <w:color w:val="000000"/>
                <w:sz w:val="24"/>
              </w:rPr>
            </w:pPr>
            <w:r>
              <w:rPr>
                <w:rFonts w:eastAsia="仿宋"/>
                <w:color w:val="000000"/>
                <w:kern w:val="0"/>
                <w:sz w:val="24"/>
                <w:lang w:bidi="ar"/>
              </w:rPr>
              <w:t>对工贸企业金属冶炼企业主要负责人、安全生产管理人员未按照规定经考核合格的行政处罚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163BD2AE">
            <w:pPr>
              <w:topLinePunct/>
              <w:adjustRightInd w:val="0"/>
              <w:snapToGrid w:val="0"/>
              <w:jc w:val="left"/>
              <w:textAlignment w:val="center"/>
              <w:rPr>
                <w:rFonts w:eastAsia="仿宋"/>
                <w:color w:val="000000"/>
                <w:sz w:val="24"/>
              </w:rPr>
            </w:pPr>
            <w:r>
              <w:rPr>
                <w:rFonts w:eastAsia="仿宋"/>
                <w:color w:val="000000"/>
                <w:kern w:val="0"/>
                <w:sz w:val="24"/>
                <w:lang w:bidi="ar"/>
              </w:rPr>
              <w:t>1.《工贸企业重大事故隐患判定标准》</w:t>
            </w:r>
            <w:r>
              <w:rPr>
                <w:rFonts w:eastAsia="仿宋"/>
                <w:color w:val="000000"/>
                <w:kern w:val="0"/>
                <w:sz w:val="24"/>
                <w:lang w:bidi="ar"/>
              </w:rPr>
              <w:br w:type="textWrapping"/>
            </w:r>
            <w:r>
              <w:rPr>
                <w:rFonts w:eastAsia="仿宋"/>
                <w:color w:val="000000"/>
                <w:kern w:val="0"/>
                <w:sz w:val="24"/>
                <w:lang w:bidi="ar"/>
              </w:rPr>
              <w:t>第三条  工贸企业有下列情形之一的，应当判定为重大事故隐患：</w:t>
            </w:r>
            <w:r>
              <w:rPr>
                <w:rFonts w:eastAsia="仿宋"/>
                <w:color w:val="000000"/>
                <w:kern w:val="0"/>
                <w:sz w:val="24"/>
                <w:lang w:bidi="ar"/>
              </w:rPr>
              <w:br w:type="textWrapping"/>
            </w:r>
            <w:r>
              <w:rPr>
                <w:rFonts w:eastAsia="仿宋"/>
                <w:color w:val="000000"/>
                <w:kern w:val="0"/>
                <w:sz w:val="24"/>
                <w:lang w:bidi="ar"/>
              </w:rPr>
              <w:t>（三）金属冶炼企业主要负责人、安全生产管理人员未按照规定经考核合格的。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第九十七条第二项  生产经营单位有下列行为之一的，责令限期改正，处十万元以下的罚款；逾期未改正的，责令停产停业整顿，并处十万元以上二十万元以下的罚款，对其直接负责的主管人员和其他直接责任人员处二万元以上五万元以下的罚款：（二）危险物品的生产、经营、储存、装卸单位以及矿山、金属冶炼、建筑施工、运输单位的主要负责人和安全生产管理人员未按照规定经考核合格的；</w:t>
            </w:r>
          </w:p>
        </w:tc>
        <w:tc>
          <w:tcPr>
            <w:tcW w:w="476" w:type="pct"/>
            <w:tcBorders>
              <w:top w:val="single" w:color="000000" w:sz="4" w:space="0"/>
              <w:left w:val="single" w:color="000000" w:sz="4" w:space="0"/>
              <w:bottom w:val="single" w:color="000000" w:sz="4" w:space="0"/>
              <w:right w:val="single" w:color="000000" w:sz="4" w:space="0"/>
            </w:tcBorders>
            <w:vAlign w:val="center"/>
          </w:tcPr>
          <w:p w14:paraId="772B94DF">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4A39D1B0">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0E762CBF">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495095AF">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1F2E6709">
            <w:pPr>
              <w:topLinePunct/>
              <w:adjustRightInd w:val="0"/>
              <w:snapToGrid w:val="0"/>
              <w:jc w:val="center"/>
              <w:textAlignment w:val="center"/>
              <w:rPr>
                <w:rFonts w:eastAsia="仿宋"/>
                <w:color w:val="000000"/>
                <w:sz w:val="24"/>
              </w:rPr>
            </w:pPr>
            <w:r>
              <w:rPr>
                <w:rFonts w:eastAsia="仿宋"/>
                <w:color w:val="000000"/>
                <w:kern w:val="0"/>
                <w:sz w:val="24"/>
                <w:lang w:bidi="ar"/>
              </w:rPr>
              <w:t>161</w:t>
            </w:r>
          </w:p>
        </w:tc>
        <w:tc>
          <w:tcPr>
            <w:tcW w:w="838" w:type="pct"/>
            <w:tcBorders>
              <w:top w:val="single" w:color="000000" w:sz="4" w:space="0"/>
              <w:left w:val="single" w:color="000000" w:sz="4" w:space="0"/>
              <w:bottom w:val="single" w:color="000000" w:sz="4" w:space="0"/>
              <w:right w:val="single" w:color="000000" w:sz="4" w:space="0"/>
            </w:tcBorders>
            <w:vAlign w:val="center"/>
          </w:tcPr>
          <w:p w14:paraId="0C3570F8">
            <w:pPr>
              <w:topLinePunct/>
              <w:adjustRightInd w:val="0"/>
              <w:snapToGrid w:val="0"/>
              <w:textAlignment w:val="center"/>
              <w:rPr>
                <w:rFonts w:eastAsia="仿宋"/>
                <w:color w:val="000000"/>
                <w:sz w:val="24"/>
              </w:rPr>
            </w:pPr>
            <w:r>
              <w:rPr>
                <w:rFonts w:eastAsia="仿宋"/>
                <w:color w:val="000000"/>
                <w:kern w:val="0"/>
                <w:sz w:val="24"/>
                <w:lang w:bidi="ar"/>
              </w:rPr>
              <w:t>对冶金企业会议室、活动室、休息室、操作室、交接班室、更衣室（含澡堂）等人员聚集场所，以及钢铁水罐冷（热）修工位设置在铁水、钢水、液渣吊运跨的地坪区域内的行政处罚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26D0B9E5">
            <w:pPr>
              <w:topLinePunct/>
              <w:adjustRightInd w:val="0"/>
              <w:snapToGrid w:val="0"/>
              <w:jc w:val="left"/>
              <w:textAlignment w:val="center"/>
              <w:rPr>
                <w:rFonts w:eastAsia="仿宋"/>
                <w:color w:val="000000"/>
                <w:sz w:val="24"/>
              </w:rPr>
            </w:pPr>
            <w:r>
              <w:rPr>
                <w:rFonts w:eastAsia="仿宋"/>
                <w:color w:val="000000"/>
                <w:kern w:val="0"/>
                <w:sz w:val="24"/>
                <w:lang w:bidi="ar"/>
              </w:rPr>
              <w:t>1.《工贸企业重大事故隐患判定标准》</w:t>
            </w:r>
            <w:r>
              <w:rPr>
                <w:rFonts w:eastAsia="仿宋"/>
                <w:color w:val="000000"/>
                <w:kern w:val="0"/>
                <w:sz w:val="24"/>
                <w:lang w:bidi="ar"/>
              </w:rPr>
              <w:br w:type="textWrapping"/>
            </w:r>
            <w:r>
              <w:rPr>
                <w:rFonts w:eastAsia="仿宋"/>
                <w:color w:val="000000"/>
                <w:kern w:val="0"/>
                <w:sz w:val="24"/>
                <w:lang w:bidi="ar"/>
              </w:rPr>
              <w:t>第四条  冶金企业有下列情形之一的，应当判定为重大事故隐患：</w:t>
            </w:r>
            <w:r>
              <w:rPr>
                <w:rFonts w:eastAsia="仿宋"/>
                <w:color w:val="000000"/>
                <w:kern w:val="0"/>
                <w:sz w:val="24"/>
                <w:lang w:bidi="ar"/>
              </w:rPr>
              <w:br w:type="textWrapping"/>
            </w:r>
            <w:r>
              <w:rPr>
                <w:rFonts w:eastAsia="仿宋"/>
                <w:color w:val="000000"/>
                <w:kern w:val="0"/>
                <w:sz w:val="24"/>
                <w:lang w:bidi="ar"/>
              </w:rPr>
              <w:t>（一）会议室、活动室、休息室、操作室、交接班室、更衣室（含澡堂）等6类人员聚集场所，以及钢铁水罐冷（热）修工位设置在铁水、钢水、液渣吊运跨的地坪区域内的；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3180A5E0">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33E0ABA5">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44B38F2D">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3ABA4E72">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0789A2B2">
            <w:pPr>
              <w:topLinePunct/>
              <w:adjustRightInd w:val="0"/>
              <w:snapToGrid w:val="0"/>
              <w:jc w:val="center"/>
              <w:textAlignment w:val="center"/>
              <w:rPr>
                <w:rFonts w:eastAsia="仿宋"/>
                <w:color w:val="000000"/>
                <w:sz w:val="24"/>
              </w:rPr>
            </w:pPr>
            <w:r>
              <w:rPr>
                <w:rFonts w:eastAsia="仿宋"/>
                <w:color w:val="000000"/>
                <w:kern w:val="0"/>
                <w:sz w:val="24"/>
                <w:lang w:bidi="ar"/>
              </w:rPr>
              <w:t>162</w:t>
            </w:r>
          </w:p>
        </w:tc>
        <w:tc>
          <w:tcPr>
            <w:tcW w:w="838" w:type="pct"/>
            <w:tcBorders>
              <w:top w:val="single" w:color="000000" w:sz="4" w:space="0"/>
              <w:left w:val="single" w:color="000000" w:sz="4" w:space="0"/>
              <w:bottom w:val="single" w:color="000000" w:sz="4" w:space="0"/>
              <w:right w:val="single" w:color="000000" w:sz="4" w:space="0"/>
            </w:tcBorders>
            <w:vAlign w:val="center"/>
          </w:tcPr>
          <w:p w14:paraId="4D6CCB36">
            <w:pPr>
              <w:topLinePunct/>
              <w:adjustRightInd w:val="0"/>
              <w:snapToGrid w:val="0"/>
              <w:textAlignment w:val="center"/>
              <w:rPr>
                <w:rFonts w:eastAsia="仿宋"/>
                <w:color w:val="000000"/>
                <w:sz w:val="24"/>
              </w:rPr>
            </w:pPr>
            <w:r>
              <w:rPr>
                <w:rFonts w:eastAsia="仿宋"/>
                <w:color w:val="000000"/>
                <w:kern w:val="0"/>
                <w:sz w:val="24"/>
                <w:lang w:bidi="ar"/>
              </w:rPr>
              <w:t>对冶金企业生产期间冶炼、精炼和铸造生产区域的事故坑、炉下渣坑，以及熔融金属泄漏和喷溅影响范围内的炉前平台、炉基区域、厂房内吊运和地面运输通道等区域存在积水的行政处罚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4BFF0DD5">
            <w:pPr>
              <w:topLinePunct/>
              <w:adjustRightInd w:val="0"/>
              <w:snapToGrid w:val="0"/>
              <w:jc w:val="left"/>
              <w:textAlignment w:val="center"/>
              <w:rPr>
                <w:rFonts w:eastAsia="仿宋"/>
                <w:color w:val="000000"/>
                <w:sz w:val="24"/>
              </w:rPr>
            </w:pPr>
            <w:r>
              <w:rPr>
                <w:rFonts w:eastAsia="仿宋"/>
                <w:color w:val="000000"/>
                <w:kern w:val="0"/>
                <w:sz w:val="24"/>
                <w:lang w:bidi="ar"/>
              </w:rPr>
              <w:t>1.《工贸企业重大事故隐患判定标准》</w:t>
            </w:r>
            <w:r>
              <w:rPr>
                <w:rFonts w:eastAsia="仿宋"/>
                <w:color w:val="000000"/>
                <w:kern w:val="0"/>
                <w:sz w:val="24"/>
                <w:lang w:bidi="ar"/>
              </w:rPr>
              <w:br w:type="textWrapping"/>
            </w:r>
            <w:r>
              <w:rPr>
                <w:rFonts w:eastAsia="仿宋"/>
                <w:color w:val="000000"/>
                <w:kern w:val="0"/>
                <w:sz w:val="24"/>
                <w:lang w:bidi="ar"/>
              </w:rPr>
              <w:t>第四条  冶金企业有下列情形之一的，应当判定为重大事故隐患：</w:t>
            </w:r>
            <w:r>
              <w:rPr>
                <w:rFonts w:eastAsia="仿宋"/>
                <w:color w:val="000000"/>
                <w:kern w:val="0"/>
                <w:sz w:val="24"/>
                <w:lang w:bidi="ar"/>
              </w:rPr>
              <w:br w:type="textWrapping"/>
            </w:r>
            <w:r>
              <w:rPr>
                <w:rFonts w:eastAsia="仿宋"/>
                <w:color w:val="000000"/>
                <w:kern w:val="0"/>
                <w:sz w:val="24"/>
                <w:lang w:bidi="ar"/>
              </w:rPr>
              <w:t>（二）生产期间冶炼、精炼和铸造生产区域的事故坑、炉下渣坑，以及熔融金属泄漏和喷溅影响范围内的炉前平台、炉基区域、厂房内吊运和地面运输通道等6类区域存在积水的；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26C20982">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166F0EA3">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26AE497B">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16F7C7F6">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10B6C4B6">
            <w:pPr>
              <w:topLinePunct/>
              <w:adjustRightInd w:val="0"/>
              <w:snapToGrid w:val="0"/>
              <w:jc w:val="center"/>
              <w:textAlignment w:val="center"/>
              <w:rPr>
                <w:rFonts w:eastAsia="仿宋"/>
                <w:color w:val="000000"/>
                <w:sz w:val="24"/>
              </w:rPr>
            </w:pPr>
            <w:r>
              <w:rPr>
                <w:rFonts w:eastAsia="仿宋"/>
                <w:color w:val="000000"/>
                <w:kern w:val="0"/>
                <w:sz w:val="24"/>
                <w:lang w:bidi="ar"/>
              </w:rPr>
              <w:t>163</w:t>
            </w:r>
          </w:p>
        </w:tc>
        <w:tc>
          <w:tcPr>
            <w:tcW w:w="838" w:type="pct"/>
            <w:tcBorders>
              <w:top w:val="single" w:color="000000" w:sz="4" w:space="0"/>
              <w:left w:val="single" w:color="000000" w:sz="4" w:space="0"/>
              <w:bottom w:val="single" w:color="000000" w:sz="4" w:space="0"/>
              <w:right w:val="single" w:color="000000" w:sz="4" w:space="0"/>
            </w:tcBorders>
            <w:vAlign w:val="center"/>
          </w:tcPr>
          <w:p w14:paraId="1CA7FD3B">
            <w:pPr>
              <w:topLinePunct/>
              <w:adjustRightInd w:val="0"/>
              <w:snapToGrid w:val="0"/>
              <w:textAlignment w:val="center"/>
              <w:rPr>
                <w:rFonts w:eastAsia="仿宋"/>
                <w:color w:val="000000"/>
                <w:sz w:val="24"/>
              </w:rPr>
            </w:pPr>
            <w:r>
              <w:rPr>
                <w:rFonts w:eastAsia="仿宋"/>
                <w:color w:val="000000"/>
                <w:kern w:val="0"/>
                <w:sz w:val="24"/>
                <w:lang w:bidi="ar"/>
              </w:rPr>
              <w:t>对冶金企业炼钢连铸流程未设置事故钢水罐、中间罐漏钢坑（槽）、中间罐溢流坑（槽）、漏钢回转溜槽，或者模铸流程未设置事故钢水罐（坑、槽）的行政处罚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76CF322E">
            <w:pPr>
              <w:topLinePunct/>
              <w:adjustRightInd w:val="0"/>
              <w:snapToGrid w:val="0"/>
              <w:jc w:val="left"/>
              <w:textAlignment w:val="center"/>
              <w:rPr>
                <w:rFonts w:eastAsia="仿宋"/>
                <w:color w:val="000000"/>
                <w:sz w:val="24"/>
              </w:rPr>
            </w:pPr>
            <w:r>
              <w:rPr>
                <w:rFonts w:eastAsia="仿宋"/>
                <w:color w:val="000000"/>
                <w:kern w:val="0"/>
                <w:sz w:val="24"/>
                <w:lang w:bidi="ar"/>
              </w:rPr>
              <w:t>1.《工贸企业重大事故隐患判定标准》</w:t>
            </w:r>
            <w:r>
              <w:rPr>
                <w:rFonts w:eastAsia="仿宋"/>
                <w:color w:val="000000"/>
                <w:kern w:val="0"/>
                <w:sz w:val="24"/>
                <w:lang w:bidi="ar"/>
              </w:rPr>
              <w:br w:type="textWrapping"/>
            </w:r>
            <w:r>
              <w:rPr>
                <w:rFonts w:eastAsia="仿宋"/>
                <w:color w:val="000000"/>
                <w:kern w:val="0"/>
                <w:sz w:val="24"/>
                <w:lang w:bidi="ar"/>
              </w:rPr>
              <w:t>第四条  冶金企业有下列情形之一的，应当判定为重大事故隐患：</w:t>
            </w:r>
            <w:r>
              <w:rPr>
                <w:rFonts w:eastAsia="仿宋"/>
                <w:color w:val="000000"/>
                <w:kern w:val="0"/>
                <w:sz w:val="24"/>
                <w:lang w:bidi="ar"/>
              </w:rPr>
              <w:br w:type="textWrapping"/>
            </w:r>
            <w:r>
              <w:rPr>
                <w:rFonts w:eastAsia="仿宋"/>
                <w:color w:val="000000"/>
                <w:kern w:val="0"/>
                <w:sz w:val="24"/>
                <w:lang w:bidi="ar"/>
              </w:rPr>
              <w:t>（三）炼钢连铸流程未设置事故钢水罐、中间罐漏钢坑（槽）、中间罐溢流坑（槽）、漏钢回转溜槽，或者模铸流程未设置事故钢水罐（坑、槽）的；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1C321A9F">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2BCE0E3B">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32029BF0">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07C12CE6">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755F4294">
            <w:pPr>
              <w:topLinePunct/>
              <w:adjustRightInd w:val="0"/>
              <w:snapToGrid w:val="0"/>
              <w:jc w:val="center"/>
              <w:textAlignment w:val="center"/>
              <w:rPr>
                <w:rFonts w:eastAsia="仿宋"/>
                <w:color w:val="000000"/>
                <w:sz w:val="24"/>
              </w:rPr>
            </w:pPr>
            <w:r>
              <w:rPr>
                <w:rFonts w:eastAsia="仿宋"/>
                <w:color w:val="000000"/>
                <w:kern w:val="0"/>
                <w:sz w:val="24"/>
                <w:lang w:bidi="ar"/>
              </w:rPr>
              <w:t>164</w:t>
            </w:r>
          </w:p>
        </w:tc>
        <w:tc>
          <w:tcPr>
            <w:tcW w:w="838" w:type="pct"/>
            <w:tcBorders>
              <w:top w:val="single" w:color="000000" w:sz="4" w:space="0"/>
              <w:left w:val="single" w:color="000000" w:sz="4" w:space="0"/>
              <w:bottom w:val="single" w:color="000000" w:sz="4" w:space="0"/>
              <w:right w:val="single" w:color="000000" w:sz="4" w:space="0"/>
            </w:tcBorders>
            <w:vAlign w:val="center"/>
          </w:tcPr>
          <w:p w14:paraId="283F15BB">
            <w:pPr>
              <w:topLinePunct/>
              <w:adjustRightInd w:val="0"/>
              <w:snapToGrid w:val="0"/>
              <w:textAlignment w:val="center"/>
              <w:rPr>
                <w:rFonts w:eastAsia="仿宋"/>
                <w:color w:val="000000"/>
                <w:sz w:val="24"/>
              </w:rPr>
            </w:pPr>
            <w:r>
              <w:rPr>
                <w:rFonts w:eastAsia="仿宋"/>
                <w:color w:val="000000"/>
                <w:kern w:val="0"/>
                <w:sz w:val="24"/>
                <w:lang w:bidi="ar"/>
              </w:rPr>
              <w:t>对冶金企业炼钢炉的水冷元件未设置出水温度、进出水流量差等监测报警装置，或者监测报警装置未与炉体倾动、氧（副）枪自动提升、电极自动断电和升起装置联锁的行政处罚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1095C40B">
            <w:pPr>
              <w:topLinePunct/>
              <w:adjustRightInd w:val="0"/>
              <w:snapToGrid w:val="0"/>
              <w:jc w:val="left"/>
              <w:textAlignment w:val="center"/>
              <w:rPr>
                <w:rFonts w:eastAsia="仿宋"/>
                <w:color w:val="000000"/>
                <w:sz w:val="24"/>
              </w:rPr>
            </w:pPr>
            <w:r>
              <w:rPr>
                <w:rFonts w:eastAsia="仿宋"/>
                <w:color w:val="000000"/>
                <w:kern w:val="0"/>
                <w:sz w:val="24"/>
                <w:lang w:bidi="ar"/>
              </w:rPr>
              <w:t>1.《工贸企业重大事故隐患判定标准》</w:t>
            </w:r>
            <w:r>
              <w:rPr>
                <w:rFonts w:eastAsia="仿宋"/>
                <w:color w:val="000000"/>
                <w:kern w:val="0"/>
                <w:sz w:val="24"/>
                <w:lang w:bidi="ar"/>
              </w:rPr>
              <w:br w:type="textWrapping"/>
            </w:r>
            <w:r>
              <w:rPr>
                <w:rFonts w:eastAsia="仿宋"/>
                <w:color w:val="000000"/>
                <w:kern w:val="0"/>
                <w:sz w:val="24"/>
                <w:lang w:bidi="ar"/>
              </w:rPr>
              <w:t>第四条  冶金企业有下列情形之一的，应当判定为重大事故隐患：</w:t>
            </w:r>
            <w:r>
              <w:rPr>
                <w:rFonts w:eastAsia="仿宋"/>
                <w:color w:val="000000"/>
                <w:kern w:val="0"/>
                <w:sz w:val="24"/>
                <w:lang w:bidi="ar"/>
              </w:rPr>
              <w:br w:type="textWrapping"/>
            </w:r>
            <w:r>
              <w:rPr>
                <w:rFonts w:eastAsia="仿宋"/>
                <w:color w:val="000000"/>
                <w:kern w:val="0"/>
                <w:sz w:val="24"/>
                <w:lang w:bidi="ar"/>
              </w:rPr>
              <w:t>（四）转炉、电弧炉、AOD炉、LF炉、RH炉、VOD炉等炼钢炉的水冷元件未设置出水温度、进出水流量差等监测报警装置，或者监测报警装置未与炉体倾动、氧（副）枪自动提升、电极自动断电和升起装置联锁的；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第九十九条第二项  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二）安全设备的安装、使用、检测、改造和报废不符合国家标准或者行业标准的。</w:t>
            </w:r>
          </w:p>
        </w:tc>
        <w:tc>
          <w:tcPr>
            <w:tcW w:w="476" w:type="pct"/>
            <w:tcBorders>
              <w:top w:val="single" w:color="000000" w:sz="4" w:space="0"/>
              <w:left w:val="single" w:color="000000" w:sz="4" w:space="0"/>
              <w:bottom w:val="single" w:color="000000" w:sz="4" w:space="0"/>
              <w:right w:val="single" w:color="000000" w:sz="4" w:space="0"/>
            </w:tcBorders>
            <w:vAlign w:val="center"/>
          </w:tcPr>
          <w:p w14:paraId="1778795C">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1EEBACB6">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0FFD7160">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027653DE">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77851AB7">
            <w:pPr>
              <w:topLinePunct/>
              <w:adjustRightInd w:val="0"/>
              <w:snapToGrid w:val="0"/>
              <w:jc w:val="center"/>
              <w:textAlignment w:val="center"/>
              <w:rPr>
                <w:rFonts w:eastAsia="仿宋"/>
                <w:color w:val="000000"/>
                <w:sz w:val="24"/>
              </w:rPr>
            </w:pPr>
            <w:r>
              <w:rPr>
                <w:rFonts w:eastAsia="仿宋"/>
                <w:color w:val="000000"/>
                <w:kern w:val="0"/>
                <w:sz w:val="24"/>
                <w:lang w:bidi="ar"/>
              </w:rPr>
              <w:t>165</w:t>
            </w:r>
          </w:p>
        </w:tc>
        <w:tc>
          <w:tcPr>
            <w:tcW w:w="838" w:type="pct"/>
            <w:tcBorders>
              <w:top w:val="single" w:color="000000" w:sz="4" w:space="0"/>
              <w:left w:val="single" w:color="000000" w:sz="4" w:space="0"/>
              <w:bottom w:val="single" w:color="000000" w:sz="4" w:space="0"/>
              <w:right w:val="single" w:color="000000" w:sz="4" w:space="0"/>
            </w:tcBorders>
            <w:vAlign w:val="center"/>
          </w:tcPr>
          <w:p w14:paraId="0B9FB2A3">
            <w:pPr>
              <w:topLinePunct/>
              <w:adjustRightInd w:val="0"/>
              <w:snapToGrid w:val="0"/>
              <w:textAlignment w:val="center"/>
              <w:rPr>
                <w:rFonts w:eastAsia="仿宋"/>
                <w:color w:val="000000"/>
                <w:sz w:val="24"/>
              </w:rPr>
            </w:pPr>
            <w:r>
              <w:rPr>
                <w:rFonts w:eastAsia="仿宋"/>
                <w:color w:val="000000"/>
                <w:kern w:val="0"/>
                <w:sz w:val="24"/>
                <w:lang w:bidi="ar"/>
              </w:rPr>
              <w:t>对冶金企业高炉生产期间炉顶工作压力设定值超过设计文件规定的最高工作压力，或者炉顶工作压力监测装置未与炉顶放散阀联锁，或者炉顶放散阀的联锁放散压力设定值超过设备设计压力值的行政处罚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2561A2D7">
            <w:pPr>
              <w:topLinePunct/>
              <w:adjustRightInd w:val="0"/>
              <w:snapToGrid w:val="0"/>
              <w:jc w:val="left"/>
              <w:textAlignment w:val="center"/>
              <w:rPr>
                <w:rFonts w:eastAsia="仿宋"/>
                <w:color w:val="000000"/>
                <w:sz w:val="24"/>
              </w:rPr>
            </w:pPr>
            <w:r>
              <w:rPr>
                <w:rFonts w:eastAsia="仿宋"/>
                <w:color w:val="000000"/>
                <w:kern w:val="0"/>
                <w:sz w:val="24"/>
                <w:lang w:bidi="ar"/>
              </w:rPr>
              <w:t>1.《工贸企业重大事故隐患判定标准》</w:t>
            </w:r>
            <w:r>
              <w:rPr>
                <w:rFonts w:eastAsia="仿宋"/>
                <w:color w:val="000000"/>
                <w:kern w:val="0"/>
                <w:sz w:val="24"/>
                <w:lang w:bidi="ar"/>
              </w:rPr>
              <w:br w:type="textWrapping"/>
            </w:r>
            <w:r>
              <w:rPr>
                <w:rFonts w:eastAsia="仿宋"/>
                <w:color w:val="000000"/>
                <w:kern w:val="0"/>
                <w:sz w:val="24"/>
                <w:lang w:bidi="ar"/>
              </w:rPr>
              <w:t>第四条  冶金企业有下列情形之一的，应当判定为重大事故隐患：</w:t>
            </w:r>
            <w:r>
              <w:rPr>
                <w:rFonts w:eastAsia="仿宋"/>
                <w:color w:val="000000"/>
                <w:kern w:val="0"/>
                <w:sz w:val="24"/>
                <w:lang w:bidi="ar"/>
              </w:rPr>
              <w:br w:type="textWrapping"/>
            </w:r>
            <w:r>
              <w:rPr>
                <w:rFonts w:eastAsia="仿宋"/>
                <w:color w:val="000000"/>
                <w:kern w:val="0"/>
                <w:sz w:val="24"/>
                <w:lang w:bidi="ar"/>
              </w:rPr>
              <w:t>（五）高炉生产期间炉顶工作压力设定值超过设计文件规定的最高工作压力，或者炉顶工作压力监测装置未与炉顶放散阀联锁，或者炉顶放散阀的联锁放散压力设定值超过设备设计压力值的；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6DF10807">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6C3B5AA1">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6BA72D8A">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35B143FF">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1ABC285A">
            <w:pPr>
              <w:topLinePunct/>
              <w:adjustRightInd w:val="0"/>
              <w:snapToGrid w:val="0"/>
              <w:jc w:val="center"/>
              <w:textAlignment w:val="center"/>
              <w:rPr>
                <w:rFonts w:eastAsia="仿宋"/>
                <w:color w:val="000000"/>
                <w:sz w:val="24"/>
              </w:rPr>
            </w:pPr>
            <w:r>
              <w:rPr>
                <w:rFonts w:eastAsia="仿宋"/>
                <w:color w:val="000000"/>
                <w:kern w:val="0"/>
                <w:sz w:val="24"/>
                <w:lang w:bidi="ar"/>
              </w:rPr>
              <w:t>166</w:t>
            </w:r>
          </w:p>
        </w:tc>
        <w:tc>
          <w:tcPr>
            <w:tcW w:w="838" w:type="pct"/>
            <w:tcBorders>
              <w:top w:val="single" w:color="000000" w:sz="4" w:space="0"/>
              <w:left w:val="single" w:color="000000" w:sz="4" w:space="0"/>
              <w:bottom w:val="single" w:color="000000" w:sz="4" w:space="0"/>
              <w:right w:val="single" w:color="000000" w:sz="4" w:space="0"/>
            </w:tcBorders>
            <w:vAlign w:val="center"/>
          </w:tcPr>
          <w:p w14:paraId="682DA295">
            <w:pPr>
              <w:topLinePunct/>
              <w:adjustRightInd w:val="0"/>
              <w:snapToGrid w:val="0"/>
              <w:textAlignment w:val="center"/>
              <w:rPr>
                <w:rFonts w:eastAsia="仿宋"/>
                <w:color w:val="000000"/>
                <w:sz w:val="24"/>
              </w:rPr>
            </w:pPr>
            <w:r>
              <w:rPr>
                <w:rFonts w:eastAsia="仿宋"/>
                <w:color w:val="000000"/>
                <w:kern w:val="0"/>
                <w:sz w:val="24"/>
                <w:lang w:bidi="ar"/>
              </w:rPr>
              <w:t>对冶金企业煤气生产、回收净化、加压混合、储存、使用设施附近的会议室、活动室、休息室、操作室、交接班室、更衣室等人员聚集场所，以及可能发生煤气泄漏、积聚的场所和部位未设置固定式一氧化碳浓度监测报警装置，或者监测数据未接入24小时有人值守场所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40A11EE6">
            <w:pPr>
              <w:topLinePunct/>
              <w:adjustRightInd w:val="0"/>
              <w:snapToGrid w:val="0"/>
              <w:jc w:val="left"/>
              <w:textAlignment w:val="center"/>
              <w:rPr>
                <w:rFonts w:eastAsia="仿宋"/>
                <w:color w:val="000000"/>
                <w:sz w:val="24"/>
              </w:rPr>
            </w:pPr>
            <w:r>
              <w:rPr>
                <w:rFonts w:eastAsia="仿宋"/>
                <w:color w:val="000000"/>
                <w:kern w:val="0"/>
                <w:sz w:val="24"/>
                <w:lang w:bidi="ar"/>
              </w:rPr>
              <w:t>1.《工贸企业重大事故隐患判定标准》</w:t>
            </w:r>
            <w:r>
              <w:rPr>
                <w:rFonts w:eastAsia="仿宋"/>
                <w:color w:val="000000"/>
                <w:kern w:val="0"/>
                <w:sz w:val="24"/>
                <w:lang w:bidi="ar"/>
              </w:rPr>
              <w:br w:type="textWrapping"/>
            </w:r>
            <w:r>
              <w:rPr>
                <w:rFonts w:eastAsia="仿宋"/>
                <w:color w:val="000000"/>
                <w:kern w:val="0"/>
                <w:sz w:val="24"/>
                <w:lang w:bidi="ar"/>
              </w:rPr>
              <w:t>第四条  冶金企业有下列情形之一的，应当判定为重大事故隐患：</w:t>
            </w:r>
            <w:r>
              <w:rPr>
                <w:rFonts w:eastAsia="仿宋"/>
                <w:color w:val="000000"/>
                <w:kern w:val="0"/>
                <w:sz w:val="24"/>
                <w:lang w:bidi="ar"/>
              </w:rPr>
              <w:br w:type="textWrapping"/>
            </w:r>
            <w:r>
              <w:rPr>
                <w:rFonts w:eastAsia="仿宋"/>
                <w:color w:val="000000"/>
                <w:kern w:val="0"/>
                <w:sz w:val="24"/>
                <w:lang w:bidi="ar"/>
              </w:rPr>
              <w:t>（六）煤气生产、回收净化、加压混合、储存、使用设施附近的会议室、活动室、休息室、操作室、交接班室、更衣室等6类人员聚集场所，以及可能发生煤气泄漏、积聚的场所和部位未设置固定式一氧化碳浓度监测报警装置，或者监测数据未接入24小时有人值守场所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第九十九条第二项  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二）安全设备的安装、使用、检测、改造和报废不符合国家标准或者行业标准的。</w:t>
            </w:r>
          </w:p>
        </w:tc>
        <w:tc>
          <w:tcPr>
            <w:tcW w:w="476" w:type="pct"/>
            <w:tcBorders>
              <w:top w:val="single" w:color="000000" w:sz="4" w:space="0"/>
              <w:left w:val="single" w:color="000000" w:sz="4" w:space="0"/>
              <w:bottom w:val="single" w:color="000000" w:sz="4" w:space="0"/>
              <w:right w:val="single" w:color="000000" w:sz="4" w:space="0"/>
            </w:tcBorders>
            <w:vAlign w:val="center"/>
          </w:tcPr>
          <w:p w14:paraId="20A23304">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0C626C7F">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205AFFFE">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042EAB79">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71201FD2">
            <w:pPr>
              <w:topLinePunct/>
              <w:adjustRightInd w:val="0"/>
              <w:snapToGrid w:val="0"/>
              <w:jc w:val="center"/>
              <w:textAlignment w:val="center"/>
              <w:rPr>
                <w:rFonts w:eastAsia="仿宋"/>
                <w:color w:val="000000"/>
                <w:sz w:val="24"/>
              </w:rPr>
            </w:pPr>
            <w:r>
              <w:rPr>
                <w:rFonts w:eastAsia="仿宋"/>
                <w:color w:val="000000"/>
                <w:kern w:val="0"/>
                <w:sz w:val="24"/>
                <w:lang w:bidi="ar"/>
              </w:rPr>
              <w:t>167</w:t>
            </w:r>
          </w:p>
        </w:tc>
        <w:tc>
          <w:tcPr>
            <w:tcW w:w="838" w:type="pct"/>
            <w:tcBorders>
              <w:top w:val="single" w:color="000000" w:sz="4" w:space="0"/>
              <w:left w:val="single" w:color="000000" w:sz="4" w:space="0"/>
              <w:bottom w:val="single" w:color="000000" w:sz="4" w:space="0"/>
              <w:right w:val="single" w:color="000000" w:sz="4" w:space="0"/>
            </w:tcBorders>
            <w:vAlign w:val="center"/>
          </w:tcPr>
          <w:p w14:paraId="0B4D66D1">
            <w:pPr>
              <w:topLinePunct/>
              <w:adjustRightInd w:val="0"/>
              <w:snapToGrid w:val="0"/>
              <w:textAlignment w:val="center"/>
              <w:rPr>
                <w:rFonts w:eastAsia="仿宋"/>
                <w:color w:val="000000"/>
                <w:sz w:val="24"/>
              </w:rPr>
            </w:pPr>
            <w:r>
              <w:rPr>
                <w:rFonts w:eastAsia="仿宋"/>
                <w:color w:val="000000"/>
                <w:kern w:val="0"/>
                <w:sz w:val="24"/>
                <w:lang w:bidi="ar"/>
              </w:rPr>
              <w:t>对冶金企业加热炉、煤气柜、除尘器、加压机、烘烤器等设施，以及进入车间前的煤气管道未安装隔断装置的行政处罚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0E5DF204">
            <w:pPr>
              <w:topLinePunct/>
              <w:adjustRightInd w:val="0"/>
              <w:snapToGrid w:val="0"/>
              <w:jc w:val="left"/>
              <w:textAlignment w:val="center"/>
              <w:rPr>
                <w:rFonts w:eastAsia="仿宋"/>
                <w:color w:val="000000"/>
                <w:sz w:val="24"/>
              </w:rPr>
            </w:pPr>
            <w:r>
              <w:rPr>
                <w:rFonts w:eastAsia="仿宋"/>
                <w:color w:val="000000"/>
                <w:kern w:val="0"/>
                <w:sz w:val="24"/>
                <w:lang w:bidi="ar"/>
              </w:rPr>
              <w:t>1.《工贸企业重大事故隐患判定标准》</w:t>
            </w:r>
            <w:r>
              <w:rPr>
                <w:rFonts w:eastAsia="仿宋"/>
                <w:color w:val="000000"/>
                <w:kern w:val="0"/>
                <w:sz w:val="24"/>
                <w:lang w:bidi="ar"/>
              </w:rPr>
              <w:br w:type="textWrapping"/>
            </w:r>
            <w:r>
              <w:rPr>
                <w:rFonts w:eastAsia="仿宋"/>
                <w:color w:val="000000"/>
                <w:kern w:val="0"/>
                <w:sz w:val="24"/>
                <w:lang w:bidi="ar"/>
              </w:rPr>
              <w:t>第四条  冶金企业有下列情形之一的，应当判定为重大事故隐患：</w:t>
            </w:r>
            <w:r>
              <w:rPr>
                <w:rFonts w:eastAsia="仿宋"/>
                <w:color w:val="000000"/>
                <w:kern w:val="0"/>
                <w:sz w:val="24"/>
                <w:lang w:bidi="ar"/>
              </w:rPr>
              <w:br w:type="textWrapping"/>
            </w:r>
            <w:r>
              <w:rPr>
                <w:rFonts w:eastAsia="仿宋"/>
                <w:color w:val="000000"/>
                <w:kern w:val="0"/>
                <w:sz w:val="24"/>
                <w:lang w:bidi="ar"/>
              </w:rPr>
              <w:t>（七）加热炉、煤气柜、除尘器、加压机、烘烤器等设施，以及进入车间前的煤气管道未安装隔断装置的；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第九十九条第二项  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二）安全设备的安装、使用、检测、改造和报废不符合国家标准或者行业标准的。</w:t>
            </w:r>
          </w:p>
        </w:tc>
        <w:tc>
          <w:tcPr>
            <w:tcW w:w="476" w:type="pct"/>
            <w:tcBorders>
              <w:top w:val="single" w:color="000000" w:sz="4" w:space="0"/>
              <w:left w:val="single" w:color="000000" w:sz="4" w:space="0"/>
              <w:bottom w:val="single" w:color="000000" w:sz="4" w:space="0"/>
              <w:right w:val="single" w:color="000000" w:sz="4" w:space="0"/>
            </w:tcBorders>
            <w:vAlign w:val="center"/>
          </w:tcPr>
          <w:p w14:paraId="73DB0493">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26B8AA40">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2A6A1A65">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7A49DDF4">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23E5A221">
            <w:pPr>
              <w:topLinePunct/>
              <w:adjustRightInd w:val="0"/>
              <w:snapToGrid w:val="0"/>
              <w:jc w:val="center"/>
              <w:textAlignment w:val="center"/>
              <w:rPr>
                <w:rFonts w:eastAsia="仿宋"/>
                <w:color w:val="000000"/>
                <w:sz w:val="24"/>
              </w:rPr>
            </w:pPr>
            <w:r>
              <w:rPr>
                <w:rFonts w:eastAsia="仿宋"/>
                <w:color w:val="000000"/>
                <w:kern w:val="0"/>
                <w:sz w:val="24"/>
                <w:lang w:bidi="ar"/>
              </w:rPr>
              <w:t>168</w:t>
            </w:r>
          </w:p>
        </w:tc>
        <w:tc>
          <w:tcPr>
            <w:tcW w:w="838" w:type="pct"/>
            <w:tcBorders>
              <w:top w:val="single" w:color="000000" w:sz="4" w:space="0"/>
              <w:left w:val="single" w:color="000000" w:sz="4" w:space="0"/>
              <w:bottom w:val="single" w:color="000000" w:sz="4" w:space="0"/>
              <w:right w:val="single" w:color="000000" w:sz="4" w:space="0"/>
            </w:tcBorders>
            <w:vAlign w:val="center"/>
          </w:tcPr>
          <w:p w14:paraId="5D963974">
            <w:pPr>
              <w:topLinePunct/>
              <w:adjustRightInd w:val="0"/>
              <w:snapToGrid w:val="0"/>
              <w:textAlignment w:val="center"/>
              <w:rPr>
                <w:rFonts w:eastAsia="仿宋"/>
                <w:color w:val="000000"/>
                <w:sz w:val="24"/>
              </w:rPr>
            </w:pPr>
            <w:r>
              <w:rPr>
                <w:rFonts w:eastAsia="仿宋"/>
                <w:color w:val="000000"/>
                <w:kern w:val="0"/>
                <w:sz w:val="24"/>
                <w:lang w:bidi="ar"/>
              </w:rPr>
              <w:t>对冶金企业正压煤气输配管线水封式排水器的最高封堵煤气压力小于30kPa，或者同一煤气管道隔断装置的两侧共用一个排水器，或者不同煤气管道排水器上部的排水管连通，或者不同介质的煤气管道共用一个排水器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6979B2FA">
            <w:pPr>
              <w:topLinePunct/>
              <w:adjustRightInd w:val="0"/>
              <w:snapToGrid w:val="0"/>
              <w:jc w:val="left"/>
              <w:textAlignment w:val="center"/>
              <w:rPr>
                <w:rFonts w:eastAsia="仿宋"/>
                <w:color w:val="000000"/>
                <w:sz w:val="24"/>
              </w:rPr>
            </w:pPr>
            <w:r>
              <w:rPr>
                <w:rFonts w:eastAsia="仿宋"/>
                <w:color w:val="000000"/>
                <w:kern w:val="0"/>
                <w:sz w:val="24"/>
                <w:lang w:bidi="ar"/>
              </w:rPr>
              <w:t>1.《工贸企业重大事故隐患判定标准》</w:t>
            </w:r>
            <w:r>
              <w:rPr>
                <w:rFonts w:eastAsia="仿宋"/>
                <w:color w:val="000000"/>
                <w:kern w:val="0"/>
                <w:sz w:val="24"/>
                <w:lang w:bidi="ar"/>
              </w:rPr>
              <w:br w:type="textWrapping"/>
            </w:r>
            <w:r>
              <w:rPr>
                <w:rFonts w:eastAsia="仿宋"/>
                <w:color w:val="000000"/>
                <w:kern w:val="0"/>
                <w:sz w:val="24"/>
                <w:lang w:bidi="ar"/>
              </w:rPr>
              <w:t>第四条  冶金企业有下列情形之一的，应当判定为重大事故隐患：</w:t>
            </w:r>
            <w:r>
              <w:rPr>
                <w:rFonts w:eastAsia="仿宋"/>
                <w:color w:val="000000"/>
                <w:kern w:val="0"/>
                <w:sz w:val="24"/>
                <w:lang w:bidi="ar"/>
              </w:rPr>
              <w:br w:type="textWrapping"/>
            </w:r>
            <w:r>
              <w:rPr>
                <w:rFonts w:eastAsia="仿宋"/>
                <w:color w:val="000000"/>
                <w:kern w:val="0"/>
                <w:sz w:val="24"/>
                <w:lang w:bidi="ar"/>
              </w:rPr>
              <w:t>（八）正压煤气输配管线水封式排水器的最高封堵煤气压力小于30kPa，或者同一煤气管道隔断装置的两侧共用一个排水器，或者不同煤气管道排水器上部的排水管连通，或者不同介质的煤气管道共用一个排水器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336B20D8">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18C97D90">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45726708">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6F30EC80">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02B800B6">
            <w:pPr>
              <w:topLinePunct/>
              <w:adjustRightInd w:val="0"/>
              <w:snapToGrid w:val="0"/>
              <w:jc w:val="center"/>
              <w:textAlignment w:val="center"/>
              <w:rPr>
                <w:rFonts w:eastAsia="仿宋"/>
                <w:color w:val="000000"/>
                <w:sz w:val="24"/>
              </w:rPr>
            </w:pPr>
            <w:r>
              <w:rPr>
                <w:rFonts w:eastAsia="仿宋"/>
                <w:color w:val="000000"/>
                <w:kern w:val="0"/>
                <w:sz w:val="24"/>
                <w:lang w:bidi="ar"/>
              </w:rPr>
              <w:t>169</w:t>
            </w:r>
          </w:p>
        </w:tc>
        <w:tc>
          <w:tcPr>
            <w:tcW w:w="838" w:type="pct"/>
            <w:tcBorders>
              <w:top w:val="single" w:color="000000" w:sz="4" w:space="0"/>
              <w:left w:val="single" w:color="000000" w:sz="4" w:space="0"/>
              <w:bottom w:val="single" w:color="000000" w:sz="4" w:space="0"/>
              <w:right w:val="single" w:color="000000" w:sz="4" w:space="0"/>
            </w:tcBorders>
            <w:vAlign w:val="center"/>
          </w:tcPr>
          <w:p w14:paraId="289427F7">
            <w:pPr>
              <w:topLinePunct/>
              <w:adjustRightInd w:val="0"/>
              <w:snapToGrid w:val="0"/>
              <w:textAlignment w:val="center"/>
              <w:rPr>
                <w:rFonts w:eastAsia="仿宋"/>
                <w:color w:val="000000"/>
                <w:sz w:val="24"/>
              </w:rPr>
            </w:pPr>
            <w:r>
              <w:rPr>
                <w:rFonts w:eastAsia="仿宋"/>
                <w:color w:val="000000"/>
                <w:kern w:val="0"/>
                <w:sz w:val="24"/>
                <w:lang w:bidi="ar"/>
              </w:rPr>
              <w:t>对有色企业会议室、活动室、休息室、操作室、交接班室、更衣室（含澡堂）等人员聚集场所设置在熔融金属吊运跨的地坪区域内的行政处罚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17DC7CFC">
            <w:pPr>
              <w:topLinePunct/>
              <w:adjustRightInd w:val="0"/>
              <w:snapToGrid w:val="0"/>
              <w:jc w:val="left"/>
              <w:textAlignment w:val="center"/>
              <w:rPr>
                <w:rFonts w:eastAsia="仿宋"/>
                <w:color w:val="000000"/>
                <w:sz w:val="24"/>
              </w:rPr>
            </w:pPr>
            <w:r>
              <w:rPr>
                <w:rFonts w:eastAsia="仿宋"/>
                <w:color w:val="000000"/>
                <w:kern w:val="0"/>
                <w:sz w:val="24"/>
                <w:lang w:bidi="ar"/>
              </w:rPr>
              <w:t>1.《工贸企业重大事故隐患判定标准》</w:t>
            </w:r>
            <w:r>
              <w:rPr>
                <w:rFonts w:eastAsia="仿宋"/>
                <w:color w:val="000000"/>
                <w:kern w:val="0"/>
                <w:sz w:val="24"/>
                <w:lang w:bidi="ar"/>
              </w:rPr>
              <w:br w:type="textWrapping"/>
            </w:r>
            <w:r>
              <w:rPr>
                <w:rFonts w:eastAsia="仿宋"/>
                <w:color w:val="000000"/>
                <w:kern w:val="0"/>
                <w:sz w:val="24"/>
                <w:lang w:bidi="ar"/>
              </w:rPr>
              <w:t>第五条  有色企业有下列情形之一的，应当判定为重大事故隐患：</w:t>
            </w:r>
            <w:r>
              <w:rPr>
                <w:rFonts w:eastAsia="仿宋"/>
                <w:color w:val="000000"/>
                <w:kern w:val="0"/>
                <w:sz w:val="24"/>
                <w:lang w:bidi="ar"/>
              </w:rPr>
              <w:br w:type="textWrapping"/>
            </w:r>
            <w:r>
              <w:rPr>
                <w:rFonts w:eastAsia="仿宋"/>
                <w:color w:val="000000"/>
                <w:kern w:val="0"/>
                <w:sz w:val="24"/>
                <w:lang w:bidi="ar"/>
              </w:rPr>
              <w:t>（一）会议室、活动室、休息室、操作室、交接班室、更衣室（含澡堂）等6类人员聚集场所设置在熔融金属吊运跨的地坪区域内的；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082A8836">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0707E2D7">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5AA444F7">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34BA090C">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7F9D36BA">
            <w:pPr>
              <w:topLinePunct/>
              <w:adjustRightInd w:val="0"/>
              <w:snapToGrid w:val="0"/>
              <w:jc w:val="center"/>
              <w:textAlignment w:val="center"/>
              <w:rPr>
                <w:rFonts w:eastAsia="仿宋"/>
                <w:color w:val="000000"/>
                <w:sz w:val="24"/>
              </w:rPr>
            </w:pPr>
            <w:r>
              <w:rPr>
                <w:rFonts w:eastAsia="仿宋"/>
                <w:color w:val="000000"/>
                <w:kern w:val="0"/>
                <w:sz w:val="24"/>
                <w:lang w:bidi="ar"/>
              </w:rPr>
              <w:t>170</w:t>
            </w:r>
          </w:p>
        </w:tc>
        <w:tc>
          <w:tcPr>
            <w:tcW w:w="838" w:type="pct"/>
            <w:tcBorders>
              <w:top w:val="single" w:color="000000" w:sz="4" w:space="0"/>
              <w:left w:val="single" w:color="000000" w:sz="4" w:space="0"/>
              <w:bottom w:val="single" w:color="000000" w:sz="4" w:space="0"/>
              <w:right w:val="single" w:color="000000" w:sz="4" w:space="0"/>
            </w:tcBorders>
            <w:vAlign w:val="center"/>
          </w:tcPr>
          <w:p w14:paraId="3FFA12AD">
            <w:pPr>
              <w:topLinePunct/>
              <w:adjustRightInd w:val="0"/>
              <w:snapToGrid w:val="0"/>
              <w:textAlignment w:val="center"/>
              <w:rPr>
                <w:rFonts w:eastAsia="仿宋"/>
                <w:color w:val="000000"/>
                <w:sz w:val="24"/>
              </w:rPr>
            </w:pPr>
            <w:r>
              <w:rPr>
                <w:rFonts w:eastAsia="仿宋"/>
                <w:color w:val="000000"/>
                <w:kern w:val="0"/>
                <w:sz w:val="24"/>
                <w:lang w:bidi="ar"/>
              </w:rPr>
              <w:t>对有色企业生产期间冶炼、精炼、铸造生产区域的事故坑、炉下渣坑，以及熔融金属泄漏、喷溅影响范围内的炉前平台、炉基区域、厂房内吊运和地面运输通道等区域存在非生产性积水的行政处罚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4FC5EA83">
            <w:pPr>
              <w:topLinePunct/>
              <w:adjustRightInd w:val="0"/>
              <w:snapToGrid w:val="0"/>
              <w:jc w:val="left"/>
              <w:textAlignment w:val="center"/>
              <w:rPr>
                <w:rFonts w:eastAsia="仿宋"/>
                <w:color w:val="000000"/>
                <w:sz w:val="24"/>
              </w:rPr>
            </w:pPr>
            <w:r>
              <w:rPr>
                <w:rFonts w:eastAsia="仿宋"/>
                <w:color w:val="000000"/>
                <w:kern w:val="0"/>
                <w:sz w:val="24"/>
                <w:lang w:bidi="ar"/>
              </w:rPr>
              <w:t>1.《工贸企业重大事故隐患判定标准》</w:t>
            </w:r>
            <w:r>
              <w:rPr>
                <w:rFonts w:eastAsia="仿宋"/>
                <w:color w:val="000000"/>
                <w:kern w:val="0"/>
                <w:sz w:val="24"/>
                <w:lang w:bidi="ar"/>
              </w:rPr>
              <w:br w:type="textWrapping"/>
            </w:r>
            <w:r>
              <w:rPr>
                <w:rFonts w:eastAsia="仿宋"/>
                <w:color w:val="000000"/>
                <w:kern w:val="0"/>
                <w:sz w:val="24"/>
                <w:lang w:bidi="ar"/>
              </w:rPr>
              <w:t>第五条  有色企业有下列情形之一的，应当判定为重大事故隐患：</w:t>
            </w:r>
            <w:r>
              <w:rPr>
                <w:rFonts w:eastAsia="仿宋"/>
                <w:color w:val="000000"/>
                <w:kern w:val="0"/>
                <w:sz w:val="24"/>
                <w:lang w:bidi="ar"/>
              </w:rPr>
              <w:br w:type="textWrapping"/>
            </w:r>
            <w:r>
              <w:rPr>
                <w:rFonts w:eastAsia="仿宋"/>
                <w:color w:val="000000"/>
                <w:kern w:val="0"/>
                <w:sz w:val="24"/>
                <w:lang w:bidi="ar"/>
              </w:rPr>
              <w:t>（二）生产期间冶炼、精炼、铸造生产区域的事故坑、炉下渣坑，以及熔融金属泄漏、喷溅影响范围内的炉前平台、炉基区域、厂房内吊运和地面运输通道等6类区域存在非生产性积水的；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66362421">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3D79A8F7">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61C01605">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6449699A">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6E70B9FB">
            <w:pPr>
              <w:topLinePunct/>
              <w:adjustRightInd w:val="0"/>
              <w:snapToGrid w:val="0"/>
              <w:jc w:val="center"/>
              <w:textAlignment w:val="center"/>
              <w:rPr>
                <w:rFonts w:eastAsia="仿宋"/>
                <w:color w:val="000000"/>
                <w:sz w:val="24"/>
              </w:rPr>
            </w:pPr>
            <w:r>
              <w:rPr>
                <w:rFonts w:eastAsia="仿宋"/>
                <w:color w:val="000000"/>
                <w:kern w:val="0"/>
                <w:sz w:val="24"/>
                <w:lang w:bidi="ar"/>
              </w:rPr>
              <w:t>171</w:t>
            </w:r>
          </w:p>
        </w:tc>
        <w:tc>
          <w:tcPr>
            <w:tcW w:w="838" w:type="pct"/>
            <w:tcBorders>
              <w:top w:val="single" w:color="000000" w:sz="4" w:space="0"/>
              <w:left w:val="single" w:color="000000" w:sz="4" w:space="0"/>
              <w:bottom w:val="single" w:color="000000" w:sz="4" w:space="0"/>
              <w:right w:val="single" w:color="000000" w:sz="4" w:space="0"/>
            </w:tcBorders>
            <w:vAlign w:val="center"/>
          </w:tcPr>
          <w:p w14:paraId="0152C85B">
            <w:pPr>
              <w:topLinePunct/>
              <w:adjustRightInd w:val="0"/>
              <w:snapToGrid w:val="0"/>
              <w:textAlignment w:val="center"/>
              <w:rPr>
                <w:rFonts w:eastAsia="仿宋"/>
                <w:color w:val="000000"/>
                <w:sz w:val="24"/>
              </w:rPr>
            </w:pPr>
            <w:r>
              <w:rPr>
                <w:rFonts w:eastAsia="仿宋"/>
                <w:color w:val="000000"/>
                <w:kern w:val="0"/>
                <w:sz w:val="24"/>
                <w:lang w:bidi="ar"/>
              </w:rPr>
              <w:t>对有色企业熔融金属铸造环节未设置紧急排放和应急储存设施的行政处罚（倾动式熔炼炉、倾动式保温炉、倾动式熔保一体炉、带保温炉的固定式熔炼炉除外）</w:t>
            </w:r>
          </w:p>
        </w:tc>
        <w:tc>
          <w:tcPr>
            <w:tcW w:w="2453" w:type="pct"/>
            <w:tcBorders>
              <w:top w:val="single" w:color="000000" w:sz="4" w:space="0"/>
              <w:left w:val="single" w:color="000000" w:sz="4" w:space="0"/>
              <w:bottom w:val="single" w:color="000000" w:sz="4" w:space="0"/>
              <w:right w:val="single" w:color="000000" w:sz="4" w:space="0"/>
            </w:tcBorders>
            <w:vAlign w:val="center"/>
          </w:tcPr>
          <w:p w14:paraId="6DFC26BD">
            <w:pPr>
              <w:topLinePunct/>
              <w:adjustRightInd w:val="0"/>
              <w:snapToGrid w:val="0"/>
              <w:jc w:val="left"/>
              <w:textAlignment w:val="center"/>
              <w:rPr>
                <w:rFonts w:eastAsia="仿宋"/>
                <w:color w:val="000000"/>
                <w:sz w:val="24"/>
              </w:rPr>
            </w:pPr>
            <w:r>
              <w:rPr>
                <w:rFonts w:eastAsia="仿宋"/>
                <w:color w:val="000000"/>
                <w:kern w:val="0"/>
                <w:sz w:val="24"/>
                <w:lang w:bidi="ar"/>
              </w:rPr>
              <w:t>1.《工贸企业重大事故隐患判定标准》</w:t>
            </w:r>
            <w:r>
              <w:rPr>
                <w:rFonts w:eastAsia="仿宋"/>
                <w:color w:val="000000"/>
                <w:kern w:val="0"/>
                <w:sz w:val="24"/>
                <w:lang w:bidi="ar"/>
              </w:rPr>
              <w:br w:type="textWrapping"/>
            </w:r>
            <w:r>
              <w:rPr>
                <w:rFonts w:eastAsia="仿宋"/>
                <w:color w:val="000000"/>
                <w:kern w:val="0"/>
                <w:sz w:val="24"/>
                <w:lang w:bidi="ar"/>
              </w:rPr>
              <w:t>第五条  有色企业有下列情形之一的，应当判定为重大事故隐患：</w:t>
            </w:r>
            <w:r>
              <w:rPr>
                <w:rFonts w:eastAsia="仿宋"/>
                <w:color w:val="000000"/>
                <w:kern w:val="0"/>
                <w:sz w:val="24"/>
                <w:lang w:bidi="ar"/>
              </w:rPr>
              <w:br w:type="textWrapping"/>
            </w:r>
            <w:r>
              <w:rPr>
                <w:rFonts w:eastAsia="仿宋"/>
                <w:color w:val="000000"/>
                <w:kern w:val="0"/>
                <w:sz w:val="24"/>
                <w:lang w:bidi="ar"/>
              </w:rPr>
              <w:t>（三）熔融金属铸造环节未设置紧急排放和应急储存设施的（倾动式熔炼炉、倾动式保温炉、倾动式熔保一体炉、带保温炉的固定式熔炼炉除外）；</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1FE5CCFC">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3A50426F">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64C0FE64">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61FBE22B">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44D28821">
            <w:pPr>
              <w:topLinePunct/>
              <w:adjustRightInd w:val="0"/>
              <w:snapToGrid w:val="0"/>
              <w:jc w:val="center"/>
              <w:textAlignment w:val="center"/>
              <w:rPr>
                <w:rFonts w:eastAsia="仿宋"/>
                <w:color w:val="000000"/>
                <w:sz w:val="24"/>
              </w:rPr>
            </w:pPr>
            <w:r>
              <w:rPr>
                <w:rFonts w:eastAsia="仿宋"/>
                <w:color w:val="000000"/>
                <w:kern w:val="0"/>
                <w:sz w:val="24"/>
                <w:lang w:bidi="ar"/>
              </w:rPr>
              <w:t>172</w:t>
            </w:r>
          </w:p>
        </w:tc>
        <w:tc>
          <w:tcPr>
            <w:tcW w:w="838" w:type="pct"/>
            <w:tcBorders>
              <w:top w:val="single" w:color="000000" w:sz="4" w:space="0"/>
              <w:left w:val="single" w:color="000000" w:sz="4" w:space="0"/>
              <w:bottom w:val="single" w:color="000000" w:sz="4" w:space="0"/>
              <w:right w:val="single" w:color="000000" w:sz="4" w:space="0"/>
            </w:tcBorders>
            <w:vAlign w:val="center"/>
          </w:tcPr>
          <w:p w14:paraId="3B7AAB17">
            <w:pPr>
              <w:topLinePunct/>
              <w:adjustRightInd w:val="0"/>
              <w:snapToGrid w:val="0"/>
              <w:textAlignment w:val="center"/>
              <w:rPr>
                <w:rFonts w:eastAsia="仿宋"/>
                <w:color w:val="000000"/>
                <w:sz w:val="24"/>
              </w:rPr>
            </w:pPr>
            <w:r>
              <w:rPr>
                <w:rFonts w:eastAsia="仿宋"/>
                <w:color w:val="000000"/>
                <w:kern w:val="0"/>
                <w:sz w:val="24"/>
                <w:lang w:bidi="ar"/>
              </w:rPr>
              <w:t>对有色企业采用水冷冷却的冶炼炉窑、铸造机（铝加工深井铸造工艺的结晶器除外）、加热炉未设置应急水源的行政处罚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3EC89E17">
            <w:pPr>
              <w:topLinePunct/>
              <w:adjustRightInd w:val="0"/>
              <w:snapToGrid w:val="0"/>
              <w:jc w:val="left"/>
              <w:textAlignment w:val="center"/>
              <w:rPr>
                <w:rFonts w:eastAsia="仿宋"/>
                <w:color w:val="000000"/>
                <w:sz w:val="24"/>
              </w:rPr>
            </w:pPr>
            <w:r>
              <w:rPr>
                <w:rFonts w:eastAsia="仿宋"/>
                <w:color w:val="000000"/>
                <w:kern w:val="0"/>
                <w:sz w:val="24"/>
                <w:lang w:bidi="ar"/>
              </w:rPr>
              <w:t>1.《工贸企业重大事故隐患判定标准》</w:t>
            </w:r>
            <w:r>
              <w:rPr>
                <w:rFonts w:eastAsia="仿宋"/>
                <w:color w:val="000000"/>
                <w:kern w:val="0"/>
                <w:sz w:val="24"/>
                <w:lang w:bidi="ar"/>
              </w:rPr>
              <w:br w:type="textWrapping"/>
            </w:r>
            <w:r>
              <w:rPr>
                <w:rFonts w:eastAsia="仿宋"/>
                <w:color w:val="000000"/>
                <w:kern w:val="0"/>
                <w:sz w:val="24"/>
                <w:lang w:bidi="ar"/>
              </w:rPr>
              <w:t>第五条  有色企业有下列情形之一的，应当判定为重大事故隐患：</w:t>
            </w:r>
            <w:r>
              <w:rPr>
                <w:rFonts w:eastAsia="仿宋"/>
                <w:color w:val="000000"/>
                <w:kern w:val="0"/>
                <w:sz w:val="24"/>
                <w:lang w:bidi="ar"/>
              </w:rPr>
              <w:br w:type="textWrapping"/>
            </w:r>
            <w:r>
              <w:rPr>
                <w:rFonts w:eastAsia="仿宋"/>
                <w:color w:val="000000"/>
                <w:kern w:val="0"/>
                <w:sz w:val="24"/>
                <w:lang w:bidi="ar"/>
              </w:rPr>
              <w:t>（四）采用水冷冷却的冶炼炉窑、铸造机（铝加工深井铸造工艺的结晶器除外）、加热炉未设置应急水源的；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4AD9F1DD">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158D09A0">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3B000F2F">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1DAD4422">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0453E900">
            <w:pPr>
              <w:topLinePunct/>
              <w:adjustRightInd w:val="0"/>
              <w:snapToGrid w:val="0"/>
              <w:jc w:val="center"/>
              <w:textAlignment w:val="center"/>
              <w:rPr>
                <w:rFonts w:eastAsia="仿宋"/>
                <w:color w:val="000000"/>
                <w:sz w:val="24"/>
              </w:rPr>
            </w:pPr>
            <w:r>
              <w:rPr>
                <w:rFonts w:eastAsia="仿宋"/>
                <w:color w:val="000000"/>
                <w:kern w:val="0"/>
                <w:sz w:val="24"/>
                <w:lang w:bidi="ar"/>
              </w:rPr>
              <w:t>173</w:t>
            </w:r>
          </w:p>
        </w:tc>
        <w:tc>
          <w:tcPr>
            <w:tcW w:w="838" w:type="pct"/>
            <w:tcBorders>
              <w:top w:val="single" w:color="000000" w:sz="4" w:space="0"/>
              <w:left w:val="single" w:color="000000" w:sz="4" w:space="0"/>
              <w:bottom w:val="single" w:color="000000" w:sz="4" w:space="0"/>
              <w:right w:val="single" w:color="000000" w:sz="4" w:space="0"/>
            </w:tcBorders>
            <w:vAlign w:val="center"/>
          </w:tcPr>
          <w:p w14:paraId="0A5255B8">
            <w:pPr>
              <w:topLinePunct/>
              <w:adjustRightInd w:val="0"/>
              <w:snapToGrid w:val="0"/>
              <w:textAlignment w:val="center"/>
              <w:rPr>
                <w:rFonts w:eastAsia="仿宋"/>
                <w:color w:val="000000"/>
                <w:sz w:val="24"/>
              </w:rPr>
            </w:pPr>
            <w:r>
              <w:rPr>
                <w:rFonts w:eastAsia="仿宋"/>
                <w:color w:val="000000"/>
                <w:kern w:val="0"/>
                <w:sz w:val="24"/>
                <w:lang w:bidi="ar"/>
              </w:rPr>
              <w:t>对有色企业熔融金属冶炼炉窑的闭路循环水冷元件未设置出水温度、进出水流量差监测报警装置，或者开路水冷元件未设置进水流量、压力监测报警装置，或者未监测开路水冷元件出水温度的行政处罚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2DD58C4A">
            <w:pPr>
              <w:topLinePunct/>
              <w:adjustRightInd w:val="0"/>
              <w:snapToGrid w:val="0"/>
              <w:jc w:val="left"/>
              <w:textAlignment w:val="center"/>
              <w:rPr>
                <w:rFonts w:eastAsia="仿宋"/>
                <w:color w:val="000000"/>
                <w:sz w:val="24"/>
              </w:rPr>
            </w:pPr>
            <w:r>
              <w:rPr>
                <w:rFonts w:eastAsia="仿宋"/>
                <w:color w:val="000000"/>
                <w:kern w:val="0"/>
                <w:sz w:val="24"/>
                <w:lang w:bidi="ar"/>
              </w:rPr>
              <w:t>1.《工贸企业重大事故隐患判定标准》</w:t>
            </w:r>
            <w:r>
              <w:rPr>
                <w:rFonts w:eastAsia="仿宋"/>
                <w:color w:val="000000"/>
                <w:kern w:val="0"/>
                <w:sz w:val="24"/>
                <w:lang w:bidi="ar"/>
              </w:rPr>
              <w:br w:type="textWrapping"/>
            </w:r>
            <w:r>
              <w:rPr>
                <w:rFonts w:eastAsia="仿宋"/>
                <w:color w:val="000000"/>
                <w:kern w:val="0"/>
                <w:sz w:val="24"/>
                <w:lang w:bidi="ar"/>
              </w:rPr>
              <w:t>第五条  有色企业有下列情形之一的，应当判定为重大事故隐患：</w:t>
            </w:r>
            <w:r>
              <w:rPr>
                <w:rFonts w:eastAsia="仿宋"/>
                <w:color w:val="000000"/>
                <w:kern w:val="0"/>
                <w:sz w:val="24"/>
                <w:lang w:bidi="ar"/>
              </w:rPr>
              <w:br w:type="textWrapping"/>
            </w:r>
            <w:r>
              <w:rPr>
                <w:rFonts w:eastAsia="仿宋"/>
                <w:color w:val="000000"/>
                <w:kern w:val="0"/>
                <w:sz w:val="24"/>
                <w:lang w:bidi="ar"/>
              </w:rPr>
              <w:t>（五）熔融金属冶炼炉窑的闭路循环水冷元件未设置出水温度、进出水流量差监测报警装置，或者开路水冷元件未设置进水流量、压力监测报警装置，或者未监测开路水冷元件出水温度的；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第九十九条第二项  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二）安全设备的安装、使用、检测、改造和报废不符合国家标准或者行业标准的。</w:t>
            </w:r>
          </w:p>
        </w:tc>
        <w:tc>
          <w:tcPr>
            <w:tcW w:w="476" w:type="pct"/>
            <w:tcBorders>
              <w:top w:val="single" w:color="000000" w:sz="4" w:space="0"/>
              <w:left w:val="single" w:color="000000" w:sz="4" w:space="0"/>
              <w:bottom w:val="single" w:color="000000" w:sz="4" w:space="0"/>
              <w:right w:val="single" w:color="000000" w:sz="4" w:space="0"/>
            </w:tcBorders>
            <w:vAlign w:val="center"/>
          </w:tcPr>
          <w:p w14:paraId="7AAB32AA">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48536280">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1FC5D3DB">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58325275">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6F41E52E">
            <w:pPr>
              <w:topLinePunct/>
              <w:adjustRightInd w:val="0"/>
              <w:snapToGrid w:val="0"/>
              <w:jc w:val="center"/>
              <w:textAlignment w:val="center"/>
              <w:rPr>
                <w:rFonts w:eastAsia="仿宋"/>
                <w:color w:val="000000"/>
                <w:sz w:val="24"/>
              </w:rPr>
            </w:pPr>
            <w:r>
              <w:rPr>
                <w:rFonts w:eastAsia="仿宋"/>
                <w:color w:val="000000"/>
                <w:kern w:val="0"/>
                <w:sz w:val="24"/>
                <w:lang w:bidi="ar"/>
              </w:rPr>
              <w:t>174</w:t>
            </w:r>
          </w:p>
        </w:tc>
        <w:tc>
          <w:tcPr>
            <w:tcW w:w="838" w:type="pct"/>
            <w:tcBorders>
              <w:top w:val="single" w:color="000000" w:sz="4" w:space="0"/>
              <w:left w:val="single" w:color="000000" w:sz="4" w:space="0"/>
              <w:bottom w:val="single" w:color="000000" w:sz="4" w:space="0"/>
              <w:right w:val="single" w:color="000000" w:sz="4" w:space="0"/>
            </w:tcBorders>
            <w:vAlign w:val="center"/>
          </w:tcPr>
          <w:p w14:paraId="5CF18A55">
            <w:pPr>
              <w:topLinePunct/>
              <w:adjustRightInd w:val="0"/>
              <w:snapToGrid w:val="0"/>
              <w:textAlignment w:val="center"/>
              <w:rPr>
                <w:rFonts w:eastAsia="仿宋"/>
                <w:color w:val="000000"/>
                <w:sz w:val="24"/>
              </w:rPr>
            </w:pPr>
            <w:r>
              <w:rPr>
                <w:rFonts w:eastAsia="仿宋"/>
                <w:color w:val="000000"/>
                <w:kern w:val="0"/>
                <w:sz w:val="24"/>
                <w:lang w:bidi="ar"/>
              </w:rPr>
              <w:t>对有色企业铝加工深井铸造工艺的结晶器冷却水系统未设置进水压力、进水流量监测报警装置，或者监测报警装置未与快速切断阀、紧急排放阀、流槽断开装置联锁，或者监测报警装置未与倾动式浇铸炉控制系统联锁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7C8842D6">
            <w:pPr>
              <w:topLinePunct/>
              <w:adjustRightInd w:val="0"/>
              <w:snapToGrid w:val="0"/>
              <w:jc w:val="left"/>
              <w:textAlignment w:val="center"/>
              <w:rPr>
                <w:rFonts w:eastAsia="仿宋"/>
                <w:color w:val="000000"/>
                <w:sz w:val="24"/>
              </w:rPr>
            </w:pPr>
            <w:r>
              <w:rPr>
                <w:rFonts w:eastAsia="仿宋"/>
                <w:color w:val="000000"/>
                <w:kern w:val="0"/>
                <w:sz w:val="24"/>
                <w:lang w:bidi="ar"/>
              </w:rPr>
              <w:t>1.《工贸企业重大事故隐患判定标准》</w:t>
            </w:r>
            <w:r>
              <w:rPr>
                <w:rFonts w:eastAsia="仿宋"/>
                <w:color w:val="000000"/>
                <w:kern w:val="0"/>
                <w:sz w:val="24"/>
                <w:lang w:bidi="ar"/>
              </w:rPr>
              <w:br w:type="textWrapping"/>
            </w:r>
            <w:r>
              <w:rPr>
                <w:rFonts w:eastAsia="仿宋"/>
                <w:color w:val="000000"/>
                <w:kern w:val="0"/>
                <w:sz w:val="24"/>
                <w:lang w:bidi="ar"/>
              </w:rPr>
              <w:t>第五条  有色企业有下列情形之一的，应当判定为重大事故隐患：</w:t>
            </w:r>
            <w:r>
              <w:rPr>
                <w:rFonts w:eastAsia="仿宋"/>
                <w:color w:val="000000"/>
                <w:kern w:val="0"/>
                <w:sz w:val="24"/>
                <w:lang w:bidi="ar"/>
              </w:rPr>
              <w:br w:type="textWrapping"/>
            </w:r>
            <w:r>
              <w:rPr>
                <w:rFonts w:eastAsia="仿宋"/>
                <w:color w:val="000000"/>
                <w:kern w:val="0"/>
                <w:sz w:val="24"/>
                <w:lang w:bidi="ar"/>
              </w:rPr>
              <w:t>（六）铝加工深井铸造工艺的结晶器冷却水系统未设置进水压力、进水流量监测报警装置，或者监测报警装置未与快速切断阀、紧急排放阀、流槽断开装置联锁，或者监测报警装置未与倾动式浇铸炉控制系统联锁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第九十九条第二项  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二）安全设备的安装、使用、检测、改造和报废不符合国家标准或者行业标准的。</w:t>
            </w:r>
          </w:p>
        </w:tc>
        <w:tc>
          <w:tcPr>
            <w:tcW w:w="476" w:type="pct"/>
            <w:tcBorders>
              <w:top w:val="single" w:color="000000" w:sz="4" w:space="0"/>
              <w:left w:val="single" w:color="000000" w:sz="4" w:space="0"/>
              <w:bottom w:val="single" w:color="000000" w:sz="4" w:space="0"/>
              <w:right w:val="single" w:color="000000" w:sz="4" w:space="0"/>
            </w:tcBorders>
            <w:vAlign w:val="center"/>
          </w:tcPr>
          <w:p w14:paraId="25D9F4B6">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0BB20716">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48EE1EE7">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5C14264E">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5A157AE2">
            <w:pPr>
              <w:topLinePunct/>
              <w:adjustRightInd w:val="0"/>
              <w:snapToGrid w:val="0"/>
              <w:jc w:val="center"/>
              <w:textAlignment w:val="center"/>
              <w:rPr>
                <w:rFonts w:eastAsia="仿宋"/>
                <w:color w:val="000000"/>
                <w:sz w:val="24"/>
              </w:rPr>
            </w:pPr>
            <w:r>
              <w:rPr>
                <w:rFonts w:eastAsia="仿宋"/>
                <w:color w:val="000000"/>
                <w:kern w:val="0"/>
                <w:sz w:val="24"/>
                <w:lang w:bidi="ar"/>
              </w:rPr>
              <w:t>175</w:t>
            </w:r>
          </w:p>
        </w:tc>
        <w:tc>
          <w:tcPr>
            <w:tcW w:w="838" w:type="pct"/>
            <w:tcBorders>
              <w:top w:val="single" w:color="000000" w:sz="4" w:space="0"/>
              <w:left w:val="single" w:color="000000" w:sz="4" w:space="0"/>
              <w:bottom w:val="single" w:color="000000" w:sz="4" w:space="0"/>
              <w:right w:val="single" w:color="000000" w:sz="4" w:space="0"/>
            </w:tcBorders>
            <w:vAlign w:val="center"/>
          </w:tcPr>
          <w:p w14:paraId="0B7A0E5C">
            <w:pPr>
              <w:topLinePunct/>
              <w:adjustRightInd w:val="0"/>
              <w:snapToGrid w:val="0"/>
              <w:textAlignment w:val="center"/>
              <w:rPr>
                <w:rFonts w:eastAsia="仿宋"/>
                <w:color w:val="000000"/>
                <w:sz w:val="24"/>
              </w:rPr>
            </w:pPr>
            <w:r>
              <w:rPr>
                <w:rFonts w:eastAsia="仿宋"/>
                <w:color w:val="000000"/>
                <w:kern w:val="0"/>
                <w:sz w:val="24"/>
                <w:lang w:bidi="ar"/>
              </w:rPr>
              <w:t>对有色企业铝加工深井铸造工艺的浇铸炉铝液出口流槽、流槽与模盘（分配流槽）入口连接处未设置液位监测报警装置，或者固定式浇铸炉的铝液出口未设置机械锁紧装置的行政处罚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5BECE327">
            <w:pPr>
              <w:topLinePunct/>
              <w:adjustRightInd w:val="0"/>
              <w:snapToGrid w:val="0"/>
              <w:jc w:val="left"/>
              <w:textAlignment w:val="center"/>
              <w:rPr>
                <w:rFonts w:eastAsia="仿宋"/>
                <w:color w:val="000000"/>
                <w:sz w:val="24"/>
              </w:rPr>
            </w:pPr>
            <w:r>
              <w:rPr>
                <w:rFonts w:eastAsia="仿宋"/>
                <w:color w:val="000000"/>
                <w:kern w:val="0"/>
                <w:sz w:val="24"/>
                <w:lang w:bidi="ar"/>
              </w:rPr>
              <w:t>1.《工贸企业重大事故隐患判定标准》</w:t>
            </w:r>
            <w:r>
              <w:rPr>
                <w:rFonts w:eastAsia="仿宋"/>
                <w:color w:val="000000"/>
                <w:kern w:val="0"/>
                <w:sz w:val="24"/>
                <w:lang w:bidi="ar"/>
              </w:rPr>
              <w:br w:type="textWrapping"/>
            </w:r>
            <w:r>
              <w:rPr>
                <w:rFonts w:eastAsia="仿宋"/>
                <w:color w:val="000000"/>
                <w:kern w:val="0"/>
                <w:sz w:val="24"/>
                <w:lang w:bidi="ar"/>
              </w:rPr>
              <w:t>第五条  有色企业有下列情形之一的，应当判定为重大事故隐患：</w:t>
            </w:r>
            <w:r>
              <w:rPr>
                <w:rFonts w:eastAsia="仿宋"/>
                <w:color w:val="000000"/>
                <w:kern w:val="0"/>
                <w:sz w:val="24"/>
                <w:lang w:bidi="ar"/>
              </w:rPr>
              <w:br w:type="textWrapping"/>
            </w:r>
            <w:r>
              <w:rPr>
                <w:rFonts w:eastAsia="仿宋"/>
                <w:color w:val="000000"/>
                <w:kern w:val="0"/>
                <w:sz w:val="24"/>
                <w:lang w:bidi="ar"/>
              </w:rPr>
              <w:t>（七）铝加工深井铸造工艺的浇铸炉铝液出口流槽、流槽与模盘（分配流槽）入口连接处未设置液位监测报警装置，或者固定式浇铸炉的铝液出口未设置机械锁紧装置的；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第九十九条第二项  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二）安全设备的安装、使用、检测、改造和报废不符合国家标准或者行业标准的。</w:t>
            </w:r>
          </w:p>
        </w:tc>
        <w:tc>
          <w:tcPr>
            <w:tcW w:w="476" w:type="pct"/>
            <w:tcBorders>
              <w:top w:val="single" w:color="000000" w:sz="4" w:space="0"/>
              <w:left w:val="single" w:color="000000" w:sz="4" w:space="0"/>
              <w:bottom w:val="single" w:color="000000" w:sz="4" w:space="0"/>
              <w:right w:val="single" w:color="000000" w:sz="4" w:space="0"/>
            </w:tcBorders>
            <w:vAlign w:val="center"/>
          </w:tcPr>
          <w:p w14:paraId="0A05B666">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4C8E5EED">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53255376">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6F39AFC8">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03477B6F">
            <w:pPr>
              <w:topLinePunct/>
              <w:adjustRightInd w:val="0"/>
              <w:snapToGrid w:val="0"/>
              <w:jc w:val="center"/>
              <w:textAlignment w:val="center"/>
              <w:rPr>
                <w:rFonts w:eastAsia="仿宋"/>
                <w:color w:val="000000"/>
                <w:sz w:val="24"/>
              </w:rPr>
            </w:pPr>
            <w:r>
              <w:rPr>
                <w:rFonts w:eastAsia="仿宋"/>
                <w:color w:val="000000"/>
                <w:kern w:val="0"/>
                <w:sz w:val="24"/>
                <w:lang w:bidi="ar"/>
              </w:rPr>
              <w:t>176</w:t>
            </w:r>
          </w:p>
        </w:tc>
        <w:tc>
          <w:tcPr>
            <w:tcW w:w="838" w:type="pct"/>
            <w:tcBorders>
              <w:top w:val="single" w:color="000000" w:sz="4" w:space="0"/>
              <w:left w:val="single" w:color="000000" w:sz="4" w:space="0"/>
              <w:bottom w:val="single" w:color="000000" w:sz="4" w:space="0"/>
              <w:right w:val="single" w:color="000000" w:sz="4" w:space="0"/>
            </w:tcBorders>
            <w:vAlign w:val="center"/>
          </w:tcPr>
          <w:p w14:paraId="0A5F188E">
            <w:pPr>
              <w:topLinePunct/>
              <w:adjustRightInd w:val="0"/>
              <w:snapToGrid w:val="0"/>
              <w:textAlignment w:val="center"/>
              <w:rPr>
                <w:rFonts w:eastAsia="仿宋"/>
                <w:color w:val="000000"/>
                <w:sz w:val="24"/>
              </w:rPr>
            </w:pPr>
            <w:r>
              <w:rPr>
                <w:rFonts w:eastAsia="仿宋"/>
                <w:color w:val="000000"/>
                <w:kern w:val="0"/>
                <w:sz w:val="24"/>
                <w:lang w:bidi="ar"/>
              </w:rPr>
              <w:t>对有色企业铝加工深井铸造工艺的固定式浇铸炉的铝液流槽未设置紧急排放阀，或者流槽与模盘（分配流槽）入口连接处未设置快速切断阀（断开装置），或者流槽与模盘（分配流槽）入口连接处的液位监测报警装置未与快速切断阀（断开装置）、紧急排放阀联锁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4C12EA18">
            <w:pPr>
              <w:topLinePunct/>
              <w:adjustRightInd w:val="0"/>
              <w:snapToGrid w:val="0"/>
              <w:jc w:val="left"/>
              <w:textAlignment w:val="center"/>
              <w:rPr>
                <w:rFonts w:eastAsia="仿宋"/>
                <w:color w:val="000000"/>
                <w:sz w:val="24"/>
              </w:rPr>
            </w:pPr>
            <w:r>
              <w:rPr>
                <w:rFonts w:eastAsia="仿宋"/>
                <w:color w:val="000000"/>
                <w:kern w:val="0"/>
                <w:sz w:val="24"/>
                <w:lang w:bidi="ar"/>
              </w:rPr>
              <w:t>1.《工贸企业重大事故隐患判定标准》</w:t>
            </w:r>
            <w:r>
              <w:rPr>
                <w:rFonts w:eastAsia="仿宋"/>
                <w:color w:val="000000"/>
                <w:kern w:val="0"/>
                <w:sz w:val="24"/>
                <w:lang w:bidi="ar"/>
              </w:rPr>
              <w:br w:type="textWrapping"/>
            </w:r>
            <w:r>
              <w:rPr>
                <w:rFonts w:eastAsia="仿宋"/>
                <w:color w:val="000000"/>
                <w:kern w:val="0"/>
                <w:sz w:val="24"/>
                <w:lang w:bidi="ar"/>
              </w:rPr>
              <w:t>第五条  有色企业有下列情形之一的，应当判定为重大事故隐患：</w:t>
            </w:r>
            <w:r>
              <w:rPr>
                <w:rFonts w:eastAsia="仿宋"/>
                <w:color w:val="000000"/>
                <w:kern w:val="0"/>
                <w:sz w:val="24"/>
                <w:lang w:bidi="ar"/>
              </w:rPr>
              <w:br w:type="textWrapping"/>
            </w:r>
            <w:r>
              <w:rPr>
                <w:rFonts w:eastAsia="仿宋"/>
                <w:color w:val="000000"/>
                <w:kern w:val="0"/>
                <w:sz w:val="24"/>
                <w:lang w:bidi="ar"/>
              </w:rPr>
              <w:t>（八）铝加工深井铸造工艺的固定式浇铸炉的铝液流槽未设置紧急排放阀，或者流槽与模盘（分配流槽）入口连接处未设置快速切断阀（断开装置），或者流槽与模盘（分配流槽）入口连接处的液位监测报警装置未与快速切断阀（断开装置）、紧急排放阀联锁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第九十九条第二项  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二）安全设备的安装、使用、检测、改造和报废不符合国家标准或者行业标准的。</w:t>
            </w:r>
          </w:p>
        </w:tc>
        <w:tc>
          <w:tcPr>
            <w:tcW w:w="476" w:type="pct"/>
            <w:tcBorders>
              <w:top w:val="single" w:color="000000" w:sz="4" w:space="0"/>
              <w:left w:val="single" w:color="000000" w:sz="4" w:space="0"/>
              <w:bottom w:val="single" w:color="000000" w:sz="4" w:space="0"/>
              <w:right w:val="single" w:color="000000" w:sz="4" w:space="0"/>
            </w:tcBorders>
            <w:vAlign w:val="center"/>
          </w:tcPr>
          <w:p w14:paraId="6FD785EB">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3ABF7CA2">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414E0BDB">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7A163AF9">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5058995B">
            <w:pPr>
              <w:topLinePunct/>
              <w:adjustRightInd w:val="0"/>
              <w:snapToGrid w:val="0"/>
              <w:jc w:val="center"/>
              <w:textAlignment w:val="center"/>
              <w:rPr>
                <w:rFonts w:eastAsia="仿宋"/>
                <w:color w:val="000000"/>
                <w:sz w:val="24"/>
              </w:rPr>
            </w:pPr>
            <w:r>
              <w:rPr>
                <w:rFonts w:eastAsia="仿宋"/>
                <w:color w:val="000000"/>
                <w:kern w:val="0"/>
                <w:sz w:val="24"/>
                <w:lang w:bidi="ar"/>
              </w:rPr>
              <w:t>177</w:t>
            </w:r>
          </w:p>
        </w:tc>
        <w:tc>
          <w:tcPr>
            <w:tcW w:w="838" w:type="pct"/>
            <w:tcBorders>
              <w:top w:val="single" w:color="000000" w:sz="4" w:space="0"/>
              <w:left w:val="single" w:color="000000" w:sz="4" w:space="0"/>
              <w:bottom w:val="single" w:color="000000" w:sz="4" w:space="0"/>
              <w:right w:val="single" w:color="000000" w:sz="4" w:space="0"/>
            </w:tcBorders>
            <w:vAlign w:val="center"/>
          </w:tcPr>
          <w:p w14:paraId="02C997DF">
            <w:pPr>
              <w:topLinePunct/>
              <w:adjustRightInd w:val="0"/>
              <w:snapToGrid w:val="0"/>
              <w:textAlignment w:val="center"/>
              <w:rPr>
                <w:rFonts w:eastAsia="仿宋"/>
                <w:color w:val="000000"/>
                <w:sz w:val="24"/>
              </w:rPr>
            </w:pPr>
            <w:r>
              <w:rPr>
                <w:rFonts w:eastAsia="仿宋"/>
                <w:color w:val="000000"/>
                <w:kern w:val="0"/>
                <w:sz w:val="24"/>
                <w:lang w:bidi="ar"/>
              </w:rPr>
              <w:t>对有色企业铝加工深井铸造工艺的倾动式浇铸炉流槽与模盘（分配流槽）入口连接处未设置快速切断阀（断开装置），或者流槽与模盘（分配流槽）入口连接处的液位监测报警装置未与浇铸炉倾动控制系统、快速切断阀（断开装置）联锁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0ED16FED">
            <w:pPr>
              <w:topLinePunct/>
              <w:adjustRightInd w:val="0"/>
              <w:snapToGrid w:val="0"/>
              <w:jc w:val="left"/>
              <w:textAlignment w:val="center"/>
              <w:rPr>
                <w:rFonts w:eastAsia="仿宋"/>
                <w:color w:val="000000"/>
                <w:sz w:val="24"/>
              </w:rPr>
            </w:pPr>
            <w:r>
              <w:rPr>
                <w:rFonts w:eastAsia="仿宋"/>
                <w:color w:val="000000"/>
                <w:kern w:val="0"/>
                <w:sz w:val="24"/>
                <w:lang w:bidi="ar"/>
              </w:rPr>
              <w:t>1.《工贸企业重大事故隐患判定标准》</w:t>
            </w:r>
            <w:r>
              <w:rPr>
                <w:rFonts w:eastAsia="仿宋"/>
                <w:color w:val="000000"/>
                <w:kern w:val="0"/>
                <w:sz w:val="24"/>
                <w:lang w:bidi="ar"/>
              </w:rPr>
              <w:br w:type="textWrapping"/>
            </w:r>
            <w:r>
              <w:rPr>
                <w:rFonts w:eastAsia="仿宋"/>
                <w:color w:val="000000"/>
                <w:kern w:val="0"/>
                <w:sz w:val="24"/>
                <w:lang w:bidi="ar"/>
              </w:rPr>
              <w:t>第五条  有色企业有下列情形之一的，应当判定为重大事故隐患：</w:t>
            </w:r>
            <w:r>
              <w:rPr>
                <w:rFonts w:eastAsia="仿宋"/>
                <w:color w:val="000000"/>
                <w:kern w:val="0"/>
                <w:sz w:val="24"/>
                <w:lang w:bidi="ar"/>
              </w:rPr>
              <w:br w:type="textWrapping"/>
            </w:r>
            <w:r>
              <w:rPr>
                <w:rFonts w:eastAsia="仿宋"/>
                <w:color w:val="000000"/>
                <w:kern w:val="0"/>
                <w:sz w:val="24"/>
                <w:lang w:bidi="ar"/>
              </w:rPr>
              <w:t>（九）铝加工深井铸造工艺的倾动式浇铸炉流槽与模盘（分配流槽）入口连接处未设置快速切断阀（断开装置），或者流槽与模盘（分配流槽）入口连接处的液位监测报警装置未与浇铸炉倾动控制系统、快速切断阀（断开装置）联锁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第九十九条第二项  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二）安全设备的安装、使用、检测、改造和报废不符合国家标准或者行业标准的。</w:t>
            </w:r>
          </w:p>
        </w:tc>
        <w:tc>
          <w:tcPr>
            <w:tcW w:w="476" w:type="pct"/>
            <w:tcBorders>
              <w:top w:val="single" w:color="000000" w:sz="4" w:space="0"/>
              <w:left w:val="single" w:color="000000" w:sz="4" w:space="0"/>
              <w:bottom w:val="single" w:color="000000" w:sz="4" w:space="0"/>
              <w:right w:val="single" w:color="000000" w:sz="4" w:space="0"/>
            </w:tcBorders>
            <w:vAlign w:val="center"/>
          </w:tcPr>
          <w:p w14:paraId="318E8DEC">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7E8AEA2A">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3841430F">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3A956596">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01320736">
            <w:pPr>
              <w:topLinePunct/>
              <w:adjustRightInd w:val="0"/>
              <w:snapToGrid w:val="0"/>
              <w:jc w:val="center"/>
              <w:textAlignment w:val="center"/>
              <w:rPr>
                <w:rFonts w:eastAsia="仿宋"/>
                <w:color w:val="000000"/>
                <w:sz w:val="24"/>
              </w:rPr>
            </w:pPr>
            <w:r>
              <w:rPr>
                <w:rFonts w:eastAsia="仿宋"/>
                <w:color w:val="000000"/>
                <w:kern w:val="0"/>
                <w:sz w:val="24"/>
                <w:lang w:bidi="ar"/>
              </w:rPr>
              <w:t>178</w:t>
            </w:r>
          </w:p>
        </w:tc>
        <w:tc>
          <w:tcPr>
            <w:tcW w:w="838" w:type="pct"/>
            <w:tcBorders>
              <w:top w:val="single" w:color="000000" w:sz="4" w:space="0"/>
              <w:left w:val="single" w:color="000000" w:sz="4" w:space="0"/>
              <w:bottom w:val="single" w:color="000000" w:sz="4" w:space="0"/>
              <w:right w:val="single" w:color="000000" w:sz="4" w:space="0"/>
            </w:tcBorders>
            <w:vAlign w:val="center"/>
          </w:tcPr>
          <w:p w14:paraId="22447FFD">
            <w:pPr>
              <w:topLinePunct/>
              <w:adjustRightInd w:val="0"/>
              <w:snapToGrid w:val="0"/>
              <w:textAlignment w:val="center"/>
              <w:rPr>
                <w:rFonts w:eastAsia="仿宋"/>
                <w:color w:val="000000"/>
                <w:sz w:val="24"/>
              </w:rPr>
            </w:pPr>
            <w:r>
              <w:rPr>
                <w:rFonts w:eastAsia="仿宋"/>
                <w:color w:val="000000"/>
                <w:kern w:val="0"/>
                <w:sz w:val="24"/>
                <w:lang w:bidi="ar"/>
              </w:rPr>
              <w:t>对有色企业铝加工深井铸造机钢丝卷扬系统选用非钢芯钢丝绳，或者未落实钢丝绳定期检查、更换制度的行政处罚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2A8C2763">
            <w:pPr>
              <w:topLinePunct/>
              <w:adjustRightInd w:val="0"/>
              <w:snapToGrid w:val="0"/>
              <w:jc w:val="left"/>
              <w:textAlignment w:val="center"/>
              <w:rPr>
                <w:rFonts w:eastAsia="仿宋"/>
                <w:color w:val="000000"/>
                <w:sz w:val="24"/>
              </w:rPr>
            </w:pPr>
            <w:r>
              <w:rPr>
                <w:rFonts w:eastAsia="仿宋"/>
                <w:color w:val="000000"/>
                <w:kern w:val="0"/>
                <w:sz w:val="24"/>
                <w:lang w:bidi="ar"/>
              </w:rPr>
              <w:t>1.《工贸企业重大事故隐患判定标准》</w:t>
            </w:r>
            <w:r>
              <w:rPr>
                <w:rFonts w:eastAsia="仿宋"/>
                <w:color w:val="000000"/>
                <w:kern w:val="0"/>
                <w:sz w:val="24"/>
                <w:lang w:bidi="ar"/>
              </w:rPr>
              <w:br w:type="textWrapping"/>
            </w:r>
            <w:r>
              <w:rPr>
                <w:rFonts w:eastAsia="仿宋"/>
                <w:color w:val="000000"/>
                <w:kern w:val="0"/>
                <w:sz w:val="24"/>
                <w:lang w:bidi="ar"/>
              </w:rPr>
              <w:t>第五条  有色企业有下列情形之一的，应当判定为重大事故隐患：</w:t>
            </w:r>
            <w:r>
              <w:rPr>
                <w:rFonts w:eastAsia="仿宋"/>
                <w:color w:val="000000"/>
                <w:kern w:val="0"/>
                <w:sz w:val="24"/>
                <w:lang w:bidi="ar"/>
              </w:rPr>
              <w:br w:type="textWrapping"/>
            </w:r>
            <w:r>
              <w:rPr>
                <w:rFonts w:eastAsia="仿宋"/>
                <w:color w:val="000000"/>
                <w:kern w:val="0"/>
                <w:sz w:val="24"/>
                <w:lang w:bidi="ar"/>
              </w:rPr>
              <w:t>（十）铝加工深井铸造机钢丝卷扬系统选用非钢芯钢丝绳，或者未落实钢丝绳定期检查、更换制度的；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6AC8AC94">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60B63FB9">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3455AC6D">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336B46EA">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7FC217C5">
            <w:pPr>
              <w:topLinePunct/>
              <w:adjustRightInd w:val="0"/>
              <w:snapToGrid w:val="0"/>
              <w:jc w:val="center"/>
              <w:textAlignment w:val="center"/>
              <w:rPr>
                <w:rFonts w:eastAsia="仿宋"/>
                <w:color w:val="000000"/>
                <w:sz w:val="24"/>
              </w:rPr>
            </w:pPr>
            <w:r>
              <w:rPr>
                <w:rFonts w:eastAsia="仿宋"/>
                <w:color w:val="000000"/>
                <w:kern w:val="0"/>
                <w:sz w:val="24"/>
                <w:lang w:bidi="ar"/>
              </w:rPr>
              <w:t>179</w:t>
            </w:r>
          </w:p>
        </w:tc>
        <w:tc>
          <w:tcPr>
            <w:tcW w:w="838" w:type="pct"/>
            <w:tcBorders>
              <w:top w:val="single" w:color="000000" w:sz="4" w:space="0"/>
              <w:left w:val="single" w:color="000000" w:sz="4" w:space="0"/>
              <w:bottom w:val="single" w:color="000000" w:sz="4" w:space="0"/>
              <w:right w:val="single" w:color="000000" w:sz="4" w:space="0"/>
            </w:tcBorders>
            <w:vAlign w:val="center"/>
          </w:tcPr>
          <w:p w14:paraId="272FE742">
            <w:pPr>
              <w:topLinePunct/>
              <w:adjustRightInd w:val="0"/>
              <w:snapToGrid w:val="0"/>
              <w:textAlignment w:val="center"/>
              <w:rPr>
                <w:rFonts w:eastAsia="仿宋"/>
                <w:color w:val="000000"/>
                <w:sz w:val="24"/>
              </w:rPr>
            </w:pPr>
            <w:r>
              <w:rPr>
                <w:rFonts w:eastAsia="仿宋"/>
                <w:color w:val="000000"/>
                <w:kern w:val="0"/>
                <w:sz w:val="24"/>
                <w:lang w:bidi="ar"/>
              </w:rPr>
              <w:t>对有色企业可能发生一氧化碳、砷化氢、氯气、硫化氢等有毒气体泄漏、积聚的场所和部位未设置固定式气体浓度监测报警装置，或者监测数据未接入24小时有人值守场所，或者未对可能有砷化氢气体的场所和部位采取同等效果的检测措施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7B5A91F3">
            <w:pPr>
              <w:topLinePunct/>
              <w:adjustRightInd w:val="0"/>
              <w:snapToGrid w:val="0"/>
              <w:jc w:val="left"/>
              <w:textAlignment w:val="center"/>
              <w:rPr>
                <w:rFonts w:eastAsia="仿宋"/>
                <w:color w:val="000000"/>
                <w:sz w:val="24"/>
              </w:rPr>
            </w:pPr>
            <w:r>
              <w:rPr>
                <w:rFonts w:eastAsia="仿宋"/>
                <w:color w:val="000000"/>
                <w:kern w:val="0"/>
                <w:sz w:val="24"/>
                <w:lang w:bidi="ar"/>
              </w:rPr>
              <w:t>1.《工贸企业重大事故隐患判定标准》</w:t>
            </w:r>
            <w:r>
              <w:rPr>
                <w:rFonts w:eastAsia="仿宋"/>
                <w:color w:val="000000"/>
                <w:kern w:val="0"/>
                <w:sz w:val="24"/>
                <w:lang w:bidi="ar"/>
              </w:rPr>
              <w:br w:type="textWrapping"/>
            </w:r>
            <w:r>
              <w:rPr>
                <w:rFonts w:eastAsia="仿宋"/>
                <w:color w:val="000000"/>
                <w:kern w:val="0"/>
                <w:sz w:val="24"/>
                <w:lang w:bidi="ar"/>
              </w:rPr>
              <w:t>第五条  有色企业有下列情形之一的，应当判定为重大事故隐患：</w:t>
            </w:r>
            <w:r>
              <w:rPr>
                <w:rFonts w:eastAsia="仿宋"/>
                <w:color w:val="000000"/>
                <w:kern w:val="0"/>
                <w:sz w:val="24"/>
                <w:lang w:bidi="ar"/>
              </w:rPr>
              <w:br w:type="textWrapping"/>
            </w:r>
            <w:r>
              <w:rPr>
                <w:rFonts w:eastAsia="仿宋"/>
                <w:color w:val="000000"/>
                <w:kern w:val="0"/>
                <w:sz w:val="24"/>
                <w:lang w:bidi="ar"/>
              </w:rPr>
              <w:t>（十一）可能发生一氧化碳、砷化氢、氯气、硫化氢等4种有毒气体泄漏、积聚的场所和部位未设置固定式气体浓度监测报警装置，或者监测数据未接入24小时有人值守场所，或者未对可能有砷化氢气体的场所和部位采取同等效果的检测措施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第九十九条第二项  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二）安全设备的安装、使用、检测、改造和报废不符合国家标准或者行业标准的。</w:t>
            </w:r>
          </w:p>
        </w:tc>
        <w:tc>
          <w:tcPr>
            <w:tcW w:w="476" w:type="pct"/>
            <w:tcBorders>
              <w:top w:val="single" w:color="000000" w:sz="4" w:space="0"/>
              <w:left w:val="single" w:color="000000" w:sz="4" w:space="0"/>
              <w:bottom w:val="single" w:color="000000" w:sz="4" w:space="0"/>
              <w:right w:val="single" w:color="000000" w:sz="4" w:space="0"/>
            </w:tcBorders>
            <w:vAlign w:val="center"/>
          </w:tcPr>
          <w:p w14:paraId="1AC9A73F">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40363040">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08E4F1CE">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0C120EC3">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0CC80C62">
            <w:pPr>
              <w:topLinePunct/>
              <w:adjustRightInd w:val="0"/>
              <w:snapToGrid w:val="0"/>
              <w:jc w:val="center"/>
              <w:textAlignment w:val="center"/>
              <w:rPr>
                <w:rFonts w:eastAsia="仿宋"/>
                <w:color w:val="000000"/>
                <w:sz w:val="24"/>
              </w:rPr>
            </w:pPr>
            <w:r>
              <w:rPr>
                <w:rFonts w:eastAsia="仿宋"/>
                <w:color w:val="000000"/>
                <w:kern w:val="0"/>
                <w:sz w:val="24"/>
                <w:lang w:bidi="ar"/>
              </w:rPr>
              <w:t>180</w:t>
            </w:r>
          </w:p>
        </w:tc>
        <w:tc>
          <w:tcPr>
            <w:tcW w:w="838" w:type="pct"/>
            <w:tcBorders>
              <w:top w:val="single" w:color="000000" w:sz="4" w:space="0"/>
              <w:left w:val="single" w:color="000000" w:sz="4" w:space="0"/>
              <w:bottom w:val="single" w:color="000000" w:sz="4" w:space="0"/>
              <w:right w:val="single" w:color="000000" w:sz="4" w:space="0"/>
            </w:tcBorders>
            <w:vAlign w:val="center"/>
          </w:tcPr>
          <w:p w14:paraId="5A027ED6">
            <w:pPr>
              <w:topLinePunct/>
              <w:adjustRightInd w:val="0"/>
              <w:snapToGrid w:val="0"/>
              <w:textAlignment w:val="center"/>
              <w:rPr>
                <w:rFonts w:eastAsia="仿宋"/>
                <w:color w:val="000000"/>
                <w:sz w:val="24"/>
              </w:rPr>
            </w:pPr>
            <w:r>
              <w:rPr>
                <w:rFonts w:eastAsia="仿宋"/>
                <w:color w:val="000000"/>
                <w:kern w:val="0"/>
                <w:sz w:val="24"/>
                <w:lang w:bidi="ar"/>
              </w:rPr>
              <w:t>对有色企业使用煤气（天然气）并强制送风的燃烧装置的燃气总管未设置压力监测报警装置，或者监测报警装置未与紧急自动切断装置联锁的行政处罚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5C07DA3A">
            <w:pPr>
              <w:topLinePunct/>
              <w:adjustRightInd w:val="0"/>
              <w:snapToGrid w:val="0"/>
              <w:jc w:val="left"/>
              <w:textAlignment w:val="center"/>
              <w:rPr>
                <w:rFonts w:eastAsia="仿宋"/>
                <w:color w:val="000000"/>
                <w:sz w:val="24"/>
              </w:rPr>
            </w:pPr>
            <w:r>
              <w:rPr>
                <w:rFonts w:eastAsia="仿宋"/>
                <w:color w:val="000000"/>
                <w:kern w:val="0"/>
                <w:sz w:val="24"/>
                <w:lang w:bidi="ar"/>
              </w:rPr>
              <w:t>1.《工贸企业重大事故隐患判定标准》</w:t>
            </w:r>
            <w:r>
              <w:rPr>
                <w:rFonts w:eastAsia="仿宋"/>
                <w:color w:val="000000"/>
                <w:kern w:val="0"/>
                <w:sz w:val="24"/>
                <w:lang w:bidi="ar"/>
              </w:rPr>
              <w:br w:type="textWrapping"/>
            </w:r>
            <w:r>
              <w:rPr>
                <w:rFonts w:eastAsia="仿宋"/>
                <w:color w:val="000000"/>
                <w:kern w:val="0"/>
                <w:sz w:val="24"/>
                <w:lang w:bidi="ar"/>
              </w:rPr>
              <w:t>第五条  有色企业有下列情形之一的，应当判定为重大事故隐患：</w:t>
            </w:r>
            <w:r>
              <w:rPr>
                <w:rFonts w:eastAsia="仿宋"/>
                <w:color w:val="000000"/>
                <w:kern w:val="0"/>
                <w:sz w:val="24"/>
                <w:lang w:bidi="ar"/>
              </w:rPr>
              <w:br w:type="textWrapping"/>
            </w:r>
            <w:r>
              <w:rPr>
                <w:rFonts w:eastAsia="仿宋"/>
                <w:color w:val="000000"/>
                <w:kern w:val="0"/>
                <w:sz w:val="24"/>
                <w:lang w:bidi="ar"/>
              </w:rPr>
              <w:t>（十二）使用煤气（天然气）并强制送风的燃烧装置的燃气总管未设置压力监测报警装置，或者监测报警装置未与紧急自动切断装置联锁的；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第九十九条第二项  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二）安全设备的安装、使用、检测、改造和报废不符合国家标准或者行业标准的。</w:t>
            </w:r>
          </w:p>
        </w:tc>
        <w:tc>
          <w:tcPr>
            <w:tcW w:w="476" w:type="pct"/>
            <w:tcBorders>
              <w:top w:val="single" w:color="000000" w:sz="4" w:space="0"/>
              <w:left w:val="single" w:color="000000" w:sz="4" w:space="0"/>
              <w:bottom w:val="single" w:color="000000" w:sz="4" w:space="0"/>
              <w:right w:val="single" w:color="000000" w:sz="4" w:space="0"/>
            </w:tcBorders>
            <w:vAlign w:val="center"/>
          </w:tcPr>
          <w:p w14:paraId="78215A7A">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10F509C8">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55AFEC2A">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41C4AB90">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261972F2">
            <w:pPr>
              <w:topLinePunct/>
              <w:adjustRightInd w:val="0"/>
              <w:snapToGrid w:val="0"/>
              <w:jc w:val="center"/>
              <w:textAlignment w:val="center"/>
              <w:rPr>
                <w:rFonts w:eastAsia="仿宋"/>
                <w:color w:val="000000"/>
                <w:sz w:val="24"/>
              </w:rPr>
            </w:pPr>
            <w:r>
              <w:rPr>
                <w:rFonts w:eastAsia="仿宋"/>
                <w:color w:val="000000"/>
                <w:kern w:val="0"/>
                <w:sz w:val="24"/>
                <w:lang w:bidi="ar"/>
              </w:rPr>
              <w:t>181</w:t>
            </w:r>
          </w:p>
        </w:tc>
        <w:tc>
          <w:tcPr>
            <w:tcW w:w="838" w:type="pct"/>
            <w:tcBorders>
              <w:top w:val="single" w:color="000000" w:sz="4" w:space="0"/>
              <w:left w:val="single" w:color="000000" w:sz="4" w:space="0"/>
              <w:bottom w:val="single" w:color="000000" w:sz="4" w:space="0"/>
              <w:right w:val="single" w:color="000000" w:sz="4" w:space="0"/>
            </w:tcBorders>
            <w:vAlign w:val="center"/>
          </w:tcPr>
          <w:p w14:paraId="6397CA7E">
            <w:pPr>
              <w:topLinePunct/>
              <w:adjustRightInd w:val="0"/>
              <w:snapToGrid w:val="0"/>
              <w:textAlignment w:val="center"/>
              <w:rPr>
                <w:rFonts w:eastAsia="仿宋"/>
                <w:color w:val="000000"/>
                <w:sz w:val="24"/>
              </w:rPr>
            </w:pPr>
            <w:r>
              <w:rPr>
                <w:rFonts w:eastAsia="仿宋"/>
                <w:color w:val="000000"/>
                <w:kern w:val="0"/>
                <w:sz w:val="24"/>
                <w:lang w:bidi="ar"/>
              </w:rPr>
              <w:t>对有色企业正压煤气输配管线水封式排水器的最高封堵煤气压力小于30kPa，或者同一煤气管道隔断装置的两侧共用一个排水器，或者不同煤气管道排水器上部的排水管连通，或者不同介质的煤气管道共用一个排水器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1F8A10FF">
            <w:pPr>
              <w:topLinePunct/>
              <w:adjustRightInd w:val="0"/>
              <w:snapToGrid w:val="0"/>
              <w:jc w:val="left"/>
              <w:textAlignment w:val="center"/>
              <w:rPr>
                <w:rFonts w:eastAsia="仿宋"/>
                <w:color w:val="000000"/>
                <w:sz w:val="24"/>
              </w:rPr>
            </w:pPr>
            <w:r>
              <w:rPr>
                <w:rFonts w:eastAsia="仿宋"/>
                <w:color w:val="000000"/>
                <w:kern w:val="0"/>
                <w:sz w:val="24"/>
                <w:lang w:bidi="ar"/>
              </w:rPr>
              <w:t>1.《工贸企业重大事故隐患判定标准》</w:t>
            </w:r>
            <w:r>
              <w:rPr>
                <w:rFonts w:eastAsia="仿宋"/>
                <w:color w:val="000000"/>
                <w:kern w:val="0"/>
                <w:sz w:val="24"/>
                <w:lang w:bidi="ar"/>
              </w:rPr>
              <w:br w:type="textWrapping"/>
            </w:r>
            <w:r>
              <w:rPr>
                <w:rFonts w:eastAsia="仿宋"/>
                <w:color w:val="000000"/>
                <w:kern w:val="0"/>
                <w:sz w:val="24"/>
                <w:lang w:bidi="ar"/>
              </w:rPr>
              <w:t>第五条  有色企业有下列情形之一的，应当判定为重大事故隐患：</w:t>
            </w:r>
            <w:r>
              <w:rPr>
                <w:rFonts w:eastAsia="仿宋"/>
                <w:color w:val="000000"/>
                <w:kern w:val="0"/>
                <w:sz w:val="24"/>
                <w:lang w:bidi="ar"/>
              </w:rPr>
              <w:br w:type="textWrapping"/>
            </w:r>
            <w:r>
              <w:rPr>
                <w:rFonts w:eastAsia="仿宋"/>
                <w:color w:val="000000"/>
                <w:kern w:val="0"/>
                <w:sz w:val="24"/>
                <w:lang w:bidi="ar"/>
              </w:rPr>
              <w:t>（十三）正压煤气输配管线水封式排水器的最高封堵煤气压力小于30kPa，或者同一煤气管道隔断装置的两侧共用一个排水器，或者不同煤气管道排水器上部的排水管连通，或者不同介质的煤气管道共用一个排水器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0B65233A">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5660BA66">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5EA378C6">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74938092">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547F4B7A">
            <w:pPr>
              <w:topLinePunct/>
              <w:adjustRightInd w:val="0"/>
              <w:snapToGrid w:val="0"/>
              <w:jc w:val="center"/>
              <w:textAlignment w:val="center"/>
              <w:rPr>
                <w:rFonts w:eastAsia="仿宋"/>
                <w:color w:val="000000"/>
                <w:sz w:val="24"/>
              </w:rPr>
            </w:pPr>
            <w:r>
              <w:rPr>
                <w:rFonts w:eastAsia="仿宋"/>
                <w:color w:val="000000"/>
                <w:kern w:val="0"/>
                <w:sz w:val="24"/>
                <w:lang w:bidi="ar"/>
              </w:rPr>
              <w:t>182</w:t>
            </w:r>
          </w:p>
        </w:tc>
        <w:tc>
          <w:tcPr>
            <w:tcW w:w="838" w:type="pct"/>
            <w:tcBorders>
              <w:top w:val="single" w:color="000000" w:sz="4" w:space="0"/>
              <w:left w:val="single" w:color="000000" w:sz="4" w:space="0"/>
              <w:bottom w:val="single" w:color="000000" w:sz="4" w:space="0"/>
              <w:right w:val="single" w:color="000000" w:sz="4" w:space="0"/>
            </w:tcBorders>
            <w:vAlign w:val="center"/>
          </w:tcPr>
          <w:p w14:paraId="69DC99BF">
            <w:pPr>
              <w:topLinePunct/>
              <w:adjustRightInd w:val="0"/>
              <w:snapToGrid w:val="0"/>
              <w:textAlignment w:val="center"/>
              <w:rPr>
                <w:rFonts w:eastAsia="仿宋"/>
                <w:color w:val="000000"/>
                <w:sz w:val="24"/>
              </w:rPr>
            </w:pPr>
            <w:r>
              <w:rPr>
                <w:rFonts w:eastAsia="仿宋"/>
                <w:color w:val="000000"/>
                <w:kern w:val="0"/>
                <w:sz w:val="24"/>
                <w:lang w:bidi="ar"/>
              </w:rPr>
              <w:t>对建材企业煤磨袋式收尘器、煤粉仓未设置温度和固定式一氧化碳浓度监测报警装置，或者未设置气体灭火装置的行政处罚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52FDF6A2">
            <w:pPr>
              <w:topLinePunct/>
              <w:adjustRightInd w:val="0"/>
              <w:snapToGrid w:val="0"/>
              <w:jc w:val="left"/>
              <w:textAlignment w:val="center"/>
              <w:rPr>
                <w:rFonts w:eastAsia="仿宋"/>
                <w:color w:val="000000"/>
                <w:sz w:val="24"/>
              </w:rPr>
            </w:pPr>
            <w:r>
              <w:rPr>
                <w:rFonts w:eastAsia="仿宋"/>
                <w:color w:val="000000"/>
                <w:kern w:val="0"/>
                <w:sz w:val="24"/>
                <w:lang w:bidi="ar"/>
              </w:rPr>
              <w:t>1.《工贸企业重大事故隐患判定标准》</w:t>
            </w:r>
            <w:r>
              <w:rPr>
                <w:rFonts w:eastAsia="仿宋"/>
                <w:color w:val="000000"/>
                <w:kern w:val="0"/>
                <w:sz w:val="24"/>
                <w:lang w:bidi="ar"/>
              </w:rPr>
              <w:br w:type="textWrapping"/>
            </w:r>
            <w:r>
              <w:rPr>
                <w:rFonts w:eastAsia="仿宋"/>
                <w:color w:val="000000"/>
                <w:kern w:val="0"/>
                <w:sz w:val="24"/>
                <w:lang w:bidi="ar"/>
              </w:rPr>
              <w:t>第六条  建材企业有下列情形之一的，应当判定为重大事故隐患：</w:t>
            </w:r>
            <w:r>
              <w:rPr>
                <w:rFonts w:eastAsia="仿宋"/>
                <w:color w:val="000000"/>
                <w:kern w:val="0"/>
                <w:sz w:val="24"/>
                <w:lang w:bidi="ar"/>
              </w:rPr>
              <w:br w:type="textWrapping"/>
            </w:r>
            <w:r>
              <w:rPr>
                <w:rFonts w:eastAsia="仿宋"/>
                <w:color w:val="000000"/>
                <w:kern w:val="0"/>
                <w:sz w:val="24"/>
                <w:lang w:bidi="ar"/>
              </w:rPr>
              <w:t>（一）煤磨袋式收尘器、煤粉仓未设置温度和固定式一氧化碳浓度监测报警装置，或者未设置气体灭火装置的；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第九十九条第二项  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二）安全设备的安装、使用、检测、改造和报废不符合国家标准或者行业标准的。</w:t>
            </w:r>
          </w:p>
        </w:tc>
        <w:tc>
          <w:tcPr>
            <w:tcW w:w="476" w:type="pct"/>
            <w:tcBorders>
              <w:top w:val="single" w:color="000000" w:sz="4" w:space="0"/>
              <w:left w:val="single" w:color="000000" w:sz="4" w:space="0"/>
              <w:bottom w:val="single" w:color="000000" w:sz="4" w:space="0"/>
              <w:right w:val="single" w:color="000000" w:sz="4" w:space="0"/>
            </w:tcBorders>
            <w:vAlign w:val="center"/>
          </w:tcPr>
          <w:p w14:paraId="2A311DEC">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6246D2EA">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602EC40A">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07EEC2FF">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2E480615">
            <w:pPr>
              <w:topLinePunct/>
              <w:adjustRightInd w:val="0"/>
              <w:snapToGrid w:val="0"/>
              <w:jc w:val="center"/>
              <w:textAlignment w:val="center"/>
              <w:rPr>
                <w:rFonts w:eastAsia="仿宋"/>
                <w:color w:val="000000"/>
                <w:sz w:val="24"/>
              </w:rPr>
            </w:pPr>
            <w:r>
              <w:rPr>
                <w:rFonts w:eastAsia="仿宋"/>
                <w:color w:val="000000"/>
                <w:kern w:val="0"/>
                <w:sz w:val="24"/>
                <w:lang w:bidi="ar"/>
              </w:rPr>
              <w:t>183</w:t>
            </w:r>
          </w:p>
        </w:tc>
        <w:tc>
          <w:tcPr>
            <w:tcW w:w="838" w:type="pct"/>
            <w:tcBorders>
              <w:top w:val="single" w:color="000000" w:sz="4" w:space="0"/>
              <w:left w:val="single" w:color="000000" w:sz="4" w:space="0"/>
              <w:bottom w:val="single" w:color="000000" w:sz="4" w:space="0"/>
              <w:right w:val="single" w:color="000000" w:sz="4" w:space="0"/>
            </w:tcBorders>
            <w:vAlign w:val="center"/>
          </w:tcPr>
          <w:p w14:paraId="38C15BA8">
            <w:pPr>
              <w:topLinePunct/>
              <w:adjustRightInd w:val="0"/>
              <w:snapToGrid w:val="0"/>
              <w:textAlignment w:val="center"/>
              <w:rPr>
                <w:rFonts w:eastAsia="仿宋"/>
                <w:color w:val="000000"/>
                <w:sz w:val="24"/>
              </w:rPr>
            </w:pPr>
            <w:r>
              <w:rPr>
                <w:rFonts w:eastAsia="仿宋"/>
                <w:color w:val="000000"/>
                <w:kern w:val="0"/>
                <w:sz w:val="24"/>
                <w:lang w:bidi="ar"/>
              </w:rPr>
              <w:t>对建材企业筒型储库人工清库作业未落实清库方案中防止高处坠落、坍塌等安全措施的行政处罚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3EE5420C">
            <w:pPr>
              <w:topLinePunct/>
              <w:adjustRightInd w:val="0"/>
              <w:snapToGrid w:val="0"/>
              <w:jc w:val="left"/>
              <w:textAlignment w:val="center"/>
              <w:rPr>
                <w:rFonts w:eastAsia="仿宋"/>
                <w:color w:val="000000"/>
                <w:sz w:val="24"/>
              </w:rPr>
            </w:pPr>
            <w:r>
              <w:rPr>
                <w:rFonts w:eastAsia="仿宋"/>
                <w:color w:val="000000"/>
                <w:kern w:val="0"/>
                <w:sz w:val="24"/>
                <w:lang w:bidi="ar"/>
              </w:rPr>
              <w:t>1.《工贸企业重大事故隐患判定标准》</w:t>
            </w:r>
            <w:r>
              <w:rPr>
                <w:rFonts w:eastAsia="仿宋"/>
                <w:color w:val="000000"/>
                <w:kern w:val="0"/>
                <w:sz w:val="24"/>
                <w:lang w:bidi="ar"/>
              </w:rPr>
              <w:br w:type="textWrapping"/>
            </w:r>
            <w:r>
              <w:rPr>
                <w:rFonts w:eastAsia="仿宋"/>
                <w:color w:val="000000"/>
                <w:kern w:val="0"/>
                <w:sz w:val="24"/>
                <w:lang w:bidi="ar"/>
              </w:rPr>
              <w:t>第六条  建材企业有下列情形之一的，应当判定为重大事故隐患：</w:t>
            </w:r>
            <w:r>
              <w:rPr>
                <w:rFonts w:eastAsia="仿宋"/>
                <w:color w:val="000000"/>
                <w:kern w:val="0"/>
                <w:sz w:val="24"/>
                <w:lang w:bidi="ar"/>
              </w:rPr>
              <w:br w:type="textWrapping"/>
            </w:r>
            <w:r>
              <w:rPr>
                <w:rFonts w:eastAsia="仿宋"/>
                <w:color w:val="000000"/>
                <w:kern w:val="0"/>
                <w:sz w:val="24"/>
                <w:lang w:bidi="ar"/>
              </w:rPr>
              <w:t>（二）筒型储库人工清库作业未落实清库方案中防止高处坠落、坍塌等安全措施的；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7701B560">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297B265A">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5E947066">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0E2996EE">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73EB380A">
            <w:pPr>
              <w:topLinePunct/>
              <w:adjustRightInd w:val="0"/>
              <w:snapToGrid w:val="0"/>
              <w:jc w:val="center"/>
              <w:textAlignment w:val="center"/>
              <w:rPr>
                <w:rFonts w:eastAsia="仿宋"/>
                <w:color w:val="000000"/>
                <w:sz w:val="24"/>
              </w:rPr>
            </w:pPr>
            <w:r>
              <w:rPr>
                <w:rFonts w:eastAsia="仿宋"/>
                <w:color w:val="000000"/>
                <w:kern w:val="0"/>
                <w:sz w:val="24"/>
                <w:lang w:bidi="ar"/>
              </w:rPr>
              <w:t>184</w:t>
            </w:r>
          </w:p>
        </w:tc>
        <w:tc>
          <w:tcPr>
            <w:tcW w:w="838" w:type="pct"/>
            <w:tcBorders>
              <w:top w:val="single" w:color="000000" w:sz="4" w:space="0"/>
              <w:left w:val="single" w:color="000000" w:sz="4" w:space="0"/>
              <w:bottom w:val="single" w:color="000000" w:sz="4" w:space="0"/>
              <w:right w:val="single" w:color="000000" w:sz="4" w:space="0"/>
            </w:tcBorders>
            <w:vAlign w:val="center"/>
          </w:tcPr>
          <w:p w14:paraId="0E01B645">
            <w:pPr>
              <w:topLinePunct/>
              <w:adjustRightInd w:val="0"/>
              <w:snapToGrid w:val="0"/>
              <w:textAlignment w:val="center"/>
              <w:rPr>
                <w:rFonts w:eastAsia="仿宋"/>
                <w:color w:val="000000"/>
                <w:sz w:val="24"/>
              </w:rPr>
            </w:pPr>
            <w:r>
              <w:rPr>
                <w:rFonts w:eastAsia="仿宋"/>
                <w:color w:val="000000"/>
                <w:kern w:val="0"/>
                <w:sz w:val="24"/>
                <w:lang w:bidi="ar"/>
              </w:rPr>
              <w:t>对水泥企业电石渣原料筒型储库未设置固定式可燃气体浓度监测报警装置，或者监测报警装置未与事故通风装置联锁的行政处罚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3C711CB1">
            <w:pPr>
              <w:topLinePunct/>
              <w:adjustRightInd w:val="0"/>
              <w:snapToGrid w:val="0"/>
              <w:jc w:val="left"/>
              <w:textAlignment w:val="center"/>
              <w:rPr>
                <w:rFonts w:eastAsia="仿宋"/>
                <w:color w:val="000000"/>
                <w:sz w:val="24"/>
              </w:rPr>
            </w:pPr>
            <w:r>
              <w:rPr>
                <w:rFonts w:eastAsia="仿宋"/>
                <w:color w:val="000000"/>
                <w:kern w:val="0"/>
                <w:sz w:val="24"/>
                <w:lang w:bidi="ar"/>
              </w:rPr>
              <w:t>1.《工贸企业重大事故隐患判定标准》</w:t>
            </w:r>
            <w:r>
              <w:rPr>
                <w:rFonts w:eastAsia="仿宋"/>
                <w:color w:val="000000"/>
                <w:kern w:val="0"/>
                <w:sz w:val="24"/>
                <w:lang w:bidi="ar"/>
              </w:rPr>
              <w:br w:type="textWrapping"/>
            </w:r>
            <w:r>
              <w:rPr>
                <w:rFonts w:eastAsia="仿宋"/>
                <w:color w:val="000000"/>
                <w:kern w:val="0"/>
                <w:sz w:val="24"/>
                <w:lang w:bidi="ar"/>
              </w:rPr>
              <w:t>第六条  建材企业有下列情形之一的，应当判定为重大事故隐患：</w:t>
            </w:r>
            <w:r>
              <w:rPr>
                <w:rFonts w:eastAsia="仿宋"/>
                <w:color w:val="000000"/>
                <w:kern w:val="0"/>
                <w:sz w:val="24"/>
                <w:lang w:bidi="ar"/>
              </w:rPr>
              <w:br w:type="textWrapping"/>
            </w:r>
            <w:r>
              <w:rPr>
                <w:rFonts w:eastAsia="仿宋"/>
                <w:color w:val="000000"/>
                <w:kern w:val="0"/>
                <w:sz w:val="24"/>
                <w:lang w:bidi="ar"/>
              </w:rPr>
              <w:t>（三）水泥企业电石渣原料筒型储库未设置固定式可燃气体浓度监测报警装置，或者监测报警装置未与事故通风装置联锁的；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第九十九条第二项  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二）安全设备的安装、使用、检测、改造和报废不符合国家标准或者行业标准的。</w:t>
            </w:r>
          </w:p>
        </w:tc>
        <w:tc>
          <w:tcPr>
            <w:tcW w:w="476" w:type="pct"/>
            <w:tcBorders>
              <w:top w:val="single" w:color="000000" w:sz="4" w:space="0"/>
              <w:left w:val="single" w:color="000000" w:sz="4" w:space="0"/>
              <w:bottom w:val="single" w:color="000000" w:sz="4" w:space="0"/>
              <w:right w:val="single" w:color="000000" w:sz="4" w:space="0"/>
            </w:tcBorders>
            <w:vAlign w:val="center"/>
          </w:tcPr>
          <w:p w14:paraId="7AE85734">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3FBD91FD">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36222A86">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0F816C94">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4E131618">
            <w:pPr>
              <w:topLinePunct/>
              <w:adjustRightInd w:val="0"/>
              <w:snapToGrid w:val="0"/>
              <w:jc w:val="center"/>
              <w:textAlignment w:val="center"/>
              <w:rPr>
                <w:rFonts w:eastAsia="仿宋"/>
                <w:color w:val="000000"/>
                <w:sz w:val="24"/>
              </w:rPr>
            </w:pPr>
            <w:r>
              <w:rPr>
                <w:rFonts w:eastAsia="仿宋"/>
                <w:color w:val="000000"/>
                <w:kern w:val="0"/>
                <w:sz w:val="24"/>
                <w:lang w:bidi="ar"/>
              </w:rPr>
              <w:t>185</w:t>
            </w:r>
          </w:p>
        </w:tc>
        <w:tc>
          <w:tcPr>
            <w:tcW w:w="838" w:type="pct"/>
            <w:tcBorders>
              <w:top w:val="single" w:color="000000" w:sz="4" w:space="0"/>
              <w:left w:val="single" w:color="000000" w:sz="4" w:space="0"/>
              <w:bottom w:val="single" w:color="000000" w:sz="4" w:space="0"/>
              <w:right w:val="single" w:color="000000" w:sz="4" w:space="0"/>
            </w:tcBorders>
            <w:vAlign w:val="center"/>
          </w:tcPr>
          <w:p w14:paraId="0B1CD66D">
            <w:pPr>
              <w:topLinePunct/>
              <w:adjustRightInd w:val="0"/>
              <w:snapToGrid w:val="0"/>
              <w:textAlignment w:val="center"/>
              <w:rPr>
                <w:rFonts w:eastAsia="仿宋"/>
                <w:color w:val="000000"/>
                <w:sz w:val="24"/>
              </w:rPr>
            </w:pPr>
            <w:r>
              <w:rPr>
                <w:rFonts w:eastAsia="仿宋"/>
                <w:color w:val="000000"/>
                <w:kern w:val="0"/>
                <w:sz w:val="24"/>
                <w:lang w:bidi="ar"/>
              </w:rPr>
              <w:t>对建材企业进入筒型储库、焙烧窑、预热器旋风筒、分解炉、竖炉、篦冷机、磨机、破碎机前，未对可能意外启动的设备和涌入的物料、高温气体、有毒有害气体等采取隔离措施，或者未落实防止高处坠落、坍塌等安全措施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111600D1">
            <w:pPr>
              <w:topLinePunct/>
              <w:adjustRightInd w:val="0"/>
              <w:snapToGrid w:val="0"/>
              <w:jc w:val="left"/>
              <w:textAlignment w:val="center"/>
              <w:rPr>
                <w:rFonts w:eastAsia="仿宋"/>
                <w:color w:val="000000"/>
                <w:sz w:val="24"/>
              </w:rPr>
            </w:pPr>
            <w:r>
              <w:rPr>
                <w:rFonts w:eastAsia="仿宋"/>
                <w:color w:val="000000"/>
                <w:kern w:val="0"/>
                <w:sz w:val="24"/>
                <w:lang w:bidi="ar"/>
              </w:rPr>
              <w:t>1.《工贸企业重大事故隐患判定标准》</w:t>
            </w:r>
            <w:r>
              <w:rPr>
                <w:rFonts w:eastAsia="仿宋"/>
                <w:color w:val="000000"/>
                <w:kern w:val="0"/>
                <w:sz w:val="24"/>
                <w:lang w:bidi="ar"/>
              </w:rPr>
              <w:br w:type="textWrapping"/>
            </w:r>
            <w:r>
              <w:rPr>
                <w:rFonts w:eastAsia="仿宋"/>
                <w:color w:val="000000"/>
                <w:kern w:val="0"/>
                <w:sz w:val="24"/>
                <w:lang w:bidi="ar"/>
              </w:rPr>
              <w:t>第六条  建材企业有下列情形之一的，应当判定为重大事故隐患：</w:t>
            </w:r>
            <w:r>
              <w:rPr>
                <w:rFonts w:eastAsia="仿宋"/>
                <w:color w:val="000000"/>
                <w:kern w:val="0"/>
                <w:sz w:val="24"/>
                <w:lang w:bidi="ar"/>
              </w:rPr>
              <w:br w:type="textWrapping"/>
            </w:r>
            <w:r>
              <w:rPr>
                <w:rFonts w:eastAsia="仿宋"/>
                <w:color w:val="000000"/>
                <w:kern w:val="0"/>
                <w:sz w:val="24"/>
                <w:lang w:bidi="ar"/>
              </w:rPr>
              <w:t>（四）进入筒型储库、焙烧窑、预热器旋风筒、分解炉、竖炉、篦冷机、磨机、破碎机前，未对可能意外启动的设备和涌入的物料、高温气体、有毒有害气体等采取隔离措施，或者未落实防止高处坠落、坍塌等安全措施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5D001423">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00A5F5F7">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14C052ED">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3635700D">
        <w:tblPrEx>
          <w:tblCellMar>
            <w:top w:w="0" w:type="dxa"/>
            <w:left w:w="108" w:type="dxa"/>
            <w:bottom w:w="0" w:type="dxa"/>
            <w:right w:w="108" w:type="dxa"/>
          </w:tblCellMar>
        </w:tblPrEx>
        <w:trPr>
          <w:trHeight w:val="1928"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1A076AC6">
            <w:pPr>
              <w:topLinePunct/>
              <w:adjustRightInd w:val="0"/>
              <w:snapToGrid w:val="0"/>
              <w:jc w:val="center"/>
              <w:textAlignment w:val="center"/>
              <w:rPr>
                <w:rFonts w:eastAsia="仿宋"/>
                <w:color w:val="000000"/>
                <w:sz w:val="24"/>
              </w:rPr>
            </w:pPr>
            <w:r>
              <w:rPr>
                <w:rFonts w:eastAsia="仿宋"/>
                <w:color w:val="000000"/>
                <w:kern w:val="0"/>
                <w:sz w:val="24"/>
                <w:lang w:bidi="ar"/>
              </w:rPr>
              <w:t>186</w:t>
            </w:r>
          </w:p>
        </w:tc>
        <w:tc>
          <w:tcPr>
            <w:tcW w:w="838" w:type="pct"/>
            <w:tcBorders>
              <w:top w:val="single" w:color="000000" w:sz="4" w:space="0"/>
              <w:left w:val="single" w:color="000000" w:sz="4" w:space="0"/>
              <w:bottom w:val="single" w:color="000000" w:sz="4" w:space="0"/>
              <w:right w:val="single" w:color="000000" w:sz="4" w:space="0"/>
            </w:tcBorders>
            <w:vAlign w:val="center"/>
          </w:tcPr>
          <w:p w14:paraId="1954DF1F">
            <w:pPr>
              <w:topLinePunct/>
              <w:adjustRightInd w:val="0"/>
              <w:snapToGrid w:val="0"/>
              <w:textAlignment w:val="center"/>
              <w:rPr>
                <w:rFonts w:eastAsia="仿宋"/>
                <w:color w:val="000000"/>
                <w:sz w:val="24"/>
              </w:rPr>
            </w:pPr>
            <w:r>
              <w:rPr>
                <w:rFonts w:eastAsia="仿宋"/>
                <w:color w:val="000000"/>
                <w:kern w:val="0"/>
                <w:sz w:val="24"/>
                <w:lang w:bidi="ar"/>
              </w:rPr>
              <w:t>对建材企业采用预混燃烧方式的燃气窑炉（热发生炉煤气窑炉除外）的燃气总管未设置管道压力监测报警装置，或者监测报警装置未与紧急自动切断装置联锁的行政处罚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43F2AA4D">
            <w:pPr>
              <w:topLinePunct/>
              <w:adjustRightInd w:val="0"/>
              <w:snapToGrid w:val="0"/>
              <w:jc w:val="left"/>
              <w:textAlignment w:val="center"/>
              <w:rPr>
                <w:rFonts w:eastAsia="仿宋"/>
                <w:color w:val="000000"/>
                <w:sz w:val="24"/>
              </w:rPr>
            </w:pPr>
            <w:r>
              <w:rPr>
                <w:rFonts w:eastAsia="仿宋"/>
                <w:color w:val="000000"/>
                <w:kern w:val="0"/>
                <w:sz w:val="24"/>
                <w:lang w:bidi="ar"/>
              </w:rPr>
              <w:t>1.《工贸企业重大事故隐患判定标准》</w:t>
            </w:r>
            <w:r>
              <w:rPr>
                <w:rFonts w:eastAsia="仿宋"/>
                <w:color w:val="000000"/>
                <w:kern w:val="0"/>
                <w:sz w:val="24"/>
                <w:lang w:bidi="ar"/>
              </w:rPr>
              <w:br w:type="textWrapping"/>
            </w:r>
            <w:r>
              <w:rPr>
                <w:rFonts w:eastAsia="仿宋"/>
                <w:color w:val="000000"/>
                <w:kern w:val="0"/>
                <w:sz w:val="24"/>
                <w:lang w:bidi="ar"/>
              </w:rPr>
              <w:t>第六条  建材企业有下列情形之一的，应当判定为重大事故隐患：</w:t>
            </w:r>
            <w:r>
              <w:rPr>
                <w:rFonts w:eastAsia="仿宋"/>
                <w:color w:val="000000"/>
                <w:kern w:val="0"/>
                <w:sz w:val="24"/>
                <w:lang w:bidi="ar"/>
              </w:rPr>
              <w:br w:type="textWrapping"/>
            </w:r>
            <w:r>
              <w:rPr>
                <w:rFonts w:eastAsia="仿宋"/>
                <w:color w:val="000000"/>
                <w:kern w:val="0"/>
                <w:sz w:val="24"/>
                <w:lang w:bidi="ar"/>
              </w:rPr>
              <w:t>（五）采用预混燃烧方式的燃气窑炉（热发生炉煤气窑炉除外）的燃气总管未设置管道压力监测报警装置，或者监测报警装置未与紧急自动切断装置联锁的；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第九十九条第二项  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二）安全设备的安装、使用、检测、改造和报废不符合国家标准或者行业标准的。</w:t>
            </w:r>
          </w:p>
        </w:tc>
        <w:tc>
          <w:tcPr>
            <w:tcW w:w="476" w:type="pct"/>
            <w:tcBorders>
              <w:top w:val="single" w:color="000000" w:sz="4" w:space="0"/>
              <w:left w:val="single" w:color="000000" w:sz="4" w:space="0"/>
              <w:bottom w:val="single" w:color="000000" w:sz="4" w:space="0"/>
              <w:right w:val="single" w:color="000000" w:sz="4" w:space="0"/>
            </w:tcBorders>
            <w:vAlign w:val="center"/>
          </w:tcPr>
          <w:p w14:paraId="0A22B540">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7545BA6E">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0535C90F">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495CB2D6">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1BEE98AB">
            <w:pPr>
              <w:topLinePunct/>
              <w:adjustRightInd w:val="0"/>
              <w:snapToGrid w:val="0"/>
              <w:jc w:val="center"/>
              <w:textAlignment w:val="center"/>
              <w:rPr>
                <w:rFonts w:eastAsia="仿宋"/>
                <w:color w:val="000000"/>
                <w:sz w:val="24"/>
              </w:rPr>
            </w:pPr>
            <w:r>
              <w:rPr>
                <w:rFonts w:eastAsia="仿宋"/>
                <w:color w:val="000000"/>
                <w:kern w:val="0"/>
                <w:sz w:val="24"/>
                <w:lang w:bidi="ar"/>
              </w:rPr>
              <w:t>187</w:t>
            </w:r>
          </w:p>
        </w:tc>
        <w:tc>
          <w:tcPr>
            <w:tcW w:w="838" w:type="pct"/>
            <w:tcBorders>
              <w:top w:val="single" w:color="000000" w:sz="4" w:space="0"/>
              <w:left w:val="single" w:color="000000" w:sz="4" w:space="0"/>
              <w:bottom w:val="single" w:color="000000" w:sz="4" w:space="0"/>
              <w:right w:val="single" w:color="000000" w:sz="4" w:space="0"/>
            </w:tcBorders>
            <w:vAlign w:val="center"/>
          </w:tcPr>
          <w:p w14:paraId="0F2C62C4">
            <w:pPr>
              <w:topLinePunct/>
              <w:adjustRightInd w:val="0"/>
              <w:snapToGrid w:val="0"/>
              <w:textAlignment w:val="center"/>
              <w:rPr>
                <w:rFonts w:eastAsia="仿宋"/>
                <w:color w:val="000000"/>
                <w:sz w:val="24"/>
              </w:rPr>
            </w:pPr>
            <w:r>
              <w:rPr>
                <w:rFonts w:eastAsia="仿宋"/>
                <w:color w:val="000000"/>
                <w:kern w:val="0"/>
                <w:sz w:val="24"/>
                <w:lang w:bidi="ar"/>
              </w:rPr>
              <w:t>对建材企业制氢站、氮氢保护气体配气间、燃气配气间等场所未设置固定式可燃气体浓度监测报警装置的行政处罚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6B941AC8">
            <w:pPr>
              <w:topLinePunct/>
              <w:adjustRightInd w:val="0"/>
              <w:snapToGrid w:val="0"/>
              <w:jc w:val="left"/>
              <w:textAlignment w:val="center"/>
              <w:rPr>
                <w:rFonts w:eastAsia="仿宋"/>
                <w:color w:val="000000"/>
                <w:sz w:val="24"/>
              </w:rPr>
            </w:pPr>
            <w:r>
              <w:rPr>
                <w:rFonts w:eastAsia="仿宋"/>
                <w:color w:val="000000"/>
                <w:kern w:val="0"/>
                <w:sz w:val="24"/>
                <w:lang w:bidi="ar"/>
              </w:rPr>
              <w:t>1.《工贸企业重大事故隐患判定标准》</w:t>
            </w:r>
            <w:r>
              <w:rPr>
                <w:rFonts w:eastAsia="仿宋"/>
                <w:color w:val="000000"/>
                <w:kern w:val="0"/>
                <w:sz w:val="24"/>
                <w:lang w:bidi="ar"/>
              </w:rPr>
              <w:br w:type="textWrapping"/>
            </w:r>
            <w:r>
              <w:rPr>
                <w:rFonts w:eastAsia="仿宋"/>
                <w:color w:val="000000"/>
                <w:kern w:val="0"/>
                <w:sz w:val="24"/>
                <w:lang w:bidi="ar"/>
              </w:rPr>
              <w:t>第六条  建材企业有下列情形之一的，应当判定为重大事故隐患：</w:t>
            </w:r>
            <w:r>
              <w:rPr>
                <w:rFonts w:eastAsia="仿宋"/>
                <w:color w:val="000000"/>
                <w:kern w:val="0"/>
                <w:sz w:val="24"/>
                <w:lang w:bidi="ar"/>
              </w:rPr>
              <w:br w:type="textWrapping"/>
            </w:r>
            <w:r>
              <w:rPr>
                <w:rFonts w:eastAsia="仿宋"/>
                <w:color w:val="000000"/>
                <w:kern w:val="0"/>
                <w:sz w:val="24"/>
                <w:lang w:bidi="ar"/>
              </w:rPr>
              <w:t>（六）制氢站、氮氢保护气体配气间、燃气配气间等3类场所未设置固定式可燃气体浓度监测报警装置的；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第九十九条第二项  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二）安全设备的安装、使用、检测、改造和报废不符合国家标准或者行业标准的。</w:t>
            </w:r>
          </w:p>
        </w:tc>
        <w:tc>
          <w:tcPr>
            <w:tcW w:w="476" w:type="pct"/>
            <w:tcBorders>
              <w:top w:val="single" w:color="000000" w:sz="4" w:space="0"/>
              <w:left w:val="single" w:color="000000" w:sz="4" w:space="0"/>
              <w:bottom w:val="single" w:color="000000" w:sz="4" w:space="0"/>
              <w:right w:val="single" w:color="000000" w:sz="4" w:space="0"/>
            </w:tcBorders>
            <w:vAlign w:val="center"/>
          </w:tcPr>
          <w:p w14:paraId="3E92E911">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44957263">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7A379F16">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10E1A4CD">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11415B98">
            <w:pPr>
              <w:topLinePunct/>
              <w:adjustRightInd w:val="0"/>
              <w:snapToGrid w:val="0"/>
              <w:jc w:val="center"/>
              <w:textAlignment w:val="center"/>
              <w:rPr>
                <w:rFonts w:eastAsia="仿宋"/>
                <w:color w:val="000000"/>
                <w:sz w:val="24"/>
              </w:rPr>
            </w:pPr>
            <w:r>
              <w:rPr>
                <w:rFonts w:eastAsia="仿宋"/>
                <w:color w:val="000000"/>
                <w:kern w:val="0"/>
                <w:sz w:val="24"/>
                <w:lang w:bidi="ar"/>
              </w:rPr>
              <w:t>188</w:t>
            </w:r>
          </w:p>
        </w:tc>
        <w:tc>
          <w:tcPr>
            <w:tcW w:w="838" w:type="pct"/>
            <w:tcBorders>
              <w:top w:val="single" w:color="000000" w:sz="4" w:space="0"/>
              <w:left w:val="single" w:color="000000" w:sz="4" w:space="0"/>
              <w:bottom w:val="single" w:color="000000" w:sz="4" w:space="0"/>
              <w:right w:val="single" w:color="000000" w:sz="4" w:space="0"/>
            </w:tcBorders>
            <w:vAlign w:val="center"/>
          </w:tcPr>
          <w:p w14:paraId="368D7D14">
            <w:pPr>
              <w:topLinePunct/>
              <w:adjustRightInd w:val="0"/>
              <w:snapToGrid w:val="0"/>
              <w:textAlignment w:val="center"/>
              <w:rPr>
                <w:rFonts w:eastAsia="仿宋"/>
                <w:color w:val="000000"/>
                <w:sz w:val="24"/>
              </w:rPr>
            </w:pPr>
            <w:r>
              <w:rPr>
                <w:rFonts w:eastAsia="仿宋"/>
                <w:color w:val="000000"/>
                <w:kern w:val="0"/>
                <w:sz w:val="24"/>
                <w:lang w:bidi="ar"/>
              </w:rPr>
              <w:t>对建材企业电熔制品电炉的水冷设备失效的行政处罚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1404FEEA">
            <w:pPr>
              <w:topLinePunct/>
              <w:adjustRightInd w:val="0"/>
              <w:snapToGrid w:val="0"/>
              <w:jc w:val="left"/>
              <w:textAlignment w:val="center"/>
              <w:rPr>
                <w:rFonts w:eastAsia="仿宋"/>
                <w:color w:val="000000"/>
                <w:sz w:val="24"/>
              </w:rPr>
            </w:pPr>
            <w:r>
              <w:rPr>
                <w:rFonts w:eastAsia="仿宋"/>
                <w:color w:val="000000"/>
                <w:kern w:val="0"/>
                <w:sz w:val="24"/>
                <w:lang w:bidi="ar"/>
              </w:rPr>
              <w:t>1.《工贸企业重大事故隐患判定标准》</w:t>
            </w:r>
            <w:r>
              <w:rPr>
                <w:rFonts w:eastAsia="仿宋"/>
                <w:color w:val="000000"/>
                <w:kern w:val="0"/>
                <w:sz w:val="24"/>
                <w:lang w:bidi="ar"/>
              </w:rPr>
              <w:br w:type="textWrapping"/>
            </w:r>
            <w:r>
              <w:rPr>
                <w:rFonts w:eastAsia="仿宋"/>
                <w:color w:val="000000"/>
                <w:kern w:val="0"/>
                <w:sz w:val="24"/>
                <w:lang w:bidi="ar"/>
              </w:rPr>
              <w:t>第六条  建材企业有下列情形之一的，应当判定为重大事故隐患：</w:t>
            </w:r>
            <w:r>
              <w:rPr>
                <w:rFonts w:eastAsia="仿宋"/>
                <w:color w:val="000000"/>
                <w:kern w:val="0"/>
                <w:sz w:val="24"/>
                <w:lang w:bidi="ar"/>
              </w:rPr>
              <w:br w:type="textWrapping"/>
            </w:r>
            <w:r>
              <w:rPr>
                <w:rFonts w:eastAsia="仿宋"/>
                <w:color w:val="000000"/>
                <w:kern w:val="0"/>
                <w:sz w:val="24"/>
                <w:lang w:bidi="ar"/>
              </w:rPr>
              <w:t>（七）电熔制品电炉的水冷设备失效的；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3C73762D">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202AB816">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6E002C0A">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5C6A9389">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55FF8F08">
            <w:pPr>
              <w:topLinePunct/>
              <w:adjustRightInd w:val="0"/>
              <w:snapToGrid w:val="0"/>
              <w:jc w:val="center"/>
              <w:textAlignment w:val="center"/>
              <w:rPr>
                <w:rFonts w:eastAsia="仿宋"/>
                <w:color w:val="000000"/>
                <w:sz w:val="24"/>
              </w:rPr>
            </w:pPr>
            <w:r>
              <w:rPr>
                <w:rFonts w:eastAsia="仿宋"/>
                <w:color w:val="000000"/>
                <w:kern w:val="0"/>
                <w:sz w:val="24"/>
                <w:lang w:bidi="ar"/>
              </w:rPr>
              <w:t>189</w:t>
            </w:r>
          </w:p>
        </w:tc>
        <w:tc>
          <w:tcPr>
            <w:tcW w:w="838" w:type="pct"/>
            <w:tcBorders>
              <w:top w:val="single" w:color="000000" w:sz="4" w:space="0"/>
              <w:left w:val="single" w:color="000000" w:sz="4" w:space="0"/>
              <w:bottom w:val="single" w:color="000000" w:sz="4" w:space="0"/>
              <w:right w:val="single" w:color="000000" w:sz="4" w:space="0"/>
            </w:tcBorders>
            <w:vAlign w:val="center"/>
          </w:tcPr>
          <w:p w14:paraId="5C29D5DD">
            <w:pPr>
              <w:topLinePunct/>
              <w:adjustRightInd w:val="0"/>
              <w:snapToGrid w:val="0"/>
              <w:textAlignment w:val="center"/>
              <w:rPr>
                <w:rFonts w:eastAsia="仿宋"/>
                <w:color w:val="000000"/>
                <w:sz w:val="24"/>
              </w:rPr>
            </w:pPr>
            <w:r>
              <w:rPr>
                <w:rFonts w:eastAsia="仿宋"/>
                <w:color w:val="000000"/>
                <w:kern w:val="0"/>
                <w:sz w:val="24"/>
                <w:lang w:bidi="ar"/>
              </w:rPr>
              <w:t>对建材企业玻璃窑炉、玻璃锡槽等设备未设置水冷和风冷保护系统的监测报警装置的行政处罚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2BFC86CE">
            <w:pPr>
              <w:topLinePunct/>
              <w:adjustRightInd w:val="0"/>
              <w:snapToGrid w:val="0"/>
              <w:jc w:val="left"/>
              <w:textAlignment w:val="center"/>
              <w:rPr>
                <w:rFonts w:eastAsia="仿宋"/>
                <w:color w:val="000000"/>
                <w:sz w:val="24"/>
              </w:rPr>
            </w:pPr>
            <w:r>
              <w:rPr>
                <w:rFonts w:eastAsia="仿宋"/>
                <w:color w:val="000000"/>
                <w:kern w:val="0"/>
                <w:sz w:val="24"/>
                <w:lang w:bidi="ar"/>
              </w:rPr>
              <w:t>1.《工贸企业重大事故隐患判定标准》</w:t>
            </w:r>
            <w:r>
              <w:rPr>
                <w:rFonts w:eastAsia="仿宋"/>
                <w:color w:val="000000"/>
                <w:kern w:val="0"/>
                <w:sz w:val="24"/>
                <w:lang w:bidi="ar"/>
              </w:rPr>
              <w:br w:type="textWrapping"/>
            </w:r>
            <w:r>
              <w:rPr>
                <w:rFonts w:eastAsia="仿宋"/>
                <w:color w:val="000000"/>
                <w:kern w:val="0"/>
                <w:sz w:val="24"/>
                <w:lang w:bidi="ar"/>
              </w:rPr>
              <w:t>第六条  建材企业有下列情形之一的，应当判定为重大事故隐患：</w:t>
            </w:r>
            <w:r>
              <w:rPr>
                <w:rFonts w:eastAsia="仿宋"/>
                <w:color w:val="000000"/>
                <w:kern w:val="0"/>
                <w:sz w:val="24"/>
                <w:lang w:bidi="ar"/>
              </w:rPr>
              <w:br w:type="textWrapping"/>
            </w:r>
            <w:r>
              <w:rPr>
                <w:rFonts w:eastAsia="仿宋"/>
                <w:color w:val="000000"/>
                <w:kern w:val="0"/>
                <w:sz w:val="24"/>
                <w:lang w:bidi="ar"/>
              </w:rPr>
              <w:t>（八）玻璃窑炉、玻璃锡槽等设备未设置水冷和风冷保护系统的监测报警装置的。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第九十九条第二项  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二）安全设备的安装、使用、检测、改造和报废不符合国家标准或者行业标准的。</w:t>
            </w:r>
          </w:p>
        </w:tc>
        <w:tc>
          <w:tcPr>
            <w:tcW w:w="476" w:type="pct"/>
            <w:tcBorders>
              <w:top w:val="single" w:color="000000" w:sz="4" w:space="0"/>
              <w:left w:val="single" w:color="000000" w:sz="4" w:space="0"/>
              <w:bottom w:val="single" w:color="000000" w:sz="4" w:space="0"/>
              <w:right w:val="single" w:color="000000" w:sz="4" w:space="0"/>
            </w:tcBorders>
            <w:vAlign w:val="center"/>
          </w:tcPr>
          <w:p w14:paraId="2BCCB24A">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3D02EC64">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7AB01717">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3F6D0F4A">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0EEE3D69">
            <w:pPr>
              <w:topLinePunct/>
              <w:adjustRightInd w:val="0"/>
              <w:snapToGrid w:val="0"/>
              <w:jc w:val="center"/>
              <w:textAlignment w:val="center"/>
              <w:rPr>
                <w:rFonts w:eastAsia="仿宋"/>
                <w:color w:val="000000"/>
                <w:sz w:val="24"/>
              </w:rPr>
            </w:pPr>
            <w:r>
              <w:rPr>
                <w:rFonts w:eastAsia="仿宋"/>
                <w:color w:val="000000"/>
                <w:kern w:val="0"/>
                <w:sz w:val="24"/>
                <w:lang w:bidi="ar"/>
              </w:rPr>
              <w:t>190</w:t>
            </w:r>
          </w:p>
        </w:tc>
        <w:tc>
          <w:tcPr>
            <w:tcW w:w="838" w:type="pct"/>
            <w:tcBorders>
              <w:top w:val="single" w:color="000000" w:sz="4" w:space="0"/>
              <w:left w:val="single" w:color="000000" w:sz="4" w:space="0"/>
              <w:bottom w:val="single" w:color="000000" w:sz="4" w:space="0"/>
              <w:right w:val="single" w:color="000000" w:sz="4" w:space="0"/>
            </w:tcBorders>
            <w:vAlign w:val="center"/>
          </w:tcPr>
          <w:p w14:paraId="6622D2EF">
            <w:pPr>
              <w:topLinePunct/>
              <w:adjustRightInd w:val="0"/>
              <w:snapToGrid w:val="0"/>
              <w:textAlignment w:val="center"/>
              <w:rPr>
                <w:rFonts w:eastAsia="仿宋"/>
                <w:color w:val="000000"/>
                <w:sz w:val="24"/>
              </w:rPr>
            </w:pPr>
            <w:r>
              <w:rPr>
                <w:rFonts w:eastAsia="仿宋"/>
                <w:color w:val="000000"/>
                <w:kern w:val="0"/>
                <w:sz w:val="24"/>
                <w:lang w:bidi="ar"/>
              </w:rPr>
              <w:t>对机械企业会议室、活动室、休息室、更衣室、交接班室等人员聚集场所设置在熔融金属吊运跨或者浇注跨的地坪区域内的行政处罚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6D754797">
            <w:pPr>
              <w:topLinePunct/>
              <w:adjustRightInd w:val="0"/>
              <w:snapToGrid w:val="0"/>
              <w:jc w:val="left"/>
              <w:textAlignment w:val="center"/>
              <w:rPr>
                <w:rFonts w:eastAsia="仿宋"/>
                <w:color w:val="000000"/>
                <w:sz w:val="24"/>
              </w:rPr>
            </w:pPr>
            <w:r>
              <w:rPr>
                <w:rFonts w:eastAsia="仿宋"/>
                <w:color w:val="000000"/>
                <w:kern w:val="0"/>
                <w:sz w:val="24"/>
                <w:lang w:bidi="ar"/>
              </w:rPr>
              <w:t>1.《工贸企业重大事故隐患判定标准》</w:t>
            </w:r>
            <w:r>
              <w:rPr>
                <w:rFonts w:eastAsia="仿宋"/>
                <w:color w:val="000000"/>
                <w:kern w:val="0"/>
                <w:sz w:val="24"/>
                <w:lang w:bidi="ar"/>
              </w:rPr>
              <w:br w:type="textWrapping"/>
            </w:r>
            <w:r>
              <w:rPr>
                <w:rFonts w:eastAsia="仿宋"/>
                <w:color w:val="000000"/>
                <w:kern w:val="0"/>
                <w:sz w:val="24"/>
                <w:lang w:bidi="ar"/>
              </w:rPr>
              <w:t>第七条  机械企业有下列情形之一的，应当判定为重大事故隐患：</w:t>
            </w:r>
            <w:r>
              <w:rPr>
                <w:rFonts w:eastAsia="仿宋"/>
                <w:color w:val="000000"/>
                <w:kern w:val="0"/>
                <w:sz w:val="24"/>
                <w:lang w:bidi="ar"/>
              </w:rPr>
              <w:br w:type="textWrapping"/>
            </w:r>
            <w:r>
              <w:rPr>
                <w:rFonts w:eastAsia="仿宋"/>
                <w:color w:val="000000"/>
                <w:kern w:val="0"/>
                <w:sz w:val="24"/>
                <w:lang w:bidi="ar"/>
              </w:rPr>
              <w:t>（一）会议室、活动室、休息室、更衣室、交接班室等5类人员聚集场所设置在熔融金属吊运跨或者浇注跨的地坪区域内的；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6752A9C1">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4847A189">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0A7C7F74">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50AC42B7">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05B6210C">
            <w:pPr>
              <w:topLinePunct/>
              <w:adjustRightInd w:val="0"/>
              <w:snapToGrid w:val="0"/>
              <w:jc w:val="center"/>
              <w:textAlignment w:val="center"/>
              <w:rPr>
                <w:rFonts w:eastAsia="仿宋"/>
                <w:color w:val="000000"/>
                <w:sz w:val="24"/>
              </w:rPr>
            </w:pPr>
            <w:r>
              <w:rPr>
                <w:rFonts w:eastAsia="仿宋"/>
                <w:color w:val="000000"/>
                <w:kern w:val="0"/>
                <w:sz w:val="24"/>
                <w:lang w:bidi="ar"/>
              </w:rPr>
              <w:t>191</w:t>
            </w:r>
          </w:p>
        </w:tc>
        <w:tc>
          <w:tcPr>
            <w:tcW w:w="838" w:type="pct"/>
            <w:tcBorders>
              <w:top w:val="single" w:color="000000" w:sz="4" w:space="0"/>
              <w:left w:val="single" w:color="000000" w:sz="4" w:space="0"/>
              <w:bottom w:val="single" w:color="000000" w:sz="4" w:space="0"/>
              <w:right w:val="single" w:color="000000" w:sz="4" w:space="0"/>
            </w:tcBorders>
            <w:vAlign w:val="center"/>
          </w:tcPr>
          <w:p w14:paraId="64A16887">
            <w:pPr>
              <w:topLinePunct/>
              <w:adjustRightInd w:val="0"/>
              <w:snapToGrid w:val="0"/>
              <w:textAlignment w:val="center"/>
              <w:rPr>
                <w:rFonts w:eastAsia="仿宋"/>
                <w:color w:val="000000"/>
                <w:sz w:val="24"/>
              </w:rPr>
            </w:pPr>
            <w:r>
              <w:rPr>
                <w:rFonts w:eastAsia="仿宋"/>
                <w:color w:val="000000"/>
                <w:kern w:val="0"/>
                <w:sz w:val="24"/>
                <w:lang w:bidi="ar"/>
              </w:rPr>
              <w:t>对机械企业铸造用熔炼炉、精炼炉、保温炉未设置紧急排放和应急储存设施的行政处罚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74421175">
            <w:pPr>
              <w:topLinePunct/>
              <w:adjustRightInd w:val="0"/>
              <w:snapToGrid w:val="0"/>
              <w:jc w:val="left"/>
              <w:textAlignment w:val="center"/>
              <w:rPr>
                <w:rFonts w:eastAsia="仿宋"/>
                <w:color w:val="000000"/>
                <w:sz w:val="24"/>
              </w:rPr>
            </w:pPr>
            <w:r>
              <w:rPr>
                <w:rFonts w:eastAsia="仿宋"/>
                <w:color w:val="000000"/>
                <w:kern w:val="0"/>
                <w:sz w:val="24"/>
                <w:lang w:bidi="ar"/>
              </w:rPr>
              <w:t>1.《工贸企业重大事故隐患判定标准》</w:t>
            </w:r>
            <w:r>
              <w:rPr>
                <w:rFonts w:eastAsia="仿宋"/>
                <w:color w:val="000000"/>
                <w:kern w:val="0"/>
                <w:sz w:val="24"/>
                <w:lang w:bidi="ar"/>
              </w:rPr>
              <w:br w:type="textWrapping"/>
            </w:r>
            <w:r>
              <w:rPr>
                <w:rFonts w:eastAsia="仿宋"/>
                <w:color w:val="000000"/>
                <w:kern w:val="0"/>
                <w:sz w:val="24"/>
                <w:lang w:bidi="ar"/>
              </w:rPr>
              <w:t>第七条  机械企业有下列情形之一的，应当判定为重大事故隐患：</w:t>
            </w:r>
            <w:r>
              <w:rPr>
                <w:rFonts w:eastAsia="仿宋"/>
                <w:color w:val="000000"/>
                <w:kern w:val="0"/>
                <w:sz w:val="24"/>
                <w:lang w:bidi="ar"/>
              </w:rPr>
              <w:br w:type="textWrapping"/>
            </w:r>
            <w:r>
              <w:rPr>
                <w:rFonts w:eastAsia="仿宋"/>
                <w:color w:val="000000"/>
                <w:kern w:val="0"/>
                <w:sz w:val="24"/>
                <w:lang w:bidi="ar"/>
              </w:rPr>
              <w:t>（二）铸造用熔炼炉、精炼炉、保温炉未设置紧急排放和应急储存设施的；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第九十九条第二项  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二）安全设备的安装、使用、检测、改造和报废不符合国家标准或者行业标准的。</w:t>
            </w:r>
          </w:p>
        </w:tc>
        <w:tc>
          <w:tcPr>
            <w:tcW w:w="476" w:type="pct"/>
            <w:tcBorders>
              <w:top w:val="single" w:color="000000" w:sz="4" w:space="0"/>
              <w:left w:val="single" w:color="000000" w:sz="4" w:space="0"/>
              <w:bottom w:val="single" w:color="000000" w:sz="4" w:space="0"/>
              <w:right w:val="single" w:color="000000" w:sz="4" w:space="0"/>
            </w:tcBorders>
            <w:vAlign w:val="center"/>
          </w:tcPr>
          <w:p w14:paraId="354685A2">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6524BC92">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1971DDA2">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526D695F">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2DB8D051">
            <w:pPr>
              <w:topLinePunct/>
              <w:adjustRightInd w:val="0"/>
              <w:snapToGrid w:val="0"/>
              <w:jc w:val="center"/>
              <w:textAlignment w:val="center"/>
              <w:rPr>
                <w:rFonts w:eastAsia="仿宋"/>
                <w:color w:val="000000"/>
                <w:sz w:val="24"/>
              </w:rPr>
            </w:pPr>
            <w:r>
              <w:rPr>
                <w:rFonts w:eastAsia="仿宋"/>
                <w:color w:val="000000"/>
                <w:kern w:val="0"/>
                <w:sz w:val="24"/>
                <w:lang w:bidi="ar"/>
              </w:rPr>
              <w:t>192</w:t>
            </w:r>
          </w:p>
        </w:tc>
        <w:tc>
          <w:tcPr>
            <w:tcW w:w="838" w:type="pct"/>
            <w:tcBorders>
              <w:top w:val="single" w:color="000000" w:sz="4" w:space="0"/>
              <w:left w:val="single" w:color="000000" w:sz="4" w:space="0"/>
              <w:bottom w:val="single" w:color="000000" w:sz="4" w:space="0"/>
              <w:right w:val="single" w:color="000000" w:sz="4" w:space="0"/>
            </w:tcBorders>
            <w:vAlign w:val="center"/>
          </w:tcPr>
          <w:p w14:paraId="4F7FBB83">
            <w:pPr>
              <w:topLinePunct/>
              <w:adjustRightInd w:val="0"/>
              <w:snapToGrid w:val="0"/>
              <w:textAlignment w:val="center"/>
              <w:rPr>
                <w:rFonts w:eastAsia="仿宋"/>
                <w:color w:val="000000"/>
                <w:sz w:val="24"/>
              </w:rPr>
            </w:pPr>
            <w:r>
              <w:rPr>
                <w:rFonts w:eastAsia="仿宋"/>
                <w:color w:val="000000"/>
                <w:kern w:val="0"/>
                <w:sz w:val="24"/>
                <w:lang w:bidi="ar"/>
              </w:rPr>
              <w:t>对机械企业生产期间铸造用熔炼炉、精炼炉、保温炉的炉底、炉坑和事故坑，以及熔融金属泄漏、喷溅影响范围内的炉前平台、炉基区域、造型地坑、浇注作业坑和熔融金属转运通道等8类区域存在积水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4E3FB0F7">
            <w:pPr>
              <w:topLinePunct/>
              <w:adjustRightInd w:val="0"/>
              <w:snapToGrid w:val="0"/>
              <w:jc w:val="left"/>
              <w:textAlignment w:val="center"/>
              <w:rPr>
                <w:rFonts w:eastAsia="仿宋"/>
                <w:color w:val="000000"/>
                <w:sz w:val="24"/>
              </w:rPr>
            </w:pPr>
            <w:r>
              <w:rPr>
                <w:rFonts w:eastAsia="仿宋"/>
                <w:color w:val="000000"/>
                <w:kern w:val="0"/>
                <w:sz w:val="24"/>
                <w:lang w:bidi="ar"/>
              </w:rPr>
              <w:t>1.《工贸企业重大事故隐患判定标准》</w:t>
            </w:r>
            <w:r>
              <w:rPr>
                <w:rFonts w:eastAsia="仿宋"/>
                <w:color w:val="000000"/>
                <w:kern w:val="0"/>
                <w:sz w:val="24"/>
                <w:lang w:bidi="ar"/>
              </w:rPr>
              <w:br w:type="textWrapping"/>
            </w:r>
            <w:r>
              <w:rPr>
                <w:rFonts w:eastAsia="仿宋"/>
                <w:color w:val="000000"/>
                <w:kern w:val="0"/>
                <w:sz w:val="24"/>
                <w:lang w:bidi="ar"/>
              </w:rPr>
              <w:t>第七条  机械企业有下列情形之一的，应当判定为重大事故隐患：</w:t>
            </w:r>
            <w:r>
              <w:rPr>
                <w:rFonts w:eastAsia="仿宋"/>
                <w:color w:val="000000"/>
                <w:kern w:val="0"/>
                <w:sz w:val="24"/>
                <w:lang w:bidi="ar"/>
              </w:rPr>
              <w:br w:type="textWrapping"/>
            </w:r>
            <w:r>
              <w:rPr>
                <w:rFonts w:eastAsia="仿宋"/>
                <w:color w:val="000000"/>
                <w:kern w:val="0"/>
                <w:sz w:val="24"/>
                <w:lang w:bidi="ar"/>
              </w:rPr>
              <w:t>（三）生产期间铸造用熔炼炉、精炼炉、保温炉的炉底、炉坑和事故坑，以及熔融金属泄漏、喷溅影响范围内的炉前平台、炉基区域、造型地坑、浇注作业坑和熔融金属转运通道等8类区域存在积水的；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6522AE3D">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19A35DE5">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528456CC">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2B5E3353">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68119B51">
            <w:pPr>
              <w:topLinePunct/>
              <w:adjustRightInd w:val="0"/>
              <w:snapToGrid w:val="0"/>
              <w:jc w:val="center"/>
              <w:textAlignment w:val="center"/>
              <w:rPr>
                <w:rFonts w:eastAsia="仿宋"/>
                <w:color w:val="000000"/>
                <w:sz w:val="24"/>
              </w:rPr>
            </w:pPr>
            <w:r>
              <w:rPr>
                <w:rFonts w:eastAsia="仿宋"/>
                <w:color w:val="000000"/>
                <w:kern w:val="0"/>
                <w:sz w:val="24"/>
                <w:lang w:bidi="ar"/>
              </w:rPr>
              <w:t>193</w:t>
            </w:r>
          </w:p>
        </w:tc>
        <w:tc>
          <w:tcPr>
            <w:tcW w:w="838" w:type="pct"/>
            <w:tcBorders>
              <w:top w:val="single" w:color="000000" w:sz="4" w:space="0"/>
              <w:left w:val="single" w:color="000000" w:sz="4" w:space="0"/>
              <w:bottom w:val="single" w:color="000000" w:sz="4" w:space="0"/>
              <w:right w:val="single" w:color="000000" w:sz="4" w:space="0"/>
            </w:tcBorders>
            <w:vAlign w:val="center"/>
          </w:tcPr>
          <w:p w14:paraId="6C398071">
            <w:pPr>
              <w:topLinePunct/>
              <w:adjustRightInd w:val="0"/>
              <w:snapToGrid w:val="0"/>
              <w:textAlignment w:val="center"/>
              <w:rPr>
                <w:rFonts w:eastAsia="仿宋"/>
                <w:color w:val="000000"/>
                <w:sz w:val="24"/>
              </w:rPr>
            </w:pPr>
            <w:r>
              <w:rPr>
                <w:rFonts w:eastAsia="仿宋"/>
                <w:color w:val="000000"/>
                <w:kern w:val="0"/>
                <w:sz w:val="24"/>
                <w:lang w:bidi="ar"/>
              </w:rPr>
              <w:t>对机械企业铸造用熔炼炉、精炼炉、压铸机、氧枪的冷却水系统未设置出水温度、进出水流量差监测报警装置，或者监测报警装置未与熔融金属加热、输送控制系统联锁的行政处罚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2370B46B">
            <w:pPr>
              <w:topLinePunct/>
              <w:adjustRightInd w:val="0"/>
              <w:snapToGrid w:val="0"/>
              <w:jc w:val="left"/>
              <w:textAlignment w:val="center"/>
              <w:rPr>
                <w:rFonts w:eastAsia="仿宋"/>
                <w:color w:val="000000"/>
                <w:sz w:val="24"/>
              </w:rPr>
            </w:pPr>
            <w:r>
              <w:rPr>
                <w:rFonts w:eastAsia="仿宋"/>
                <w:color w:val="000000"/>
                <w:kern w:val="0"/>
                <w:sz w:val="24"/>
                <w:lang w:bidi="ar"/>
              </w:rPr>
              <w:t>1.《工贸企业重大事故隐患判定标准》</w:t>
            </w:r>
            <w:r>
              <w:rPr>
                <w:rFonts w:eastAsia="仿宋"/>
                <w:color w:val="000000"/>
                <w:kern w:val="0"/>
                <w:sz w:val="24"/>
                <w:lang w:bidi="ar"/>
              </w:rPr>
              <w:br w:type="textWrapping"/>
            </w:r>
            <w:r>
              <w:rPr>
                <w:rFonts w:eastAsia="仿宋"/>
                <w:color w:val="000000"/>
                <w:kern w:val="0"/>
                <w:sz w:val="24"/>
                <w:lang w:bidi="ar"/>
              </w:rPr>
              <w:t>第七条  机械企业有下列情形之一的，应当判定为重大事故隐患：</w:t>
            </w:r>
            <w:r>
              <w:rPr>
                <w:rFonts w:eastAsia="仿宋"/>
                <w:color w:val="000000"/>
                <w:kern w:val="0"/>
                <w:sz w:val="24"/>
                <w:lang w:bidi="ar"/>
              </w:rPr>
              <w:br w:type="textWrapping"/>
            </w:r>
            <w:r>
              <w:rPr>
                <w:rFonts w:eastAsia="仿宋"/>
                <w:color w:val="000000"/>
                <w:kern w:val="0"/>
                <w:sz w:val="24"/>
                <w:lang w:bidi="ar"/>
              </w:rPr>
              <w:t>（四）铸造用熔炼炉、精炼炉、压铸机、氧枪的冷却水系统未设置出水温度、进出水流量差监测报警装置，或者监测报警装置未与熔融金属加热、输送控制系统联锁的；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第九十九条第二项  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二）安全设备的安装、使用、检测、改造和报废不符合国家标准或者行业标准的。</w:t>
            </w:r>
          </w:p>
        </w:tc>
        <w:tc>
          <w:tcPr>
            <w:tcW w:w="476" w:type="pct"/>
            <w:tcBorders>
              <w:top w:val="single" w:color="000000" w:sz="4" w:space="0"/>
              <w:left w:val="single" w:color="000000" w:sz="4" w:space="0"/>
              <w:bottom w:val="single" w:color="000000" w:sz="4" w:space="0"/>
              <w:right w:val="single" w:color="000000" w:sz="4" w:space="0"/>
            </w:tcBorders>
            <w:vAlign w:val="center"/>
          </w:tcPr>
          <w:p w14:paraId="2E9BE8B9">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3DA2E599">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7D91EA14">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4E0CFC2D">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112B73FF">
            <w:pPr>
              <w:topLinePunct/>
              <w:adjustRightInd w:val="0"/>
              <w:snapToGrid w:val="0"/>
              <w:jc w:val="center"/>
              <w:textAlignment w:val="center"/>
              <w:rPr>
                <w:rFonts w:eastAsia="仿宋"/>
                <w:color w:val="000000"/>
                <w:sz w:val="24"/>
              </w:rPr>
            </w:pPr>
            <w:r>
              <w:rPr>
                <w:rFonts w:eastAsia="仿宋"/>
                <w:color w:val="000000"/>
                <w:kern w:val="0"/>
                <w:sz w:val="24"/>
                <w:lang w:bidi="ar"/>
              </w:rPr>
              <w:t>194</w:t>
            </w:r>
          </w:p>
        </w:tc>
        <w:tc>
          <w:tcPr>
            <w:tcW w:w="838" w:type="pct"/>
            <w:tcBorders>
              <w:top w:val="single" w:color="000000" w:sz="4" w:space="0"/>
              <w:left w:val="single" w:color="000000" w:sz="4" w:space="0"/>
              <w:bottom w:val="single" w:color="000000" w:sz="4" w:space="0"/>
              <w:right w:val="single" w:color="000000" w:sz="4" w:space="0"/>
            </w:tcBorders>
            <w:vAlign w:val="center"/>
          </w:tcPr>
          <w:p w14:paraId="1B00D5A8">
            <w:pPr>
              <w:topLinePunct/>
              <w:adjustRightInd w:val="0"/>
              <w:snapToGrid w:val="0"/>
              <w:textAlignment w:val="center"/>
              <w:rPr>
                <w:rFonts w:eastAsia="仿宋"/>
                <w:color w:val="000000"/>
                <w:sz w:val="24"/>
              </w:rPr>
            </w:pPr>
            <w:r>
              <w:rPr>
                <w:rFonts w:eastAsia="仿宋"/>
                <w:color w:val="000000"/>
                <w:kern w:val="0"/>
                <w:sz w:val="24"/>
                <w:lang w:bidi="ar"/>
              </w:rPr>
              <w:t>对机械企业使用煤气（天然气）的燃烧装置的燃气总管未设置管道压力监测报警装置，或者监测报警装置未与紧急自动切断装置联锁，或者燃烧装置未设置火焰监测和熄火保护系统的行政处罚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6C2F347B">
            <w:pPr>
              <w:topLinePunct/>
              <w:adjustRightInd w:val="0"/>
              <w:snapToGrid w:val="0"/>
              <w:jc w:val="left"/>
              <w:textAlignment w:val="center"/>
              <w:rPr>
                <w:rFonts w:eastAsia="仿宋"/>
                <w:color w:val="000000"/>
                <w:sz w:val="24"/>
              </w:rPr>
            </w:pPr>
            <w:r>
              <w:rPr>
                <w:rFonts w:eastAsia="仿宋"/>
                <w:color w:val="000000"/>
                <w:kern w:val="0"/>
                <w:sz w:val="24"/>
                <w:lang w:bidi="ar"/>
              </w:rPr>
              <w:t>1.《工贸企业重大事故隐患判定标准》</w:t>
            </w:r>
            <w:r>
              <w:rPr>
                <w:rFonts w:eastAsia="仿宋"/>
                <w:color w:val="000000"/>
                <w:kern w:val="0"/>
                <w:sz w:val="24"/>
                <w:lang w:bidi="ar"/>
              </w:rPr>
              <w:br w:type="textWrapping"/>
            </w:r>
            <w:r>
              <w:rPr>
                <w:rFonts w:eastAsia="仿宋"/>
                <w:color w:val="000000"/>
                <w:kern w:val="0"/>
                <w:sz w:val="24"/>
                <w:lang w:bidi="ar"/>
              </w:rPr>
              <w:t>第七条  机械企业有下列情形之一的，应当判定为重大事故隐患：</w:t>
            </w:r>
            <w:r>
              <w:rPr>
                <w:rFonts w:eastAsia="仿宋"/>
                <w:color w:val="000000"/>
                <w:kern w:val="0"/>
                <w:sz w:val="24"/>
                <w:lang w:bidi="ar"/>
              </w:rPr>
              <w:br w:type="textWrapping"/>
            </w:r>
            <w:r>
              <w:rPr>
                <w:rFonts w:eastAsia="仿宋"/>
                <w:color w:val="000000"/>
                <w:kern w:val="0"/>
                <w:sz w:val="24"/>
                <w:lang w:bidi="ar"/>
              </w:rPr>
              <w:t>（五）使用煤气（天然气）的燃烧装置的燃气总管未设置管道压力监测报警装置，或者监测报警装置未与紧急自动切断装置联锁，或者燃烧装置未设置火焰监测和熄火保护系统的；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第九十九条第二项  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二）安全设备的安装、使用、检测、改造和报废不符合国家标准或者行业标准的。</w:t>
            </w:r>
          </w:p>
        </w:tc>
        <w:tc>
          <w:tcPr>
            <w:tcW w:w="476" w:type="pct"/>
            <w:tcBorders>
              <w:top w:val="single" w:color="000000" w:sz="4" w:space="0"/>
              <w:left w:val="single" w:color="000000" w:sz="4" w:space="0"/>
              <w:bottom w:val="single" w:color="000000" w:sz="4" w:space="0"/>
              <w:right w:val="single" w:color="000000" w:sz="4" w:space="0"/>
            </w:tcBorders>
            <w:vAlign w:val="center"/>
          </w:tcPr>
          <w:p w14:paraId="0D2D55AA">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2F6DC356">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742F8A2D">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7EF8EB99">
        <w:tblPrEx>
          <w:tblCellMar>
            <w:top w:w="0" w:type="dxa"/>
            <w:left w:w="108" w:type="dxa"/>
            <w:bottom w:w="0" w:type="dxa"/>
            <w:right w:w="108" w:type="dxa"/>
          </w:tblCellMar>
        </w:tblPrEx>
        <w:trPr>
          <w:trHeight w:val="268"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14C81E2B">
            <w:pPr>
              <w:topLinePunct/>
              <w:adjustRightInd w:val="0"/>
              <w:snapToGrid w:val="0"/>
              <w:jc w:val="center"/>
              <w:textAlignment w:val="center"/>
              <w:rPr>
                <w:rFonts w:eastAsia="仿宋"/>
                <w:color w:val="000000"/>
                <w:sz w:val="24"/>
              </w:rPr>
            </w:pPr>
            <w:r>
              <w:rPr>
                <w:rFonts w:eastAsia="仿宋"/>
                <w:color w:val="000000"/>
                <w:kern w:val="0"/>
                <w:sz w:val="24"/>
                <w:lang w:bidi="ar"/>
              </w:rPr>
              <w:t>195</w:t>
            </w:r>
          </w:p>
        </w:tc>
        <w:tc>
          <w:tcPr>
            <w:tcW w:w="838" w:type="pct"/>
            <w:tcBorders>
              <w:top w:val="single" w:color="000000" w:sz="4" w:space="0"/>
              <w:left w:val="single" w:color="000000" w:sz="4" w:space="0"/>
              <w:bottom w:val="single" w:color="000000" w:sz="4" w:space="0"/>
              <w:right w:val="single" w:color="000000" w:sz="4" w:space="0"/>
            </w:tcBorders>
            <w:vAlign w:val="center"/>
          </w:tcPr>
          <w:p w14:paraId="6732B1E9">
            <w:pPr>
              <w:topLinePunct/>
              <w:adjustRightInd w:val="0"/>
              <w:snapToGrid w:val="0"/>
              <w:textAlignment w:val="center"/>
              <w:rPr>
                <w:rFonts w:eastAsia="仿宋"/>
                <w:color w:val="000000"/>
                <w:sz w:val="24"/>
              </w:rPr>
            </w:pPr>
            <w:r>
              <w:rPr>
                <w:rFonts w:eastAsia="仿宋"/>
                <w:color w:val="000000"/>
                <w:kern w:val="0"/>
                <w:sz w:val="24"/>
                <w:lang w:bidi="ar"/>
              </w:rPr>
              <w:t>对机械企业使用可燃性有机溶剂清洗设备设施、工装器具、地面时，未采取防止可燃气体在周边密闭或者半密闭空间内积聚措施的行政处罚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587734CD">
            <w:pPr>
              <w:topLinePunct/>
              <w:adjustRightInd w:val="0"/>
              <w:snapToGrid w:val="0"/>
              <w:jc w:val="left"/>
              <w:textAlignment w:val="center"/>
              <w:rPr>
                <w:rFonts w:eastAsia="仿宋"/>
                <w:color w:val="000000"/>
                <w:sz w:val="24"/>
              </w:rPr>
            </w:pPr>
            <w:r>
              <w:rPr>
                <w:rFonts w:eastAsia="仿宋"/>
                <w:color w:val="000000"/>
                <w:kern w:val="0"/>
                <w:sz w:val="24"/>
                <w:lang w:bidi="ar"/>
              </w:rPr>
              <w:t>1.《工贸企业重大事故隐患判定标准》</w:t>
            </w:r>
            <w:r>
              <w:rPr>
                <w:rFonts w:eastAsia="仿宋"/>
                <w:color w:val="000000"/>
                <w:kern w:val="0"/>
                <w:sz w:val="24"/>
                <w:lang w:bidi="ar"/>
              </w:rPr>
              <w:br w:type="textWrapping"/>
            </w:r>
            <w:r>
              <w:rPr>
                <w:rFonts w:eastAsia="仿宋"/>
                <w:color w:val="000000"/>
                <w:kern w:val="0"/>
                <w:sz w:val="24"/>
                <w:lang w:bidi="ar"/>
              </w:rPr>
              <w:t>第七条  机械企业有下列情形之一的，应当判定为重大事故隐患：</w:t>
            </w:r>
            <w:r>
              <w:rPr>
                <w:rFonts w:eastAsia="仿宋"/>
                <w:color w:val="000000"/>
                <w:kern w:val="0"/>
                <w:sz w:val="24"/>
                <w:lang w:bidi="ar"/>
              </w:rPr>
              <w:br w:type="textWrapping"/>
            </w:r>
            <w:r>
              <w:rPr>
                <w:rFonts w:eastAsia="仿宋"/>
                <w:color w:val="000000"/>
                <w:kern w:val="0"/>
                <w:sz w:val="24"/>
                <w:lang w:bidi="ar"/>
              </w:rPr>
              <w:t>（六）使用可燃性有机溶剂清洗设备设施、工装器具、地面时，未采取防止可燃气体在周边密闭或者半密闭空间内积聚措施的；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第一百零一条第一项  生产经营单位有下列行为之一的，责令限期改正，处十万元以下的罚款；逾期未改正的，责令停产停业整顿，并处十万元以上二十万元以下的罚款，对其直接负责的主管人员和其他直接责任人员处二万元以上五万元以下的罚款；构成犯罪的，依照刑法有关规定追究刑事责任：（一）生产、经营、运输、储存、使用危险物品或者处置废弃危险物品，未建立专门安全管理制度、未采取可靠的安全措施的；</w:t>
            </w:r>
          </w:p>
        </w:tc>
        <w:tc>
          <w:tcPr>
            <w:tcW w:w="476" w:type="pct"/>
            <w:tcBorders>
              <w:top w:val="single" w:color="000000" w:sz="4" w:space="0"/>
              <w:left w:val="single" w:color="000000" w:sz="4" w:space="0"/>
              <w:bottom w:val="single" w:color="000000" w:sz="4" w:space="0"/>
              <w:right w:val="single" w:color="000000" w:sz="4" w:space="0"/>
            </w:tcBorders>
            <w:vAlign w:val="center"/>
          </w:tcPr>
          <w:p w14:paraId="5899D5F8">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52B0F07C">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6103C851">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148573EB">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2E229DE3">
            <w:pPr>
              <w:topLinePunct/>
              <w:adjustRightInd w:val="0"/>
              <w:snapToGrid w:val="0"/>
              <w:jc w:val="center"/>
              <w:textAlignment w:val="center"/>
              <w:rPr>
                <w:rFonts w:eastAsia="仿宋"/>
                <w:color w:val="000000"/>
                <w:sz w:val="24"/>
              </w:rPr>
            </w:pPr>
            <w:r>
              <w:rPr>
                <w:rFonts w:eastAsia="仿宋"/>
                <w:color w:val="000000"/>
                <w:kern w:val="0"/>
                <w:sz w:val="24"/>
                <w:lang w:bidi="ar"/>
              </w:rPr>
              <w:t>196</w:t>
            </w:r>
          </w:p>
        </w:tc>
        <w:tc>
          <w:tcPr>
            <w:tcW w:w="838" w:type="pct"/>
            <w:tcBorders>
              <w:top w:val="single" w:color="000000" w:sz="4" w:space="0"/>
              <w:left w:val="single" w:color="000000" w:sz="4" w:space="0"/>
              <w:bottom w:val="single" w:color="000000" w:sz="4" w:space="0"/>
              <w:right w:val="single" w:color="000000" w:sz="4" w:space="0"/>
            </w:tcBorders>
            <w:vAlign w:val="center"/>
          </w:tcPr>
          <w:p w14:paraId="73C71167">
            <w:pPr>
              <w:topLinePunct/>
              <w:adjustRightInd w:val="0"/>
              <w:snapToGrid w:val="0"/>
              <w:textAlignment w:val="center"/>
              <w:rPr>
                <w:rFonts w:eastAsia="仿宋"/>
                <w:color w:val="000000"/>
                <w:sz w:val="24"/>
              </w:rPr>
            </w:pPr>
            <w:r>
              <w:rPr>
                <w:rFonts w:eastAsia="仿宋"/>
                <w:color w:val="000000"/>
                <w:kern w:val="0"/>
                <w:sz w:val="24"/>
                <w:lang w:bidi="ar"/>
              </w:rPr>
              <w:t>对机械企业使用非水性漆的调漆间、喷漆室未设置固定式可燃气体浓度监测报警装置或者通风设施的行政处罚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35183DA4">
            <w:pPr>
              <w:topLinePunct/>
              <w:adjustRightInd w:val="0"/>
              <w:snapToGrid w:val="0"/>
              <w:jc w:val="left"/>
              <w:textAlignment w:val="center"/>
              <w:rPr>
                <w:rFonts w:eastAsia="仿宋"/>
                <w:color w:val="000000"/>
                <w:sz w:val="24"/>
              </w:rPr>
            </w:pPr>
            <w:r>
              <w:rPr>
                <w:rFonts w:eastAsia="仿宋"/>
                <w:color w:val="000000"/>
                <w:kern w:val="0"/>
                <w:sz w:val="24"/>
                <w:lang w:bidi="ar"/>
              </w:rPr>
              <w:t>1.《工贸企业重大事故隐患判定标准》</w:t>
            </w:r>
            <w:r>
              <w:rPr>
                <w:rFonts w:eastAsia="仿宋"/>
                <w:color w:val="000000"/>
                <w:kern w:val="0"/>
                <w:sz w:val="24"/>
                <w:lang w:bidi="ar"/>
              </w:rPr>
              <w:br w:type="textWrapping"/>
            </w:r>
            <w:r>
              <w:rPr>
                <w:rFonts w:eastAsia="仿宋"/>
                <w:color w:val="000000"/>
                <w:kern w:val="0"/>
                <w:sz w:val="24"/>
                <w:lang w:bidi="ar"/>
              </w:rPr>
              <w:t>第七条  机械企业有下列情形之一的，应当判定为重大事故隐患：</w:t>
            </w:r>
            <w:r>
              <w:rPr>
                <w:rFonts w:eastAsia="仿宋"/>
                <w:color w:val="000000"/>
                <w:kern w:val="0"/>
                <w:sz w:val="24"/>
                <w:lang w:bidi="ar"/>
              </w:rPr>
              <w:br w:type="textWrapping"/>
            </w:r>
            <w:r>
              <w:rPr>
                <w:rFonts w:eastAsia="仿宋"/>
                <w:color w:val="000000"/>
                <w:kern w:val="0"/>
                <w:sz w:val="24"/>
                <w:lang w:bidi="ar"/>
              </w:rPr>
              <w:t>（七）使用非水性漆的调漆间、喷漆室未设置固定式可燃气体浓度监测报警装置或者通风设施的。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第九十九条第二项  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二）安全设备的安装、使用、检测、改造和报废不符合国家标准或者行业标准的。</w:t>
            </w:r>
          </w:p>
        </w:tc>
        <w:tc>
          <w:tcPr>
            <w:tcW w:w="476" w:type="pct"/>
            <w:tcBorders>
              <w:top w:val="single" w:color="000000" w:sz="4" w:space="0"/>
              <w:left w:val="single" w:color="000000" w:sz="4" w:space="0"/>
              <w:bottom w:val="single" w:color="000000" w:sz="4" w:space="0"/>
              <w:right w:val="single" w:color="000000" w:sz="4" w:space="0"/>
            </w:tcBorders>
            <w:vAlign w:val="center"/>
          </w:tcPr>
          <w:p w14:paraId="20CB1115">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3E4BE1E1">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0DD374CB">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08ACE18A">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1A85976F">
            <w:pPr>
              <w:topLinePunct/>
              <w:adjustRightInd w:val="0"/>
              <w:snapToGrid w:val="0"/>
              <w:jc w:val="center"/>
              <w:textAlignment w:val="center"/>
              <w:rPr>
                <w:rFonts w:eastAsia="仿宋"/>
                <w:color w:val="000000"/>
                <w:sz w:val="24"/>
              </w:rPr>
            </w:pPr>
            <w:r>
              <w:rPr>
                <w:rFonts w:eastAsia="仿宋"/>
                <w:color w:val="000000"/>
                <w:kern w:val="0"/>
                <w:sz w:val="24"/>
                <w:lang w:bidi="ar"/>
              </w:rPr>
              <w:t>197</w:t>
            </w:r>
          </w:p>
        </w:tc>
        <w:tc>
          <w:tcPr>
            <w:tcW w:w="838" w:type="pct"/>
            <w:tcBorders>
              <w:top w:val="single" w:color="000000" w:sz="4" w:space="0"/>
              <w:left w:val="single" w:color="000000" w:sz="4" w:space="0"/>
              <w:bottom w:val="single" w:color="000000" w:sz="4" w:space="0"/>
              <w:right w:val="single" w:color="000000" w:sz="4" w:space="0"/>
            </w:tcBorders>
            <w:vAlign w:val="center"/>
          </w:tcPr>
          <w:p w14:paraId="2B4B0F4F">
            <w:pPr>
              <w:topLinePunct/>
              <w:adjustRightInd w:val="0"/>
              <w:snapToGrid w:val="0"/>
              <w:textAlignment w:val="center"/>
              <w:rPr>
                <w:rFonts w:eastAsia="仿宋"/>
                <w:color w:val="000000"/>
                <w:sz w:val="24"/>
              </w:rPr>
            </w:pPr>
            <w:r>
              <w:rPr>
                <w:rFonts w:eastAsia="仿宋"/>
                <w:color w:val="000000"/>
                <w:kern w:val="0"/>
                <w:sz w:val="24"/>
                <w:lang w:bidi="ar"/>
              </w:rPr>
              <w:t>对食品制造企业烘制、油炸设备未设置防过热自动切断装置的行政处罚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1208B2CA">
            <w:pPr>
              <w:topLinePunct/>
              <w:adjustRightInd w:val="0"/>
              <w:snapToGrid w:val="0"/>
              <w:jc w:val="left"/>
              <w:textAlignment w:val="center"/>
              <w:rPr>
                <w:rFonts w:eastAsia="仿宋"/>
                <w:color w:val="000000"/>
                <w:sz w:val="24"/>
              </w:rPr>
            </w:pPr>
            <w:r>
              <w:rPr>
                <w:rFonts w:eastAsia="仿宋"/>
                <w:color w:val="000000"/>
                <w:kern w:val="0"/>
                <w:sz w:val="24"/>
                <w:lang w:bidi="ar"/>
              </w:rPr>
              <w:t>1.《工贸企业重大事故隐患判定标准》</w:t>
            </w:r>
            <w:r>
              <w:rPr>
                <w:rFonts w:eastAsia="仿宋"/>
                <w:color w:val="000000"/>
                <w:kern w:val="0"/>
                <w:sz w:val="24"/>
                <w:lang w:bidi="ar"/>
              </w:rPr>
              <w:br w:type="textWrapping"/>
            </w:r>
            <w:r>
              <w:rPr>
                <w:rFonts w:eastAsia="仿宋"/>
                <w:color w:val="000000"/>
                <w:kern w:val="0"/>
                <w:sz w:val="24"/>
                <w:lang w:bidi="ar"/>
              </w:rPr>
              <w:t>第八条  轻工企业有下列情形之一的，应当判定为重大事故隐患：</w:t>
            </w:r>
            <w:r>
              <w:rPr>
                <w:rFonts w:eastAsia="仿宋"/>
                <w:color w:val="000000"/>
                <w:kern w:val="0"/>
                <w:sz w:val="24"/>
                <w:lang w:bidi="ar"/>
              </w:rPr>
              <w:br w:type="textWrapping"/>
            </w:r>
            <w:r>
              <w:rPr>
                <w:rFonts w:eastAsia="仿宋"/>
                <w:color w:val="000000"/>
                <w:kern w:val="0"/>
                <w:sz w:val="24"/>
                <w:lang w:bidi="ar"/>
              </w:rPr>
              <w:t>（一）食品制造企业烘制、油炸设备未设置防过热自动切断装置的；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第九十九条第二项  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二）安全设备的安装、使用、检测、改造和报废不符合国家标准或者行业标准的。</w:t>
            </w:r>
          </w:p>
        </w:tc>
        <w:tc>
          <w:tcPr>
            <w:tcW w:w="476" w:type="pct"/>
            <w:tcBorders>
              <w:top w:val="single" w:color="000000" w:sz="4" w:space="0"/>
              <w:left w:val="single" w:color="000000" w:sz="4" w:space="0"/>
              <w:bottom w:val="single" w:color="000000" w:sz="4" w:space="0"/>
              <w:right w:val="single" w:color="000000" w:sz="4" w:space="0"/>
            </w:tcBorders>
            <w:vAlign w:val="center"/>
          </w:tcPr>
          <w:p w14:paraId="5C610209">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6A037C89">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310CC345">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3A1BBE11">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04972725">
            <w:pPr>
              <w:topLinePunct/>
              <w:adjustRightInd w:val="0"/>
              <w:snapToGrid w:val="0"/>
              <w:jc w:val="center"/>
              <w:textAlignment w:val="center"/>
              <w:rPr>
                <w:rFonts w:eastAsia="仿宋"/>
                <w:color w:val="000000"/>
                <w:sz w:val="24"/>
              </w:rPr>
            </w:pPr>
            <w:r>
              <w:rPr>
                <w:rFonts w:eastAsia="仿宋"/>
                <w:color w:val="000000"/>
                <w:kern w:val="0"/>
                <w:sz w:val="24"/>
                <w:lang w:bidi="ar"/>
              </w:rPr>
              <w:t>198</w:t>
            </w:r>
          </w:p>
        </w:tc>
        <w:tc>
          <w:tcPr>
            <w:tcW w:w="838" w:type="pct"/>
            <w:tcBorders>
              <w:top w:val="single" w:color="000000" w:sz="4" w:space="0"/>
              <w:left w:val="single" w:color="000000" w:sz="4" w:space="0"/>
              <w:bottom w:val="single" w:color="000000" w:sz="4" w:space="0"/>
              <w:right w:val="single" w:color="000000" w:sz="4" w:space="0"/>
            </w:tcBorders>
            <w:vAlign w:val="center"/>
          </w:tcPr>
          <w:p w14:paraId="7388B746">
            <w:pPr>
              <w:topLinePunct/>
              <w:adjustRightInd w:val="0"/>
              <w:snapToGrid w:val="0"/>
              <w:textAlignment w:val="center"/>
              <w:rPr>
                <w:rFonts w:eastAsia="仿宋"/>
                <w:color w:val="000000"/>
                <w:sz w:val="24"/>
              </w:rPr>
            </w:pPr>
            <w:r>
              <w:rPr>
                <w:rFonts w:eastAsia="仿宋"/>
                <w:color w:val="000000"/>
                <w:kern w:val="0"/>
                <w:sz w:val="24"/>
                <w:lang w:bidi="ar"/>
              </w:rPr>
              <w:t>对轻工企业白酒勾兑、灌装场所和酒库未设置固定式乙醇蒸气浓度监测报警装置，或者监测报警装置未与通风设施联锁的行政处罚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3AC04FD5">
            <w:pPr>
              <w:topLinePunct/>
              <w:adjustRightInd w:val="0"/>
              <w:snapToGrid w:val="0"/>
              <w:jc w:val="left"/>
              <w:textAlignment w:val="center"/>
              <w:rPr>
                <w:rFonts w:eastAsia="仿宋"/>
                <w:color w:val="000000"/>
                <w:sz w:val="24"/>
              </w:rPr>
            </w:pPr>
            <w:r>
              <w:rPr>
                <w:rFonts w:eastAsia="仿宋"/>
                <w:color w:val="000000"/>
                <w:kern w:val="0"/>
                <w:sz w:val="24"/>
                <w:lang w:bidi="ar"/>
              </w:rPr>
              <w:t>1.《工贸企业重大事故隐患判定标准》</w:t>
            </w:r>
            <w:r>
              <w:rPr>
                <w:rFonts w:eastAsia="仿宋"/>
                <w:color w:val="000000"/>
                <w:kern w:val="0"/>
                <w:sz w:val="24"/>
                <w:lang w:bidi="ar"/>
              </w:rPr>
              <w:br w:type="textWrapping"/>
            </w:r>
            <w:r>
              <w:rPr>
                <w:rFonts w:eastAsia="仿宋"/>
                <w:color w:val="000000"/>
                <w:kern w:val="0"/>
                <w:sz w:val="24"/>
                <w:lang w:bidi="ar"/>
              </w:rPr>
              <w:t>第八条  轻工企业有下列情形之一的，应当判定为重大事故隐患：</w:t>
            </w:r>
            <w:r>
              <w:rPr>
                <w:rFonts w:eastAsia="仿宋"/>
                <w:color w:val="000000"/>
                <w:kern w:val="0"/>
                <w:sz w:val="24"/>
                <w:lang w:bidi="ar"/>
              </w:rPr>
              <w:br w:type="textWrapping"/>
            </w:r>
            <w:r>
              <w:rPr>
                <w:rFonts w:eastAsia="仿宋"/>
                <w:color w:val="000000"/>
                <w:kern w:val="0"/>
                <w:sz w:val="24"/>
                <w:lang w:bidi="ar"/>
              </w:rPr>
              <w:t>（二）白酒勾兑、灌装场所和酒库未设置固定式乙醇蒸气浓度监测报警装置，或者监测报警装置未与通风设施联锁的；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第九十九条第二项  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二）安全设备的安装、使用、检测、改造和报废不符合国家标准或者行业标准的。</w:t>
            </w:r>
          </w:p>
        </w:tc>
        <w:tc>
          <w:tcPr>
            <w:tcW w:w="476" w:type="pct"/>
            <w:tcBorders>
              <w:top w:val="single" w:color="000000" w:sz="4" w:space="0"/>
              <w:left w:val="single" w:color="000000" w:sz="4" w:space="0"/>
              <w:bottom w:val="single" w:color="000000" w:sz="4" w:space="0"/>
              <w:right w:val="single" w:color="000000" w:sz="4" w:space="0"/>
            </w:tcBorders>
            <w:vAlign w:val="center"/>
          </w:tcPr>
          <w:p w14:paraId="55C8DA8E">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29DD5A9C">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7DB5B945">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34697A58">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40CC7C5A">
            <w:pPr>
              <w:topLinePunct/>
              <w:adjustRightInd w:val="0"/>
              <w:snapToGrid w:val="0"/>
              <w:jc w:val="center"/>
              <w:textAlignment w:val="center"/>
              <w:rPr>
                <w:rFonts w:eastAsia="仿宋"/>
                <w:color w:val="000000"/>
                <w:sz w:val="24"/>
              </w:rPr>
            </w:pPr>
            <w:r>
              <w:rPr>
                <w:rFonts w:eastAsia="仿宋"/>
                <w:color w:val="000000"/>
                <w:kern w:val="0"/>
                <w:sz w:val="24"/>
                <w:lang w:bidi="ar"/>
              </w:rPr>
              <w:t>199</w:t>
            </w:r>
          </w:p>
        </w:tc>
        <w:tc>
          <w:tcPr>
            <w:tcW w:w="838" w:type="pct"/>
            <w:tcBorders>
              <w:top w:val="single" w:color="000000" w:sz="4" w:space="0"/>
              <w:left w:val="single" w:color="000000" w:sz="4" w:space="0"/>
              <w:bottom w:val="single" w:color="000000" w:sz="4" w:space="0"/>
              <w:right w:val="single" w:color="000000" w:sz="4" w:space="0"/>
            </w:tcBorders>
            <w:vAlign w:val="center"/>
          </w:tcPr>
          <w:p w14:paraId="075F2280">
            <w:pPr>
              <w:topLinePunct/>
              <w:adjustRightInd w:val="0"/>
              <w:snapToGrid w:val="0"/>
              <w:textAlignment w:val="center"/>
              <w:rPr>
                <w:rFonts w:eastAsia="仿宋"/>
                <w:color w:val="000000"/>
                <w:sz w:val="24"/>
              </w:rPr>
            </w:pPr>
            <w:r>
              <w:rPr>
                <w:rFonts w:eastAsia="仿宋"/>
                <w:color w:val="000000"/>
                <w:kern w:val="0"/>
                <w:sz w:val="24"/>
                <w:lang w:bidi="ar"/>
              </w:rPr>
              <w:t>对纸浆制造、造纸企业使用蒸气、明火直接加热钢瓶汽化液氯的行政处罚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3F0C0459">
            <w:pPr>
              <w:topLinePunct/>
              <w:adjustRightInd w:val="0"/>
              <w:snapToGrid w:val="0"/>
              <w:jc w:val="left"/>
              <w:textAlignment w:val="center"/>
              <w:rPr>
                <w:rFonts w:eastAsia="仿宋"/>
                <w:color w:val="000000"/>
                <w:sz w:val="24"/>
              </w:rPr>
            </w:pPr>
            <w:r>
              <w:rPr>
                <w:rFonts w:eastAsia="仿宋"/>
                <w:color w:val="000000"/>
                <w:kern w:val="0"/>
                <w:sz w:val="24"/>
                <w:lang w:bidi="ar"/>
              </w:rPr>
              <w:t>1.《工贸企业重大事故隐患判定标准》</w:t>
            </w:r>
            <w:r>
              <w:rPr>
                <w:rFonts w:eastAsia="仿宋"/>
                <w:color w:val="000000"/>
                <w:kern w:val="0"/>
                <w:sz w:val="24"/>
                <w:lang w:bidi="ar"/>
              </w:rPr>
              <w:br w:type="textWrapping"/>
            </w:r>
            <w:r>
              <w:rPr>
                <w:rFonts w:eastAsia="仿宋"/>
                <w:color w:val="000000"/>
                <w:kern w:val="0"/>
                <w:sz w:val="24"/>
                <w:lang w:bidi="ar"/>
              </w:rPr>
              <w:t>第八条  轻工企业有下列情形之一的，应当判定为重大事故隐患：</w:t>
            </w:r>
            <w:r>
              <w:rPr>
                <w:rFonts w:eastAsia="仿宋"/>
                <w:color w:val="000000"/>
                <w:kern w:val="0"/>
                <w:sz w:val="24"/>
                <w:lang w:bidi="ar"/>
              </w:rPr>
              <w:br w:type="textWrapping"/>
            </w:r>
            <w:r>
              <w:rPr>
                <w:rFonts w:eastAsia="仿宋"/>
                <w:color w:val="000000"/>
                <w:kern w:val="0"/>
                <w:sz w:val="24"/>
                <w:lang w:bidi="ar"/>
              </w:rPr>
              <w:t>（三）纸浆制造、造纸企业使用蒸气、明火直接加热钢瓶汽化液氯的；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159EAA9E">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320505AA">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13502A6D">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5C93C7BA">
        <w:tblPrEx>
          <w:tblCellMar>
            <w:top w:w="0" w:type="dxa"/>
            <w:left w:w="108" w:type="dxa"/>
            <w:bottom w:w="0" w:type="dxa"/>
            <w:right w:w="108" w:type="dxa"/>
          </w:tblCellMar>
        </w:tblPrEx>
        <w:trPr>
          <w:trHeight w:val="305"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0D124D66">
            <w:pPr>
              <w:topLinePunct/>
              <w:adjustRightInd w:val="0"/>
              <w:snapToGrid w:val="0"/>
              <w:jc w:val="center"/>
              <w:textAlignment w:val="center"/>
              <w:rPr>
                <w:rFonts w:eastAsia="仿宋"/>
                <w:color w:val="000000"/>
                <w:sz w:val="24"/>
              </w:rPr>
            </w:pPr>
            <w:r>
              <w:rPr>
                <w:rFonts w:eastAsia="仿宋"/>
                <w:color w:val="000000"/>
                <w:kern w:val="0"/>
                <w:sz w:val="24"/>
                <w:lang w:bidi="ar"/>
              </w:rPr>
              <w:t>200</w:t>
            </w:r>
          </w:p>
        </w:tc>
        <w:tc>
          <w:tcPr>
            <w:tcW w:w="838" w:type="pct"/>
            <w:tcBorders>
              <w:top w:val="single" w:color="000000" w:sz="4" w:space="0"/>
              <w:left w:val="single" w:color="000000" w:sz="4" w:space="0"/>
              <w:bottom w:val="single" w:color="000000" w:sz="4" w:space="0"/>
              <w:right w:val="single" w:color="000000" w:sz="4" w:space="0"/>
            </w:tcBorders>
            <w:vAlign w:val="center"/>
          </w:tcPr>
          <w:p w14:paraId="47577C32">
            <w:pPr>
              <w:topLinePunct/>
              <w:adjustRightInd w:val="0"/>
              <w:snapToGrid w:val="0"/>
              <w:textAlignment w:val="center"/>
              <w:rPr>
                <w:rFonts w:eastAsia="仿宋"/>
                <w:color w:val="000000"/>
                <w:sz w:val="24"/>
              </w:rPr>
            </w:pPr>
            <w:r>
              <w:rPr>
                <w:rFonts w:eastAsia="仿宋"/>
                <w:color w:val="000000"/>
                <w:kern w:val="0"/>
                <w:sz w:val="24"/>
                <w:lang w:bidi="ar"/>
              </w:rPr>
              <w:t>对日用玻璃、陶瓷制造企业采用预混燃烧方式的燃气窑炉（热发生炉煤气窑炉除外）的燃气总管未设置管道压力监测报警装置，或者监测报警装置未与紧急自动切断装置联锁的行政处罚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77055295">
            <w:pPr>
              <w:topLinePunct/>
              <w:adjustRightInd w:val="0"/>
              <w:snapToGrid w:val="0"/>
              <w:jc w:val="left"/>
              <w:textAlignment w:val="center"/>
              <w:rPr>
                <w:rFonts w:eastAsia="仿宋"/>
                <w:color w:val="000000"/>
                <w:sz w:val="24"/>
              </w:rPr>
            </w:pPr>
            <w:r>
              <w:rPr>
                <w:rFonts w:eastAsia="仿宋"/>
                <w:color w:val="000000"/>
                <w:kern w:val="0"/>
                <w:sz w:val="24"/>
                <w:lang w:bidi="ar"/>
              </w:rPr>
              <w:t>1.《工贸企业重大事故隐患判定标准》</w:t>
            </w:r>
            <w:r>
              <w:rPr>
                <w:rFonts w:eastAsia="仿宋"/>
                <w:color w:val="000000"/>
                <w:kern w:val="0"/>
                <w:sz w:val="24"/>
                <w:lang w:bidi="ar"/>
              </w:rPr>
              <w:br w:type="textWrapping"/>
            </w:r>
            <w:r>
              <w:rPr>
                <w:rFonts w:eastAsia="仿宋"/>
                <w:color w:val="000000"/>
                <w:kern w:val="0"/>
                <w:sz w:val="24"/>
                <w:lang w:bidi="ar"/>
              </w:rPr>
              <w:t>第八条  轻工企业有下列情形之一的，应当判定为重大事故隐患：</w:t>
            </w:r>
            <w:r>
              <w:rPr>
                <w:rFonts w:eastAsia="仿宋"/>
                <w:color w:val="000000"/>
                <w:kern w:val="0"/>
                <w:sz w:val="24"/>
                <w:lang w:bidi="ar"/>
              </w:rPr>
              <w:br w:type="textWrapping"/>
            </w:r>
            <w:r>
              <w:rPr>
                <w:rFonts w:eastAsia="仿宋"/>
                <w:color w:val="000000"/>
                <w:kern w:val="0"/>
                <w:sz w:val="24"/>
                <w:lang w:bidi="ar"/>
              </w:rPr>
              <w:t>（四）日用玻璃、陶瓷制造企业采用预混燃烧方式的燃气窑炉（热发生炉煤气窑炉除外）的燃气总管未设置管道压力监测报警装置，或者监测报警装置未与紧急自动切断装置联锁的；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第九十九条第二项  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二）安全设备的安装、使用、检测、改造和报废不符合国家标准或者行业标准的。</w:t>
            </w:r>
          </w:p>
        </w:tc>
        <w:tc>
          <w:tcPr>
            <w:tcW w:w="476" w:type="pct"/>
            <w:tcBorders>
              <w:top w:val="single" w:color="000000" w:sz="4" w:space="0"/>
              <w:left w:val="single" w:color="000000" w:sz="4" w:space="0"/>
              <w:bottom w:val="single" w:color="000000" w:sz="4" w:space="0"/>
              <w:right w:val="single" w:color="000000" w:sz="4" w:space="0"/>
            </w:tcBorders>
            <w:vAlign w:val="center"/>
          </w:tcPr>
          <w:p w14:paraId="7436FCE7">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6444CDBB">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6A867141">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21829D55">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538181D6">
            <w:pPr>
              <w:topLinePunct/>
              <w:adjustRightInd w:val="0"/>
              <w:snapToGrid w:val="0"/>
              <w:jc w:val="center"/>
              <w:textAlignment w:val="center"/>
              <w:rPr>
                <w:rFonts w:eastAsia="仿宋"/>
                <w:color w:val="000000"/>
                <w:sz w:val="24"/>
              </w:rPr>
            </w:pPr>
            <w:r>
              <w:rPr>
                <w:rFonts w:eastAsia="仿宋"/>
                <w:color w:val="000000"/>
                <w:kern w:val="0"/>
                <w:sz w:val="24"/>
                <w:lang w:bidi="ar"/>
              </w:rPr>
              <w:t>201</w:t>
            </w:r>
          </w:p>
        </w:tc>
        <w:tc>
          <w:tcPr>
            <w:tcW w:w="838" w:type="pct"/>
            <w:tcBorders>
              <w:top w:val="single" w:color="000000" w:sz="4" w:space="0"/>
              <w:left w:val="single" w:color="000000" w:sz="4" w:space="0"/>
              <w:bottom w:val="single" w:color="000000" w:sz="4" w:space="0"/>
              <w:right w:val="single" w:color="000000" w:sz="4" w:space="0"/>
            </w:tcBorders>
            <w:vAlign w:val="center"/>
          </w:tcPr>
          <w:p w14:paraId="26550E6F">
            <w:pPr>
              <w:topLinePunct/>
              <w:adjustRightInd w:val="0"/>
              <w:snapToGrid w:val="0"/>
              <w:textAlignment w:val="center"/>
              <w:rPr>
                <w:rFonts w:eastAsia="仿宋"/>
                <w:color w:val="000000"/>
                <w:sz w:val="24"/>
              </w:rPr>
            </w:pPr>
            <w:r>
              <w:rPr>
                <w:rFonts w:eastAsia="仿宋"/>
                <w:color w:val="000000"/>
                <w:kern w:val="0"/>
                <w:sz w:val="24"/>
                <w:lang w:bidi="ar"/>
              </w:rPr>
              <w:t>对日用玻璃制造企业玻璃窑炉的冷却保护系统未设置监测报警装置的行政处罚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1FAEF96D">
            <w:pPr>
              <w:topLinePunct/>
              <w:adjustRightInd w:val="0"/>
              <w:snapToGrid w:val="0"/>
              <w:jc w:val="left"/>
              <w:textAlignment w:val="center"/>
              <w:rPr>
                <w:rFonts w:eastAsia="仿宋"/>
                <w:color w:val="000000"/>
                <w:sz w:val="24"/>
              </w:rPr>
            </w:pPr>
            <w:r>
              <w:rPr>
                <w:rFonts w:eastAsia="仿宋"/>
                <w:color w:val="000000"/>
                <w:kern w:val="0"/>
                <w:sz w:val="24"/>
                <w:lang w:bidi="ar"/>
              </w:rPr>
              <w:t>1.《工贸企业重大事故隐患判定标准》</w:t>
            </w:r>
            <w:r>
              <w:rPr>
                <w:rFonts w:eastAsia="仿宋"/>
                <w:color w:val="000000"/>
                <w:kern w:val="0"/>
                <w:sz w:val="24"/>
                <w:lang w:bidi="ar"/>
              </w:rPr>
              <w:br w:type="textWrapping"/>
            </w:r>
            <w:r>
              <w:rPr>
                <w:rFonts w:eastAsia="仿宋"/>
                <w:color w:val="000000"/>
                <w:kern w:val="0"/>
                <w:sz w:val="24"/>
                <w:lang w:bidi="ar"/>
              </w:rPr>
              <w:t>第八条  轻工企业有下列情形之一的，应当判定为重大事故隐患：</w:t>
            </w:r>
            <w:r>
              <w:rPr>
                <w:rFonts w:eastAsia="仿宋"/>
                <w:color w:val="000000"/>
                <w:kern w:val="0"/>
                <w:sz w:val="24"/>
                <w:lang w:bidi="ar"/>
              </w:rPr>
              <w:br w:type="textWrapping"/>
            </w:r>
            <w:r>
              <w:rPr>
                <w:rFonts w:eastAsia="仿宋"/>
                <w:color w:val="000000"/>
                <w:kern w:val="0"/>
                <w:sz w:val="24"/>
                <w:lang w:bidi="ar"/>
              </w:rPr>
              <w:t>（五）日用玻璃制造企业玻璃窑炉的冷却保护系统未设置监测报警装置的；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第九十九条第二项  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二）安全设备的安装、使用、检测、改造和报废不符合国家标准或者行业标准的。</w:t>
            </w:r>
          </w:p>
        </w:tc>
        <w:tc>
          <w:tcPr>
            <w:tcW w:w="476" w:type="pct"/>
            <w:tcBorders>
              <w:top w:val="single" w:color="000000" w:sz="4" w:space="0"/>
              <w:left w:val="single" w:color="000000" w:sz="4" w:space="0"/>
              <w:bottom w:val="single" w:color="000000" w:sz="4" w:space="0"/>
              <w:right w:val="single" w:color="000000" w:sz="4" w:space="0"/>
            </w:tcBorders>
            <w:vAlign w:val="center"/>
          </w:tcPr>
          <w:p w14:paraId="51ED1765">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548FE799">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653E3A07">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44467CFE">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4D5C45BF">
            <w:pPr>
              <w:topLinePunct/>
              <w:adjustRightInd w:val="0"/>
              <w:snapToGrid w:val="0"/>
              <w:jc w:val="center"/>
              <w:textAlignment w:val="center"/>
              <w:rPr>
                <w:rFonts w:eastAsia="仿宋"/>
                <w:color w:val="000000"/>
                <w:sz w:val="24"/>
              </w:rPr>
            </w:pPr>
            <w:r>
              <w:rPr>
                <w:rFonts w:eastAsia="仿宋"/>
                <w:color w:val="000000"/>
                <w:kern w:val="0"/>
                <w:sz w:val="24"/>
                <w:lang w:bidi="ar"/>
              </w:rPr>
              <w:t>202</w:t>
            </w:r>
          </w:p>
        </w:tc>
        <w:tc>
          <w:tcPr>
            <w:tcW w:w="838" w:type="pct"/>
            <w:tcBorders>
              <w:top w:val="single" w:color="000000" w:sz="4" w:space="0"/>
              <w:left w:val="single" w:color="000000" w:sz="4" w:space="0"/>
              <w:bottom w:val="single" w:color="000000" w:sz="4" w:space="0"/>
              <w:right w:val="single" w:color="000000" w:sz="4" w:space="0"/>
            </w:tcBorders>
            <w:vAlign w:val="center"/>
          </w:tcPr>
          <w:p w14:paraId="6D385CE6">
            <w:pPr>
              <w:topLinePunct/>
              <w:adjustRightInd w:val="0"/>
              <w:snapToGrid w:val="0"/>
              <w:textAlignment w:val="center"/>
              <w:rPr>
                <w:rFonts w:eastAsia="仿宋"/>
                <w:color w:val="000000"/>
                <w:sz w:val="24"/>
              </w:rPr>
            </w:pPr>
            <w:r>
              <w:rPr>
                <w:rFonts w:eastAsia="仿宋"/>
                <w:color w:val="000000"/>
                <w:kern w:val="0"/>
                <w:sz w:val="24"/>
                <w:lang w:bidi="ar"/>
              </w:rPr>
              <w:t>对轻工企业使用非水性漆的调漆间、喷漆室未设置固定式可燃气体浓度监测报警装置或者通风设施的行政处罚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28DB6E6F">
            <w:pPr>
              <w:topLinePunct/>
              <w:adjustRightInd w:val="0"/>
              <w:snapToGrid w:val="0"/>
              <w:jc w:val="left"/>
              <w:textAlignment w:val="center"/>
              <w:rPr>
                <w:rFonts w:eastAsia="仿宋"/>
                <w:color w:val="000000"/>
                <w:sz w:val="24"/>
              </w:rPr>
            </w:pPr>
            <w:r>
              <w:rPr>
                <w:rFonts w:eastAsia="仿宋"/>
                <w:color w:val="000000"/>
                <w:kern w:val="0"/>
                <w:sz w:val="24"/>
                <w:lang w:bidi="ar"/>
              </w:rPr>
              <w:t>1.《工贸企业重大事故隐患判定标准》</w:t>
            </w:r>
            <w:r>
              <w:rPr>
                <w:rFonts w:eastAsia="仿宋"/>
                <w:color w:val="000000"/>
                <w:kern w:val="0"/>
                <w:sz w:val="24"/>
                <w:lang w:bidi="ar"/>
              </w:rPr>
              <w:br w:type="textWrapping"/>
            </w:r>
            <w:r>
              <w:rPr>
                <w:rFonts w:eastAsia="仿宋"/>
                <w:color w:val="000000"/>
                <w:kern w:val="0"/>
                <w:sz w:val="24"/>
                <w:lang w:bidi="ar"/>
              </w:rPr>
              <w:t>第八条  轻工企业有下列情形之一的，应当判定为重大事故隐患：</w:t>
            </w:r>
            <w:r>
              <w:rPr>
                <w:rFonts w:eastAsia="仿宋"/>
                <w:color w:val="000000"/>
                <w:kern w:val="0"/>
                <w:sz w:val="24"/>
                <w:lang w:bidi="ar"/>
              </w:rPr>
              <w:br w:type="textWrapping"/>
            </w:r>
            <w:r>
              <w:rPr>
                <w:rFonts w:eastAsia="仿宋"/>
                <w:color w:val="000000"/>
                <w:kern w:val="0"/>
                <w:sz w:val="24"/>
                <w:lang w:bidi="ar"/>
              </w:rPr>
              <w:t>（六）使用非水性漆的调漆间、喷漆室未设置固定式可燃气体浓度监测报警装置或者通风设施的；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第九十九条第二项  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二）安全设备的安装、使用、检测、改造和报废不符合国家标准或者行业标准的。</w:t>
            </w:r>
          </w:p>
        </w:tc>
        <w:tc>
          <w:tcPr>
            <w:tcW w:w="476" w:type="pct"/>
            <w:tcBorders>
              <w:top w:val="single" w:color="000000" w:sz="4" w:space="0"/>
              <w:left w:val="single" w:color="000000" w:sz="4" w:space="0"/>
              <w:bottom w:val="single" w:color="000000" w:sz="4" w:space="0"/>
              <w:right w:val="single" w:color="000000" w:sz="4" w:space="0"/>
            </w:tcBorders>
            <w:vAlign w:val="center"/>
          </w:tcPr>
          <w:p w14:paraId="1F748071">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53465742">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515CAE7D">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2B076B9E">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6CCB25A7">
            <w:pPr>
              <w:topLinePunct/>
              <w:adjustRightInd w:val="0"/>
              <w:snapToGrid w:val="0"/>
              <w:jc w:val="center"/>
              <w:textAlignment w:val="center"/>
              <w:rPr>
                <w:rFonts w:eastAsia="仿宋"/>
                <w:color w:val="000000"/>
                <w:sz w:val="24"/>
              </w:rPr>
            </w:pPr>
            <w:r>
              <w:rPr>
                <w:rFonts w:eastAsia="仿宋"/>
                <w:color w:val="000000"/>
                <w:kern w:val="0"/>
                <w:sz w:val="24"/>
                <w:lang w:bidi="ar"/>
              </w:rPr>
              <w:t>203</w:t>
            </w:r>
          </w:p>
        </w:tc>
        <w:tc>
          <w:tcPr>
            <w:tcW w:w="838" w:type="pct"/>
            <w:tcBorders>
              <w:top w:val="single" w:color="000000" w:sz="4" w:space="0"/>
              <w:left w:val="single" w:color="000000" w:sz="4" w:space="0"/>
              <w:bottom w:val="single" w:color="000000" w:sz="4" w:space="0"/>
              <w:right w:val="single" w:color="000000" w:sz="4" w:space="0"/>
            </w:tcBorders>
            <w:vAlign w:val="center"/>
          </w:tcPr>
          <w:p w14:paraId="7A9FEF34">
            <w:pPr>
              <w:topLinePunct/>
              <w:adjustRightInd w:val="0"/>
              <w:snapToGrid w:val="0"/>
              <w:textAlignment w:val="center"/>
              <w:rPr>
                <w:rFonts w:eastAsia="仿宋"/>
                <w:color w:val="000000"/>
                <w:sz w:val="24"/>
              </w:rPr>
            </w:pPr>
            <w:r>
              <w:rPr>
                <w:rFonts w:eastAsia="仿宋"/>
                <w:color w:val="000000"/>
                <w:kern w:val="0"/>
                <w:sz w:val="24"/>
                <w:lang w:bidi="ar"/>
              </w:rPr>
              <w:t>对轻工企业锂离子电池储存仓库未对故障电池采取有效物理隔离措施的行政处罚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548A5E57">
            <w:pPr>
              <w:topLinePunct/>
              <w:adjustRightInd w:val="0"/>
              <w:snapToGrid w:val="0"/>
              <w:jc w:val="left"/>
              <w:textAlignment w:val="center"/>
              <w:rPr>
                <w:rFonts w:eastAsia="仿宋"/>
                <w:color w:val="000000"/>
                <w:sz w:val="24"/>
              </w:rPr>
            </w:pPr>
            <w:r>
              <w:rPr>
                <w:rFonts w:eastAsia="仿宋"/>
                <w:color w:val="000000"/>
                <w:kern w:val="0"/>
                <w:sz w:val="24"/>
                <w:lang w:bidi="ar"/>
              </w:rPr>
              <w:t>1.《工贸企业重大事故隐患判定标准》</w:t>
            </w:r>
            <w:r>
              <w:rPr>
                <w:rFonts w:eastAsia="仿宋"/>
                <w:color w:val="000000"/>
                <w:kern w:val="0"/>
                <w:sz w:val="24"/>
                <w:lang w:bidi="ar"/>
              </w:rPr>
              <w:br w:type="textWrapping"/>
            </w:r>
            <w:r>
              <w:rPr>
                <w:rFonts w:eastAsia="仿宋"/>
                <w:color w:val="000000"/>
                <w:kern w:val="0"/>
                <w:sz w:val="24"/>
                <w:lang w:bidi="ar"/>
              </w:rPr>
              <w:t>第八条  轻工企业有下列情形之一的，应当判定为重大事故隐患：</w:t>
            </w:r>
            <w:r>
              <w:rPr>
                <w:rFonts w:eastAsia="仿宋"/>
                <w:color w:val="000000"/>
                <w:kern w:val="0"/>
                <w:sz w:val="24"/>
                <w:lang w:bidi="ar"/>
              </w:rPr>
              <w:br w:type="textWrapping"/>
            </w:r>
            <w:r>
              <w:rPr>
                <w:rFonts w:eastAsia="仿宋"/>
                <w:color w:val="000000"/>
                <w:kern w:val="0"/>
                <w:sz w:val="24"/>
                <w:lang w:bidi="ar"/>
              </w:rPr>
              <w:t>（七）锂离子电池储存仓库未对故障电池采取有效物理隔离措施的。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638243F9">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4C92F5D1">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53B6B867">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57E6FB4B">
        <w:tblPrEx>
          <w:tblCellMar>
            <w:top w:w="0" w:type="dxa"/>
            <w:left w:w="108" w:type="dxa"/>
            <w:bottom w:w="0" w:type="dxa"/>
            <w:right w:w="108" w:type="dxa"/>
          </w:tblCellMar>
        </w:tblPrEx>
        <w:trPr>
          <w:trHeight w:val="275"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541E85D7">
            <w:pPr>
              <w:topLinePunct/>
              <w:adjustRightInd w:val="0"/>
              <w:snapToGrid w:val="0"/>
              <w:jc w:val="center"/>
              <w:textAlignment w:val="center"/>
              <w:rPr>
                <w:rFonts w:eastAsia="仿宋"/>
                <w:color w:val="000000"/>
                <w:sz w:val="24"/>
              </w:rPr>
            </w:pPr>
            <w:r>
              <w:rPr>
                <w:rFonts w:eastAsia="仿宋"/>
                <w:color w:val="000000"/>
                <w:kern w:val="0"/>
                <w:sz w:val="24"/>
                <w:lang w:bidi="ar"/>
              </w:rPr>
              <w:t>204</w:t>
            </w:r>
          </w:p>
        </w:tc>
        <w:tc>
          <w:tcPr>
            <w:tcW w:w="838" w:type="pct"/>
            <w:tcBorders>
              <w:top w:val="single" w:color="000000" w:sz="4" w:space="0"/>
              <w:left w:val="single" w:color="000000" w:sz="4" w:space="0"/>
              <w:bottom w:val="single" w:color="000000" w:sz="4" w:space="0"/>
              <w:right w:val="single" w:color="000000" w:sz="4" w:space="0"/>
            </w:tcBorders>
            <w:vAlign w:val="center"/>
          </w:tcPr>
          <w:p w14:paraId="1C30C1C1">
            <w:pPr>
              <w:topLinePunct/>
              <w:adjustRightInd w:val="0"/>
              <w:snapToGrid w:val="0"/>
              <w:textAlignment w:val="center"/>
              <w:rPr>
                <w:rFonts w:eastAsia="仿宋"/>
                <w:color w:val="000000"/>
                <w:sz w:val="24"/>
              </w:rPr>
            </w:pPr>
            <w:r>
              <w:rPr>
                <w:rFonts w:eastAsia="仿宋"/>
                <w:color w:val="000000"/>
                <w:kern w:val="0"/>
                <w:sz w:val="24"/>
                <w:lang w:bidi="ar"/>
              </w:rPr>
              <w:t>对纺织企业纱、线、织物加工的烧毛、开幅、烘干等热定型工艺的汽化室、燃气贮罐、储油罐、热媒炉，未与生产加工等人员聚集场所隔开或者单独设置的行政处罚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423EE572">
            <w:pPr>
              <w:topLinePunct/>
              <w:adjustRightInd w:val="0"/>
              <w:snapToGrid w:val="0"/>
              <w:jc w:val="left"/>
              <w:textAlignment w:val="center"/>
              <w:rPr>
                <w:rFonts w:eastAsia="仿宋"/>
                <w:color w:val="000000"/>
                <w:sz w:val="24"/>
              </w:rPr>
            </w:pPr>
            <w:r>
              <w:rPr>
                <w:rFonts w:eastAsia="仿宋"/>
                <w:color w:val="000000"/>
                <w:kern w:val="0"/>
                <w:sz w:val="24"/>
                <w:lang w:bidi="ar"/>
              </w:rPr>
              <w:t>1.《工贸企业重大事故隐患判定标准》</w:t>
            </w:r>
            <w:r>
              <w:rPr>
                <w:rFonts w:eastAsia="仿宋"/>
                <w:color w:val="000000"/>
                <w:kern w:val="0"/>
                <w:sz w:val="24"/>
                <w:lang w:bidi="ar"/>
              </w:rPr>
              <w:br w:type="textWrapping"/>
            </w:r>
            <w:r>
              <w:rPr>
                <w:rFonts w:eastAsia="仿宋"/>
                <w:color w:val="000000"/>
                <w:kern w:val="0"/>
                <w:sz w:val="24"/>
                <w:lang w:bidi="ar"/>
              </w:rPr>
              <w:t>第九条  纺织企业有下列情形之一的，应当判定为重大事故隐患：</w:t>
            </w:r>
            <w:r>
              <w:rPr>
                <w:rFonts w:eastAsia="仿宋"/>
                <w:color w:val="000000"/>
                <w:kern w:val="0"/>
                <w:sz w:val="24"/>
                <w:lang w:bidi="ar"/>
              </w:rPr>
              <w:br w:type="textWrapping"/>
            </w:r>
            <w:r>
              <w:rPr>
                <w:rFonts w:eastAsia="仿宋"/>
                <w:color w:val="000000"/>
                <w:kern w:val="0"/>
                <w:sz w:val="24"/>
                <w:lang w:bidi="ar"/>
              </w:rPr>
              <w:t>（一）纱、线、织物加工的烧毛、开幅、烘干等热定型工艺的汽化室、燃气贮罐、储油罐、热媒炉，未与生产加工等人员聚集场所隔开或者单独设置的；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442F74E6">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41B6FBE6">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1D0A1BC3">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47224131">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4AF1312D">
            <w:pPr>
              <w:topLinePunct/>
              <w:adjustRightInd w:val="0"/>
              <w:snapToGrid w:val="0"/>
              <w:jc w:val="center"/>
              <w:textAlignment w:val="center"/>
              <w:rPr>
                <w:rFonts w:eastAsia="仿宋"/>
                <w:color w:val="000000"/>
                <w:sz w:val="24"/>
              </w:rPr>
            </w:pPr>
            <w:r>
              <w:rPr>
                <w:rFonts w:eastAsia="仿宋"/>
                <w:color w:val="000000"/>
                <w:kern w:val="0"/>
                <w:sz w:val="24"/>
                <w:lang w:bidi="ar"/>
              </w:rPr>
              <w:t>205</w:t>
            </w:r>
          </w:p>
        </w:tc>
        <w:tc>
          <w:tcPr>
            <w:tcW w:w="838" w:type="pct"/>
            <w:tcBorders>
              <w:top w:val="single" w:color="000000" w:sz="4" w:space="0"/>
              <w:left w:val="single" w:color="000000" w:sz="4" w:space="0"/>
              <w:bottom w:val="single" w:color="000000" w:sz="4" w:space="0"/>
              <w:right w:val="single" w:color="000000" w:sz="4" w:space="0"/>
            </w:tcBorders>
            <w:vAlign w:val="center"/>
          </w:tcPr>
          <w:p w14:paraId="5A534088">
            <w:pPr>
              <w:topLinePunct/>
              <w:adjustRightInd w:val="0"/>
              <w:snapToGrid w:val="0"/>
              <w:textAlignment w:val="center"/>
              <w:rPr>
                <w:rFonts w:eastAsia="仿宋"/>
                <w:color w:val="000000"/>
                <w:sz w:val="24"/>
              </w:rPr>
            </w:pPr>
            <w:r>
              <w:rPr>
                <w:rFonts w:eastAsia="仿宋"/>
                <w:color w:val="000000"/>
                <w:kern w:val="0"/>
                <w:sz w:val="24"/>
                <w:lang w:bidi="ar"/>
              </w:rPr>
              <w:t>对纺织企业保险粉、双氧水、次氯酸钠、亚氯酸钠、雕白粉（吊白块）与禁忌物料混合储存，或者保险粉储存场所未采取防水防潮措施的行政处罚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3CD636C1">
            <w:pPr>
              <w:topLinePunct/>
              <w:adjustRightInd w:val="0"/>
              <w:snapToGrid w:val="0"/>
              <w:jc w:val="left"/>
              <w:textAlignment w:val="center"/>
              <w:rPr>
                <w:rFonts w:eastAsia="仿宋"/>
                <w:color w:val="000000"/>
                <w:sz w:val="24"/>
              </w:rPr>
            </w:pPr>
            <w:r>
              <w:rPr>
                <w:rFonts w:eastAsia="仿宋"/>
                <w:color w:val="000000"/>
                <w:kern w:val="0"/>
                <w:sz w:val="24"/>
                <w:lang w:bidi="ar"/>
              </w:rPr>
              <w:t>1.《工贸企业重大事故隐患判定标准》</w:t>
            </w:r>
            <w:r>
              <w:rPr>
                <w:rFonts w:eastAsia="仿宋"/>
                <w:color w:val="000000"/>
                <w:kern w:val="0"/>
                <w:sz w:val="24"/>
                <w:lang w:bidi="ar"/>
              </w:rPr>
              <w:br w:type="textWrapping"/>
            </w:r>
            <w:r>
              <w:rPr>
                <w:rFonts w:eastAsia="仿宋"/>
                <w:color w:val="000000"/>
                <w:kern w:val="0"/>
                <w:sz w:val="24"/>
                <w:lang w:bidi="ar"/>
              </w:rPr>
              <w:t>第九条  纺织企业有下列情形之一的，应当判定为重大事故隐患：</w:t>
            </w:r>
            <w:r>
              <w:rPr>
                <w:rFonts w:eastAsia="仿宋"/>
                <w:color w:val="000000"/>
                <w:kern w:val="0"/>
                <w:sz w:val="24"/>
                <w:lang w:bidi="ar"/>
              </w:rPr>
              <w:br w:type="textWrapping"/>
            </w:r>
            <w:r>
              <w:rPr>
                <w:rFonts w:eastAsia="仿宋"/>
                <w:color w:val="000000"/>
                <w:kern w:val="0"/>
                <w:sz w:val="24"/>
                <w:lang w:bidi="ar"/>
              </w:rPr>
              <w:t>（二）保险粉、双氧水、次氯酸钠、亚氯酸钠、雕白粉（吊白块）与禁忌物料混合储存，或者保险粉储存场所未采取防水防潮措施的。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第一百零一条第一项  生产经营单位有下列行为之一的，责令限期改正，处十万元以下的罚款；逾期未改正的，责令停产停业整顿，并处十万元以上二十万元以下的罚款，对其直接负责的主管人员和其他直接责任人员处二万元以上五万元以下的罚款；构成犯罪的，依照刑法有关规定追究刑事责任：（一）生产、经营、运输、储存、使用危险物品或者处置废弃危险物品，未建立专门安全管理制度、未采取可靠的安全措施的；</w:t>
            </w:r>
          </w:p>
        </w:tc>
        <w:tc>
          <w:tcPr>
            <w:tcW w:w="476" w:type="pct"/>
            <w:tcBorders>
              <w:top w:val="single" w:color="000000" w:sz="4" w:space="0"/>
              <w:left w:val="single" w:color="000000" w:sz="4" w:space="0"/>
              <w:bottom w:val="single" w:color="000000" w:sz="4" w:space="0"/>
              <w:right w:val="single" w:color="000000" w:sz="4" w:space="0"/>
            </w:tcBorders>
            <w:vAlign w:val="center"/>
          </w:tcPr>
          <w:p w14:paraId="5CC3B3B2">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5FC6DA5A">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62BB1466">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7FE03471">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0BFE7764">
            <w:pPr>
              <w:topLinePunct/>
              <w:adjustRightInd w:val="0"/>
              <w:snapToGrid w:val="0"/>
              <w:jc w:val="center"/>
              <w:textAlignment w:val="center"/>
              <w:rPr>
                <w:rFonts w:eastAsia="仿宋"/>
                <w:color w:val="000000"/>
                <w:sz w:val="24"/>
              </w:rPr>
            </w:pPr>
            <w:r>
              <w:rPr>
                <w:rFonts w:eastAsia="仿宋"/>
                <w:color w:val="000000"/>
                <w:kern w:val="0"/>
                <w:sz w:val="24"/>
                <w:lang w:bidi="ar"/>
              </w:rPr>
              <w:t>206</w:t>
            </w:r>
          </w:p>
        </w:tc>
        <w:tc>
          <w:tcPr>
            <w:tcW w:w="838" w:type="pct"/>
            <w:tcBorders>
              <w:top w:val="single" w:color="000000" w:sz="4" w:space="0"/>
              <w:left w:val="single" w:color="000000" w:sz="4" w:space="0"/>
              <w:bottom w:val="single" w:color="000000" w:sz="4" w:space="0"/>
              <w:right w:val="single" w:color="000000" w:sz="4" w:space="0"/>
            </w:tcBorders>
            <w:vAlign w:val="center"/>
          </w:tcPr>
          <w:p w14:paraId="6D4F540A">
            <w:pPr>
              <w:topLinePunct/>
              <w:adjustRightInd w:val="0"/>
              <w:snapToGrid w:val="0"/>
              <w:textAlignment w:val="center"/>
              <w:rPr>
                <w:rFonts w:eastAsia="仿宋"/>
                <w:color w:val="000000"/>
                <w:sz w:val="24"/>
              </w:rPr>
            </w:pPr>
            <w:r>
              <w:rPr>
                <w:rFonts w:eastAsia="仿宋"/>
                <w:color w:val="000000"/>
                <w:kern w:val="0"/>
                <w:sz w:val="24"/>
                <w:lang w:bidi="ar"/>
              </w:rPr>
              <w:t>对烟草企业熏蒸作业场所未配备磷化氢气体浓度监测报警仪器，或者未配备防毒面具的行政处罚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2BFF7746">
            <w:pPr>
              <w:topLinePunct/>
              <w:adjustRightInd w:val="0"/>
              <w:snapToGrid w:val="0"/>
              <w:jc w:val="left"/>
              <w:textAlignment w:val="center"/>
              <w:rPr>
                <w:rFonts w:eastAsia="仿宋"/>
                <w:color w:val="000000"/>
                <w:sz w:val="24"/>
              </w:rPr>
            </w:pPr>
            <w:r>
              <w:rPr>
                <w:rFonts w:eastAsia="仿宋"/>
                <w:color w:val="000000"/>
                <w:kern w:val="0"/>
                <w:sz w:val="24"/>
                <w:lang w:bidi="ar"/>
              </w:rPr>
              <w:t>1.《工贸企业重大事故隐患判定标准》</w:t>
            </w:r>
            <w:r>
              <w:rPr>
                <w:rFonts w:eastAsia="仿宋"/>
                <w:color w:val="000000"/>
                <w:kern w:val="0"/>
                <w:sz w:val="24"/>
                <w:lang w:bidi="ar"/>
              </w:rPr>
              <w:br w:type="textWrapping"/>
            </w:r>
            <w:r>
              <w:rPr>
                <w:rFonts w:eastAsia="仿宋"/>
                <w:color w:val="000000"/>
                <w:kern w:val="0"/>
                <w:sz w:val="24"/>
                <w:lang w:bidi="ar"/>
              </w:rPr>
              <w:t>第十条  烟草企业有下列情形之一的，应当判定为重大事故隐患：</w:t>
            </w:r>
            <w:r>
              <w:rPr>
                <w:rFonts w:eastAsia="仿宋"/>
                <w:color w:val="000000"/>
                <w:kern w:val="0"/>
                <w:sz w:val="24"/>
                <w:lang w:bidi="ar"/>
              </w:rPr>
              <w:br w:type="textWrapping"/>
            </w:r>
            <w:r>
              <w:rPr>
                <w:rFonts w:eastAsia="仿宋"/>
                <w:color w:val="000000"/>
                <w:kern w:val="0"/>
                <w:sz w:val="24"/>
                <w:lang w:bidi="ar"/>
              </w:rPr>
              <w:t>（一）熏蒸作业场所未配备磷化氢气体浓度监测报警仪器，或者未配备防毒面具，或者熏蒸杀虫作业前未确认无关人员全部撤离熏蒸作业场所的；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第九十九条第二项  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二）安全设备的安装、使用、检测、改造和报废不符合国家标准或者行业标准的。</w:t>
            </w:r>
          </w:p>
        </w:tc>
        <w:tc>
          <w:tcPr>
            <w:tcW w:w="476" w:type="pct"/>
            <w:tcBorders>
              <w:top w:val="single" w:color="000000" w:sz="4" w:space="0"/>
              <w:left w:val="single" w:color="000000" w:sz="4" w:space="0"/>
              <w:bottom w:val="single" w:color="000000" w:sz="4" w:space="0"/>
              <w:right w:val="single" w:color="000000" w:sz="4" w:space="0"/>
            </w:tcBorders>
            <w:vAlign w:val="center"/>
          </w:tcPr>
          <w:p w14:paraId="1A54B3CB">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4296ACBB">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58722CB1">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68B3E7D7">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143E74F3">
            <w:pPr>
              <w:topLinePunct/>
              <w:adjustRightInd w:val="0"/>
              <w:snapToGrid w:val="0"/>
              <w:jc w:val="center"/>
              <w:textAlignment w:val="center"/>
              <w:rPr>
                <w:rFonts w:eastAsia="仿宋"/>
                <w:color w:val="000000"/>
                <w:sz w:val="24"/>
              </w:rPr>
            </w:pPr>
            <w:r>
              <w:rPr>
                <w:rFonts w:eastAsia="仿宋"/>
                <w:color w:val="000000"/>
                <w:kern w:val="0"/>
                <w:sz w:val="24"/>
                <w:lang w:bidi="ar"/>
              </w:rPr>
              <w:t>207</w:t>
            </w:r>
          </w:p>
        </w:tc>
        <w:tc>
          <w:tcPr>
            <w:tcW w:w="838" w:type="pct"/>
            <w:tcBorders>
              <w:top w:val="single" w:color="000000" w:sz="4" w:space="0"/>
              <w:left w:val="single" w:color="000000" w:sz="4" w:space="0"/>
              <w:bottom w:val="single" w:color="000000" w:sz="4" w:space="0"/>
              <w:right w:val="single" w:color="000000" w:sz="4" w:space="0"/>
            </w:tcBorders>
            <w:vAlign w:val="center"/>
          </w:tcPr>
          <w:p w14:paraId="4628EB4F">
            <w:pPr>
              <w:topLinePunct/>
              <w:adjustRightInd w:val="0"/>
              <w:snapToGrid w:val="0"/>
              <w:textAlignment w:val="center"/>
              <w:rPr>
                <w:rFonts w:eastAsia="仿宋"/>
                <w:color w:val="000000"/>
                <w:sz w:val="24"/>
              </w:rPr>
            </w:pPr>
            <w:r>
              <w:rPr>
                <w:rFonts w:eastAsia="仿宋"/>
                <w:color w:val="000000"/>
                <w:kern w:val="0"/>
                <w:sz w:val="24"/>
                <w:lang w:bidi="ar"/>
              </w:rPr>
              <w:t>对烟草企业熏蒸杀虫作业前未确认无关人员全部撤离熏蒸作业场所的行政处罚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42562476">
            <w:pPr>
              <w:topLinePunct/>
              <w:adjustRightInd w:val="0"/>
              <w:snapToGrid w:val="0"/>
              <w:jc w:val="left"/>
              <w:textAlignment w:val="center"/>
              <w:rPr>
                <w:rFonts w:eastAsia="仿宋"/>
                <w:color w:val="000000"/>
                <w:sz w:val="24"/>
              </w:rPr>
            </w:pPr>
            <w:r>
              <w:rPr>
                <w:rFonts w:eastAsia="仿宋"/>
                <w:color w:val="000000"/>
                <w:kern w:val="0"/>
                <w:sz w:val="24"/>
                <w:lang w:bidi="ar"/>
              </w:rPr>
              <w:t>1.《工贸企业重大事故隐患判定标准》</w:t>
            </w:r>
            <w:r>
              <w:rPr>
                <w:rFonts w:eastAsia="仿宋"/>
                <w:color w:val="000000"/>
                <w:kern w:val="0"/>
                <w:sz w:val="24"/>
                <w:lang w:bidi="ar"/>
              </w:rPr>
              <w:br w:type="textWrapping"/>
            </w:r>
            <w:r>
              <w:rPr>
                <w:rFonts w:eastAsia="仿宋"/>
                <w:color w:val="000000"/>
                <w:kern w:val="0"/>
                <w:sz w:val="24"/>
                <w:lang w:bidi="ar"/>
              </w:rPr>
              <w:t>第十条  烟草企业有下列情形之一的，应当判定为重大事故隐患：</w:t>
            </w:r>
            <w:r>
              <w:rPr>
                <w:rFonts w:eastAsia="仿宋"/>
                <w:color w:val="000000"/>
                <w:kern w:val="0"/>
                <w:sz w:val="24"/>
                <w:lang w:bidi="ar"/>
              </w:rPr>
              <w:br w:type="textWrapping"/>
            </w:r>
            <w:r>
              <w:rPr>
                <w:rFonts w:eastAsia="仿宋"/>
                <w:color w:val="000000"/>
                <w:kern w:val="0"/>
                <w:sz w:val="24"/>
                <w:lang w:bidi="ar"/>
              </w:rPr>
              <w:t>（一）熏蒸作业场所未配备磷化氢气体浓度监测报警仪器，或者未配备防毒面具，或者熏蒸杀虫作业前未确认无关人员全部撤离熏蒸作业场所的；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3F336D7F">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4A5F1BC2">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43B3B323">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62470F23">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567394F0">
            <w:pPr>
              <w:topLinePunct/>
              <w:adjustRightInd w:val="0"/>
              <w:snapToGrid w:val="0"/>
              <w:jc w:val="center"/>
              <w:textAlignment w:val="center"/>
              <w:rPr>
                <w:rFonts w:eastAsia="仿宋"/>
                <w:color w:val="000000"/>
                <w:sz w:val="24"/>
              </w:rPr>
            </w:pPr>
            <w:r>
              <w:rPr>
                <w:rFonts w:eastAsia="仿宋"/>
                <w:color w:val="000000"/>
                <w:kern w:val="0"/>
                <w:sz w:val="24"/>
                <w:lang w:bidi="ar"/>
              </w:rPr>
              <w:t>208</w:t>
            </w:r>
          </w:p>
        </w:tc>
        <w:tc>
          <w:tcPr>
            <w:tcW w:w="838" w:type="pct"/>
            <w:tcBorders>
              <w:top w:val="single" w:color="000000" w:sz="4" w:space="0"/>
              <w:left w:val="single" w:color="000000" w:sz="4" w:space="0"/>
              <w:bottom w:val="single" w:color="000000" w:sz="4" w:space="0"/>
              <w:right w:val="single" w:color="000000" w:sz="4" w:space="0"/>
            </w:tcBorders>
            <w:vAlign w:val="center"/>
          </w:tcPr>
          <w:p w14:paraId="15BD6D0C">
            <w:pPr>
              <w:topLinePunct/>
              <w:adjustRightInd w:val="0"/>
              <w:snapToGrid w:val="0"/>
              <w:textAlignment w:val="center"/>
              <w:rPr>
                <w:rFonts w:eastAsia="仿宋"/>
                <w:color w:val="000000"/>
                <w:sz w:val="24"/>
              </w:rPr>
            </w:pPr>
            <w:r>
              <w:rPr>
                <w:rFonts w:eastAsia="仿宋"/>
                <w:color w:val="000000"/>
                <w:kern w:val="0"/>
                <w:sz w:val="24"/>
                <w:lang w:bidi="ar"/>
              </w:rPr>
              <w:t>对烟草企业使用液态二氧化碳制造膨胀烟丝的生产线和场所未设置固定式二氧化碳浓度监测报警装置，或者监测报警装置未与事故通风设施联锁的行政处罚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2E229D1D">
            <w:pPr>
              <w:topLinePunct/>
              <w:adjustRightInd w:val="0"/>
              <w:snapToGrid w:val="0"/>
              <w:jc w:val="left"/>
              <w:textAlignment w:val="center"/>
              <w:rPr>
                <w:rFonts w:eastAsia="仿宋"/>
                <w:color w:val="000000"/>
                <w:sz w:val="24"/>
              </w:rPr>
            </w:pPr>
            <w:r>
              <w:rPr>
                <w:rFonts w:eastAsia="仿宋"/>
                <w:color w:val="000000"/>
                <w:kern w:val="0"/>
                <w:sz w:val="24"/>
                <w:lang w:bidi="ar"/>
              </w:rPr>
              <w:t>1.《工贸企业重大事故隐患判定标准》</w:t>
            </w:r>
            <w:r>
              <w:rPr>
                <w:rFonts w:eastAsia="仿宋"/>
                <w:color w:val="000000"/>
                <w:kern w:val="0"/>
                <w:sz w:val="24"/>
                <w:lang w:bidi="ar"/>
              </w:rPr>
              <w:br w:type="textWrapping"/>
            </w:r>
            <w:r>
              <w:rPr>
                <w:rFonts w:eastAsia="仿宋"/>
                <w:color w:val="000000"/>
                <w:kern w:val="0"/>
                <w:sz w:val="24"/>
                <w:lang w:bidi="ar"/>
              </w:rPr>
              <w:t>第十条  烟草企业有下列情形之一的，应当判定为重大事故隐患：</w:t>
            </w:r>
            <w:r>
              <w:rPr>
                <w:rFonts w:eastAsia="仿宋"/>
                <w:color w:val="000000"/>
                <w:kern w:val="0"/>
                <w:sz w:val="24"/>
                <w:lang w:bidi="ar"/>
              </w:rPr>
              <w:br w:type="textWrapping"/>
            </w:r>
            <w:r>
              <w:rPr>
                <w:rFonts w:eastAsia="仿宋"/>
                <w:color w:val="000000"/>
                <w:kern w:val="0"/>
                <w:sz w:val="24"/>
                <w:lang w:bidi="ar"/>
              </w:rPr>
              <w:t>（二）使用液态二氧化碳制造膨胀烟丝的生产线和场所未设置固定式二氧化碳浓度监测报警装置，或者监测报警装置未与事故通风设施联锁的。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第九十九条第二项  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二）安全设备的安装、使用、检测、改造和报废不符合国家标准或者行业标准的。</w:t>
            </w:r>
          </w:p>
        </w:tc>
        <w:tc>
          <w:tcPr>
            <w:tcW w:w="476" w:type="pct"/>
            <w:tcBorders>
              <w:top w:val="single" w:color="000000" w:sz="4" w:space="0"/>
              <w:left w:val="single" w:color="000000" w:sz="4" w:space="0"/>
              <w:bottom w:val="single" w:color="000000" w:sz="4" w:space="0"/>
              <w:right w:val="single" w:color="000000" w:sz="4" w:space="0"/>
            </w:tcBorders>
            <w:vAlign w:val="center"/>
          </w:tcPr>
          <w:p w14:paraId="217D2DFD">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623ADF82">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7E0A03A2">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67F5C645">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6C7C9F3C">
            <w:pPr>
              <w:topLinePunct/>
              <w:adjustRightInd w:val="0"/>
              <w:snapToGrid w:val="0"/>
              <w:jc w:val="center"/>
              <w:textAlignment w:val="center"/>
              <w:rPr>
                <w:rFonts w:eastAsia="仿宋"/>
                <w:color w:val="000000"/>
                <w:sz w:val="24"/>
              </w:rPr>
            </w:pPr>
            <w:r>
              <w:rPr>
                <w:rFonts w:eastAsia="仿宋"/>
                <w:color w:val="000000"/>
                <w:kern w:val="0"/>
                <w:sz w:val="24"/>
                <w:lang w:bidi="ar"/>
              </w:rPr>
              <w:t>209</w:t>
            </w:r>
          </w:p>
        </w:tc>
        <w:tc>
          <w:tcPr>
            <w:tcW w:w="838" w:type="pct"/>
            <w:tcBorders>
              <w:top w:val="single" w:color="000000" w:sz="4" w:space="0"/>
              <w:left w:val="single" w:color="000000" w:sz="4" w:space="0"/>
              <w:bottom w:val="single" w:color="000000" w:sz="4" w:space="0"/>
              <w:right w:val="single" w:color="000000" w:sz="4" w:space="0"/>
            </w:tcBorders>
            <w:vAlign w:val="center"/>
          </w:tcPr>
          <w:p w14:paraId="4E92A495">
            <w:pPr>
              <w:topLinePunct/>
              <w:adjustRightInd w:val="0"/>
              <w:snapToGrid w:val="0"/>
              <w:textAlignment w:val="center"/>
              <w:rPr>
                <w:rFonts w:eastAsia="仿宋"/>
                <w:color w:val="000000"/>
                <w:sz w:val="24"/>
              </w:rPr>
            </w:pPr>
            <w:r>
              <w:rPr>
                <w:rFonts w:eastAsia="仿宋"/>
                <w:color w:val="000000"/>
                <w:kern w:val="0"/>
                <w:sz w:val="24"/>
                <w:lang w:bidi="ar"/>
              </w:rPr>
              <w:t>对存在粉尘爆炸危险的工贸企业粉尘爆炸危险场所设置在非框架结构的多层建（构）筑物内，或者粉尘爆炸危险场所内设有员工宿舍、会议室、办公室、休息室等人员聚集场所的行政处罚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1B58BB8F">
            <w:pPr>
              <w:topLinePunct/>
              <w:adjustRightInd w:val="0"/>
              <w:snapToGrid w:val="0"/>
              <w:jc w:val="left"/>
              <w:textAlignment w:val="center"/>
              <w:rPr>
                <w:rFonts w:eastAsia="仿宋"/>
                <w:color w:val="000000"/>
                <w:sz w:val="24"/>
              </w:rPr>
            </w:pPr>
            <w:r>
              <w:rPr>
                <w:rFonts w:eastAsia="仿宋"/>
                <w:color w:val="000000"/>
                <w:kern w:val="0"/>
                <w:sz w:val="24"/>
                <w:lang w:bidi="ar"/>
              </w:rPr>
              <w:t>1.《工贸企业重大事故隐患判定标准》</w:t>
            </w:r>
            <w:r>
              <w:rPr>
                <w:rFonts w:eastAsia="仿宋"/>
                <w:color w:val="000000"/>
                <w:kern w:val="0"/>
                <w:sz w:val="24"/>
                <w:lang w:bidi="ar"/>
              </w:rPr>
              <w:br w:type="textWrapping"/>
            </w:r>
            <w:r>
              <w:rPr>
                <w:rFonts w:eastAsia="仿宋"/>
                <w:color w:val="000000"/>
                <w:kern w:val="0"/>
                <w:sz w:val="24"/>
                <w:lang w:bidi="ar"/>
              </w:rPr>
              <w:t>第十一条  存在粉尘爆炸危险的工贸企业有下列情形之一的，应当判定为重大事故隐患：</w:t>
            </w:r>
            <w:r>
              <w:rPr>
                <w:rFonts w:eastAsia="仿宋"/>
                <w:color w:val="000000"/>
                <w:kern w:val="0"/>
                <w:sz w:val="24"/>
                <w:lang w:bidi="ar"/>
              </w:rPr>
              <w:br w:type="textWrapping"/>
            </w:r>
            <w:r>
              <w:rPr>
                <w:rFonts w:eastAsia="仿宋"/>
                <w:color w:val="000000"/>
                <w:kern w:val="0"/>
                <w:sz w:val="24"/>
                <w:lang w:bidi="ar"/>
              </w:rPr>
              <w:t>（一）粉尘爆炸危险场所设置在非框架结构的多层建（构）筑物内，或者粉尘爆炸危险场所内设有员工宿舍、会议室、办公室、休息室等人员聚集场所的；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r>
              <w:rPr>
                <w:rFonts w:eastAsia="仿宋"/>
                <w:color w:val="000000"/>
                <w:kern w:val="0"/>
                <w:sz w:val="24"/>
                <w:lang w:bidi="ar"/>
              </w:rPr>
              <w:br w:type="textWrapping"/>
            </w:r>
            <w:r>
              <w:rPr>
                <w:rFonts w:eastAsia="仿宋"/>
                <w:color w:val="000000"/>
                <w:kern w:val="0"/>
                <w:sz w:val="24"/>
                <w:lang w:bidi="ar"/>
              </w:rPr>
              <w:t>3.《工贸企业粉尘防爆安全规定》</w:t>
            </w:r>
            <w:r>
              <w:rPr>
                <w:rFonts w:eastAsia="仿宋"/>
                <w:color w:val="000000"/>
                <w:kern w:val="0"/>
                <w:sz w:val="24"/>
                <w:lang w:bidi="ar"/>
              </w:rPr>
              <w:br w:type="textWrapping"/>
            </w:r>
            <w:r>
              <w:rPr>
                <w:rFonts w:eastAsia="仿宋"/>
                <w:color w:val="000000"/>
                <w:kern w:val="0"/>
                <w:sz w:val="24"/>
                <w:lang w:bidi="ar"/>
              </w:rPr>
              <w:t>第十四条  粉尘涉爆企业存在粉尘爆炸危险场所的建（构）筑物的结构和布局应当符合《粉尘防爆安全规程》等有关国家标准或者行业标准要求，采取防火防爆、防雷等措施，单层厂房屋顶一般应当采用轻型结构，多层厂房应当为框架结构，并设置符合有关标准要求的泄压面积。</w:t>
            </w:r>
            <w:r>
              <w:rPr>
                <w:rFonts w:eastAsia="仿宋"/>
                <w:color w:val="000000"/>
                <w:kern w:val="0"/>
                <w:sz w:val="24"/>
                <w:lang w:bidi="ar"/>
              </w:rPr>
              <w:br w:type="textWrapping"/>
            </w:r>
            <w:r>
              <w:rPr>
                <w:rFonts w:eastAsia="仿宋"/>
                <w:color w:val="000000"/>
                <w:kern w:val="0"/>
                <w:sz w:val="24"/>
                <w:lang w:bidi="ar"/>
              </w:rPr>
              <w:t>粉尘涉爆企业应当严格控制粉尘爆炸危险场所内作业人员数量，在粉尘爆炸危险场所内不得设置员工宿舍、休息室、办公室、会议室等，粉尘爆炸危险场所与其他厂房、仓库、民用建筑的防火间距应当符合《建筑设计防火规范》的规定。</w:t>
            </w:r>
            <w:r>
              <w:rPr>
                <w:rFonts w:eastAsia="仿宋"/>
                <w:color w:val="000000"/>
                <w:kern w:val="0"/>
                <w:sz w:val="24"/>
                <w:lang w:bidi="ar"/>
              </w:rPr>
              <w:br w:type="textWrapping"/>
            </w:r>
            <w:r>
              <w:rPr>
                <w:rFonts w:eastAsia="仿宋"/>
                <w:color w:val="000000"/>
                <w:kern w:val="0"/>
                <w:sz w:val="24"/>
                <w:lang w:bidi="ar"/>
              </w:rPr>
              <w:t>第二十九条  粉尘涉爆企业违反本规定第十四条、第十五条、第十六条、第十八条、第十九条的规定，同时构成事故隐患，未采取措施消除的，依照《中华人民共和国安全生产法》有关规定，由负责粉尘涉爆企业安全监管的部门责令立即消除或者限期消除，处5万元以下的罚款；企业拒不执行的，责令停产停业整顿，对其直接负责的主管人员和其他直接责任人员处5万元以上10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71D41653">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5B8E358D">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29E041FB">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39A2EF18">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3E277AB2">
            <w:pPr>
              <w:topLinePunct/>
              <w:adjustRightInd w:val="0"/>
              <w:snapToGrid w:val="0"/>
              <w:jc w:val="center"/>
              <w:textAlignment w:val="center"/>
              <w:rPr>
                <w:rFonts w:eastAsia="仿宋"/>
                <w:color w:val="000000"/>
                <w:sz w:val="24"/>
              </w:rPr>
            </w:pPr>
            <w:r>
              <w:rPr>
                <w:rFonts w:eastAsia="仿宋"/>
                <w:color w:val="000000"/>
                <w:kern w:val="0"/>
                <w:sz w:val="24"/>
                <w:lang w:bidi="ar"/>
              </w:rPr>
              <w:t>210</w:t>
            </w:r>
          </w:p>
        </w:tc>
        <w:tc>
          <w:tcPr>
            <w:tcW w:w="838" w:type="pct"/>
            <w:tcBorders>
              <w:top w:val="single" w:color="000000" w:sz="4" w:space="0"/>
              <w:left w:val="single" w:color="000000" w:sz="4" w:space="0"/>
              <w:bottom w:val="single" w:color="000000" w:sz="4" w:space="0"/>
              <w:right w:val="single" w:color="000000" w:sz="4" w:space="0"/>
            </w:tcBorders>
            <w:vAlign w:val="center"/>
          </w:tcPr>
          <w:p w14:paraId="68C415A1">
            <w:pPr>
              <w:topLinePunct/>
              <w:adjustRightInd w:val="0"/>
              <w:snapToGrid w:val="0"/>
              <w:textAlignment w:val="center"/>
              <w:rPr>
                <w:rFonts w:eastAsia="仿宋"/>
                <w:color w:val="000000"/>
                <w:sz w:val="24"/>
              </w:rPr>
            </w:pPr>
            <w:r>
              <w:rPr>
                <w:rFonts w:eastAsia="仿宋"/>
                <w:color w:val="000000"/>
                <w:kern w:val="0"/>
                <w:sz w:val="24"/>
                <w:lang w:bidi="ar"/>
              </w:rPr>
              <w:t>对存在粉尘爆炸危险的工贸企业不同类别的可燃性粉尘、可燃性粉尘与可燃气体等易加剧爆炸危险的介质共用一套除尘系统，或者不同建（构）筑物、不同防火分区共用一套除尘系统、除尘系统互联互通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58EA26BC">
            <w:pPr>
              <w:topLinePunct/>
              <w:adjustRightInd w:val="0"/>
              <w:snapToGrid w:val="0"/>
              <w:jc w:val="left"/>
              <w:textAlignment w:val="center"/>
              <w:rPr>
                <w:rFonts w:eastAsia="仿宋"/>
                <w:color w:val="000000"/>
                <w:sz w:val="24"/>
              </w:rPr>
            </w:pPr>
            <w:r>
              <w:rPr>
                <w:rFonts w:eastAsia="仿宋"/>
                <w:color w:val="000000"/>
                <w:kern w:val="0"/>
                <w:sz w:val="24"/>
                <w:lang w:bidi="ar"/>
              </w:rPr>
              <w:t>1.《工贸企业重大事故隐患判定标准》</w:t>
            </w:r>
            <w:r>
              <w:rPr>
                <w:rFonts w:eastAsia="仿宋"/>
                <w:color w:val="000000"/>
                <w:kern w:val="0"/>
                <w:sz w:val="24"/>
                <w:lang w:bidi="ar"/>
              </w:rPr>
              <w:br w:type="textWrapping"/>
            </w:r>
            <w:r>
              <w:rPr>
                <w:rFonts w:eastAsia="仿宋"/>
                <w:color w:val="000000"/>
                <w:kern w:val="0"/>
                <w:sz w:val="24"/>
                <w:lang w:bidi="ar"/>
              </w:rPr>
              <w:t>第十一条  存在粉尘爆炸危险的工贸企业有下列情形之一的，应当判定为重大事故隐患：</w:t>
            </w:r>
            <w:r>
              <w:rPr>
                <w:rFonts w:eastAsia="仿宋"/>
                <w:color w:val="000000"/>
                <w:kern w:val="0"/>
                <w:sz w:val="24"/>
                <w:lang w:bidi="ar"/>
              </w:rPr>
              <w:br w:type="textWrapping"/>
            </w:r>
            <w:r>
              <w:rPr>
                <w:rFonts w:eastAsia="仿宋"/>
                <w:color w:val="000000"/>
                <w:kern w:val="0"/>
                <w:sz w:val="24"/>
                <w:lang w:bidi="ar"/>
              </w:rPr>
              <w:t>（二）不同类别的可燃性粉尘、可燃性粉尘与可燃气体等易加剧爆炸危险的介质共用一套除尘系统，或者不同建（构）筑物、不同防火分区共用一套除尘系统、除尘系统互联互通的；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3B16B0C4">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5D31746E">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18A3C0DD">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1280640D">
        <w:tblPrEx>
          <w:tblCellMar>
            <w:top w:w="0" w:type="dxa"/>
            <w:left w:w="108" w:type="dxa"/>
            <w:bottom w:w="0" w:type="dxa"/>
            <w:right w:w="108" w:type="dxa"/>
          </w:tblCellMar>
        </w:tblPrEx>
        <w:trPr>
          <w:trHeight w:val="275"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3E5E7BFF">
            <w:pPr>
              <w:topLinePunct/>
              <w:adjustRightInd w:val="0"/>
              <w:snapToGrid w:val="0"/>
              <w:jc w:val="center"/>
              <w:textAlignment w:val="center"/>
              <w:rPr>
                <w:rFonts w:eastAsia="仿宋"/>
                <w:color w:val="000000"/>
                <w:sz w:val="24"/>
              </w:rPr>
            </w:pPr>
            <w:r>
              <w:rPr>
                <w:rFonts w:eastAsia="仿宋"/>
                <w:color w:val="000000"/>
                <w:kern w:val="0"/>
                <w:sz w:val="24"/>
                <w:lang w:bidi="ar"/>
              </w:rPr>
              <w:t>211</w:t>
            </w:r>
          </w:p>
        </w:tc>
        <w:tc>
          <w:tcPr>
            <w:tcW w:w="838" w:type="pct"/>
            <w:tcBorders>
              <w:top w:val="single" w:color="000000" w:sz="4" w:space="0"/>
              <w:left w:val="single" w:color="000000" w:sz="4" w:space="0"/>
              <w:bottom w:val="single" w:color="000000" w:sz="4" w:space="0"/>
              <w:right w:val="single" w:color="000000" w:sz="4" w:space="0"/>
            </w:tcBorders>
            <w:vAlign w:val="center"/>
          </w:tcPr>
          <w:p w14:paraId="59F3E0A1">
            <w:pPr>
              <w:topLinePunct/>
              <w:adjustRightInd w:val="0"/>
              <w:snapToGrid w:val="0"/>
              <w:textAlignment w:val="center"/>
              <w:rPr>
                <w:rFonts w:eastAsia="仿宋"/>
                <w:color w:val="000000"/>
                <w:sz w:val="24"/>
              </w:rPr>
            </w:pPr>
            <w:r>
              <w:rPr>
                <w:rFonts w:eastAsia="仿宋"/>
                <w:color w:val="000000"/>
                <w:kern w:val="0"/>
                <w:sz w:val="24"/>
                <w:lang w:bidi="ar"/>
              </w:rPr>
              <w:t>对存在粉尘爆炸危险的工贸企业干式除尘系统未采取泄爆、惰化、抑爆等任一种爆炸防控措施的行政处罚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28E67CA0">
            <w:pPr>
              <w:topLinePunct/>
              <w:adjustRightInd w:val="0"/>
              <w:snapToGrid w:val="0"/>
              <w:jc w:val="left"/>
              <w:textAlignment w:val="center"/>
              <w:rPr>
                <w:rFonts w:eastAsia="仿宋"/>
                <w:color w:val="000000"/>
                <w:sz w:val="24"/>
              </w:rPr>
            </w:pPr>
            <w:r>
              <w:rPr>
                <w:rFonts w:eastAsia="仿宋"/>
                <w:color w:val="000000"/>
                <w:kern w:val="0"/>
                <w:sz w:val="24"/>
                <w:lang w:bidi="ar"/>
              </w:rPr>
              <w:t>1.《工贸企业重大事故隐患判定标准》</w:t>
            </w:r>
            <w:r>
              <w:rPr>
                <w:rFonts w:eastAsia="仿宋"/>
                <w:color w:val="000000"/>
                <w:kern w:val="0"/>
                <w:sz w:val="24"/>
                <w:lang w:bidi="ar"/>
              </w:rPr>
              <w:br w:type="textWrapping"/>
            </w:r>
            <w:r>
              <w:rPr>
                <w:rFonts w:eastAsia="仿宋"/>
                <w:color w:val="000000"/>
                <w:kern w:val="0"/>
                <w:sz w:val="24"/>
                <w:lang w:bidi="ar"/>
              </w:rPr>
              <w:t>第十一条  存在粉尘爆炸危险的工贸企业有下列情形之一的，应当判定为重大事故隐患：</w:t>
            </w:r>
            <w:r>
              <w:rPr>
                <w:rFonts w:eastAsia="仿宋"/>
                <w:color w:val="000000"/>
                <w:kern w:val="0"/>
                <w:sz w:val="24"/>
                <w:lang w:bidi="ar"/>
              </w:rPr>
              <w:br w:type="textWrapping"/>
            </w:r>
            <w:r>
              <w:rPr>
                <w:rFonts w:eastAsia="仿宋"/>
                <w:color w:val="000000"/>
                <w:kern w:val="0"/>
                <w:sz w:val="24"/>
                <w:lang w:bidi="ar"/>
              </w:rPr>
              <w:t>（三）干式除尘系统未采取泄爆、惰化、抑爆等任一种爆炸防控措施的；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第九十九条第二项  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二）安全设备的安装、使用、检测、改造和报废不符合国家标准或者行业标准的。</w:t>
            </w:r>
          </w:p>
        </w:tc>
        <w:tc>
          <w:tcPr>
            <w:tcW w:w="476" w:type="pct"/>
            <w:tcBorders>
              <w:top w:val="single" w:color="000000" w:sz="4" w:space="0"/>
              <w:left w:val="single" w:color="000000" w:sz="4" w:space="0"/>
              <w:bottom w:val="single" w:color="000000" w:sz="4" w:space="0"/>
              <w:right w:val="single" w:color="000000" w:sz="4" w:space="0"/>
            </w:tcBorders>
            <w:vAlign w:val="center"/>
          </w:tcPr>
          <w:p w14:paraId="4302AF4B">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2E50D70A">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279B514E">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7C681DA8">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4E091815">
            <w:pPr>
              <w:topLinePunct/>
              <w:adjustRightInd w:val="0"/>
              <w:snapToGrid w:val="0"/>
              <w:jc w:val="center"/>
              <w:textAlignment w:val="center"/>
              <w:rPr>
                <w:rFonts w:eastAsia="仿宋"/>
                <w:color w:val="000000"/>
                <w:sz w:val="24"/>
              </w:rPr>
            </w:pPr>
            <w:r>
              <w:rPr>
                <w:rFonts w:eastAsia="仿宋"/>
                <w:color w:val="000000"/>
                <w:kern w:val="0"/>
                <w:sz w:val="24"/>
                <w:lang w:bidi="ar"/>
              </w:rPr>
              <w:t>212</w:t>
            </w:r>
          </w:p>
        </w:tc>
        <w:tc>
          <w:tcPr>
            <w:tcW w:w="838" w:type="pct"/>
            <w:tcBorders>
              <w:top w:val="single" w:color="000000" w:sz="4" w:space="0"/>
              <w:left w:val="single" w:color="000000" w:sz="4" w:space="0"/>
              <w:bottom w:val="single" w:color="000000" w:sz="4" w:space="0"/>
              <w:right w:val="single" w:color="000000" w:sz="4" w:space="0"/>
            </w:tcBorders>
            <w:vAlign w:val="center"/>
          </w:tcPr>
          <w:p w14:paraId="395CFF89">
            <w:pPr>
              <w:topLinePunct/>
              <w:adjustRightInd w:val="0"/>
              <w:snapToGrid w:val="0"/>
              <w:textAlignment w:val="center"/>
              <w:rPr>
                <w:rFonts w:eastAsia="仿宋"/>
                <w:color w:val="000000"/>
                <w:sz w:val="24"/>
              </w:rPr>
            </w:pPr>
            <w:r>
              <w:rPr>
                <w:rFonts w:eastAsia="仿宋"/>
                <w:color w:val="000000"/>
                <w:kern w:val="0"/>
                <w:sz w:val="24"/>
                <w:lang w:bidi="ar"/>
              </w:rPr>
              <w:t>对存在粉尘爆炸危险的工贸企业铝镁等金属粉尘除尘系统采用正压除尘方式，或者其他可燃性粉尘除尘系统采用正压吹送粉尘时，未采取火花探测消除等防范点燃源措施的行政处罚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7C46BC86">
            <w:pPr>
              <w:topLinePunct/>
              <w:adjustRightInd w:val="0"/>
              <w:snapToGrid w:val="0"/>
              <w:jc w:val="left"/>
              <w:textAlignment w:val="center"/>
              <w:rPr>
                <w:rFonts w:eastAsia="仿宋"/>
                <w:color w:val="000000"/>
                <w:sz w:val="24"/>
              </w:rPr>
            </w:pPr>
            <w:r>
              <w:rPr>
                <w:rFonts w:eastAsia="仿宋"/>
                <w:color w:val="000000"/>
                <w:kern w:val="0"/>
                <w:sz w:val="24"/>
                <w:lang w:bidi="ar"/>
              </w:rPr>
              <w:t>1.《工贸企业重大事故隐患判定标准》</w:t>
            </w:r>
            <w:r>
              <w:rPr>
                <w:rFonts w:eastAsia="仿宋"/>
                <w:color w:val="000000"/>
                <w:kern w:val="0"/>
                <w:sz w:val="24"/>
                <w:lang w:bidi="ar"/>
              </w:rPr>
              <w:br w:type="textWrapping"/>
            </w:r>
            <w:r>
              <w:rPr>
                <w:rFonts w:eastAsia="仿宋"/>
                <w:color w:val="000000"/>
                <w:kern w:val="0"/>
                <w:sz w:val="24"/>
                <w:lang w:bidi="ar"/>
              </w:rPr>
              <w:t>第十一条  存在粉尘爆炸危险的工贸企业有下列情形之一的，应当判定为重大事故隐患：</w:t>
            </w:r>
            <w:r>
              <w:rPr>
                <w:rFonts w:eastAsia="仿宋"/>
                <w:color w:val="000000"/>
                <w:kern w:val="0"/>
                <w:sz w:val="24"/>
                <w:lang w:bidi="ar"/>
              </w:rPr>
              <w:br w:type="textWrapping"/>
            </w:r>
            <w:r>
              <w:rPr>
                <w:rFonts w:eastAsia="仿宋"/>
                <w:color w:val="000000"/>
                <w:kern w:val="0"/>
                <w:sz w:val="24"/>
                <w:lang w:bidi="ar"/>
              </w:rPr>
              <w:t>（四）铝镁等金属粉尘除尘系统采用正压除尘方式，或者其他可燃性粉尘除尘系统采用正压吹送粉尘时，未采取火花探测消除等防范点燃源措施的；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第九十九条第二项  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二）安全设备的安装、使用、检测、改造和报废不符合国家标准或者行业标准的。</w:t>
            </w:r>
          </w:p>
        </w:tc>
        <w:tc>
          <w:tcPr>
            <w:tcW w:w="476" w:type="pct"/>
            <w:tcBorders>
              <w:top w:val="single" w:color="000000" w:sz="4" w:space="0"/>
              <w:left w:val="single" w:color="000000" w:sz="4" w:space="0"/>
              <w:bottom w:val="single" w:color="000000" w:sz="4" w:space="0"/>
              <w:right w:val="single" w:color="000000" w:sz="4" w:space="0"/>
            </w:tcBorders>
            <w:vAlign w:val="center"/>
          </w:tcPr>
          <w:p w14:paraId="5977E006">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258988C6">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051B7719">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2A514C1B">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78994677">
            <w:pPr>
              <w:topLinePunct/>
              <w:adjustRightInd w:val="0"/>
              <w:snapToGrid w:val="0"/>
              <w:jc w:val="center"/>
              <w:textAlignment w:val="center"/>
              <w:rPr>
                <w:rFonts w:eastAsia="仿宋"/>
                <w:color w:val="000000"/>
                <w:sz w:val="24"/>
              </w:rPr>
            </w:pPr>
            <w:r>
              <w:rPr>
                <w:rFonts w:eastAsia="仿宋"/>
                <w:color w:val="000000"/>
                <w:kern w:val="0"/>
                <w:sz w:val="24"/>
                <w:lang w:bidi="ar"/>
              </w:rPr>
              <w:t>213</w:t>
            </w:r>
          </w:p>
        </w:tc>
        <w:tc>
          <w:tcPr>
            <w:tcW w:w="838" w:type="pct"/>
            <w:tcBorders>
              <w:top w:val="single" w:color="000000" w:sz="4" w:space="0"/>
              <w:left w:val="single" w:color="000000" w:sz="4" w:space="0"/>
              <w:bottom w:val="single" w:color="000000" w:sz="4" w:space="0"/>
              <w:right w:val="single" w:color="000000" w:sz="4" w:space="0"/>
            </w:tcBorders>
            <w:vAlign w:val="center"/>
          </w:tcPr>
          <w:p w14:paraId="34E49F17">
            <w:pPr>
              <w:topLinePunct/>
              <w:adjustRightInd w:val="0"/>
              <w:snapToGrid w:val="0"/>
              <w:textAlignment w:val="center"/>
              <w:rPr>
                <w:rFonts w:eastAsia="仿宋"/>
                <w:color w:val="000000"/>
                <w:sz w:val="24"/>
              </w:rPr>
            </w:pPr>
            <w:r>
              <w:rPr>
                <w:rFonts w:eastAsia="仿宋"/>
                <w:color w:val="000000"/>
                <w:kern w:val="0"/>
                <w:sz w:val="24"/>
                <w:lang w:bidi="ar"/>
              </w:rPr>
              <w:t>对存在粉尘爆炸危险的工贸企业除尘系统采用重力沉降室除尘，或者采用干式巷道式构筑物作为除尘风道的行政处罚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5893AF1C">
            <w:pPr>
              <w:topLinePunct/>
              <w:adjustRightInd w:val="0"/>
              <w:snapToGrid w:val="0"/>
              <w:jc w:val="left"/>
              <w:textAlignment w:val="center"/>
              <w:rPr>
                <w:rFonts w:eastAsia="仿宋"/>
                <w:color w:val="000000"/>
                <w:sz w:val="24"/>
              </w:rPr>
            </w:pPr>
            <w:r>
              <w:rPr>
                <w:rFonts w:eastAsia="仿宋"/>
                <w:color w:val="000000"/>
                <w:kern w:val="0"/>
                <w:sz w:val="24"/>
                <w:lang w:bidi="ar"/>
              </w:rPr>
              <w:t>1.《工贸企业重大事故隐患判定标准》</w:t>
            </w:r>
            <w:r>
              <w:rPr>
                <w:rFonts w:eastAsia="仿宋"/>
                <w:color w:val="000000"/>
                <w:kern w:val="0"/>
                <w:sz w:val="24"/>
                <w:lang w:bidi="ar"/>
              </w:rPr>
              <w:br w:type="textWrapping"/>
            </w:r>
            <w:r>
              <w:rPr>
                <w:rFonts w:eastAsia="仿宋"/>
                <w:color w:val="000000"/>
                <w:kern w:val="0"/>
                <w:sz w:val="24"/>
                <w:lang w:bidi="ar"/>
              </w:rPr>
              <w:t>第十一条  存在粉尘爆炸危险的工贸企业有下列情形之一的，应当判定为重大事故隐患：</w:t>
            </w:r>
            <w:r>
              <w:rPr>
                <w:rFonts w:eastAsia="仿宋"/>
                <w:color w:val="000000"/>
                <w:kern w:val="0"/>
                <w:sz w:val="24"/>
                <w:lang w:bidi="ar"/>
              </w:rPr>
              <w:br w:type="textWrapping"/>
            </w:r>
            <w:r>
              <w:rPr>
                <w:rFonts w:eastAsia="仿宋"/>
                <w:color w:val="000000"/>
                <w:kern w:val="0"/>
                <w:sz w:val="24"/>
                <w:lang w:bidi="ar"/>
              </w:rPr>
              <w:t>（五）除尘系统采用重力沉降室除尘，或者采用干式巷道式构筑物作为除尘风道的；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7DCDE1B1">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512B2C40">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4826E8A3">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2AB32F3F">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3F01B9E9">
            <w:pPr>
              <w:topLinePunct/>
              <w:adjustRightInd w:val="0"/>
              <w:snapToGrid w:val="0"/>
              <w:jc w:val="center"/>
              <w:textAlignment w:val="center"/>
              <w:rPr>
                <w:rFonts w:eastAsia="仿宋"/>
                <w:color w:val="000000"/>
                <w:sz w:val="24"/>
              </w:rPr>
            </w:pPr>
            <w:r>
              <w:rPr>
                <w:rFonts w:eastAsia="仿宋"/>
                <w:color w:val="000000"/>
                <w:kern w:val="0"/>
                <w:sz w:val="24"/>
                <w:lang w:bidi="ar"/>
              </w:rPr>
              <w:t>214</w:t>
            </w:r>
          </w:p>
        </w:tc>
        <w:tc>
          <w:tcPr>
            <w:tcW w:w="838" w:type="pct"/>
            <w:tcBorders>
              <w:top w:val="single" w:color="000000" w:sz="4" w:space="0"/>
              <w:left w:val="single" w:color="000000" w:sz="4" w:space="0"/>
              <w:bottom w:val="single" w:color="000000" w:sz="4" w:space="0"/>
              <w:right w:val="single" w:color="000000" w:sz="4" w:space="0"/>
            </w:tcBorders>
            <w:vAlign w:val="center"/>
          </w:tcPr>
          <w:p w14:paraId="479B6712">
            <w:pPr>
              <w:topLinePunct/>
              <w:adjustRightInd w:val="0"/>
              <w:snapToGrid w:val="0"/>
              <w:textAlignment w:val="center"/>
              <w:rPr>
                <w:rFonts w:eastAsia="仿宋"/>
                <w:color w:val="000000"/>
                <w:sz w:val="24"/>
              </w:rPr>
            </w:pPr>
            <w:r>
              <w:rPr>
                <w:rFonts w:eastAsia="仿宋"/>
                <w:color w:val="000000"/>
                <w:kern w:val="0"/>
                <w:sz w:val="24"/>
                <w:lang w:bidi="ar"/>
              </w:rPr>
              <w:t>对存在粉尘爆炸危险的工贸企业铝镁等金属粉尘、木质粉尘的干式除尘系统未设置锁气卸灰装置的行政处罚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1D6D8E35">
            <w:pPr>
              <w:topLinePunct/>
              <w:adjustRightInd w:val="0"/>
              <w:snapToGrid w:val="0"/>
              <w:jc w:val="left"/>
              <w:textAlignment w:val="center"/>
              <w:rPr>
                <w:rFonts w:eastAsia="仿宋"/>
                <w:color w:val="000000"/>
                <w:sz w:val="24"/>
              </w:rPr>
            </w:pPr>
            <w:r>
              <w:rPr>
                <w:rFonts w:eastAsia="仿宋"/>
                <w:color w:val="000000"/>
                <w:kern w:val="0"/>
                <w:sz w:val="24"/>
                <w:lang w:bidi="ar"/>
              </w:rPr>
              <w:t>1.《工贸企业重大事故隐患判定标准》</w:t>
            </w:r>
            <w:r>
              <w:rPr>
                <w:rFonts w:eastAsia="仿宋"/>
                <w:color w:val="000000"/>
                <w:kern w:val="0"/>
                <w:sz w:val="24"/>
                <w:lang w:bidi="ar"/>
              </w:rPr>
              <w:br w:type="textWrapping"/>
            </w:r>
            <w:r>
              <w:rPr>
                <w:rFonts w:eastAsia="仿宋"/>
                <w:color w:val="000000"/>
                <w:kern w:val="0"/>
                <w:sz w:val="24"/>
                <w:lang w:bidi="ar"/>
              </w:rPr>
              <w:t>第十一条  存在粉尘爆炸危险的工贸企业有下列情形之一的，应当判定为重大事故隐患：</w:t>
            </w:r>
            <w:r>
              <w:rPr>
                <w:rFonts w:eastAsia="仿宋"/>
                <w:color w:val="000000"/>
                <w:kern w:val="0"/>
                <w:sz w:val="24"/>
                <w:lang w:bidi="ar"/>
              </w:rPr>
              <w:br w:type="textWrapping"/>
            </w:r>
            <w:r>
              <w:rPr>
                <w:rFonts w:eastAsia="仿宋"/>
                <w:color w:val="000000"/>
                <w:kern w:val="0"/>
                <w:sz w:val="24"/>
                <w:lang w:bidi="ar"/>
              </w:rPr>
              <w:t>（六）铝镁等金属粉尘、木质粉尘的干式除尘系统未设置锁气卸灰装置的；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第九十九条第二项  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二）安全设备的安装、使用、检测、改造和报废不符合国家标准或者行业标准的。</w:t>
            </w:r>
          </w:p>
        </w:tc>
        <w:tc>
          <w:tcPr>
            <w:tcW w:w="476" w:type="pct"/>
            <w:tcBorders>
              <w:top w:val="single" w:color="000000" w:sz="4" w:space="0"/>
              <w:left w:val="single" w:color="000000" w:sz="4" w:space="0"/>
              <w:bottom w:val="single" w:color="000000" w:sz="4" w:space="0"/>
              <w:right w:val="single" w:color="000000" w:sz="4" w:space="0"/>
            </w:tcBorders>
            <w:vAlign w:val="center"/>
          </w:tcPr>
          <w:p w14:paraId="67AB5FC8">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7F71B91A">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63100AF0">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0E9E6501">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14BB0C6F">
            <w:pPr>
              <w:topLinePunct/>
              <w:adjustRightInd w:val="0"/>
              <w:snapToGrid w:val="0"/>
              <w:jc w:val="center"/>
              <w:textAlignment w:val="center"/>
              <w:rPr>
                <w:rFonts w:eastAsia="仿宋"/>
                <w:color w:val="000000"/>
                <w:sz w:val="24"/>
              </w:rPr>
            </w:pPr>
            <w:r>
              <w:rPr>
                <w:rFonts w:eastAsia="仿宋"/>
                <w:color w:val="000000"/>
                <w:kern w:val="0"/>
                <w:sz w:val="24"/>
                <w:lang w:bidi="ar"/>
              </w:rPr>
              <w:t>215</w:t>
            </w:r>
          </w:p>
        </w:tc>
        <w:tc>
          <w:tcPr>
            <w:tcW w:w="838" w:type="pct"/>
            <w:tcBorders>
              <w:top w:val="single" w:color="000000" w:sz="4" w:space="0"/>
              <w:left w:val="single" w:color="000000" w:sz="4" w:space="0"/>
              <w:bottom w:val="single" w:color="000000" w:sz="4" w:space="0"/>
              <w:right w:val="single" w:color="000000" w:sz="4" w:space="0"/>
            </w:tcBorders>
            <w:vAlign w:val="center"/>
          </w:tcPr>
          <w:p w14:paraId="322C5209">
            <w:pPr>
              <w:topLinePunct/>
              <w:adjustRightInd w:val="0"/>
              <w:snapToGrid w:val="0"/>
              <w:textAlignment w:val="center"/>
              <w:rPr>
                <w:rFonts w:eastAsia="仿宋"/>
                <w:color w:val="000000"/>
                <w:sz w:val="24"/>
              </w:rPr>
            </w:pPr>
            <w:r>
              <w:rPr>
                <w:rFonts w:eastAsia="仿宋"/>
                <w:color w:val="000000"/>
                <w:kern w:val="0"/>
                <w:sz w:val="24"/>
                <w:lang w:bidi="ar"/>
              </w:rPr>
              <w:t>对存在粉尘爆炸危险的工贸企业未按规定安装使用监测预警信息系统等行为的行政处罚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14E9B53B">
            <w:pPr>
              <w:topLinePunct/>
              <w:adjustRightInd w:val="0"/>
              <w:snapToGrid w:val="0"/>
              <w:jc w:val="left"/>
              <w:textAlignment w:val="center"/>
              <w:rPr>
                <w:rFonts w:eastAsia="仿宋"/>
                <w:color w:val="000000"/>
                <w:sz w:val="24"/>
              </w:rPr>
            </w:pPr>
            <w:r>
              <w:rPr>
                <w:rFonts w:eastAsia="仿宋"/>
                <w:color w:val="000000"/>
                <w:kern w:val="0"/>
                <w:sz w:val="24"/>
                <w:lang w:bidi="ar"/>
              </w:rPr>
              <w:t>1.《工贸企业粉尘防爆安全规定》</w:t>
            </w:r>
            <w:r>
              <w:rPr>
                <w:rFonts w:eastAsia="仿宋"/>
                <w:color w:val="000000"/>
                <w:kern w:val="0"/>
                <w:sz w:val="24"/>
                <w:lang w:bidi="ar"/>
              </w:rPr>
              <w:br w:type="textWrapping"/>
            </w:r>
            <w:r>
              <w:rPr>
                <w:rFonts w:eastAsia="仿宋"/>
                <w:color w:val="000000"/>
                <w:kern w:val="0"/>
                <w:sz w:val="24"/>
                <w:lang w:bidi="ar"/>
              </w:rPr>
              <w:t>第十五条第二款  采用干式除尘系统的粉尘涉爆企业应当按照《粉尘防爆安全规程》等有关国家标准或者行业标准规定，结合工艺实际情况，安装使用锁气卸灰、火花探测熄灭、风压差监测等装置，以及相关安全设备的监测预警信息系统，加强对可能存在点燃源和粉尘云的粉尘爆炸危险场所的实时监控。铝镁等金属粉尘湿式除尘系统应当安装与打磨抛光设备联锁的液位、流速监测报警装置，并保持作业场所和除尘器本体良好通风，防止氢气积聚，及时规范清理沉淀的粉尘泥浆。</w:t>
            </w:r>
            <w:r>
              <w:rPr>
                <w:rFonts w:eastAsia="仿宋"/>
                <w:color w:val="000000"/>
                <w:kern w:val="0"/>
                <w:sz w:val="24"/>
                <w:lang w:bidi="ar"/>
              </w:rPr>
              <w:br w:type="textWrapping"/>
            </w:r>
            <w:r>
              <w:rPr>
                <w:rFonts w:eastAsia="仿宋"/>
                <w:color w:val="000000"/>
                <w:kern w:val="0"/>
                <w:sz w:val="24"/>
                <w:lang w:bidi="ar"/>
              </w:rPr>
              <w:t>第二十九条  粉尘涉爆企业违反本规定第十四条、第十五条、第十六条、第十八条、第十九条的规定，同时构成事故隐患，未采取措施消除的，依照《中华人民共和国安全生产法》有关规定，由负责粉尘涉爆企业安全监管的部门责令立即消除或者限期消除，处5万元以下的罚款；企业拒不执行的，责令停产停业整顿，对其直接负责的主管人员和其他直接责任人员处5万元以上10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59523D64">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14F53791">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6298B5FD">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4747DD92">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3006D50A">
            <w:pPr>
              <w:topLinePunct/>
              <w:adjustRightInd w:val="0"/>
              <w:snapToGrid w:val="0"/>
              <w:jc w:val="center"/>
              <w:textAlignment w:val="center"/>
              <w:rPr>
                <w:rFonts w:eastAsia="仿宋"/>
                <w:color w:val="000000"/>
                <w:sz w:val="24"/>
              </w:rPr>
            </w:pPr>
            <w:r>
              <w:rPr>
                <w:rFonts w:eastAsia="仿宋"/>
                <w:color w:val="000000"/>
                <w:kern w:val="0"/>
                <w:sz w:val="24"/>
                <w:lang w:bidi="ar"/>
              </w:rPr>
              <w:t>216</w:t>
            </w:r>
          </w:p>
        </w:tc>
        <w:tc>
          <w:tcPr>
            <w:tcW w:w="838" w:type="pct"/>
            <w:tcBorders>
              <w:top w:val="single" w:color="000000" w:sz="4" w:space="0"/>
              <w:left w:val="single" w:color="000000" w:sz="4" w:space="0"/>
              <w:bottom w:val="single" w:color="000000" w:sz="4" w:space="0"/>
              <w:right w:val="single" w:color="000000" w:sz="4" w:space="0"/>
            </w:tcBorders>
            <w:vAlign w:val="center"/>
          </w:tcPr>
          <w:p w14:paraId="0247B846">
            <w:pPr>
              <w:topLinePunct/>
              <w:adjustRightInd w:val="0"/>
              <w:snapToGrid w:val="0"/>
              <w:textAlignment w:val="center"/>
              <w:rPr>
                <w:rFonts w:eastAsia="仿宋"/>
                <w:color w:val="000000"/>
                <w:sz w:val="24"/>
              </w:rPr>
            </w:pPr>
            <w:r>
              <w:rPr>
                <w:rFonts w:eastAsia="仿宋"/>
                <w:color w:val="000000"/>
                <w:kern w:val="0"/>
                <w:sz w:val="24"/>
                <w:lang w:bidi="ar"/>
              </w:rPr>
              <w:t>对存在粉尘爆炸危险的工贸企业除尘器、收尘仓等划分为20区的粉尘爆炸危险场所电气设备不符合防爆要求的行政处罚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4BBCC429">
            <w:pPr>
              <w:topLinePunct/>
              <w:adjustRightInd w:val="0"/>
              <w:snapToGrid w:val="0"/>
              <w:jc w:val="left"/>
              <w:textAlignment w:val="center"/>
              <w:rPr>
                <w:rFonts w:eastAsia="仿宋"/>
                <w:color w:val="000000"/>
                <w:sz w:val="24"/>
              </w:rPr>
            </w:pPr>
            <w:r>
              <w:rPr>
                <w:rFonts w:eastAsia="仿宋"/>
                <w:color w:val="000000"/>
                <w:kern w:val="0"/>
                <w:sz w:val="24"/>
                <w:lang w:bidi="ar"/>
              </w:rPr>
              <w:t>1.《工贸企业重大事故隐患判定标准》</w:t>
            </w:r>
            <w:r>
              <w:rPr>
                <w:rFonts w:eastAsia="仿宋"/>
                <w:color w:val="000000"/>
                <w:kern w:val="0"/>
                <w:sz w:val="24"/>
                <w:lang w:bidi="ar"/>
              </w:rPr>
              <w:br w:type="textWrapping"/>
            </w:r>
            <w:r>
              <w:rPr>
                <w:rFonts w:eastAsia="仿宋"/>
                <w:color w:val="000000"/>
                <w:kern w:val="0"/>
                <w:sz w:val="24"/>
                <w:lang w:bidi="ar"/>
              </w:rPr>
              <w:t>第十一条  存在粉尘爆炸危险的工贸企业有下列情形之一的，应当判定为重大事故隐患：</w:t>
            </w:r>
            <w:r>
              <w:rPr>
                <w:rFonts w:eastAsia="仿宋"/>
                <w:color w:val="000000"/>
                <w:kern w:val="0"/>
                <w:sz w:val="24"/>
                <w:lang w:bidi="ar"/>
              </w:rPr>
              <w:br w:type="textWrapping"/>
            </w:r>
            <w:r>
              <w:rPr>
                <w:rFonts w:eastAsia="仿宋"/>
                <w:color w:val="000000"/>
                <w:kern w:val="0"/>
                <w:sz w:val="24"/>
                <w:lang w:bidi="ar"/>
              </w:rPr>
              <w:t>（七）除尘器、收尘仓等划分为20区的粉尘爆炸危险场所电气设备不符合防爆要求的；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第九十九条第二项  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二）安全设备的安装、使用、检测、改造和报废不符合国家标准或者行业标准的。</w:t>
            </w:r>
          </w:p>
        </w:tc>
        <w:tc>
          <w:tcPr>
            <w:tcW w:w="476" w:type="pct"/>
            <w:tcBorders>
              <w:top w:val="single" w:color="000000" w:sz="4" w:space="0"/>
              <w:left w:val="single" w:color="000000" w:sz="4" w:space="0"/>
              <w:bottom w:val="single" w:color="000000" w:sz="4" w:space="0"/>
              <w:right w:val="single" w:color="000000" w:sz="4" w:space="0"/>
            </w:tcBorders>
            <w:vAlign w:val="center"/>
          </w:tcPr>
          <w:p w14:paraId="1402F2AA">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73A7C244">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6BFBCA0B">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56DC1001">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61ED07B0">
            <w:pPr>
              <w:topLinePunct/>
              <w:adjustRightInd w:val="0"/>
              <w:snapToGrid w:val="0"/>
              <w:jc w:val="center"/>
              <w:textAlignment w:val="center"/>
              <w:rPr>
                <w:rFonts w:eastAsia="仿宋"/>
                <w:color w:val="000000"/>
                <w:sz w:val="24"/>
              </w:rPr>
            </w:pPr>
            <w:r>
              <w:rPr>
                <w:rFonts w:eastAsia="仿宋"/>
                <w:color w:val="000000"/>
                <w:kern w:val="0"/>
                <w:sz w:val="24"/>
                <w:lang w:bidi="ar"/>
              </w:rPr>
              <w:t>217</w:t>
            </w:r>
          </w:p>
        </w:tc>
        <w:tc>
          <w:tcPr>
            <w:tcW w:w="838" w:type="pct"/>
            <w:tcBorders>
              <w:top w:val="single" w:color="000000" w:sz="4" w:space="0"/>
              <w:left w:val="single" w:color="000000" w:sz="4" w:space="0"/>
              <w:bottom w:val="single" w:color="000000" w:sz="4" w:space="0"/>
              <w:right w:val="single" w:color="000000" w:sz="4" w:space="0"/>
            </w:tcBorders>
            <w:vAlign w:val="center"/>
          </w:tcPr>
          <w:p w14:paraId="60DD761F">
            <w:pPr>
              <w:topLinePunct/>
              <w:adjustRightInd w:val="0"/>
              <w:snapToGrid w:val="0"/>
              <w:textAlignment w:val="center"/>
              <w:rPr>
                <w:rFonts w:eastAsia="仿宋"/>
                <w:color w:val="000000"/>
                <w:sz w:val="24"/>
              </w:rPr>
            </w:pPr>
            <w:r>
              <w:rPr>
                <w:rFonts w:eastAsia="仿宋"/>
                <w:color w:val="000000"/>
                <w:kern w:val="0"/>
                <w:sz w:val="24"/>
                <w:lang w:bidi="ar"/>
              </w:rPr>
              <w:t>对存在粉尘爆炸危险的工贸企业在粉碎、研磨、造粒等易产生机械点燃源的工艺设备前，未设置铁、石等杂物去除装置，或者木制品加工企业与砂光机连接的风管未设置火花探测消除装置的行政处罚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0CE1B6AF">
            <w:pPr>
              <w:topLinePunct/>
              <w:adjustRightInd w:val="0"/>
              <w:snapToGrid w:val="0"/>
              <w:jc w:val="left"/>
              <w:textAlignment w:val="center"/>
              <w:rPr>
                <w:rFonts w:eastAsia="仿宋"/>
                <w:color w:val="000000"/>
                <w:sz w:val="24"/>
              </w:rPr>
            </w:pPr>
            <w:r>
              <w:rPr>
                <w:rFonts w:eastAsia="仿宋"/>
                <w:color w:val="000000"/>
                <w:kern w:val="0"/>
                <w:sz w:val="24"/>
                <w:lang w:bidi="ar"/>
              </w:rPr>
              <w:t>1.《工贸企业重大事故隐患判定标准》</w:t>
            </w:r>
            <w:r>
              <w:rPr>
                <w:rFonts w:eastAsia="仿宋"/>
                <w:color w:val="000000"/>
                <w:kern w:val="0"/>
                <w:sz w:val="24"/>
                <w:lang w:bidi="ar"/>
              </w:rPr>
              <w:br w:type="textWrapping"/>
            </w:r>
            <w:r>
              <w:rPr>
                <w:rFonts w:eastAsia="仿宋"/>
                <w:color w:val="000000"/>
                <w:kern w:val="0"/>
                <w:sz w:val="24"/>
                <w:lang w:bidi="ar"/>
              </w:rPr>
              <w:t>第十一条  存在粉尘爆炸危险的工贸企业有下列情形之一的，应当判定为重大事故隐患：</w:t>
            </w:r>
            <w:r>
              <w:rPr>
                <w:rFonts w:eastAsia="仿宋"/>
                <w:color w:val="000000"/>
                <w:kern w:val="0"/>
                <w:sz w:val="24"/>
                <w:lang w:bidi="ar"/>
              </w:rPr>
              <w:br w:type="textWrapping"/>
            </w:r>
            <w:r>
              <w:rPr>
                <w:rFonts w:eastAsia="仿宋"/>
                <w:color w:val="000000"/>
                <w:kern w:val="0"/>
                <w:sz w:val="24"/>
                <w:lang w:bidi="ar"/>
              </w:rPr>
              <w:t>（八）粉碎、研磨、造粒等易产生机械点燃源的工艺设备前，未设置铁、石等杂物去除装置，或者木制品加工企业与砂光机连接的风管未设置火花探测消除装置的；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第九十九条第二项  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二）安全设备的安装、使用、检测、改造和报废不符合国家标准或者行业标准的。</w:t>
            </w:r>
          </w:p>
        </w:tc>
        <w:tc>
          <w:tcPr>
            <w:tcW w:w="476" w:type="pct"/>
            <w:tcBorders>
              <w:top w:val="single" w:color="000000" w:sz="4" w:space="0"/>
              <w:left w:val="single" w:color="000000" w:sz="4" w:space="0"/>
              <w:bottom w:val="single" w:color="000000" w:sz="4" w:space="0"/>
              <w:right w:val="single" w:color="000000" w:sz="4" w:space="0"/>
            </w:tcBorders>
            <w:vAlign w:val="center"/>
          </w:tcPr>
          <w:p w14:paraId="50AA2704">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39F0F113">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2404E523">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17318EB5">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7E22BB16">
            <w:pPr>
              <w:topLinePunct/>
              <w:adjustRightInd w:val="0"/>
              <w:snapToGrid w:val="0"/>
              <w:jc w:val="center"/>
              <w:textAlignment w:val="center"/>
              <w:rPr>
                <w:rFonts w:eastAsia="仿宋"/>
                <w:color w:val="000000"/>
                <w:sz w:val="24"/>
              </w:rPr>
            </w:pPr>
            <w:r>
              <w:rPr>
                <w:rFonts w:eastAsia="仿宋"/>
                <w:color w:val="000000"/>
                <w:kern w:val="0"/>
                <w:sz w:val="24"/>
                <w:lang w:bidi="ar"/>
              </w:rPr>
              <w:t>218</w:t>
            </w:r>
          </w:p>
        </w:tc>
        <w:tc>
          <w:tcPr>
            <w:tcW w:w="838" w:type="pct"/>
            <w:tcBorders>
              <w:top w:val="single" w:color="000000" w:sz="4" w:space="0"/>
              <w:left w:val="single" w:color="000000" w:sz="4" w:space="0"/>
              <w:bottom w:val="single" w:color="000000" w:sz="4" w:space="0"/>
              <w:right w:val="single" w:color="000000" w:sz="4" w:space="0"/>
            </w:tcBorders>
            <w:vAlign w:val="center"/>
          </w:tcPr>
          <w:p w14:paraId="2CAE821C">
            <w:pPr>
              <w:topLinePunct/>
              <w:adjustRightInd w:val="0"/>
              <w:snapToGrid w:val="0"/>
              <w:textAlignment w:val="center"/>
              <w:rPr>
                <w:rFonts w:eastAsia="仿宋"/>
                <w:color w:val="000000"/>
                <w:sz w:val="24"/>
              </w:rPr>
            </w:pPr>
            <w:r>
              <w:rPr>
                <w:rFonts w:eastAsia="仿宋"/>
                <w:color w:val="000000"/>
                <w:kern w:val="0"/>
                <w:sz w:val="24"/>
                <w:lang w:bidi="ar"/>
              </w:rPr>
              <w:t>对存在粉尘爆炸危险的工贸企业遇湿自燃金属粉尘收集、堆放、储存场所未采取通风等防止氢气积聚措施，或者干式收集、堆放、储存场所未采取防水、防潮措施的行政处罚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64B99B8C">
            <w:pPr>
              <w:topLinePunct/>
              <w:adjustRightInd w:val="0"/>
              <w:snapToGrid w:val="0"/>
              <w:jc w:val="left"/>
              <w:textAlignment w:val="center"/>
              <w:rPr>
                <w:rFonts w:eastAsia="仿宋"/>
                <w:color w:val="000000"/>
                <w:sz w:val="24"/>
              </w:rPr>
            </w:pPr>
            <w:r>
              <w:rPr>
                <w:rFonts w:eastAsia="仿宋"/>
                <w:color w:val="000000"/>
                <w:kern w:val="0"/>
                <w:sz w:val="24"/>
                <w:lang w:bidi="ar"/>
              </w:rPr>
              <w:t>1.《工贸企业重大事故隐患判定标准》</w:t>
            </w:r>
            <w:r>
              <w:rPr>
                <w:rFonts w:eastAsia="仿宋"/>
                <w:color w:val="000000"/>
                <w:kern w:val="0"/>
                <w:sz w:val="24"/>
                <w:lang w:bidi="ar"/>
              </w:rPr>
              <w:br w:type="textWrapping"/>
            </w:r>
            <w:r>
              <w:rPr>
                <w:rFonts w:eastAsia="仿宋"/>
                <w:color w:val="000000"/>
                <w:kern w:val="0"/>
                <w:sz w:val="24"/>
                <w:lang w:bidi="ar"/>
              </w:rPr>
              <w:t>第十一条  存在粉尘爆炸危险的工贸企业有下列情形之一的，应当判定为重大事故隐患：</w:t>
            </w:r>
            <w:r>
              <w:rPr>
                <w:rFonts w:eastAsia="仿宋"/>
                <w:color w:val="000000"/>
                <w:kern w:val="0"/>
                <w:sz w:val="24"/>
                <w:lang w:bidi="ar"/>
              </w:rPr>
              <w:br w:type="textWrapping"/>
            </w:r>
            <w:r>
              <w:rPr>
                <w:rFonts w:eastAsia="仿宋"/>
                <w:color w:val="000000"/>
                <w:kern w:val="0"/>
                <w:sz w:val="24"/>
                <w:lang w:bidi="ar"/>
              </w:rPr>
              <w:t>（九）遇湿自燃金属粉尘收集、堆放、储存场所未采取通风等防止氢气积聚措施，或者干式收集、堆放、储存场所未采取防水、防潮措施的；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r>
              <w:rPr>
                <w:rFonts w:eastAsia="仿宋"/>
                <w:color w:val="000000"/>
                <w:kern w:val="0"/>
                <w:sz w:val="24"/>
                <w:lang w:bidi="ar"/>
              </w:rPr>
              <w:br w:type="textWrapping"/>
            </w:r>
            <w:r>
              <w:rPr>
                <w:rFonts w:eastAsia="仿宋"/>
                <w:color w:val="000000"/>
                <w:kern w:val="0"/>
                <w:sz w:val="24"/>
                <w:lang w:bidi="ar"/>
              </w:rPr>
              <w:t>3.《工贸企业粉尘防爆安全规定》</w:t>
            </w:r>
            <w:r>
              <w:rPr>
                <w:rFonts w:eastAsia="仿宋"/>
                <w:color w:val="000000"/>
                <w:kern w:val="0"/>
                <w:sz w:val="24"/>
                <w:lang w:bidi="ar"/>
              </w:rPr>
              <w:br w:type="textWrapping"/>
            </w:r>
            <w:r>
              <w:rPr>
                <w:rFonts w:eastAsia="仿宋"/>
                <w:color w:val="000000"/>
                <w:kern w:val="0"/>
                <w:sz w:val="24"/>
                <w:lang w:bidi="ar"/>
              </w:rPr>
              <w:t>第十八条第二款  铝镁等金属粉尘和镁合金废屑的收集、贮存等处置环节，应当避免粉尘废屑大量堆积或者装袋后多层堆垛码放；需要临时存放的，应当设置相对独立的暂存场所，远离作业现场等人员密集场所，并采取防水防潮、通风、氢气监测等必要的防火防爆措施。含水镁合金废屑应当优先采用机械压块处理方式，镁合金粉尘应当优先采用大量水浸泡方式暂存。</w:t>
            </w:r>
            <w:r>
              <w:rPr>
                <w:rFonts w:eastAsia="仿宋"/>
                <w:color w:val="000000"/>
                <w:kern w:val="0"/>
                <w:sz w:val="24"/>
                <w:lang w:bidi="ar"/>
              </w:rPr>
              <w:br w:type="textWrapping"/>
            </w:r>
            <w:r>
              <w:rPr>
                <w:rFonts w:eastAsia="仿宋"/>
                <w:color w:val="000000"/>
                <w:kern w:val="0"/>
                <w:sz w:val="24"/>
                <w:lang w:bidi="ar"/>
              </w:rPr>
              <w:t>第二十九条  粉尘涉爆企业违反本规定第十四条、第十五条、第十六条、第十八条、第十九条的规定，同时构成事故隐患，未采取措施消除的，依照《中华人民共和国安全生产法》有关规定，由负责粉尘涉爆企业安全监管的部门责令立即消除或者限期消除，处5万元以下的罚款；企业拒不执行的，责令停产停业整顿，对其直接负责的主管人员和其他直接责任人员处5万元以上10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20C8193D">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5F5F4E52">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252B499D">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24B3563D">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3B5263A7">
            <w:pPr>
              <w:topLinePunct/>
              <w:adjustRightInd w:val="0"/>
              <w:snapToGrid w:val="0"/>
              <w:jc w:val="center"/>
              <w:textAlignment w:val="center"/>
              <w:rPr>
                <w:rFonts w:eastAsia="仿宋"/>
                <w:color w:val="000000"/>
                <w:sz w:val="24"/>
              </w:rPr>
            </w:pPr>
            <w:r>
              <w:rPr>
                <w:rFonts w:eastAsia="仿宋"/>
                <w:color w:val="000000"/>
                <w:kern w:val="0"/>
                <w:sz w:val="24"/>
                <w:lang w:bidi="ar"/>
              </w:rPr>
              <w:t>219</w:t>
            </w:r>
          </w:p>
        </w:tc>
        <w:tc>
          <w:tcPr>
            <w:tcW w:w="838" w:type="pct"/>
            <w:tcBorders>
              <w:top w:val="single" w:color="000000" w:sz="4" w:space="0"/>
              <w:left w:val="single" w:color="000000" w:sz="4" w:space="0"/>
              <w:bottom w:val="single" w:color="000000" w:sz="4" w:space="0"/>
              <w:right w:val="single" w:color="000000" w:sz="4" w:space="0"/>
            </w:tcBorders>
            <w:vAlign w:val="center"/>
          </w:tcPr>
          <w:p w14:paraId="7DAB7D69">
            <w:pPr>
              <w:topLinePunct/>
              <w:adjustRightInd w:val="0"/>
              <w:snapToGrid w:val="0"/>
              <w:textAlignment w:val="center"/>
              <w:rPr>
                <w:rFonts w:eastAsia="仿宋"/>
                <w:color w:val="000000"/>
                <w:sz w:val="24"/>
              </w:rPr>
            </w:pPr>
            <w:r>
              <w:rPr>
                <w:rFonts w:eastAsia="仿宋"/>
                <w:color w:val="000000"/>
                <w:kern w:val="0"/>
                <w:sz w:val="24"/>
                <w:lang w:bidi="ar"/>
              </w:rPr>
              <w:t>对存在粉尘爆炸危险的工贸企业未落实粉尘清理制度，造成作业现场积尘严重的行政处罚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071D252F">
            <w:pPr>
              <w:topLinePunct/>
              <w:adjustRightInd w:val="0"/>
              <w:snapToGrid w:val="0"/>
              <w:jc w:val="left"/>
              <w:textAlignment w:val="center"/>
              <w:rPr>
                <w:rFonts w:eastAsia="仿宋"/>
                <w:color w:val="000000"/>
                <w:sz w:val="24"/>
              </w:rPr>
            </w:pPr>
            <w:r>
              <w:rPr>
                <w:rFonts w:eastAsia="仿宋"/>
                <w:color w:val="000000"/>
                <w:kern w:val="0"/>
                <w:sz w:val="24"/>
                <w:lang w:bidi="ar"/>
              </w:rPr>
              <w:t>1.《工贸企业重大事故隐患判定标准》</w:t>
            </w:r>
            <w:r>
              <w:rPr>
                <w:rFonts w:eastAsia="仿宋"/>
                <w:color w:val="000000"/>
                <w:kern w:val="0"/>
                <w:sz w:val="24"/>
                <w:lang w:bidi="ar"/>
              </w:rPr>
              <w:br w:type="textWrapping"/>
            </w:r>
            <w:r>
              <w:rPr>
                <w:rFonts w:eastAsia="仿宋"/>
                <w:color w:val="000000"/>
                <w:kern w:val="0"/>
                <w:sz w:val="24"/>
                <w:lang w:bidi="ar"/>
              </w:rPr>
              <w:t>第十一条  存在粉尘爆炸危险的工贸企业有下列情形之一的，应当判定为重大事故隐患：</w:t>
            </w:r>
            <w:r>
              <w:rPr>
                <w:rFonts w:eastAsia="仿宋"/>
                <w:color w:val="000000"/>
                <w:kern w:val="0"/>
                <w:sz w:val="24"/>
                <w:lang w:bidi="ar"/>
              </w:rPr>
              <w:br w:type="textWrapping"/>
            </w:r>
            <w:r>
              <w:rPr>
                <w:rFonts w:eastAsia="仿宋"/>
                <w:color w:val="000000"/>
                <w:kern w:val="0"/>
                <w:sz w:val="24"/>
                <w:lang w:bidi="ar"/>
              </w:rPr>
              <w:t>（十）未落实粉尘清理制度，造成作业现场积尘严重的。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r>
              <w:rPr>
                <w:rFonts w:eastAsia="仿宋"/>
                <w:color w:val="000000"/>
                <w:kern w:val="0"/>
                <w:sz w:val="24"/>
                <w:lang w:bidi="ar"/>
              </w:rPr>
              <w:br w:type="textWrapping"/>
            </w:r>
            <w:r>
              <w:rPr>
                <w:rFonts w:eastAsia="仿宋"/>
                <w:color w:val="000000"/>
                <w:kern w:val="0"/>
                <w:sz w:val="24"/>
                <w:lang w:bidi="ar"/>
              </w:rPr>
              <w:t>3.《工贸企业粉尘防爆安全规定》</w:t>
            </w:r>
            <w:r>
              <w:rPr>
                <w:rFonts w:eastAsia="仿宋"/>
                <w:color w:val="000000"/>
                <w:kern w:val="0"/>
                <w:sz w:val="24"/>
                <w:lang w:bidi="ar"/>
              </w:rPr>
              <w:br w:type="textWrapping"/>
            </w:r>
            <w:r>
              <w:rPr>
                <w:rFonts w:eastAsia="仿宋"/>
                <w:color w:val="000000"/>
                <w:kern w:val="0"/>
                <w:sz w:val="24"/>
                <w:lang w:bidi="ar"/>
              </w:rPr>
              <w:t>第十八条第一款  粉尘涉爆企业应当按照《粉尘防爆安全规程》等有关国家标准或者行业标准，制定并严格落实粉尘爆炸危险场所的粉尘清理制度，明确清理范围、清理周期、清理方式和责任人员，并在相关粉尘爆炸危险场所醒目位置张贴。相关责任人员应当定期清理粉尘并如实记录，确保可能积尘的粉尘作业区域和设备设施全面及时规范清理。粉尘作业区域应当保证每班清理。</w:t>
            </w:r>
            <w:r>
              <w:rPr>
                <w:rFonts w:eastAsia="仿宋"/>
                <w:color w:val="000000"/>
                <w:kern w:val="0"/>
                <w:sz w:val="24"/>
                <w:lang w:bidi="ar"/>
              </w:rPr>
              <w:br w:type="textWrapping"/>
            </w:r>
            <w:r>
              <w:rPr>
                <w:rFonts w:eastAsia="仿宋"/>
                <w:color w:val="000000"/>
                <w:kern w:val="0"/>
                <w:sz w:val="24"/>
                <w:lang w:bidi="ar"/>
              </w:rPr>
              <w:t>第二十九条  粉尘涉爆企业违反本规定第十四条、第十五条、第十六条、第十八条、第十九条的规定，同时构成事故隐患，未采取措施消除的，依照《中华人民共和国安全生产法》有关规定，由负责粉尘涉爆企业安全监管的部门责令立即消除或者限期消除，处5万元以下的罚款；企业拒不执行的，责令停产停业整顿，对其直接负责的主管人员和其他直接责任人员处5万元以上10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72783AA5">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7FFD0281">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3C1D26DC">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69454AFF">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3135970D">
            <w:pPr>
              <w:topLinePunct/>
              <w:adjustRightInd w:val="0"/>
              <w:snapToGrid w:val="0"/>
              <w:jc w:val="center"/>
              <w:textAlignment w:val="center"/>
              <w:rPr>
                <w:rFonts w:eastAsia="仿宋"/>
                <w:color w:val="000000"/>
                <w:sz w:val="24"/>
              </w:rPr>
            </w:pPr>
            <w:r>
              <w:rPr>
                <w:rFonts w:eastAsia="仿宋"/>
                <w:color w:val="000000"/>
                <w:kern w:val="0"/>
                <w:sz w:val="24"/>
                <w:lang w:bidi="ar"/>
              </w:rPr>
              <w:t>220</w:t>
            </w:r>
          </w:p>
        </w:tc>
        <w:tc>
          <w:tcPr>
            <w:tcW w:w="838" w:type="pct"/>
            <w:tcBorders>
              <w:top w:val="single" w:color="000000" w:sz="4" w:space="0"/>
              <w:left w:val="single" w:color="000000" w:sz="4" w:space="0"/>
              <w:bottom w:val="single" w:color="000000" w:sz="4" w:space="0"/>
              <w:right w:val="single" w:color="000000" w:sz="4" w:space="0"/>
            </w:tcBorders>
            <w:vAlign w:val="center"/>
          </w:tcPr>
          <w:p w14:paraId="176CEA11">
            <w:pPr>
              <w:topLinePunct/>
              <w:adjustRightInd w:val="0"/>
              <w:snapToGrid w:val="0"/>
              <w:textAlignment w:val="center"/>
              <w:rPr>
                <w:rFonts w:eastAsia="仿宋"/>
                <w:color w:val="000000"/>
                <w:sz w:val="24"/>
              </w:rPr>
            </w:pPr>
            <w:r>
              <w:rPr>
                <w:rFonts w:eastAsia="仿宋"/>
                <w:color w:val="000000"/>
                <w:kern w:val="0"/>
                <w:sz w:val="24"/>
                <w:lang w:bidi="ar"/>
              </w:rPr>
              <w:t>对存在粉尘爆炸危险的工贸企业的粉尘爆炸危险场所设备设施或者除尘系统的检修维修作业未按规定实行专项作业审批等行为的行政处罚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0A445325">
            <w:pPr>
              <w:topLinePunct/>
              <w:adjustRightInd w:val="0"/>
              <w:snapToGrid w:val="0"/>
              <w:jc w:val="left"/>
              <w:textAlignment w:val="center"/>
              <w:rPr>
                <w:rFonts w:eastAsia="仿宋"/>
                <w:color w:val="000000"/>
                <w:sz w:val="24"/>
              </w:rPr>
            </w:pPr>
            <w:r>
              <w:rPr>
                <w:rFonts w:eastAsia="仿宋"/>
                <w:color w:val="000000"/>
                <w:kern w:val="0"/>
                <w:sz w:val="24"/>
                <w:lang w:bidi="ar"/>
              </w:rPr>
              <w:t>1.《工贸企业粉尘防爆安全规定》</w:t>
            </w:r>
            <w:r>
              <w:rPr>
                <w:rFonts w:eastAsia="仿宋"/>
                <w:color w:val="000000"/>
                <w:kern w:val="0"/>
                <w:sz w:val="24"/>
                <w:lang w:bidi="ar"/>
              </w:rPr>
              <w:br w:type="textWrapping"/>
            </w:r>
            <w:r>
              <w:rPr>
                <w:rFonts w:eastAsia="仿宋"/>
                <w:color w:val="000000"/>
                <w:kern w:val="0"/>
                <w:sz w:val="24"/>
                <w:lang w:bidi="ar"/>
              </w:rPr>
              <w:t>第十九条  粉尘涉爆企业对粉尘爆炸危险场所设备设施或者除尘系统的检修维修作业，应当实行专项作业审批。作业前，应当制定专项方案；对存在粉尘沉积的除尘器、管道等设施设备进行动火作业前，应当清理干净内部积尘和作业区域的可燃性粉尘。作业时，生产设备应当处于停止运行状态，检修维修工具应当采用防止产生火花的防爆工具。作业后，应当妥善清理现场，作业点最高温度恢复到常温后方可重新开始生产。</w:t>
            </w:r>
            <w:r>
              <w:rPr>
                <w:rFonts w:eastAsia="仿宋"/>
                <w:color w:val="000000"/>
                <w:kern w:val="0"/>
                <w:sz w:val="24"/>
                <w:lang w:bidi="ar"/>
              </w:rPr>
              <w:br w:type="textWrapping"/>
            </w:r>
            <w:r>
              <w:rPr>
                <w:rFonts w:eastAsia="仿宋"/>
                <w:color w:val="000000"/>
                <w:kern w:val="0"/>
                <w:sz w:val="24"/>
                <w:lang w:bidi="ar"/>
              </w:rPr>
              <w:t>第二十九条  粉尘涉爆企业违反本规定第十四条、第十五条、第十六条、第十八条、第十九条的规定，同时构成事故隐患，未采取措施消除的，依照《中华人民共和国安全生产法》有关规定，由负责粉尘涉爆企业安全监管的部门责令立即消除或者限期消除，处5万元以下的罚款；企业拒不执行的，责令停产停业整顿，对其直接负责的主管人员和其他直接责任人员处5万元以上10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50013EFD">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4490416D">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7F24BA12">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08CB88D0">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5E90A0A3">
            <w:pPr>
              <w:topLinePunct/>
              <w:adjustRightInd w:val="0"/>
              <w:snapToGrid w:val="0"/>
              <w:jc w:val="center"/>
              <w:textAlignment w:val="center"/>
              <w:rPr>
                <w:rFonts w:eastAsia="仿宋"/>
                <w:color w:val="000000"/>
                <w:sz w:val="24"/>
              </w:rPr>
            </w:pPr>
            <w:r>
              <w:rPr>
                <w:rFonts w:eastAsia="仿宋"/>
                <w:color w:val="000000"/>
                <w:kern w:val="0"/>
                <w:sz w:val="24"/>
                <w:lang w:bidi="ar"/>
              </w:rPr>
              <w:t>221</w:t>
            </w:r>
          </w:p>
        </w:tc>
        <w:tc>
          <w:tcPr>
            <w:tcW w:w="838" w:type="pct"/>
            <w:tcBorders>
              <w:top w:val="single" w:color="000000" w:sz="4" w:space="0"/>
              <w:left w:val="single" w:color="000000" w:sz="4" w:space="0"/>
              <w:bottom w:val="single" w:color="000000" w:sz="4" w:space="0"/>
              <w:right w:val="single" w:color="000000" w:sz="4" w:space="0"/>
            </w:tcBorders>
            <w:vAlign w:val="center"/>
          </w:tcPr>
          <w:p w14:paraId="7C32799B">
            <w:pPr>
              <w:topLinePunct/>
              <w:adjustRightInd w:val="0"/>
              <w:snapToGrid w:val="0"/>
              <w:textAlignment w:val="center"/>
              <w:rPr>
                <w:rFonts w:eastAsia="仿宋"/>
                <w:color w:val="000000"/>
                <w:sz w:val="24"/>
              </w:rPr>
            </w:pPr>
            <w:r>
              <w:rPr>
                <w:rFonts w:eastAsia="仿宋"/>
                <w:color w:val="000000"/>
                <w:kern w:val="0"/>
                <w:sz w:val="24"/>
                <w:lang w:bidi="ar"/>
              </w:rPr>
              <w:t>对存在粉尘爆炸危险的工贸企业有新建、改建、扩建工程项目安全设施没有进行粉尘防爆安全设计，或者未按照设计进行施工等行为的行政处罚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10585235">
            <w:pPr>
              <w:topLinePunct/>
              <w:adjustRightInd w:val="0"/>
              <w:snapToGrid w:val="0"/>
              <w:jc w:val="left"/>
              <w:textAlignment w:val="center"/>
              <w:rPr>
                <w:rFonts w:eastAsia="仿宋"/>
                <w:color w:val="000000"/>
                <w:sz w:val="24"/>
              </w:rPr>
            </w:pPr>
            <w:r>
              <w:rPr>
                <w:rFonts w:eastAsia="仿宋"/>
                <w:color w:val="000000"/>
                <w:kern w:val="0"/>
                <w:sz w:val="24"/>
                <w:lang w:bidi="ar"/>
              </w:rPr>
              <w:t>1.《工贸企业粉尘防爆安全规定》</w:t>
            </w:r>
            <w:r>
              <w:rPr>
                <w:rFonts w:eastAsia="仿宋"/>
                <w:color w:val="000000"/>
                <w:kern w:val="0"/>
                <w:sz w:val="24"/>
                <w:lang w:bidi="ar"/>
              </w:rPr>
              <w:br w:type="textWrapping"/>
            </w:r>
            <w:r>
              <w:rPr>
                <w:rFonts w:eastAsia="仿宋"/>
                <w:color w:val="000000"/>
                <w:kern w:val="0"/>
                <w:sz w:val="24"/>
                <w:lang w:bidi="ar"/>
              </w:rPr>
              <w:t>第三十条  粉尘涉爆企业有下列情形之一的，由负责粉尘涉爆企业安全监管的部门责令限期改正，处3万元以下的罚款，对其直接负责的主管人员和其他直接责任人员处1万元以下的罚款：（一）企业新建、改建、扩建工程项目安全设施没有进行粉尘防爆安全设计，或者未按照设计进行施工的；（二）未按照规定建立粉尘防爆安全管理制度或者内容不符合企业实际的；（三）未按照规定辨识评估管控粉尘爆炸安全风险，未建立安全风险清单或者未及时维护相关信息档案的；（四）粉尘防爆安全设备未正常运行的。</w:t>
            </w:r>
          </w:p>
        </w:tc>
        <w:tc>
          <w:tcPr>
            <w:tcW w:w="476" w:type="pct"/>
            <w:tcBorders>
              <w:top w:val="single" w:color="000000" w:sz="4" w:space="0"/>
              <w:left w:val="single" w:color="000000" w:sz="4" w:space="0"/>
              <w:bottom w:val="single" w:color="000000" w:sz="4" w:space="0"/>
              <w:right w:val="single" w:color="000000" w:sz="4" w:space="0"/>
            </w:tcBorders>
            <w:vAlign w:val="center"/>
          </w:tcPr>
          <w:p w14:paraId="6570BBD5">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55255499">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4804AA65">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05B97544">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1B63C124">
            <w:pPr>
              <w:topLinePunct/>
              <w:adjustRightInd w:val="0"/>
              <w:snapToGrid w:val="0"/>
              <w:jc w:val="center"/>
              <w:textAlignment w:val="center"/>
              <w:rPr>
                <w:rFonts w:eastAsia="仿宋"/>
                <w:color w:val="000000"/>
                <w:sz w:val="24"/>
              </w:rPr>
            </w:pPr>
            <w:r>
              <w:rPr>
                <w:rFonts w:eastAsia="仿宋"/>
                <w:color w:val="000000"/>
                <w:kern w:val="0"/>
                <w:sz w:val="24"/>
                <w:lang w:bidi="ar"/>
              </w:rPr>
              <w:t>222</w:t>
            </w:r>
          </w:p>
        </w:tc>
        <w:tc>
          <w:tcPr>
            <w:tcW w:w="838" w:type="pct"/>
            <w:tcBorders>
              <w:top w:val="single" w:color="000000" w:sz="4" w:space="0"/>
              <w:left w:val="single" w:color="000000" w:sz="4" w:space="0"/>
              <w:bottom w:val="single" w:color="000000" w:sz="4" w:space="0"/>
              <w:right w:val="single" w:color="000000" w:sz="4" w:space="0"/>
            </w:tcBorders>
            <w:vAlign w:val="center"/>
          </w:tcPr>
          <w:p w14:paraId="7D98B1DC">
            <w:pPr>
              <w:topLinePunct/>
              <w:adjustRightInd w:val="0"/>
              <w:snapToGrid w:val="0"/>
              <w:textAlignment w:val="center"/>
              <w:rPr>
                <w:rFonts w:eastAsia="仿宋"/>
                <w:color w:val="000000"/>
                <w:sz w:val="24"/>
              </w:rPr>
            </w:pPr>
            <w:r>
              <w:rPr>
                <w:rFonts w:eastAsia="仿宋"/>
                <w:color w:val="000000"/>
                <w:kern w:val="0"/>
                <w:sz w:val="24"/>
                <w:lang w:bidi="ar"/>
              </w:rPr>
              <w:t>对安全生产技术服务机构接受委托开展技术服务工作，出具失实报告、虚假报告的行政处罚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4D588A78">
            <w:pPr>
              <w:topLinePunct/>
              <w:adjustRightInd w:val="0"/>
              <w:snapToGrid w:val="0"/>
              <w:jc w:val="left"/>
              <w:textAlignment w:val="center"/>
              <w:rPr>
                <w:rFonts w:eastAsia="仿宋"/>
                <w:color w:val="000000"/>
                <w:sz w:val="24"/>
              </w:rPr>
            </w:pPr>
            <w:r>
              <w:rPr>
                <w:rFonts w:eastAsia="仿宋"/>
                <w:color w:val="000000"/>
                <w:kern w:val="0"/>
                <w:sz w:val="24"/>
                <w:lang w:bidi="ar"/>
              </w:rPr>
              <w:t>1.《工贸企业粉尘防爆安全规定》</w:t>
            </w:r>
            <w:r>
              <w:rPr>
                <w:rFonts w:eastAsia="仿宋"/>
                <w:color w:val="000000"/>
                <w:kern w:val="0"/>
                <w:sz w:val="24"/>
                <w:lang w:bidi="ar"/>
              </w:rPr>
              <w:br w:type="textWrapping"/>
            </w:r>
            <w:r>
              <w:rPr>
                <w:rFonts w:eastAsia="仿宋"/>
                <w:color w:val="000000"/>
                <w:kern w:val="0"/>
                <w:sz w:val="24"/>
                <w:lang w:bidi="ar"/>
              </w:rPr>
              <w:t>第三十一条  安全生产技术服务机构接受委托开展技术服务工作，出具失实报告的，依照《中华人民共和国安全生产法》有关规定，责令停业整顿，并处3万元以上10万元以下的罚款；给他人造成损害的，依法承担赔偿责任。</w:t>
            </w:r>
            <w:r>
              <w:rPr>
                <w:rFonts w:eastAsia="仿宋"/>
                <w:color w:val="000000"/>
                <w:kern w:val="0"/>
                <w:sz w:val="24"/>
                <w:lang w:bidi="ar"/>
              </w:rPr>
              <w:br w:type="textWrapping"/>
            </w:r>
            <w:r>
              <w:rPr>
                <w:rFonts w:eastAsia="仿宋"/>
                <w:color w:val="000000"/>
                <w:kern w:val="0"/>
                <w:sz w:val="24"/>
                <w:lang w:bidi="ar"/>
              </w:rPr>
              <w:t>安全生产技术服务机构接受委托开展技术服务工作，出具虚假报告的，依照《中华人民共和国安全生产法》有关规定，没收违法所得；违法所得在10万元以上的，并处违法所得2倍以上5倍以下的罚款；没有违法所得或者违法所得不足10万元的，单处或者并处10万元以上20万元以下的罚款；对其直接负责的主管人员和其他直接责任人员处5万元以上10万元以下的罚款；给他人造成损害的，与粉尘涉爆企业承担连带赔偿责任；构成犯罪的，依照刑法有关规定追究刑事责任。</w:t>
            </w:r>
            <w:r>
              <w:rPr>
                <w:rFonts w:eastAsia="仿宋"/>
                <w:color w:val="000000"/>
                <w:kern w:val="0"/>
                <w:sz w:val="24"/>
                <w:lang w:bidi="ar"/>
              </w:rPr>
              <w:br w:type="textWrapping"/>
            </w:r>
            <w:r>
              <w:rPr>
                <w:rFonts w:eastAsia="仿宋"/>
                <w:color w:val="000000"/>
                <w:kern w:val="0"/>
                <w:sz w:val="24"/>
                <w:lang w:bidi="ar"/>
              </w:rPr>
              <w:t>对有前款违法行为的安全生产技术服务机构及其直接责任人员，吊销其相应资质和资格，5年内不得从事安全评价、认证、检测、检验等工作，情节严重的，实行终身行业和职业禁入。</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第九十二条  承担安全评价、认证、检测、检验职责的机构出具失实报告的，责令停业整顿，并处三万元以上十万元以下的罚款；给他人造成损害的，依法承担赔偿责任。</w:t>
            </w:r>
            <w:r>
              <w:rPr>
                <w:rFonts w:eastAsia="仿宋"/>
                <w:color w:val="000000"/>
                <w:kern w:val="0"/>
                <w:sz w:val="24"/>
                <w:lang w:bidi="ar"/>
              </w:rPr>
              <w:br w:type="textWrapping"/>
            </w:r>
            <w:r>
              <w:rPr>
                <w:rFonts w:eastAsia="仿宋"/>
                <w:color w:val="000000"/>
                <w:kern w:val="0"/>
                <w:sz w:val="24"/>
                <w:lang w:bidi="ar"/>
              </w:rPr>
              <w:t>承担安全评价、认证、检测、检验职责的机构租借资质、挂靠、出具虚假报告的，没收违法所得；违法所得在十万元以上的，并处违法所得二倍以上五倍以下的罚款，没有违法所得或者违法所得不足十万元的，单处或者并处十万元以上二十万元以下的罚款；对其直接负责的主管人员和其他直接责任人员处五万元以上十万元以下的罚款；给他人造成损害的，与生产经营单位承担连带赔偿责任；构成犯罪的，依照刑法有关规定追究刑事责任。</w:t>
            </w:r>
            <w:r>
              <w:rPr>
                <w:rFonts w:eastAsia="仿宋"/>
                <w:color w:val="000000"/>
                <w:kern w:val="0"/>
                <w:sz w:val="24"/>
                <w:lang w:bidi="ar"/>
              </w:rPr>
              <w:br w:type="textWrapping"/>
            </w:r>
            <w:r>
              <w:rPr>
                <w:rFonts w:eastAsia="仿宋"/>
                <w:color w:val="000000"/>
                <w:kern w:val="0"/>
                <w:sz w:val="24"/>
                <w:lang w:bidi="ar"/>
              </w:rPr>
              <w:t>对有前款违法行为的机构及其直接责任人员，吊销其相应资质和资格，五年内不得从事安全评价、认证、检测、检验等工作；情节严重的，实行终身行业和职业禁入。</w:t>
            </w:r>
          </w:p>
        </w:tc>
        <w:tc>
          <w:tcPr>
            <w:tcW w:w="476" w:type="pct"/>
            <w:tcBorders>
              <w:top w:val="single" w:color="000000" w:sz="4" w:space="0"/>
              <w:left w:val="single" w:color="000000" w:sz="4" w:space="0"/>
              <w:bottom w:val="single" w:color="000000" w:sz="4" w:space="0"/>
              <w:right w:val="single" w:color="000000" w:sz="4" w:space="0"/>
            </w:tcBorders>
            <w:vAlign w:val="center"/>
          </w:tcPr>
          <w:p w14:paraId="2D407434">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764CF2D8">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44306D60">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3DBC82CD">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4AB4C862">
            <w:pPr>
              <w:topLinePunct/>
              <w:adjustRightInd w:val="0"/>
              <w:snapToGrid w:val="0"/>
              <w:jc w:val="center"/>
              <w:textAlignment w:val="center"/>
              <w:rPr>
                <w:rFonts w:eastAsia="仿宋"/>
                <w:color w:val="000000"/>
                <w:sz w:val="24"/>
              </w:rPr>
            </w:pPr>
            <w:r>
              <w:rPr>
                <w:rFonts w:eastAsia="仿宋"/>
                <w:color w:val="000000"/>
                <w:kern w:val="0"/>
                <w:sz w:val="24"/>
                <w:lang w:bidi="ar"/>
              </w:rPr>
              <w:t>223</w:t>
            </w:r>
          </w:p>
        </w:tc>
        <w:tc>
          <w:tcPr>
            <w:tcW w:w="838" w:type="pct"/>
            <w:tcBorders>
              <w:top w:val="single" w:color="000000" w:sz="4" w:space="0"/>
              <w:left w:val="single" w:color="000000" w:sz="4" w:space="0"/>
              <w:bottom w:val="single" w:color="000000" w:sz="4" w:space="0"/>
              <w:right w:val="single" w:color="000000" w:sz="4" w:space="0"/>
            </w:tcBorders>
            <w:vAlign w:val="center"/>
          </w:tcPr>
          <w:p w14:paraId="35583ED7">
            <w:pPr>
              <w:topLinePunct/>
              <w:adjustRightInd w:val="0"/>
              <w:snapToGrid w:val="0"/>
              <w:textAlignment w:val="center"/>
              <w:rPr>
                <w:rFonts w:eastAsia="仿宋"/>
                <w:color w:val="000000"/>
                <w:sz w:val="24"/>
              </w:rPr>
            </w:pPr>
            <w:r>
              <w:rPr>
                <w:rFonts w:eastAsia="仿宋"/>
                <w:color w:val="000000"/>
                <w:kern w:val="0"/>
                <w:sz w:val="24"/>
                <w:lang w:bidi="ar"/>
              </w:rPr>
              <w:t>对使用液氨制冷的工贸企业包装、分割、产品整理场所的空调系统采用氨直接蒸发制冷的行政处罚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4361D829">
            <w:pPr>
              <w:topLinePunct/>
              <w:adjustRightInd w:val="0"/>
              <w:snapToGrid w:val="0"/>
              <w:jc w:val="left"/>
              <w:textAlignment w:val="center"/>
              <w:rPr>
                <w:rFonts w:eastAsia="仿宋"/>
                <w:color w:val="000000"/>
                <w:sz w:val="24"/>
              </w:rPr>
            </w:pPr>
            <w:r>
              <w:rPr>
                <w:rFonts w:eastAsia="仿宋"/>
                <w:color w:val="000000"/>
                <w:kern w:val="0"/>
                <w:sz w:val="24"/>
                <w:lang w:bidi="ar"/>
              </w:rPr>
              <w:t>1.《工贸企业重大事故隐患判定标准》</w:t>
            </w:r>
            <w:r>
              <w:rPr>
                <w:rFonts w:eastAsia="仿宋"/>
                <w:color w:val="000000"/>
                <w:kern w:val="0"/>
                <w:sz w:val="24"/>
                <w:lang w:bidi="ar"/>
              </w:rPr>
              <w:br w:type="textWrapping"/>
            </w:r>
            <w:r>
              <w:rPr>
                <w:rFonts w:eastAsia="仿宋"/>
                <w:color w:val="000000"/>
                <w:kern w:val="0"/>
                <w:sz w:val="24"/>
                <w:lang w:bidi="ar"/>
              </w:rPr>
              <w:t>第十二条  使用液氨制冷的工贸企业有下列情形之一的，应当判定为重大事故隐患：</w:t>
            </w:r>
            <w:r>
              <w:rPr>
                <w:rFonts w:eastAsia="仿宋"/>
                <w:color w:val="000000"/>
                <w:kern w:val="0"/>
                <w:sz w:val="24"/>
                <w:lang w:bidi="ar"/>
              </w:rPr>
              <w:br w:type="textWrapping"/>
            </w:r>
            <w:r>
              <w:rPr>
                <w:rFonts w:eastAsia="仿宋"/>
                <w:color w:val="000000"/>
                <w:kern w:val="0"/>
                <w:sz w:val="24"/>
                <w:lang w:bidi="ar"/>
              </w:rPr>
              <w:t>（一）包装、分割、产品整理场所的空调系统采用氨直接蒸发制冷的；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36AA42EB">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0C7035B5">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621386A7">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399FC377">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3BDB45C5">
            <w:pPr>
              <w:topLinePunct/>
              <w:adjustRightInd w:val="0"/>
              <w:snapToGrid w:val="0"/>
              <w:jc w:val="center"/>
              <w:textAlignment w:val="center"/>
              <w:rPr>
                <w:rFonts w:eastAsia="仿宋"/>
                <w:color w:val="000000"/>
                <w:sz w:val="24"/>
              </w:rPr>
            </w:pPr>
            <w:r>
              <w:rPr>
                <w:rFonts w:eastAsia="仿宋"/>
                <w:color w:val="000000"/>
                <w:kern w:val="0"/>
                <w:sz w:val="24"/>
                <w:lang w:bidi="ar"/>
              </w:rPr>
              <w:t>224</w:t>
            </w:r>
          </w:p>
        </w:tc>
        <w:tc>
          <w:tcPr>
            <w:tcW w:w="838" w:type="pct"/>
            <w:tcBorders>
              <w:top w:val="single" w:color="000000" w:sz="4" w:space="0"/>
              <w:left w:val="single" w:color="000000" w:sz="4" w:space="0"/>
              <w:bottom w:val="single" w:color="000000" w:sz="4" w:space="0"/>
              <w:right w:val="single" w:color="000000" w:sz="4" w:space="0"/>
            </w:tcBorders>
            <w:vAlign w:val="center"/>
          </w:tcPr>
          <w:p w14:paraId="20EBBBFD">
            <w:pPr>
              <w:topLinePunct/>
              <w:adjustRightInd w:val="0"/>
              <w:snapToGrid w:val="0"/>
              <w:textAlignment w:val="center"/>
              <w:rPr>
                <w:rFonts w:eastAsia="仿宋"/>
                <w:color w:val="000000"/>
                <w:sz w:val="24"/>
              </w:rPr>
            </w:pPr>
            <w:r>
              <w:rPr>
                <w:rFonts w:eastAsia="仿宋"/>
                <w:color w:val="000000"/>
                <w:kern w:val="0"/>
                <w:sz w:val="24"/>
                <w:lang w:bidi="ar"/>
              </w:rPr>
              <w:t>对使用液氨制冷的工贸企业快速冻结装置未设置在单独的作业间内，或者快速冻结装置作业间内作业人员数量超过9人的行政处罚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5277A711">
            <w:pPr>
              <w:topLinePunct/>
              <w:adjustRightInd w:val="0"/>
              <w:snapToGrid w:val="0"/>
              <w:jc w:val="left"/>
              <w:textAlignment w:val="center"/>
              <w:rPr>
                <w:rFonts w:eastAsia="仿宋"/>
                <w:color w:val="000000"/>
                <w:sz w:val="24"/>
              </w:rPr>
            </w:pPr>
            <w:r>
              <w:rPr>
                <w:rFonts w:eastAsia="仿宋"/>
                <w:color w:val="000000"/>
                <w:kern w:val="0"/>
                <w:sz w:val="24"/>
                <w:lang w:bidi="ar"/>
              </w:rPr>
              <w:t>1.《工贸企业重大事故隐患判定标准》</w:t>
            </w:r>
            <w:r>
              <w:rPr>
                <w:rFonts w:eastAsia="仿宋"/>
                <w:color w:val="000000"/>
                <w:kern w:val="0"/>
                <w:sz w:val="24"/>
                <w:lang w:bidi="ar"/>
              </w:rPr>
              <w:br w:type="textWrapping"/>
            </w:r>
            <w:r>
              <w:rPr>
                <w:rFonts w:eastAsia="仿宋"/>
                <w:color w:val="000000"/>
                <w:kern w:val="0"/>
                <w:sz w:val="24"/>
                <w:lang w:bidi="ar"/>
              </w:rPr>
              <w:t>第十二条  使用液氨制冷的工贸企业有下列情形之一的，应当判定为重大事故隐患：</w:t>
            </w:r>
            <w:r>
              <w:rPr>
                <w:rFonts w:eastAsia="仿宋"/>
                <w:color w:val="000000"/>
                <w:kern w:val="0"/>
                <w:sz w:val="24"/>
                <w:lang w:bidi="ar"/>
              </w:rPr>
              <w:br w:type="textWrapping"/>
            </w:r>
            <w:r>
              <w:rPr>
                <w:rFonts w:eastAsia="仿宋"/>
                <w:color w:val="000000"/>
                <w:kern w:val="0"/>
                <w:sz w:val="24"/>
                <w:lang w:bidi="ar"/>
              </w:rPr>
              <w:t>（二）快速冻结装置未设置在单独的作业间内，或者快速冻结装置作业间内作业人员数量超过9人的。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6C8771E2">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01804F92">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724ED951">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354FA4F8">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67C0D7BC">
            <w:pPr>
              <w:topLinePunct/>
              <w:adjustRightInd w:val="0"/>
              <w:snapToGrid w:val="0"/>
              <w:jc w:val="center"/>
              <w:textAlignment w:val="center"/>
              <w:rPr>
                <w:rFonts w:eastAsia="仿宋"/>
                <w:color w:val="000000"/>
                <w:sz w:val="24"/>
              </w:rPr>
            </w:pPr>
            <w:r>
              <w:rPr>
                <w:rFonts w:eastAsia="仿宋"/>
                <w:color w:val="000000"/>
                <w:kern w:val="0"/>
                <w:sz w:val="24"/>
                <w:lang w:bidi="ar"/>
              </w:rPr>
              <w:t>225</w:t>
            </w:r>
          </w:p>
        </w:tc>
        <w:tc>
          <w:tcPr>
            <w:tcW w:w="838" w:type="pct"/>
            <w:tcBorders>
              <w:top w:val="single" w:color="000000" w:sz="4" w:space="0"/>
              <w:left w:val="single" w:color="000000" w:sz="4" w:space="0"/>
              <w:bottom w:val="single" w:color="000000" w:sz="4" w:space="0"/>
              <w:right w:val="single" w:color="000000" w:sz="4" w:space="0"/>
            </w:tcBorders>
            <w:vAlign w:val="center"/>
          </w:tcPr>
          <w:p w14:paraId="141B5972">
            <w:pPr>
              <w:topLinePunct/>
              <w:adjustRightInd w:val="0"/>
              <w:snapToGrid w:val="0"/>
              <w:textAlignment w:val="center"/>
              <w:rPr>
                <w:rFonts w:eastAsia="仿宋"/>
                <w:color w:val="000000"/>
                <w:sz w:val="24"/>
              </w:rPr>
            </w:pPr>
            <w:r>
              <w:rPr>
                <w:rFonts w:eastAsia="仿宋"/>
                <w:color w:val="000000"/>
                <w:kern w:val="0"/>
                <w:sz w:val="24"/>
                <w:lang w:bidi="ar"/>
              </w:rPr>
              <w:t>对存在硫化氢、一氧化碳等中毒风险的有限空间作业的工贸企业未对有限空间进行辨识、建立安全管理台账，并且未设置明显的安全警示标志的行政处罚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50872677">
            <w:pPr>
              <w:topLinePunct/>
              <w:adjustRightInd w:val="0"/>
              <w:snapToGrid w:val="0"/>
              <w:jc w:val="left"/>
              <w:textAlignment w:val="center"/>
              <w:rPr>
                <w:rFonts w:eastAsia="仿宋"/>
                <w:color w:val="000000"/>
                <w:sz w:val="24"/>
              </w:rPr>
            </w:pPr>
            <w:r>
              <w:rPr>
                <w:rFonts w:eastAsia="仿宋"/>
                <w:color w:val="000000"/>
                <w:kern w:val="0"/>
                <w:sz w:val="24"/>
                <w:lang w:bidi="ar"/>
              </w:rPr>
              <w:t>1.《工贸企业重大事故隐患判定标准》</w:t>
            </w:r>
            <w:r>
              <w:rPr>
                <w:rFonts w:eastAsia="仿宋"/>
                <w:color w:val="000000"/>
                <w:kern w:val="0"/>
                <w:sz w:val="24"/>
                <w:lang w:bidi="ar"/>
              </w:rPr>
              <w:br w:type="textWrapping"/>
            </w:r>
            <w:r>
              <w:rPr>
                <w:rFonts w:eastAsia="仿宋"/>
                <w:color w:val="000000"/>
                <w:kern w:val="0"/>
                <w:sz w:val="24"/>
                <w:lang w:bidi="ar"/>
              </w:rPr>
              <w:t>第十三条  存在硫化氢、一氧化碳等中毒风险的有限空间作业的工贸企业有下列情形之一的，应当判定为重大事故隐患：</w:t>
            </w:r>
            <w:r>
              <w:rPr>
                <w:rFonts w:eastAsia="仿宋"/>
                <w:color w:val="000000"/>
                <w:kern w:val="0"/>
                <w:sz w:val="24"/>
                <w:lang w:bidi="ar"/>
              </w:rPr>
              <w:br w:type="textWrapping"/>
            </w:r>
            <w:r>
              <w:rPr>
                <w:rFonts w:eastAsia="仿宋"/>
                <w:color w:val="000000"/>
                <w:kern w:val="0"/>
                <w:sz w:val="24"/>
                <w:lang w:bidi="ar"/>
              </w:rPr>
              <w:t>（一）未对有限空间进行辨识、建立安全管理台账，并且未设置明显的安全警示标志的；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61F10EEE">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38BA695E">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03B291EA">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16A26AAF">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79FDD4BB">
            <w:pPr>
              <w:topLinePunct/>
              <w:adjustRightInd w:val="0"/>
              <w:snapToGrid w:val="0"/>
              <w:jc w:val="center"/>
              <w:textAlignment w:val="center"/>
              <w:rPr>
                <w:rFonts w:eastAsia="仿宋"/>
                <w:color w:val="000000"/>
                <w:sz w:val="24"/>
              </w:rPr>
            </w:pPr>
            <w:r>
              <w:rPr>
                <w:rFonts w:eastAsia="仿宋"/>
                <w:color w:val="000000"/>
                <w:kern w:val="0"/>
                <w:sz w:val="24"/>
                <w:lang w:bidi="ar"/>
              </w:rPr>
              <w:t>226</w:t>
            </w:r>
          </w:p>
        </w:tc>
        <w:tc>
          <w:tcPr>
            <w:tcW w:w="838" w:type="pct"/>
            <w:tcBorders>
              <w:top w:val="single" w:color="000000" w:sz="4" w:space="0"/>
              <w:left w:val="single" w:color="000000" w:sz="4" w:space="0"/>
              <w:bottom w:val="single" w:color="000000" w:sz="4" w:space="0"/>
              <w:right w:val="single" w:color="000000" w:sz="4" w:space="0"/>
            </w:tcBorders>
            <w:vAlign w:val="center"/>
          </w:tcPr>
          <w:p w14:paraId="4FADCEE9">
            <w:pPr>
              <w:topLinePunct/>
              <w:adjustRightInd w:val="0"/>
              <w:snapToGrid w:val="0"/>
              <w:textAlignment w:val="center"/>
              <w:rPr>
                <w:rFonts w:eastAsia="仿宋"/>
                <w:color w:val="000000"/>
                <w:sz w:val="24"/>
              </w:rPr>
            </w:pPr>
            <w:r>
              <w:rPr>
                <w:rFonts w:eastAsia="仿宋"/>
                <w:color w:val="000000"/>
                <w:kern w:val="0"/>
                <w:sz w:val="24"/>
                <w:lang w:bidi="ar"/>
              </w:rPr>
              <w:t>对存在硫化氢、一氧化碳等中毒风险的有限空间作业的工贸企业未落实有限空间作业审批，或者未执行“先通风、再检测、后作业”要求，或者作业现场未设置监护人员的行政处罚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76FDE685">
            <w:pPr>
              <w:topLinePunct/>
              <w:adjustRightInd w:val="0"/>
              <w:snapToGrid w:val="0"/>
              <w:jc w:val="left"/>
              <w:textAlignment w:val="center"/>
              <w:rPr>
                <w:rFonts w:eastAsia="仿宋"/>
                <w:color w:val="000000"/>
                <w:sz w:val="24"/>
              </w:rPr>
            </w:pPr>
            <w:r>
              <w:rPr>
                <w:rFonts w:eastAsia="仿宋"/>
                <w:color w:val="000000"/>
                <w:kern w:val="0"/>
                <w:sz w:val="24"/>
                <w:lang w:bidi="ar"/>
              </w:rPr>
              <w:t>1.《工贸企业重大事故隐患判定标准》</w:t>
            </w:r>
            <w:r>
              <w:rPr>
                <w:rFonts w:eastAsia="仿宋"/>
                <w:color w:val="000000"/>
                <w:kern w:val="0"/>
                <w:sz w:val="24"/>
                <w:lang w:bidi="ar"/>
              </w:rPr>
              <w:br w:type="textWrapping"/>
            </w:r>
            <w:r>
              <w:rPr>
                <w:rFonts w:eastAsia="仿宋"/>
                <w:color w:val="000000"/>
                <w:kern w:val="0"/>
                <w:sz w:val="24"/>
                <w:lang w:bidi="ar"/>
              </w:rPr>
              <w:t>第十三条  存在硫化氢、一氧化碳等中毒风险的有限空间作业的工贸企业有下列情形之一的，应当判定为重大事故隐患：</w:t>
            </w:r>
            <w:r>
              <w:rPr>
                <w:rFonts w:eastAsia="仿宋"/>
                <w:color w:val="000000"/>
                <w:kern w:val="0"/>
                <w:sz w:val="24"/>
                <w:lang w:bidi="ar"/>
              </w:rPr>
              <w:br w:type="textWrapping"/>
            </w:r>
            <w:r>
              <w:rPr>
                <w:rFonts w:eastAsia="仿宋"/>
                <w:color w:val="000000"/>
                <w:kern w:val="0"/>
                <w:sz w:val="24"/>
                <w:lang w:bidi="ar"/>
              </w:rPr>
              <w:t>（二）未落实有限空间作业审批，或者未执行“先通风、再检测、后作业”要求，或者作业现场未设置监护人员的。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34CB9F08">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26795962">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6F17AF22">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06D289CD">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48CD30E4">
            <w:pPr>
              <w:topLinePunct/>
              <w:adjustRightInd w:val="0"/>
              <w:snapToGrid w:val="0"/>
              <w:jc w:val="center"/>
              <w:textAlignment w:val="center"/>
              <w:rPr>
                <w:rFonts w:eastAsia="仿宋"/>
                <w:color w:val="000000"/>
                <w:sz w:val="24"/>
              </w:rPr>
            </w:pPr>
            <w:r>
              <w:rPr>
                <w:rFonts w:eastAsia="仿宋"/>
                <w:color w:val="000000"/>
                <w:kern w:val="0"/>
                <w:sz w:val="24"/>
                <w:lang w:bidi="ar"/>
              </w:rPr>
              <w:t>227</w:t>
            </w:r>
          </w:p>
        </w:tc>
        <w:tc>
          <w:tcPr>
            <w:tcW w:w="838" w:type="pct"/>
            <w:tcBorders>
              <w:top w:val="single" w:color="000000" w:sz="4" w:space="0"/>
              <w:left w:val="single" w:color="000000" w:sz="4" w:space="0"/>
              <w:bottom w:val="single" w:color="000000" w:sz="4" w:space="0"/>
              <w:right w:val="single" w:color="000000" w:sz="4" w:space="0"/>
            </w:tcBorders>
            <w:vAlign w:val="center"/>
          </w:tcPr>
          <w:p w14:paraId="2CE0EFA7">
            <w:pPr>
              <w:topLinePunct/>
              <w:adjustRightInd w:val="0"/>
              <w:snapToGrid w:val="0"/>
              <w:textAlignment w:val="center"/>
              <w:rPr>
                <w:rFonts w:eastAsia="仿宋"/>
                <w:color w:val="000000"/>
                <w:sz w:val="24"/>
              </w:rPr>
            </w:pPr>
            <w:r>
              <w:rPr>
                <w:rFonts w:eastAsia="仿宋"/>
                <w:kern w:val="0"/>
                <w:sz w:val="24"/>
                <w:lang w:bidi="ar"/>
              </w:rPr>
              <w:t>对工贸企业未按照规定设置明显的有限空间安全警示标志的行政处罚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244D33B5">
            <w:pPr>
              <w:topLinePunct/>
              <w:adjustRightInd w:val="0"/>
              <w:snapToGrid w:val="0"/>
              <w:jc w:val="left"/>
              <w:textAlignment w:val="center"/>
              <w:rPr>
                <w:rFonts w:eastAsia="仿宋"/>
                <w:color w:val="000000"/>
                <w:sz w:val="24"/>
              </w:rPr>
            </w:pPr>
            <w:r>
              <w:rPr>
                <w:rFonts w:eastAsia="仿宋"/>
                <w:kern w:val="0"/>
                <w:sz w:val="24"/>
                <w:lang w:bidi="ar"/>
              </w:rPr>
              <w:t>1.《工贸企业有限空间作业安全规定》</w:t>
            </w:r>
            <w:r>
              <w:rPr>
                <w:rFonts w:eastAsia="仿宋"/>
                <w:kern w:val="0"/>
                <w:sz w:val="24"/>
                <w:lang w:bidi="ar"/>
              </w:rPr>
              <w:br w:type="textWrapping"/>
            </w:r>
            <w:r>
              <w:rPr>
                <w:rFonts w:eastAsia="仿宋"/>
                <w:kern w:val="0"/>
                <w:sz w:val="24"/>
                <w:lang w:bidi="ar"/>
              </w:rPr>
              <w:t>第十九条第一项  工贸企业有下列行为之一的，责令限期改正，处5万元以下的罚款；逾期未改正的，处5万元以上20万元以下的罚款，对其直接负责的主管人员和其他直接责任人员处1万元以上2万元以下的罚款；情节严重的，责令停产停业整顿；构成犯罪的，依照刑法有关规定追究刑事责任：（一）未按照规定设置明显的有限空间安全警示标志的。</w:t>
            </w:r>
          </w:p>
        </w:tc>
        <w:tc>
          <w:tcPr>
            <w:tcW w:w="476" w:type="pct"/>
            <w:tcBorders>
              <w:top w:val="single" w:color="000000" w:sz="4" w:space="0"/>
              <w:left w:val="single" w:color="000000" w:sz="4" w:space="0"/>
              <w:bottom w:val="single" w:color="000000" w:sz="4" w:space="0"/>
              <w:right w:val="single" w:color="000000" w:sz="4" w:space="0"/>
            </w:tcBorders>
            <w:vAlign w:val="center"/>
          </w:tcPr>
          <w:p w14:paraId="06C65071">
            <w:pPr>
              <w:topLinePunct/>
              <w:adjustRightInd w:val="0"/>
              <w:snapToGrid w:val="0"/>
              <w:jc w:val="left"/>
              <w:textAlignment w:val="center"/>
              <w:rPr>
                <w:rFonts w:eastAsia="仿宋"/>
                <w:color w:val="000000"/>
                <w:sz w:val="24"/>
              </w:rPr>
            </w:pPr>
            <w:r>
              <w:rPr>
                <w:rFonts w:eastAsia="仿宋"/>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1BF894F8">
            <w:pPr>
              <w:topLinePunct/>
              <w:adjustRightInd w:val="0"/>
              <w:snapToGrid w:val="0"/>
              <w:jc w:val="left"/>
              <w:textAlignment w:val="center"/>
              <w:rPr>
                <w:rFonts w:eastAsia="仿宋"/>
                <w:color w:val="000000"/>
                <w:sz w:val="24"/>
              </w:rPr>
            </w:pPr>
            <w:r>
              <w:rPr>
                <w:rFonts w:eastAsia="仿宋"/>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2D84C88E">
            <w:pPr>
              <w:topLinePunct/>
              <w:adjustRightInd w:val="0"/>
              <w:snapToGrid w:val="0"/>
              <w:jc w:val="center"/>
              <w:textAlignment w:val="center"/>
              <w:rPr>
                <w:rFonts w:hint="eastAsia" w:eastAsia="仿宋"/>
                <w:color w:val="000000"/>
                <w:sz w:val="24"/>
                <w:lang w:eastAsia="zh-CN"/>
              </w:rPr>
            </w:pPr>
            <w:r>
              <w:rPr>
                <w:rFonts w:hint="eastAsia" w:eastAsia="仿宋"/>
                <w:kern w:val="0"/>
                <w:sz w:val="24"/>
                <w:lang w:eastAsia="zh-CN" w:bidi="ar"/>
              </w:rPr>
              <w:t>县级</w:t>
            </w:r>
          </w:p>
        </w:tc>
      </w:tr>
      <w:tr w14:paraId="0230B978">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26A1F8A9">
            <w:pPr>
              <w:topLinePunct/>
              <w:adjustRightInd w:val="0"/>
              <w:snapToGrid w:val="0"/>
              <w:jc w:val="center"/>
              <w:textAlignment w:val="center"/>
              <w:rPr>
                <w:rFonts w:eastAsia="仿宋"/>
                <w:color w:val="000000"/>
                <w:sz w:val="24"/>
              </w:rPr>
            </w:pPr>
            <w:r>
              <w:rPr>
                <w:rFonts w:eastAsia="仿宋"/>
                <w:color w:val="000000"/>
                <w:kern w:val="0"/>
                <w:sz w:val="24"/>
                <w:lang w:bidi="ar"/>
              </w:rPr>
              <w:t>228</w:t>
            </w:r>
          </w:p>
        </w:tc>
        <w:tc>
          <w:tcPr>
            <w:tcW w:w="838" w:type="pct"/>
            <w:tcBorders>
              <w:top w:val="single" w:color="000000" w:sz="4" w:space="0"/>
              <w:left w:val="single" w:color="000000" w:sz="4" w:space="0"/>
              <w:bottom w:val="single" w:color="000000" w:sz="4" w:space="0"/>
              <w:right w:val="single" w:color="000000" w:sz="4" w:space="0"/>
            </w:tcBorders>
            <w:vAlign w:val="center"/>
          </w:tcPr>
          <w:p w14:paraId="3ACF6EDD">
            <w:pPr>
              <w:topLinePunct/>
              <w:adjustRightInd w:val="0"/>
              <w:snapToGrid w:val="0"/>
              <w:textAlignment w:val="center"/>
              <w:rPr>
                <w:rFonts w:eastAsia="仿宋"/>
                <w:color w:val="000000"/>
                <w:sz w:val="24"/>
              </w:rPr>
            </w:pPr>
            <w:r>
              <w:rPr>
                <w:rFonts w:eastAsia="仿宋"/>
                <w:kern w:val="0"/>
                <w:sz w:val="24"/>
                <w:lang w:bidi="ar"/>
              </w:rPr>
              <w:t>对工贸企业未按照规定配备、使用符合国家标准或者行业标准的有限空间作业安全仪器、设备、装备和器材的，或者未对其进行经常性维护、保养和定期检测的行政处罚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0CD6CF69">
            <w:pPr>
              <w:topLinePunct/>
              <w:adjustRightInd w:val="0"/>
              <w:snapToGrid w:val="0"/>
              <w:jc w:val="left"/>
              <w:textAlignment w:val="center"/>
              <w:rPr>
                <w:rFonts w:eastAsia="仿宋"/>
                <w:color w:val="000000"/>
                <w:sz w:val="24"/>
              </w:rPr>
            </w:pPr>
            <w:r>
              <w:rPr>
                <w:rFonts w:eastAsia="仿宋"/>
                <w:kern w:val="0"/>
                <w:sz w:val="24"/>
                <w:lang w:bidi="ar"/>
              </w:rPr>
              <w:t>1.《工贸企业有限空间作业安全规定》</w:t>
            </w:r>
            <w:r>
              <w:rPr>
                <w:rFonts w:eastAsia="仿宋"/>
                <w:kern w:val="0"/>
                <w:sz w:val="24"/>
                <w:lang w:bidi="ar"/>
              </w:rPr>
              <w:br w:type="textWrapping"/>
            </w:r>
            <w:r>
              <w:rPr>
                <w:rFonts w:eastAsia="仿宋"/>
                <w:kern w:val="0"/>
                <w:sz w:val="24"/>
                <w:lang w:bidi="ar"/>
              </w:rPr>
              <w:t>第十九条第二项  工贸企业有下列行为之一的，责令限期改正，处5万元以下的罚款；逾期未改正的，处5万元以上20万元以下的罚款，对其直接负责的主管人员和其他直接责任人员处1万元以上2万元以下的罚款；情节严重的，责令停产停业整顿；构成犯罪的，依照刑法有关规定追究刑事责任：（二）未按照规定配备、使用符合国家标准或者行业标准的有限空间作业安全仪器、设备、装备和器材的，或者未对其进行经常性维护、保养和定期检测的。</w:t>
            </w:r>
          </w:p>
        </w:tc>
        <w:tc>
          <w:tcPr>
            <w:tcW w:w="476" w:type="pct"/>
            <w:tcBorders>
              <w:top w:val="single" w:color="000000" w:sz="4" w:space="0"/>
              <w:left w:val="single" w:color="000000" w:sz="4" w:space="0"/>
              <w:bottom w:val="single" w:color="000000" w:sz="4" w:space="0"/>
              <w:right w:val="single" w:color="000000" w:sz="4" w:space="0"/>
            </w:tcBorders>
            <w:vAlign w:val="center"/>
          </w:tcPr>
          <w:p w14:paraId="2215B914">
            <w:pPr>
              <w:topLinePunct/>
              <w:adjustRightInd w:val="0"/>
              <w:snapToGrid w:val="0"/>
              <w:jc w:val="left"/>
              <w:textAlignment w:val="center"/>
              <w:rPr>
                <w:rFonts w:eastAsia="仿宋"/>
                <w:color w:val="000000"/>
                <w:sz w:val="24"/>
              </w:rPr>
            </w:pPr>
            <w:r>
              <w:rPr>
                <w:rFonts w:eastAsia="仿宋"/>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2C1A2B19">
            <w:pPr>
              <w:topLinePunct/>
              <w:adjustRightInd w:val="0"/>
              <w:snapToGrid w:val="0"/>
              <w:jc w:val="left"/>
              <w:textAlignment w:val="center"/>
              <w:rPr>
                <w:rFonts w:eastAsia="仿宋"/>
                <w:color w:val="000000"/>
                <w:sz w:val="24"/>
              </w:rPr>
            </w:pPr>
            <w:r>
              <w:rPr>
                <w:rFonts w:eastAsia="仿宋"/>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05CBBD4B">
            <w:pPr>
              <w:topLinePunct/>
              <w:adjustRightInd w:val="0"/>
              <w:snapToGrid w:val="0"/>
              <w:jc w:val="center"/>
              <w:textAlignment w:val="center"/>
              <w:rPr>
                <w:rFonts w:hint="eastAsia" w:eastAsia="仿宋"/>
                <w:color w:val="000000"/>
                <w:sz w:val="24"/>
                <w:lang w:eastAsia="zh-CN"/>
              </w:rPr>
            </w:pPr>
            <w:r>
              <w:rPr>
                <w:rFonts w:hint="eastAsia" w:eastAsia="仿宋"/>
                <w:kern w:val="0"/>
                <w:sz w:val="24"/>
                <w:lang w:eastAsia="zh-CN" w:bidi="ar"/>
              </w:rPr>
              <w:t>县级</w:t>
            </w:r>
          </w:p>
        </w:tc>
      </w:tr>
      <w:tr w14:paraId="5AB5B78D">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60E76F61">
            <w:pPr>
              <w:topLinePunct/>
              <w:adjustRightInd w:val="0"/>
              <w:snapToGrid w:val="0"/>
              <w:jc w:val="center"/>
              <w:textAlignment w:val="center"/>
              <w:rPr>
                <w:rFonts w:eastAsia="仿宋"/>
                <w:color w:val="000000"/>
                <w:sz w:val="24"/>
              </w:rPr>
            </w:pPr>
            <w:r>
              <w:rPr>
                <w:rFonts w:eastAsia="仿宋"/>
                <w:color w:val="000000"/>
                <w:kern w:val="0"/>
                <w:sz w:val="24"/>
                <w:lang w:bidi="ar"/>
              </w:rPr>
              <w:t>229</w:t>
            </w:r>
          </w:p>
        </w:tc>
        <w:tc>
          <w:tcPr>
            <w:tcW w:w="838" w:type="pct"/>
            <w:tcBorders>
              <w:top w:val="single" w:color="000000" w:sz="4" w:space="0"/>
              <w:left w:val="single" w:color="000000" w:sz="4" w:space="0"/>
              <w:bottom w:val="single" w:color="000000" w:sz="4" w:space="0"/>
              <w:right w:val="single" w:color="000000" w:sz="4" w:space="0"/>
            </w:tcBorders>
            <w:vAlign w:val="center"/>
          </w:tcPr>
          <w:p w14:paraId="5484EE69">
            <w:pPr>
              <w:topLinePunct/>
              <w:adjustRightInd w:val="0"/>
              <w:snapToGrid w:val="0"/>
              <w:textAlignment w:val="center"/>
              <w:rPr>
                <w:rFonts w:eastAsia="仿宋"/>
                <w:color w:val="000000"/>
                <w:sz w:val="24"/>
              </w:rPr>
            </w:pPr>
            <w:r>
              <w:rPr>
                <w:rFonts w:eastAsia="仿宋"/>
                <w:kern w:val="0"/>
                <w:sz w:val="24"/>
                <w:lang w:bidi="ar"/>
              </w:rPr>
              <w:t>对工贸企业未按照规定开展有限空间作业专题安全培训或者未如实记录安全培训情况的行政处罚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32D2DB2C">
            <w:pPr>
              <w:topLinePunct/>
              <w:adjustRightInd w:val="0"/>
              <w:snapToGrid w:val="0"/>
              <w:jc w:val="left"/>
              <w:textAlignment w:val="center"/>
              <w:rPr>
                <w:rFonts w:eastAsia="仿宋"/>
                <w:color w:val="000000"/>
                <w:sz w:val="24"/>
              </w:rPr>
            </w:pPr>
            <w:r>
              <w:rPr>
                <w:rFonts w:eastAsia="仿宋"/>
                <w:kern w:val="0"/>
                <w:sz w:val="24"/>
                <w:lang w:bidi="ar"/>
              </w:rPr>
              <w:t>1.《工贸企业有限空间作业安全规定》</w:t>
            </w:r>
            <w:r>
              <w:rPr>
                <w:rFonts w:eastAsia="仿宋"/>
                <w:kern w:val="0"/>
                <w:sz w:val="24"/>
                <w:lang w:bidi="ar"/>
              </w:rPr>
              <w:br w:type="textWrapping"/>
            </w:r>
            <w:r>
              <w:rPr>
                <w:rFonts w:eastAsia="仿宋"/>
                <w:kern w:val="0"/>
                <w:sz w:val="24"/>
                <w:lang w:bidi="ar"/>
              </w:rPr>
              <w:t>第二十条第一项 工贸企业有下列行为之一的，责令限期改正，处10万元以下的罚款；逾期未改正的，责令停产停业整顿，并处10万元以上20万元以下的罚款，对其直接负责的主管人员和其他直接责任人员处2万元以上5万元以下的罚款：（一）未按照规定开展有限空间作业专题安全培训或者未如实记录安全培训情况的；</w:t>
            </w:r>
          </w:p>
        </w:tc>
        <w:tc>
          <w:tcPr>
            <w:tcW w:w="476" w:type="pct"/>
            <w:tcBorders>
              <w:top w:val="single" w:color="000000" w:sz="4" w:space="0"/>
              <w:left w:val="single" w:color="000000" w:sz="4" w:space="0"/>
              <w:bottom w:val="single" w:color="000000" w:sz="4" w:space="0"/>
              <w:right w:val="single" w:color="000000" w:sz="4" w:space="0"/>
            </w:tcBorders>
            <w:vAlign w:val="center"/>
          </w:tcPr>
          <w:p w14:paraId="0060E31D">
            <w:pPr>
              <w:topLinePunct/>
              <w:adjustRightInd w:val="0"/>
              <w:snapToGrid w:val="0"/>
              <w:jc w:val="left"/>
              <w:textAlignment w:val="center"/>
              <w:rPr>
                <w:rFonts w:eastAsia="仿宋"/>
                <w:color w:val="000000"/>
                <w:sz w:val="24"/>
              </w:rPr>
            </w:pPr>
            <w:r>
              <w:rPr>
                <w:rFonts w:eastAsia="仿宋"/>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1FF57308">
            <w:pPr>
              <w:topLinePunct/>
              <w:adjustRightInd w:val="0"/>
              <w:snapToGrid w:val="0"/>
              <w:jc w:val="left"/>
              <w:textAlignment w:val="center"/>
              <w:rPr>
                <w:rFonts w:eastAsia="仿宋"/>
                <w:color w:val="000000"/>
                <w:sz w:val="24"/>
              </w:rPr>
            </w:pPr>
            <w:r>
              <w:rPr>
                <w:rFonts w:eastAsia="仿宋"/>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73252DD1">
            <w:pPr>
              <w:topLinePunct/>
              <w:adjustRightInd w:val="0"/>
              <w:snapToGrid w:val="0"/>
              <w:jc w:val="center"/>
              <w:textAlignment w:val="center"/>
              <w:rPr>
                <w:rFonts w:hint="eastAsia" w:eastAsia="仿宋"/>
                <w:color w:val="000000"/>
                <w:sz w:val="24"/>
                <w:lang w:eastAsia="zh-CN"/>
              </w:rPr>
            </w:pPr>
            <w:r>
              <w:rPr>
                <w:rFonts w:hint="eastAsia" w:eastAsia="仿宋"/>
                <w:kern w:val="0"/>
                <w:sz w:val="24"/>
                <w:lang w:eastAsia="zh-CN" w:bidi="ar"/>
              </w:rPr>
              <w:t>县级</w:t>
            </w:r>
          </w:p>
        </w:tc>
      </w:tr>
      <w:tr w14:paraId="734C2D7C">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39B15E73">
            <w:pPr>
              <w:topLinePunct/>
              <w:adjustRightInd w:val="0"/>
              <w:snapToGrid w:val="0"/>
              <w:jc w:val="center"/>
              <w:textAlignment w:val="center"/>
              <w:rPr>
                <w:rFonts w:eastAsia="仿宋"/>
                <w:color w:val="000000"/>
                <w:sz w:val="24"/>
              </w:rPr>
            </w:pPr>
            <w:r>
              <w:rPr>
                <w:rFonts w:eastAsia="仿宋"/>
                <w:color w:val="000000"/>
                <w:kern w:val="0"/>
                <w:sz w:val="24"/>
                <w:lang w:bidi="ar"/>
              </w:rPr>
              <w:t>230</w:t>
            </w:r>
          </w:p>
        </w:tc>
        <w:tc>
          <w:tcPr>
            <w:tcW w:w="838" w:type="pct"/>
            <w:tcBorders>
              <w:top w:val="single" w:color="000000" w:sz="4" w:space="0"/>
              <w:left w:val="single" w:color="000000" w:sz="4" w:space="0"/>
              <w:bottom w:val="single" w:color="000000" w:sz="4" w:space="0"/>
              <w:right w:val="single" w:color="000000" w:sz="4" w:space="0"/>
            </w:tcBorders>
            <w:vAlign w:val="center"/>
          </w:tcPr>
          <w:p w14:paraId="5D4A719B">
            <w:pPr>
              <w:topLinePunct/>
              <w:adjustRightInd w:val="0"/>
              <w:snapToGrid w:val="0"/>
              <w:textAlignment w:val="center"/>
              <w:rPr>
                <w:rFonts w:eastAsia="仿宋"/>
                <w:color w:val="000000"/>
                <w:sz w:val="24"/>
              </w:rPr>
            </w:pPr>
            <w:r>
              <w:rPr>
                <w:rFonts w:eastAsia="仿宋"/>
                <w:kern w:val="0"/>
                <w:sz w:val="24"/>
                <w:lang w:bidi="ar"/>
              </w:rPr>
              <w:t>对工贸企业未按照规定制定有限空间作业现场处置方案或者未按照规定组织演练的行政处罚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2EC93620">
            <w:pPr>
              <w:topLinePunct/>
              <w:adjustRightInd w:val="0"/>
              <w:snapToGrid w:val="0"/>
              <w:jc w:val="left"/>
              <w:textAlignment w:val="center"/>
              <w:rPr>
                <w:rFonts w:eastAsia="仿宋"/>
                <w:color w:val="000000"/>
                <w:sz w:val="24"/>
              </w:rPr>
            </w:pPr>
            <w:r>
              <w:rPr>
                <w:rFonts w:eastAsia="仿宋"/>
                <w:kern w:val="0"/>
                <w:sz w:val="24"/>
                <w:lang w:bidi="ar"/>
              </w:rPr>
              <w:t>1.《工贸企业有限空间作业安全规定》</w:t>
            </w:r>
            <w:r>
              <w:rPr>
                <w:rFonts w:eastAsia="仿宋"/>
                <w:kern w:val="0"/>
                <w:sz w:val="24"/>
                <w:lang w:bidi="ar"/>
              </w:rPr>
              <w:br w:type="textWrapping"/>
            </w:r>
            <w:r>
              <w:rPr>
                <w:rFonts w:eastAsia="仿宋"/>
                <w:kern w:val="0"/>
                <w:sz w:val="24"/>
                <w:lang w:bidi="ar"/>
              </w:rPr>
              <w:t>第二十条第二项 工贸企业有下列行为之一的，责令限期改正，处10万元以下的罚款；逾期未改正的，责令停产停业整顿，并处10万元以上20万元以下的罚款，对其直接负责的主管人员和其他直接责任人员处2万元以上5万元以下的罚款：（二）未按照规定制定有限空间作业现场处置方案或者未按照规定组织演练的。</w:t>
            </w:r>
          </w:p>
        </w:tc>
        <w:tc>
          <w:tcPr>
            <w:tcW w:w="476" w:type="pct"/>
            <w:tcBorders>
              <w:top w:val="single" w:color="000000" w:sz="4" w:space="0"/>
              <w:left w:val="single" w:color="000000" w:sz="4" w:space="0"/>
              <w:bottom w:val="single" w:color="000000" w:sz="4" w:space="0"/>
              <w:right w:val="single" w:color="000000" w:sz="4" w:space="0"/>
            </w:tcBorders>
            <w:vAlign w:val="center"/>
          </w:tcPr>
          <w:p w14:paraId="0AC8B997">
            <w:pPr>
              <w:topLinePunct/>
              <w:adjustRightInd w:val="0"/>
              <w:snapToGrid w:val="0"/>
              <w:jc w:val="left"/>
              <w:textAlignment w:val="center"/>
              <w:rPr>
                <w:rFonts w:eastAsia="仿宋"/>
                <w:color w:val="000000"/>
                <w:sz w:val="24"/>
              </w:rPr>
            </w:pPr>
            <w:r>
              <w:rPr>
                <w:rFonts w:eastAsia="仿宋"/>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33CE3A0F">
            <w:pPr>
              <w:topLinePunct/>
              <w:adjustRightInd w:val="0"/>
              <w:snapToGrid w:val="0"/>
              <w:jc w:val="left"/>
              <w:textAlignment w:val="center"/>
              <w:rPr>
                <w:rFonts w:eastAsia="仿宋"/>
                <w:color w:val="000000"/>
                <w:sz w:val="24"/>
              </w:rPr>
            </w:pPr>
            <w:r>
              <w:rPr>
                <w:rFonts w:eastAsia="仿宋"/>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70373A6B">
            <w:pPr>
              <w:topLinePunct/>
              <w:adjustRightInd w:val="0"/>
              <w:snapToGrid w:val="0"/>
              <w:jc w:val="center"/>
              <w:textAlignment w:val="center"/>
              <w:rPr>
                <w:rFonts w:hint="eastAsia" w:eastAsia="仿宋"/>
                <w:color w:val="000000"/>
                <w:sz w:val="24"/>
                <w:lang w:eastAsia="zh-CN"/>
              </w:rPr>
            </w:pPr>
            <w:r>
              <w:rPr>
                <w:rFonts w:hint="eastAsia" w:eastAsia="仿宋"/>
                <w:kern w:val="0"/>
                <w:sz w:val="24"/>
                <w:lang w:eastAsia="zh-CN" w:bidi="ar"/>
              </w:rPr>
              <w:t>县级</w:t>
            </w:r>
          </w:p>
        </w:tc>
      </w:tr>
      <w:tr w14:paraId="70EEEF18">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5074568E">
            <w:pPr>
              <w:topLinePunct/>
              <w:adjustRightInd w:val="0"/>
              <w:snapToGrid w:val="0"/>
              <w:jc w:val="center"/>
              <w:textAlignment w:val="center"/>
              <w:rPr>
                <w:rFonts w:eastAsia="仿宋"/>
                <w:color w:val="000000"/>
                <w:sz w:val="24"/>
              </w:rPr>
            </w:pPr>
            <w:r>
              <w:rPr>
                <w:rFonts w:eastAsia="仿宋"/>
                <w:color w:val="000000"/>
                <w:kern w:val="0"/>
                <w:sz w:val="24"/>
                <w:lang w:bidi="ar"/>
              </w:rPr>
              <w:t>231</w:t>
            </w:r>
          </w:p>
        </w:tc>
        <w:tc>
          <w:tcPr>
            <w:tcW w:w="838" w:type="pct"/>
            <w:tcBorders>
              <w:top w:val="single" w:color="000000" w:sz="4" w:space="0"/>
              <w:left w:val="single" w:color="000000" w:sz="4" w:space="0"/>
              <w:bottom w:val="single" w:color="000000" w:sz="4" w:space="0"/>
              <w:right w:val="single" w:color="000000" w:sz="4" w:space="0"/>
            </w:tcBorders>
            <w:vAlign w:val="center"/>
          </w:tcPr>
          <w:p w14:paraId="71622BDD">
            <w:pPr>
              <w:topLinePunct/>
              <w:adjustRightInd w:val="0"/>
              <w:snapToGrid w:val="0"/>
              <w:textAlignment w:val="center"/>
              <w:rPr>
                <w:rFonts w:eastAsia="仿宋"/>
                <w:color w:val="000000"/>
                <w:sz w:val="24"/>
              </w:rPr>
            </w:pPr>
            <w:r>
              <w:rPr>
                <w:rFonts w:eastAsia="仿宋"/>
                <w:kern w:val="0"/>
                <w:sz w:val="24"/>
                <w:lang w:bidi="ar"/>
              </w:rPr>
              <w:t>对工贸企业未配备监护人员，或者监护人员未按规定履行岗位职责的行政处罚；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2F26B368">
            <w:pPr>
              <w:topLinePunct/>
              <w:adjustRightInd w:val="0"/>
              <w:snapToGrid w:val="0"/>
              <w:jc w:val="left"/>
              <w:textAlignment w:val="center"/>
              <w:rPr>
                <w:rFonts w:eastAsia="仿宋"/>
                <w:color w:val="000000"/>
                <w:sz w:val="24"/>
              </w:rPr>
            </w:pPr>
            <w:r>
              <w:rPr>
                <w:rFonts w:eastAsia="仿宋"/>
                <w:kern w:val="0"/>
                <w:sz w:val="24"/>
                <w:lang w:bidi="ar"/>
              </w:rPr>
              <w:t>1.《工贸企业有限空间作业安全规定》</w:t>
            </w:r>
            <w:r>
              <w:rPr>
                <w:rFonts w:eastAsia="仿宋"/>
                <w:kern w:val="0"/>
                <w:sz w:val="24"/>
                <w:lang w:bidi="ar"/>
              </w:rPr>
              <w:br w:type="textWrapping"/>
            </w:r>
            <w:r>
              <w:rPr>
                <w:rFonts w:eastAsia="仿宋"/>
                <w:kern w:val="0"/>
                <w:sz w:val="24"/>
                <w:lang w:bidi="ar"/>
              </w:rPr>
              <w:t>第二十一条第一项 违反本规定，有下列情形之一的，责令限期改正，对工贸企业处5万元以下的罚款，对其直接负责的主管人员和其他直接责任人员处1万元以下的罚款：（一）未配备监护人员，或者监护人员未按规定履行岗位职责的。</w:t>
            </w:r>
          </w:p>
        </w:tc>
        <w:tc>
          <w:tcPr>
            <w:tcW w:w="476" w:type="pct"/>
            <w:tcBorders>
              <w:top w:val="single" w:color="000000" w:sz="4" w:space="0"/>
              <w:left w:val="single" w:color="000000" w:sz="4" w:space="0"/>
              <w:bottom w:val="single" w:color="000000" w:sz="4" w:space="0"/>
              <w:right w:val="single" w:color="000000" w:sz="4" w:space="0"/>
            </w:tcBorders>
            <w:vAlign w:val="center"/>
          </w:tcPr>
          <w:p w14:paraId="42E78C3F">
            <w:pPr>
              <w:topLinePunct/>
              <w:adjustRightInd w:val="0"/>
              <w:snapToGrid w:val="0"/>
              <w:jc w:val="left"/>
              <w:textAlignment w:val="center"/>
              <w:rPr>
                <w:rFonts w:eastAsia="仿宋"/>
                <w:color w:val="000000"/>
                <w:sz w:val="24"/>
              </w:rPr>
            </w:pPr>
            <w:r>
              <w:rPr>
                <w:rFonts w:eastAsia="仿宋"/>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37C6618F">
            <w:pPr>
              <w:topLinePunct/>
              <w:adjustRightInd w:val="0"/>
              <w:snapToGrid w:val="0"/>
              <w:jc w:val="left"/>
              <w:textAlignment w:val="center"/>
              <w:rPr>
                <w:rFonts w:eastAsia="仿宋"/>
                <w:color w:val="000000"/>
                <w:sz w:val="24"/>
              </w:rPr>
            </w:pPr>
            <w:r>
              <w:rPr>
                <w:rFonts w:eastAsia="仿宋"/>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484DF4B8">
            <w:pPr>
              <w:topLinePunct/>
              <w:adjustRightInd w:val="0"/>
              <w:snapToGrid w:val="0"/>
              <w:jc w:val="center"/>
              <w:textAlignment w:val="center"/>
              <w:rPr>
                <w:rFonts w:hint="eastAsia" w:eastAsia="仿宋"/>
                <w:color w:val="000000"/>
                <w:sz w:val="24"/>
                <w:lang w:eastAsia="zh-CN"/>
              </w:rPr>
            </w:pPr>
            <w:r>
              <w:rPr>
                <w:rFonts w:hint="eastAsia" w:eastAsia="仿宋"/>
                <w:kern w:val="0"/>
                <w:sz w:val="24"/>
                <w:lang w:eastAsia="zh-CN" w:bidi="ar"/>
              </w:rPr>
              <w:t>县级</w:t>
            </w:r>
          </w:p>
        </w:tc>
      </w:tr>
      <w:tr w14:paraId="3929FAA0">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4BC710D8">
            <w:pPr>
              <w:topLinePunct/>
              <w:adjustRightInd w:val="0"/>
              <w:snapToGrid w:val="0"/>
              <w:jc w:val="center"/>
              <w:textAlignment w:val="center"/>
              <w:rPr>
                <w:rFonts w:eastAsia="仿宋"/>
                <w:color w:val="000000"/>
                <w:sz w:val="24"/>
              </w:rPr>
            </w:pPr>
            <w:r>
              <w:rPr>
                <w:rFonts w:eastAsia="仿宋"/>
                <w:color w:val="000000"/>
                <w:kern w:val="0"/>
                <w:sz w:val="24"/>
                <w:lang w:bidi="ar"/>
              </w:rPr>
              <w:t>232</w:t>
            </w:r>
          </w:p>
        </w:tc>
        <w:tc>
          <w:tcPr>
            <w:tcW w:w="838" w:type="pct"/>
            <w:tcBorders>
              <w:top w:val="single" w:color="000000" w:sz="4" w:space="0"/>
              <w:left w:val="single" w:color="000000" w:sz="4" w:space="0"/>
              <w:bottom w:val="single" w:color="000000" w:sz="4" w:space="0"/>
              <w:right w:val="single" w:color="000000" w:sz="4" w:space="0"/>
            </w:tcBorders>
            <w:vAlign w:val="center"/>
          </w:tcPr>
          <w:p w14:paraId="5515703E">
            <w:pPr>
              <w:topLinePunct/>
              <w:adjustRightInd w:val="0"/>
              <w:snapToGrid w:val="0"/>
              <w:textAlignment w:val="center"/>
              <w:rPr>
                <w:rFonts w:eastAsia="仿宋"/>
                <w:color w:val="000000"/>
                <w:sz w:val="24"/>
              </w:rPr>
            </w:pPr>
            <w:r>
              <w:rPr>
                <w:rFonts w:eastAsia="仿宋"/>
                <w:kern w:val="0"/>
                <w:sz w:val="24"/>
                <w:lang w:bidi="ar"/>
              </w:rPr>
              <w:t>对工贸企业未对有限空间进行辨识，或者未建立有限空间管理台账的行政处罚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3C705F5B">
            <w:pPr>
              <w:topLinePunct/>
              <w:adjustRightInd w:val="0"/>
              <w:snapToGrid w:val="0"/>
              <w:jc w:val="left"/>
              <w:textAlignment w:val="center"/>
              <w:rPr>
                <w:rFonts w:eastAsia="仿宋"/>
                <w:color w:val="000000"/>
                <w:sz w:val="24"/>
              </w:rPr>
            </w:pPr>
            <w:r>
              <w:rPr>
                <w:rFonts w:eastAsia="仿宋"/>
                <w:kern w:val="0"/>
                <w:sz w:val="24"/>
                <w:lang w:bidi="ar"/>
              </w:rPr>
              <w:t>1.《工贸企业有限空间作业安全规定》</w:t>
            </w:r>
            <w:r>
              <w:rPr>
                <w:rFonts w:eastAsia="仿宋"/>
                <w:kern w:val="0"/>
                <w:sz w:val="24"/>
                <w:lang w:bidi="ar"/>
              </w:rPr>
              <w:br w:type="textWrapping"/>
            </w:r>
            <w:r>
              <w:rPr>
                <w:rFonts w:eastAsia="仿宋"/>
                <w:kern w:val="0"/>
                <w:sz w:val="24"/>
                <w:lang w:bidi="ar"/>
              </w:rPr>
              <w:t>第二十一条第二项 违反本规定，有下列情形之一的，责令限期改正，对工贸企业处5万元以下的罚款，对其直接负责的主管人员和其他直接责任人员处1万元以下的罚款：（二）未对有限空间进行辨识，或者未建立有限空间管理台账的。</w:t>
            </w:r>
          </w:p>
        </w:tc>
        <w:tc>
          <w:tcPr>
            <w:tcW w:w="476" w:type="pct"/>
            <w:tcBorders>
              <w:top w:val="single" w:color="000000" w:sz="4" w:space="0"/>
              <w:left w:val="single" w:color="000000" w:sz="4" w:space="0"/>
              <w:bottom w:val="single" w:color="000000" w:sz="4" w:space="0"/>
              <w:right w:val="single" w:color="000000" w:sz="4" w:space="0"/>
            </w:tcBorders>
            <w:vAlign w:val="center"/>
          </w:tcPr>
          <w:p w14:paraId="758DE5D2">
            <w:pPr>
              <w:topLinePunct/>
              <w:adjustRightInd w:val="0"/>
              <w:snapToGrid w:val="0"/>
              <w:jc w:val="left"/>
              <w:textAlignment w:val="center"/>
              <w:rPr>
                <w:rFonts w:eastAsia="仿宋"/>
                <w:color w:val="000000"/>
                <w:sz w:val="24"/>
              </w:rPr>
            </w:pPr>
            <w:r>
              <w:rPr>
                <w:rFonts w:eastAsia="仿宋"/>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07E03E4D">
            <w:pPr>
              <w:topLinePunct/>
              <w:adjustRightInd w:val="0"/>
              <w:snapToGrid w:val="0"/>
              <w:jc w:val="left"/>
              <w:textAlignment w:val="center"/>
              <w:rPr>
                <w:rFonts w:eastAsia="仿宋"/>
                <w:color w:val="000000"/>
                <w:sz w:val="24"/>
              </w:rPr>
            </w:pPr>
            <w:r>
              <w:rPr>
                <w:rFonts w:eastAsia="仿宋"/>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6AFD541A">
            <w:pPr>
              <w:topLinePunct/>
              <w:adjustRightInd w:val="0"/>
              <w:snapToGrid w:val="0"/>
              <w:jc w:val="center"/>
              <w:textAlignment w:val="center"/>
              <w:rPr>
                <w:rFonts w:hint="eastAsia" w:eastAsia="仿宋"/>
                <w:color w:val="000000"/>
                <w:sz w:val="24"/>
                <w:lang w:eastAsia="zh-CN"/>
              </w:rPr>
            </w:pPr>
            <w:r>
              <w:rPr>
                <w:rFonts w:hint="eastAsia" w:eastAsia="仿宋"/>
                <w:kern w:val="0"/>
                <w:sz w:val="24"/>
                <w:lang w:eastAsia="zh-CN" w:bidi="ar"/>
              </w:rPr>
              <w:t>县级</w:t>
            </w:r>
          </w:p>
        </w:tc>
      </w:tr>
      <w:tr w14:paraId="3174B03C">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3D62BF2E">
            <w:pPr>
              <w:topLinePunct/>
              <w:adjustRightInd w:val="0"/>
              <w:snapToGrid w:val="0"/>
              <w:jc w:val="center"/>
              <w:textAlignment w:val="center"/>
              <w:rPr>
                <w:rFonts w:eastAsia="仿宋"/>
                <w:color w:val="000000"/>
                <w:sz w:val="24"/>
              </w:rPr>
            </w:pPr>
            <w:r>
              <w:rPr>
                <w:rFonts w:eastAsia="仿宋"/>
                <w:color w:val="000000"/>
                <w:kern w:val="0"/>
                <w:sz w:val="24"/>
                <w:lang w:bidi="ar"/>
              </w:rPr>
              <w:t>233</w:t>
            </w:r>
          </w:p>
        </w:tc>
        <w:tc>
          <w:tcPr>
            <w:tcW w:w="838" w:type="pct"/>
            <w:tcBorders>
              <w:top w:val="single" w:color="000000" w:sz="4" w:space="0"/>
              <w:left w:val="single" w:color="000000" w:sz="4" w:space="0"/>
              <w:bottom w:val="single" w:color="000000" w:sz="4" w:space="0"/>
              <w:right w:val="single" w:color="000000" w:sz="4" w:space="0"/>
            </w:tcBorders>
            <w:vAlign w:val="center"/>
          </w:tcPr>
          <w:p w14:paraId="2B3DE49B">
            <w:pPr>
              <w:topLinePunct/>
              <w:adjustRightInd w:val="0"/>
              <w:snapToGrid w:val="0"/>
              <w:textAlignment w:val="center"/>
              <w:rPr>
                <w:rFonts w:eastAsia="仿宋"/>
                <w:color w:val="000000"/>
                <w:sz w:val="24"/>
              </w:rPr>
            </w:pPr>
            <w:r>
              <w:rPr>
                <w:rFonts w:eastAsia="仿宋"/>
                <w:kern w:val="0"/>
                <w:sz w:val="24"/>
                <w:lang w:bidi="ar"/>
              </w:rPr>
              <w:t>对工贸企业未落实有限空间作业审批，或者作业未执行“先通风、再检测、后作业”要求的行政处罚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4DA0AD39">
            <w:pPr>
              <w:topLinePunct/>
              <w:adjustRightInd w:val="0"/>
              <w:snapToGrid w:val="0"/>
              <w:jc w:val="left"/>
              <w:textAlignment w:val="center"/>
              <w:rPr>
                <w:rFonts w:eastAsia="仿宋"/>
                <w:color w:val="000000"/>
                <w:sz w:val="24"/>
              </w:rPr>
            </w:pPr>
            <w:r>
              <w:rPr>
                <w:rFonts w:eastAsia="仿宋"/>
                <w:kern w:val="0"/>
                <w:sz w:val="24"/>
                <w:lang w:bidi="ar"/>
              </w:rPr>
              <w:t>1.《工贸企业有限空间作业安全规定》</w:t>
            </w:r>
            <w:r>
              <w:rPr>
                <w:rFonts w:eastAsia="仿宋"/>
                <w:kern w:val="0"/>
                <w:sz w:val="24"/>
                <w:lang w:bidi="ar"/>
              </w:rPr>
              <w:br w:type="textWrapping"/>
            </w:r>
            <w:r>
              <w:rPr>
                <w:rFonts w:eastAsia="仿宋"/>
                <w:kern w:val="0"/>
                <w:sz w:val="24"/>
                <w:lang w:bidi="ar"/>
              </w:rPr>
              <w:t>第二十一条第三项 违反本规定，有下列情形之一的，责令限期改正，对工贸企业处5万元以下的罚款，对其直接负责的主管人员和其他直接责任人员处1万元以下的罚款：（三）未落实有限空间作业审批，或者作业未执行“先通风、再检测、后作业”要求的；</w:t>
            </w:r>
          </w:p>
        </w:tc>
        <w:tc>
          <w:tcPr>
            <w:tcW w:w="476" w:type="pct"/>
            <w:tcBorders>
              <w:top w:val="single" w:color="000000" w:sz="4" w:space="0"/>
              <w:left w:val="single" w:color="000000" w:sz="4" w:space="0"/>
              <w:bottom w:val="single" w:color="000000" w:sz="4" w:space="0"/>
              <w:right w:val="single" w:color="000000" w:sz="4" w:space="0"/>
            </w:tcBorders>
            <w:vAlign w:val="center"/>
          </w:tcPr>
          <w:p w14:paraId="59572E99">
            <w:pPr>
              <w:topLinePunct/>
              <w:adjustRightInd w:val="0"/>
              <w:snapToGrid w:val="0"/>
              <w:jc w:val="left"/>
              <w:textAlignment w:val="center"/>
              <w:rPr>
                <w:rFonts w:eastAsia="仿宋"/>
                <w:color w:val="000000"/>
                <w:sz w:val="24"/>
              </w:rPr>
            </w:pPr>
            <w:r>
              <w:rPr>
                <w:rFonts w:eastAsia="仿宋"/>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1EB56B20">
            <w:pPr>
              <w:topLinePunct/>
              <w:adjustRightInd w:val="0"/>
              <w:snapToGrid w:val="0"/>
              <w:jc w:val="left"/>
              <w:textAlignment w:val="center"/>
              <w:rPr>
                <w:rFonts w:eastAsia="仿宋"/>
                <w:color w:val="000000"/>
                <w:sz w:val="24"/>
              </w:rPr>
            </w:pPr>
            <w:r>
              <w:rPr>
                <w:rFonts w:eastAsia="仿宋"/>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7444006E">
            <w:pPr>
              <w:topLinePunct/>
              <w:adjustRightInd w:val="0"/>
              <w:snapToGrid w:val="0"/>
              <w:jc w:val="center"/>
              <w:textAlignment w:val="center"/>
              <w:rPr>
                <w:rFonts w:hint="eastAsia" w:eastAsia="仿宋"/>
                <w:color w:val="000000"/>
                <w:sz w:val="24"/>
                <w:lang w:eastAsia="zh-CN"/>
              </w:rPr>
            </w:pPr>
            <w:r>
              <w:rPr>
                <w:rFonts w:hint="eastAsia" w:eastAsia="仿宋"/>
                <w:kern w:val="0"/>
                <w:sz w:val="24"/>
                <w:lang w:eastAsia="zh-CN" w:bidi="ar"/>
              </w:rPr>
              <w:t>县级</w:t>
            </w:r>
          </w:p>
        </w:tc>
      </w:tr>
      <w:tr w14:paraId="72AF9F01">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704B69DC">
            <w:pPr>
              <w:topLinePunct/>
              <w:adjustRightInd w:val="0"/>
              <w:snapToGrid w:val="0"/>
              <w:jc w:val="center"/>
              <w:textAlignment w:val="center"/>
              <w:rPr>
                <w:rFonts w:eastAsia="仿宋"/>
                <w:color w:val="000000"/>
                <w:sz w:val="24"/>
              </w:rPr>
            </w:pPr>
            <w:r>
              <w:rPr>
                <w:rFonts w:eastAsia="仿宋"/>
                <w:color w:val="000000"/>
                <w:kern w:val="0"/>
                <w:sz w:val="24"/>
                <w:lang w:bidi="ar"/>
              </w:rPr>
              <w:t>234</w:t>
            </w:r>
          </w:p>
        </w:tc>
        <w:tc>
          <w:tcPr>
            <w:tcW w:w="838" w:type="pct"/>
            <w:tcBorders>
              <w:top w:val="single" w:color="000000" w:sz="4" w:space="0"/>
              <w:left w:val="single" w:color="000000" w:sz="4" w:space="0"/>
              <w:bottom w:val="single" w:color="000000" w:sz="4" w:space="0"/>
              <w:right w:val="single" w:color="000000" w:sz="4" w:space="0"/>
            </w:tcBorders>
            <w:vAlign w:val="center"/>
          </w:tcPr>
          <w:p w14:paraId="6EBB6D7E">
            <w:pPr>
              <w:topLinePunct/>
              <w:adjustRightInd w:val="0"/>
              <w:snapToGrid w:val="0"/>
              <w:textAlignment w:val="center"/>
              <w:rPr>
                <w:rFonts w:eastAsia="仿宋"/>
                <w:color w:val="000000"/>
                <w:sz w:val="24"/>
              </w:rPr>
            </w:pPr>
            <w:r>
              <w:rPr>
                <w:rFonts w:eastAsia="仿宋"/>
                <w:kern w:val="0"/>
                <w:sz w:val="24"/>
                <w:lang w:bidi="ar"/>
              </w:rPr>
              <w:t>对工贸企业未按要求进行通风和气体检测的行政处罚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7976350A">
            <w:pPr>
              <w:topLinePunct/>
              <w:adjustRightInd w:val="0"/>
              <w:snapToGrid w:val="0"/>
              <w:jc w:val="left"/>
              <w:textAlignment w:val="center"/>
              <w:rPr>
                <w:rFonts w:eastAsia="仿宋"/>
                <w:color w:val="000000"/>
                <w:sz w:val="24"/>
              </w:rPr>
            </w:pPr>
            <w:r>
              <w:rPr>
                <w:rFonts w:eastAsia="仿宋"/>
                <w:kern w:val="0"/>
                <w:sz w:val="24"/>
                <w:lang w:bidi="ar"/>
              </w:rPr>
              <w:t>1.《工贸企业有限空间作业安全规定》</w:t>
            </w:r>
            <w:r>
              <w:rPr>
                <w:rFonts w:eastAsia="仿宋"/>
                <w:kern w:val="0"/>
                <w:sz w:val="24"/>
                <w:lang w:bidi="ar"/>
              </w:rPr>
              <w:br w:type="textWrapping"/>
            </w:r>
            <w:r>
              <w:rPr>
                <w:rFonts w:eastAsia="仿宋"/>
                <w:kern w:val="0"/>
                <w:sz w:val="24"/>
                <w:lang w:bidi="ar"/>
              </w:rPr>
              <w:t>第二十一条第四项 违反本规定，有下列情形之一的，责令限期改正，对工贸企业处5万元以下的罚款，对其直接负责的主管人员和其他直接责任人员处1万元以下的罚款：（四）未按要求进行通风和气体检测的。</w:t>
            </w:r>
          </w:p>
        </w:tc>
        <w:tc>
          <w:tcPr>
            <w:tcW w:w="476" w:type="pct"/>
            <w:tcBorders>
              <w:top w:val="single" w:color="000000" w:sz="4" w:space="0"/>
              <w:left w:val="single" w:color="000000" w:sz="4" w:space="0"/>
              <w:bottom w:val="single" w:color="000000" w:sz="4" w:space="0"/>
              <w:right w:val="single" w:color="000000" w:sz="4" w:space="0"/>
            </w:tcBorders>
            <w:vAlign w:val="center"/>
          </w:tcPr>
          <w:p w14:paraId="133A729E">
            <w:pPr>
              <w:topLinePunct/>
              <w:adjustRightInd w:val="0"/>
              <w:snapToGrid w:val="0"/>
              <w:jc w:val="left"/>
              <w:textAlignment w:val="center"/>
              <w:rPr>
                <w:rFonts w:eastAsia="仿宋"/>
                <w:color w:val="000000"/>
                <w:sz w:val="24"/>
              </w:rPr>
            </w:pPr>
            <w:r>
              <w:rPr>
                <w:rFonts w:eastAsia="仿宋"/>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3D01ACD8">
            <w:pPr>
              <w:topLinePunct/>
              <w:adjustRightInd w:val="0"/>
              <w:snapToGrid w:val="0"/>
              <w:jc w:val="left"/>
              <w:textAlignment w:val="center"/>
              <w:rPr>
                <w:rFonts w:eastAsia="仿宋"/>
                <w:color w:val="000000"/>
                <w:sz w:val="24"/>
              </w:rPr>
            </w:pPr>
            <w:r>
              <w:rPr>
                <w:rFonts w:eastAsia="仿宋"/>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043DCFCC">
            <w:pPr>
              <w:topLinePunct/>
              <w:adjustRightInd w:val="0"/>
              <w:snapToGrid w:val="0"/>
              <w:jc w:val="center"/>
              <w:textAlignment w:val="center"/>
              <w:rPr>
                <w:rFonts w:hint="eastAsia" w:eastAsia="仿宋"/>
                <w:color w:val="000000"/>
                <w:sz w:val="24"/>
                <w:lang w:eastAsia="zh-CN"/>
              </w:rPr>
            </w:pPr>
            <w:r>
              <w:rPr>
                <w:rFonts w:hint="eastAsia" w:eastAsia="仿宋"/>
                <w:kern w:val="0"/>
                <w:sz w:val="24"/>
                <w:lang w:eastAsia="zh-CN" w:bidi="ar"/>
              </w:rPr>
              <w:t>县级</w:t>
            </w:r>
          </w:p>
        </w:tc>
      </w:tr>
      <w:tr w14:paraId="11326799">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0F5FAD1C">
            <w:pPr>
              <w:topLinePunct/>
              <w:adjustRightInd w:val="0"/>
              <w:snapToGrid w:val="0"/>
              <w:jc w:val="center"/>
              <w:textAlignment w:val="center"/>
              <w:rPr>
                <w:rFonts w:eastAsia="仿宋"/>
                <w:color w:val="000000"/>
                <w:sz w:val="24"/>
              </w:rPr>
            </w:pPr>
            <w:r>
              <w:rPr>
                <w:rFonts w:eastAsia="仿宋"/>
                <w:color w:val="000000"/>
                <w:kern w:val="0"/>
                <w:sz w:val="24"/>
                <w:lang w:bidi="ar"/>
              </w:rPr>
              <w:t>235</w:t>
            </w:r>
          </w:p>
        </w:tc>
        <w:tc>
          <w:tcPr>
            <w:tcW w:w="838" w:type="pct"/>
            <w:tcBorders>
              <w:top w:val="single" w:color="000000" w:sz="4" w:space="0"/>
              <w:left w:val="single" w:color="000000" w:sz="4" w:space="0"/>
              <w:bottom w:val="single" w:color="000000" w:sz="4" w:space="0"/>
              <w:right w:val="single" w:color="000000" w:sz="4" w:space="0"/>
            </w:tcBorders>
            <w:vAlign w:val="center"/>
          </w:tcPr>
          <w:p w14:paraId="0007DD5E">
            <w:pPr>
              <w:topLinePunct/>
              <w:adjustRightInd w:val="0"/>
              <w:snapToGrid w:val="0"/>
              <w:textAlignment w:val="center"/>
              <w:rPr>
                <w:rFonts w:eastAsia="仿宋"/>
                <w:color w:val="000000"/>
                <w:sz w:val="24"/>
              </w:rPr>
            </w:pPr>
            <w:r>
              <w:rPr>
                <w:rFonts w:eastAsia="仿宋"/>
                <w:color w:val="000000"/>
                <w:kern w:val="0"/>
                <w:sz w:val="24"/>
                <w:lang w:bidi="ar"/>
              </w:rPr>
              <w:t>对安全评价检测检验机构名称等事项发生变化，未按规定向原资质认可机关提出变更申请的行政处罚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6DE9F72A">
            <w:pPr>
              <w:topLinePunct/>
              <w:adjustRightInd w:val="0"/>
              <w:snapToGrid w:val="0"/>
              <w:jc w:val="left"/>
              <w:textAlignment w:val="center"/>
              <w:rPr>
                <w:rFonts w:eastAsia="仿宋"/>
                <w:color w:val="000000"/>
                <w:sz w:val="24"/>
              </w:rPr>
            </w:pPr>
            <w:r>
              <w:rPr>
                <w:rFonts w:eastAsia="仿宋"/>
                <w:color w:val="000000"/>
                <w:kern w:val="0"/>
                <w:sz w:val="24"/>
                <w:lang w:bidi="ar"/>
              </w:rPr>
              <w:t>1.《安全评价检测检验机构管理办法》</w:t>
            </w:r>
            <w:r>
              <w:rPr>
                <w:rFonts w:eastAsia="仿宋"/>
                <w:color w:val="000000"/>
                <w:kern w:val="0"/>
                <w:sz w:val="24"/>
                <w:lang w:bidi="ar"/>
              </w:rPr>
              <w:br w:type="textWrapping"/>
            </w:r>
            <w:r>
              <w:rPr>
                <w:rFonts w:eastAsia="仿宋"/>
                <w:color w:val="000000"/>
                <w:kern w:val="0"/>
                <w:sz w:val="24"/>
                <w:lang w:bidi="ar"/>
              </w:rPr>
              <w:t>第三十条第五项  安全评价检测检验机构有下列情形之一的，责令改正或者责令限期改正，给予警告，可以并处一万元以下的罚款；逾期未改正的，处一万元以上三万元以下的罚款，对相关责任人处一千元以上五千元以下的罚款；情节严重的，处一万元以上三万元以下的罚款，对相关责任人处五千元以上一万元以下的罚款：（五）机构名称、注册地址、实验室条件、法定代表人、专职技术负责人、授权签字人发生变化之日起三十日内未向原资质认可机关提出变更申请的；</w:t>
            </w:r>
          </w:p>
        </w:tc>
        <w:tc>
          <w:tcPr>
            <w:tcW w:w="476" w:type="pct"/>
            <w:tcBorders>
              <w:top w:val="single" w:color="000000" w:sz="4" w:space="0"/>
              <w:left w:val="single" w:color="000000" w:sz="4" w:space="0"/>
              <w:bottom w:val="single" w:color="000000" w:sz="4" w:space="0"/>
              <w:right w:val="single" w:color="000000" w:sz="4" w:space="0"/>
            </w:tcBorders>
            <w:vAlign w:val="center"/>
          </w:tcPr>
          <w:p w14:paraId="7C8385A1">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49DDAE58">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2C317953">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55FC4CC9">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0AB8E909">
            <w:pPr>
              <w:topLinePunct/>
              <w:adjustRightInd w:val="0"/>
              <w:snapToGrid w:val="0"/>
              <w:jc w:val="center"/>
              <w:textAlignment w:val="center"/>
              <w:rPr>
                <w:rFonts w:eastAsia="仿宋"/>
                <w:color w:val="000000"/>
                <w:sz w:val="24"/>
              </w:rPr>
            </w:pPr>
            <w:r>
              <w:rPr>
                <w:rFonts w:eastAsia="仿宋"/>
                <w:color w:val="000000"/>
                <w:kern w:val="0"/>
                <w:sz w:val="24"/>
                <w:lang w:bidi="ar"/>
              </w:rPr>
              <w:t>236</w:t>
            </w:r>
          </w:p>
        </w:tc>
        <w:tc>
          <w:tcPr>
            <w:tcW w:w="838" w:type="pct"/>
            <w:tcBorders>
              <w:top w:val="single" w:color="000000" w:sz="4" w:space="0"/>
              <w:left w:val="single" w:color="000000" w:sz="4" w:space="0"/>
              <w:bottom w:val="single" w:color="000000" w:sz="4" w:space="0"/>
              <w:right w:val="single" w:color="000000" w:sz="4" w:space="0"/>
            </w:tcBorders>
            <w:vAlign w:val="center"/>
          </w:tcPr>
          <w:p w14:paraId="7B144F7D">
            <w:pPr>
              <w:topLinePunct/>
              <w:adjustRightInd w:val="0"/>
              <w:snapToGrid w:val="0"/>
              <w:textAlignment w:val="center"/>
              <w:rPr>
                <w:rFonts w:eastAsia="仿宋"/>
                <w:color w:val="000000"/>
                <w:sz w:val="24"/>
              </w:rPr>
            </w:pPr>
            <w:r>
              <w:rPr>
                <w:rFonts w:eastAsia="仿宋"/>
                <w:color w:val="000000"/>
                <w:kern w:val="0"/>
                <w:sz w:val="24"/>
                <w:lang w:bidi="ar"/>
              </w:rPr>
              <w:t>对未取得资质的安全评价检测检验机构及其有关人员擅自从事安全评价、检测检验服务的行政处罚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2E20964C">
            <w:pPr>
              <w:topLinePunct/>
              <w:adjustRightInd w:val="0"/>
              <w:snapToGrid w:val="0"/>
              <w:jc w:val="left"/>
              <w:textAlignment w:val="center"/>
              <w:rPr>
                <w:rFonts w:eastAsia="仿宋"/>
                <w:color w:val="000000"/>
                <w:sz w:val="24"/>
              </w:rPr>
            </w:pPr>
            <w:r>
              <w:rPr>
                <w:rFonts w:eastAsia="仿宋"/>
                <w:color w:val="000000"/>
                <w:kern w:val="0"/>
                <w:sz w:val="24"/>
                <w:lang w:bidi="ar"/>
              </w:rPr>
              <w:t>1.《安全评价检测检验机构管理办法》</w:t>
            </w:r>
            <w:r>
              <w:rPr>
                <w:rFonts w:eastAsia="仿宋"/>
                <w:color w:val="000000"/>
                <w:kern w:val="0"/>
                <w:sz w:val="24"/>
                <w:lang w:bidi="ar"/>
              </w:rPr>
              <w:br w:type="textWrapping"/>
            </w:r>
            <w:r>
              <w:rPr>
                <w:rFonts w:eastAsia="仿宋"/>
                <w:color w:val="000000"/>
                <w:kern w:val="0"/>
                <w:sz w:val="24"/>
                <w:lang w:bidi="ar"/>
              </w:rPr>
              <w:t>第二十九条  未取得资质的机构及其有关人员擅自从事安全评价、检测检验服务的，责令立即停止违法行为，依照下列规定给予处罚：（一）机构有违法所得的，没收其违法所得，并处违法所得一倍以上三倍以下的罚款，但最高不得超过三万元；没有违法所得的，处五千元以上一万元以下的罚款；（二）有关人员处五千元以上一万元以下的罚款。</w:t>
            </w:r>
            <w:r>
              <w:rPr>
                <w:rFonts w:eastAsia="仿宋"/>
                <w:color w:val="000000"/>
                <w:kern w:val="0"/>
                <w:sz w:val="24"/>
                <w:lang w:bidi="ar"/>
              </w:rPr>
              <w:br w:type="textWrapping"/>
            </w:r>
            <w:r>
              <w:rPr>
                <w:rFonts w:eastAsia="仿宋"/>
                <w:color w:val="000000"/>
                <w:kern w:val="0"/>
                <w:sz w:val="24"/>
                <w:lang w:bidi="ar"/>
              </w:rPr>
              <w:t>对有前款违法行为的机构及其人员，由资质认可机关记入有关机构和人员的信用记录，并依照有关规定予以公告。</w:t>
            </w:r>
          </w:p>
        </w:tc>
        <w:tc>
          <w:tcPr>
            <w:tcW w:w="476" w:type="pct"/>
            <w:tcBorders>
              <w:top w:val="single" w:color="000000" w:sz="4" w:space="0"/>
              <w:left w:val="single" w:color="000000" w:sz="4" w:space="0"/>
              <w:bottom w:val="single" w:color="000000" w:sz="4" w:space="0"/>
              <w:right w:val="single" w:color="000000" w:sz="4" w:space="0"/>
            </w:tcBorders>
            <w:vAlign w:val="center"/>
          </w:tcPr>
          <w:p w14:paraId="7797D040">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23D459A7">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1B59672C">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4D0E6903">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0DE59D42">
            <w:pPr>
              <w:topLinePunct/>
              <w:adjustRightInd w:val="0"/>
              <w:snapToGrid w:val="0"/>
              <w:jc w:val="center"/>
              <w:textAlignment w:val="center"/>
              <w:rPr>
                <w:rFonts w:eastAsia="仿宋"/>
                <w:color w:val="000000"/>
                <w:sz w:val="24"/>
              </w:rPr>
            </w:pPr>
            <w:r>
              <w:rPr>
                <w:rFonts w:eastAsia="仿宋"/>
                <w:color w:val="000000"/>
                <w:kern w:val="0"/>
                <w:sz w:val="24"/>
                <w:lang w:bidi="ar"/>
              </w:rPr>
              <w:t>237</w:t>
            </w:r>
          </w:p>
        </w:tc>
        <w:tc>
          <w:tcPr>
            <w:tcW w:w="838" w:type="pct"/>
            <w:tcBorders>
              <w:top w:val="single" w:color="000000" w:sz="4" w:space="0"/>
              <w:left w:val="single" w:color="000000" w:sz="4" w:space="0"/>
              <w:bottom w:val="single" w:color="000000" w:sz="4" w:space="0"/>
              <w:right w:val="single" w:color="000000" w:sz="4" w:space="0"/>
            </w:tcBorders>
            <w:vAlign w:val="center"/>
          </w:tcPr>
          <w:p w14:paraId="4937021C">
            <w:pPr>
              <w:topLinePunct/>
              <w:adjustRightInd w:val="0"/>
              <w:snapToGrid w:val="0"/>
              <w:textAlignment w:val="center"/>
              <w:rPr>
                <w:rFonts w:eastAsia="仿宋"/>
                <w:color w:val="000000"/>
                <w:sz w:val="24"/>
              </w:rPr>
            </w:pPr>
            <w:r>
              <w:rPr>
                <w:rFonts w:eastAsia="仿宋"/>
                <w:color w:val="000000"/>
                <w:kern w:val="0"/>
                <w:sz w:val="24"/>
                <w:lang w:bidi="ar"/>
              </w:rPr>
              <w:t>对安全评价检测检验机构及其从业人员租借资质、挂靠、出具虚假报告的行政处罚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2E5C1D96">
            <w:pPr>
              <w:topLinePunct/>
              <w:adjustRightInd w:val="0"/>
              <w:snapToGrid w:val="0"/>
              <w:jc w:val="left"/>
              <w:textAlignment w:val="center"/>
              <w:rPr>
                <w:rFonts w:eastAsia="仿宋"/>
                <w:color w:val="000000"/>
                <w:sz w:val="24"/>
              </w:rPr>
            </w:pPr>
            <w:r>
              <w:rPr>
                <w:rFonts w:eastAsia="仿宋"/>
                <w:color w:val="000000"/>
                <w:kern w:val="0"/>
                <w:sz w:val="24"/>
                <w:lang w:bidi="ar"/>
              </w:rPr>
              <w:t>1.《中华人民共和国安全生产法》</w:t>
            </w:r>
            <w:r>
              <w:rPr>
                <w:rFonts w:eastAsia="仿宋"/>
                <w:color w:val="000000"/>
                <w:kern w:val="0"/>
                <w:sz w:val="24"/>
                <w:lang w:bidi="ar"/>
              </w:rPr>
              <w:br w:type="textWrapping"/>
            </w:r>
            <w:r>
              <w:rPr>
                <w:rFonts w:eastAsia="仿宋"/>
                <w:color w:val="000000"/>
                <w:kern w:val="0"/>
                <w:sz w:val="24"/>
                <w:lang w:bidi="ar"/>
              </w:rPr>
              <w:t>第九十二条第二款、第三款  承担安全评价、认证、检测、检验职责的机构租借资质、挂靠、出具虚假报告的，没收违法所得；违法所得在十万元以上的，并处违法所得二倍以上五倍以下的罚款，没有违法所得或者违法所得不足十万元的，单处或者并处十万元以上二十万元以下的罚款；对其直接负责的主管人员和其他直接责任人员处五万元以上十万元以下的罚款；给他人造成损害的，与生产经营单位承担连带赔偿责任；构成犯罪的，依照刑法有关规定追究刑事责任。</w:t>
            </w:r>
            <w:r>
              <w:rPr>
                <w:rFonts w:eastAsia="仿宋"/>
                <w:color w:val="000000"/>
                <w:kern w:val="0"/>
                <w:sz w:val="24"/>
                <w:lang w:bidi="ar"/>
              </w:rPr>
              <w:br w:type="textWrapping"/>
            </w:r>
            <w:r>
              <w:rPr>
                <w:rFonts w:eastAsia="仿宋"/>
                <w:color w:val="000000"/>
                <w:kern w:val="0"/>
                <w:sz w:val="24"/>
                <w:lang w:bidi="ar"/>
              </w:rPr>
              <w:t>对有前款违法行为的机构及其直接责任人员，吊销其相应资质和资格，五年内不得从事安全评价、认证、检测、检验等工作；情节严重的，实行终身行业和职业禁入。</w:t>
            </w:r>
            <w:r>
              <w:rPr>
                <w:rFonts w:eastAsia="仿宋"/>
                <w:color w:val="000000"/>
                <w:kern w:val="0"/>
                <w:sz w:val="24"/>
                <w:lang w:bidi="ar"/>
              </w:rPr>
              <w:br w:type="textWrapping"/>
            </w:r>
            <w:r>
              <w:rPr>
                <w:rFonts w:eastAsia="仿宋"/>
                <w:color w:val="000000"/>
                <w:kern w:val="0"/>
                <w:sz w:val="24"/>
                <w:lang w:bidi="ar"/>
              </w:rPr>
              <w:t>第一百一十五条  本法规定的行政处罚，由应急管理部门和其他负有安全生产监督管理职责的部门按照职责分工决定；其中，根据本法第九十五条、第一百一十条、第一百一十四条的规定应当给予民航、铁路、电力行业的生产经营单位及其主要负责人行政处罚的，也可以由主管的负有安全生产监督管理职责的部门进行处罚。予以关闭的行政处罚，由负有安全生产监督管理职责的部门报请县级以上人民政府按照国务院规定的权限决定；给予拘留的行政处罚，由公安机关依照治安管理处罚的规定决定。</w:t>
            </w:r>
          </w:p>
        </w:tc>
        <w:tc>
          <w:tcPr>
            <w:tcW w:w="476" w:type="pct"/>
            <w:tcBorders>
              <w:top w:val="single" w:color="000000" w:sz="4" w:space="0"/>
              <w:left w:val="single" w:color="000000" w:sz="4" w:space="0"/>
              <w:bottom w:val="single" w:color="000000" w:sz="4" w:space="0"/>
              <w:right w:val="single" w:color="000000" w:sz="4" w:space="0"/>
            </w:tcBorders>
            <w:vAlign w:val="center"/>
          </w:tcPr>
          <w:p w14:paraId="576EF99B">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5A36EBC9">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2BDA7944">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7A673B38">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5E67F04E">
            <w:pPr>
              <w:topLinePunct/>
              <w:adjustRightInd w:val="0"/>
              <w:snapToGrid w:val="0"/>
              <w:jc w:val="center"/>
              <w:textAlignment w:val="center"/>
              <w:rPr>
                <w:rFonts w:eastAsia="仿宋"/>
                <w:color w:val="000000"/>
                <w:sz w:val="24"/>
              </w:rPr>
            </w:pPr>
            <w:r>
              <w:rPr>
                <w:rFonts w:eastAsia="仿宋"/>
                <w:color w:val="000000"/>
                <w:kern w:val="0"/>
                <w:sz w:val="24"/>
                <w:lang w:bidi="ar"/>
              </w:rPr>
              <w:t>238</w:t>
            </w:r>
          </w:p>
        </w:tc>
        <w:tc>
          <w:tcPr>
            <w:tcW w:w="838" w:type="pct"/>
            <w:tcBorders>
              <w:top w:val="single" w:color="000000" w:sz="4" w:space="0"/>
              <w:left w:val="single" w:color="000000" w:sz="4" w:space="0"/>
              <w:bottom w:val="single" w:color="000000" w:sz="4" w:space="0"/>
              <w:right w:val="single" w:color="000000" w:sz="4" w:space="0"/>
            </w:tcBorders>
            <w:vAlign w:val="center"/>
          </w:tcPr>
          <w:p w14:paraId="04C5F744">
            <w:pPr>
              <w:topLinePunct/>
              <w:adjustRightInd w:val="0"/>
              <w:snapToGrid w:val="0"/>
              <w:textAlignment w:val="center"/>
              <w:rPr>
                <w:rFonts w:eastAsia="仿宋"/>
                <w:color w:val="000000"/>
                <w:sz w:val="24"/>
              </w:rPr>
            </w:pPr>
            <w:r>
              <w:rPr>
                <w:rFonts w:eastAsia="仿宋"/>
                <w:color w:val="000000"/>
                <w:kern w:val="0"/>
                <w:sz w:val="24"/>
                <w:lang w:bidi="ar"/>
              </w:rPr>
              <w:t>对安全评价检测检验机构未依法与委托方签订技术服务合同等行为的行政处罚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6A747D22">
            <w:pPr>
              <w:topLinePunct/>
              <w:adjustRightInd w:val="0"/>
              <w:snapToGrid w:val="0"/>
              <w:jc w:val="left"/>
              <w:textAlignment w:val="center"/>
              <w:rPr>
                <w:rFonts w:eastAsia="仿宋"/>
                <w:color w:val="000000"/>
                <w:sz w:val="24"/>
              </w:rPr>
            </w:pPr>
            <w:r>
              <w:rPr>
                <w:rFonts w:eastAsia="仿宋"/>
                <w:color w:val="000000"/>
                <w:kern w:val="0"/>
                <w:sz w:val="24"/>
                <w:lang w:bidi="ar"/>
              </w:rPr>
              <w:t>1.《安全评价检测检验机构管理办法》</w:t>
            </w:r>
            <w:r>
              <w:rPr>
                <w:rFonts w:eastAsia="仿宋"/>
                <w:color w:val="000000"/>
                <w:kern w:val="0"/>
                <w:sz w:val="24"/>
                <w:lang w:bidi="ar"/>
              </w:rPr>
              <w:br w:type="textWrapping"/>
            </w:r>
            <w:r>
              <w:rPr>
                <w:rFonts w:eastAsia="仿宋"/>
                <w:color w:val="000000"/>
                <w:kern w:val="0"/>
                <w:sz w:val="24"/>
                <w:lang w:bidi="ar"/>
              </w:rPr>
              <w:t>第三十条第一项、第二项、第三项、第四项、第六项、第八项、第九项   安全评价检测检验机构有下列情形之一的，责令改正或者责令限期改正，给予警告，可以并处一万元以下的罚款；逾期未改正的，处一万元以上三万元以下的罚款，对相关责任人处一千元以上五千元以下的罚款；情节严重的，处一万元以上三万元以下的罚款，对相关责任人处五千元以上一万元以下的罚款：（一）未依法与委托方签订技术服务合同的；（二）违反法规标准规定更改或者简化安全评价、检测检验程序和相关内容的；（三）未按规定公开安全评价报告、安全生产检测检验报告相关信息及现场勘验图像影像资料的；（四）未在开展现场技术服务前七个工作日内，书面告知项目实施地资质认可机关的；（六）未按照有关法规标准的强制性规定从事安全评价、检测检验活动的；（八）安全评价项目组组长及负责勘验人员不到现场实际地点开展勘验等有关工作的；（九）承担现场检测检验的人员不到现场实际地点开展设备检测检验等有关工作的；</w:t>
            </w:r>
          </w:p>
        </w:tc>
        <w:tc>
          <w:tcPr>
            <w:tcW w:w="476" w:type="pct"/>
            <w:tcBorders>
              <w:top w:val="single" w:color="000000" w:sz="4" w:space="0"/>
              <w:left w:val="single" w:color="000000" w:sz="4" w:space="0"/>
              <w:bottom w:val="single" w:color="000000" w:sz="4" w:space="0"/>
              <w:right w:val="single" w:color="000000" w:sz="4" w:space="0"/>
            </w:tcBorders>
            <w:vAlign w:val="center"/>
          </w:tcPr>
          <w:p w14:paraId="4CBF61C9">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06E48AAE">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11D11D5A">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3D5F4234">
        <w:tblPrEx>
          <w:tblCellMar>
            <w:top w:w="0" w:type="dxa"/>
            <w:left w:w="108" w:type="dxa"/>
            <w:bottom w:w="0" w:type="dxa"/>
            <w:right w:w="108" w:type="dxa"/>
          </w:tblCellMar>
        </w:tblPrEx>
        <w:trPr>
          <w:trHeight w:val="258"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71093835">
            <w:pPr>
              <w:topLinePunct/>
              <w:adjustRightInd w:val="0"/>
              <w:snapToGrid w:val="0"/>
              <w:jc w:val="center"/>
              <w:textAlignment w:val="center"/>
              <w:rPr>
                <w:rFonts w:eastAsia="仿宋"/>
                <w:color w:val="000000"/>
                <w:sz w:val="24"/>
              </w:rPr>
            </w:pPr>
            <w:r>
              <w:rPr>
                <w:rFonts w:eastAsia="仿宋"/>
                <w:color w:val="000000"/>
                <w:kern w:val="0"/>
                <w:sz w:val="24"/>
                <w:lang w:bidi="ar"/>
              </w:rPr>
              <w:t>239</w:t>
            </w:r>
          </w:p>
        </w:tc>
        <w:tc>
          <w:tcPr>
            <w:tcW w:w="838" w:type="pct"/>
            <w:tcBorders>
              <w:top w:val="single" w:color="000000" w:sz="4" w:space="0"/>
              <w:left w:val="single" w:color="000000" w:sz="4" w:space="0"/>
              <w:bottom w:val="single" w:color="000000" w:sz="4" w:space="0"/>
              <w:right w:val="single" w:color="000000" w:sz="4" w:space="0"/>
            </w:tcBorders>
            <w:vAlign w:val="center"/>
          </w:tcPr>
          <w:p w14:paraId="36817CF8">
            <w:pPr>
              <w:topLinePunct/>
              <w:adjustRightInd w:val="0"/>
              <w:snapToGrid w:val="0"/>
              <w:textAlignment w:val="center"/>
              <w:rPr>
                <w:rFonts w:eastAsia="仿宋"/>
                <w:color w:val="000000"/>
                <w:sz w:val="24"/>
              </w:rPr>
            </w:pPr>
            <w:r>
              <w:rPr>
                <w:rFonts w:eastAsia="仿宋"/>
                <w:color w:val="000000"/>
                <w:kern w:val="0"/>
                <w:sz w:val="24"/>
                <w:lang w:bidi="ar"/>
              </w:rPr>
              <w:t>对安全评价检测检验机构出具失实的安全评价、检测检验报告行政处罚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62866FFE">
            <w:pPr>
              <w:topLinePunct/>
              <w:adjustRightInd w:val="0"/>
              <w:snapToGrid w:val="0"/>
              <w:jc w:val="left"/>
              <w:textAlignment w:val="center"/>
              <w:rPr>
                <w:rFonts w:eastAsia="仿宋"/>
                <w:color w:val="000000"/>
                <w:sz w:val="24"/>
              </w:rPr>
            </w:pPr>
            <w:r>
              <w:rPr>
                <w:rFonts w:eastAsia="仿宋"/>
                <w:color w:val="000000"/>
                <w:kern w:val="0"/>
                <w:sz w:val="24"/>
                <w:lang w:bidi="ar"/>
              </w:rPr>
              <w:t>1.《中华人民共和国安全生产法》</w:t>
            </w:r>
            <w:r>
              <w:rPr>
                <w:rFonts w:eastAsia="仿宋"/>
                <w:color w:val="000000"/>
                <w:kern w:val="0"/>
                <w:sz w:val="24"/>
                <w:lang w:bidi="ar"/>
              </w:rPr>
              <w:br w:type="textWrapping"/>
            </w:r>
            <w:r>
              <w:rPr>
                <w:rFonts w:eastAsia="仿宋"/>
                <w:color w:val="000000"/>
                <w:kern w:val="0"/>
                <w:sz w:val="24"/>
                <w:lang w:bidi="ar"/>
              </w:rPr>
              <w:t>第九十二条第一款  承担安全评价、认证、检测、检验职责的机构出具失实报告的，责令停业整顿，并处三万元以上十万元以下的罚款；给他人造成损害的，依法承担赔偿责任。</w:t>
            </w:r>
            <w:r>
              <w:rPr>
                <w:rFonts w:eastAsia="仿宋"/>
                <w:color w:val="000000"/>
                <w:kern w:val="0"/>
                <w:sz w:val="24"/>
                <w:lang w:bidi="ar"/>
              </w:rPr>
              <w:br w:type="textWrapping"/>
            </w:r>
            <w:r>
              <w:rPr>
                <w:rFonts w:eastAsia="仿宋"/>
                <w:color w:val="000000"/>
                <w:kern w:val="0"/>
                <w:sz w:val="24"/>
                <w:lang w:bidi="ar"/>
              </w:rPr>
              <w:t>第一百一十五条  本法规定的行政处罚，由应急管理部门和其他负有安全生产监督管理职责的部门按照职责分工决定；其中，根据本法第九十五条、第一百一十条、第一百一十四条的规定应当给予民航、铁路、电力行业的生产经营单位及其主要负责人行政处罚的，也可以由主管的负有安全生产监督管理职责的部门进行处罚。予以关闭的行政处罚，由负有安全生产监督管理职责的部门报请县级以上人民政府按照国务院规定的权限决定；给予拘留的行政处罚，由公安机关依照治安管理处罚的规定决定。</w:t>
            </w:r>
          </w:p>
        </w:tc>
        <w:tc>
          <w:tcPr>
            <w:tcW w:w="476" w:type="pct"/>
            <w:tcBorders>
              <w:top w:val="single" w:color="000000" w:sz="4" w:space="0"/>
              <w:left w:val="single" w:color="000000" w:sz="4" w:space="0"/>
              <w:bottom w:val="single" w:color="000000" w:sz="4" w:space="0"/>
              <w:right w:val="single" w:color="000000" w:sz="4" w:space="0"/>
            </w:tcBorders>
            <w:vAlign w:val="center"/>
          </w:tcPr>
          <w:p w14:paraId="573ACD85">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2F039723">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5D66A0A4">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31F17967">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3675EB3B">
            <w:pPr>
              <w:topLinePunct/>
              <w:adjustRightInd w:val="0"/>
              <w:snapToGrid w:val="0"/>
              <w:jc w:val="center"/>
              <w:textAlignment w:val="center"/>
              <w:rPr>
                <w:rFonts w:eastAsia="仿宋"/>
                <w:sz w:val="24"/>
              </w:rPr>
            </w:pPr>
            <w:r>
              <w:rPr>
                <w:rFonts w:eastAsia="仿宋"/>
                <w:kern w:val="0"/>
                <w:sz w:val="24"/>
                <w:lang w:bidi="ar"/>
              </w:rPr>
              <w:t>240</w:t>
            </w:r>
          </w:p>
        </w:tc>
        <w:tc>
          <w:tcPr>
            <w:tcW w:w="838" w:type="pct"/>
            <w:tcBorders>
              <w:top w:val="single" w:color="000000" w:sz="4" w:space="0"/>
              <w:left w:val="single" w:color="000000" w:sz="4" w:space="0"/>
              <w:bottom w:val="single" w:color="000000" w:sz="4" w:space="0"/>
              <w:right w:val="single" w:color="000000" w:sz="4" w:space="0"/>
            </w:tcBorders>
            <w:vAlign w:val="center"/>
          </w:tcPr>
          <w:p w14:paraId="282847C2">
            <w:pPr>
              <w:topLinePunct/>
              <w:adjustRightInd w:val="0"/>
              <w:snapToGrid w:val="0"/>
              <w:textAlignment w:val="center"/>
              <w:rPr>
                <w:rFonts w:eastAsia="仿宋"/>
                <w:sz w:val="24"/>
              </w:rPr>
            </w:pPr>
            <w:r>
              <w:rPr>
                <w:rFonts w:eastAsia="仿宋"/>
                <w:color w:val="000000"/>
                <w:kern w:val="0"/>
                <w:sz w:val="24"/>
                <w:lang w:bidi="ar"/>
              </w:rPr>
              <w:t>对安全评价检测检验机构出具重大疏漏的安全评价、检测检验报告的行政处罚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64F90699">
            <w:pPr>
              <w:topLinePunct/>
              <w:adjustRightInd w:val="0"/>
              <w:snapToGrid w:val="0"/>
              <w:jc w:val="left"/>
              <w:textAlignment w:val="center"/>
              <w:rPr>
                <w:rFonts w:eastAsia="仿宋"/>
                <w:sz w:val="24"/>
              </w:rPr>
            </w:pPr>
            <w:r>
              <w:rPr>
                <w:rFonts w:eastAsia="仿宋"/>
                <w:color w:val="000000"/>
                <w:kern w:val="0"/>
                <w:sz w:val="24"/>
                <w:lang w:bidi="ar"/>
              </w:rPr>
              <w:t>1.《安全评价检测检验机构管理办法》</w:t>
            </w:r>
            <w:r>
              <w:rPr>
                <w:rFonts w:eastAsia="仿宋"/>
                <w:color w:val="000000"/>
                <w:kern w:val="0"/>
                <w:sz w:val="24"/>
                <w:lang w:bidi="ar"/>
              </w:rPr>
              <w:br w:type="textWrapping"/>
            </w:r>
            <w:r>
              <w:rPr>
                <w:rFonts w:eastAsia="仿宋"/>
                <w:color w:val="000000"/>
                <w:kern w:val="0"/>
                <w:sz w:val="24"/>
                <w:lang w:bidi="ar"/>
              </w:rPr>
              <w:t>第三十条第十项、第十一项  安全评价检测检验机构有下列情形之一的，责令改正或者责令限期改正，给予警告，可以并处一万元以下的罚款；逾期未改正的，处一万元以上三万元以下的罚款，对相关责任人处一千元以上五千元以下的罚款；情节严重的，处一万元以上三万元以下的罚款，对相关责任人处五千元以上一万元以下的罚款：（十）安全评价报告存在法规标准引用错误、关键危险有害因素漏项、重大危险源辨识错误、对策措施建议与存在问题严重不符等重大疏漏，但尚未造成重大损失的；（十一）安全生产检测检验报告存在法规标准引用错误、关键项目漏检、结论不明确等重大疏漏，但尚未造成重大损失的。</w:t>
            </w:r>
          </w:p>
        </w:tc>
        <w:tc>
          <w:tcPr>
            <w:tcW w:w="476" w:type="pct"/>
            <w:tcBorders>
              <w:top w:val="single" w:color="000000" w:sz="4" w:space="0"/>
              <w:left w:val="single" w:color="000000" w:sz="4" w:space="0"/>
              <w:bottom w:val="single" w:color="000000" w:sz="4" w:space="0"/>
              <w:right w:val="single" w:color="000000" w:sz="4" w:space="0"/>
            </w:tcBorders>
            <w:vAlign w:val="center"/>
          </w:tcPr>
          <w:p w14:paraId="7FF22FAC">
            <w:pPr>
              <w:topLinePunct/>
              <w:adjustRightInd w:val="0"/>
              <w:snapToGrid w:val="0"/>
              <w:jc w:val="left"/>
              <w:textAlignment w:val="center"/>
              <w:rPr>
                <w:rFonts w:eastAsia="仿宋"/>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6EBA3936">
            <w:pPr>
              <w:topLinePunct/>
              <w:adjustRightInd w:val="0"/>
              <w:snapToGrid w:val="0"/>
              <w:jc w:val="left"/>
              <w:textAlignment w:val="center"/>
              <w:rPr>
                <w:rFonts w:eastAsia="仿宋"/>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2726E3C6">
            <w:pPr>
              <w:topLinePunct/>
              <w:adjustRightInd w:val="0"/>
              <w:snapToGrid w:val="0"/>
              <w:jc w:val="center"/>
              <w:textAlignment w:val="center"/>
              <w:rPr>
                <w:rFonts w:hint="eastAsia" w:eastAsia="仿宋"/>
                <w:sz w:val="24"/>
                <w:lang w:eastAsia="zh-CN"/>
              </w:rPr>
            </w:pPr>
            <w:r>
              <w:rPr>
                <w:rFonts w:hint="eastAsia" w:eastAsia="仿宋"/>
                <w:color w:val="000000"/>
                <w:kern w:val="0"/>
                <w:sz w:val="24"/>
                <w:lang w:eastAsia="zh-CN" w:bidi="ar"/>
              </w:rPr>
              <w:t>县级</w:t>
            </w:r>
          </w:p>
        </w:tc>
      </w:tr>
      <w:tr w14:paraId="64F17133">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254CC503">
            <w:pPr>
              <w:topLinePunct/>
              <w:adjustRightInd w:val="0"/>
              <w:snapToGrid w:val="0"/>
              <w:jc w:val="center"/>
              <w:textAlignment w:val="center"/>
              <w:rPr>
                <w:rFonts w:eastAsia="仿宋"/>
                <w:sz w:val="24"/>
              </w:rPr>
            </w:pPr>
            <w:r>
              <w:rPr>
                <w:rFonts w:eastAsia="仿宋"/>
                <w:kern w:val="0"/>
                <w:sz w:val="24"/>
                <w:lang w:bidi="ar"/>
              </w:rPr>
              <w:t>241</w:t>
            </w:r>
          </w:p>
        </w:tc>
        <w:tc>
          <w:tcPr>
            <w:tcW w:w="838" w:type="pct"/>
            <w:tcBorders>
              <w:top w:val="single" w:color="000000" w:sz="4" w:space="0"/>
              <w:left w:val="single" w:color="000000" w:sz="4" w:space="0"/>
              <w:bottom w:val="single" w:color="000000" w:sz="4" w:space="0"/>
              <w:right w:val="single" w:color="000000" w:sz="4" w:space="0"/>
            </w:tcBorders>
            <w:vAlign w:val="center"/>
          </w:tcPr>
          <w:p w14:paraId="7D772C51">
            <w:pPr>
              <w:topLinePunct/>
              <w:adjustRightInd w:val="0"/>
              <w:snapToGrid w:val="0"/>
              <w:textAlignment w:val="center"/>
              <w:rPr>
                <w:rFonts w:eastAsia="仿宋"/>
                <w:sz w:val="24"/>
              </w:rPr>
            </w:pPr>
            <w:r>
              <w:rPr>
                <w:rFonts w:eastAsia="仿宋"/>
                <w:color w:val="000000"/>
                <w:kern w:val="0"/>
                <w:sz w:val="24"/>
                <w:lang w:bidi="ar"/>
              </w:rPr>
              <w:t>对金属非金属地下矿山未按规定保存图纸或现状图纸与实际不符等行为的行政处罚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5F2D2AA6">
            <w:pPr>
              <w:topLinePunct/>
              <w:adjustRightInd w:val="0"/>
              <w:snapToGrid w:val="0"/>
              <w:jc w:val="left"/>
              <w:textAlignment w:val="center"/>
              <w:rPr>
                <w:rFonts w:eastAsia="仿宋"/>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一、金属非金属地下矿山重大事故隐患</w:t>
            </w:r>
            <w:r>
              <w:rPr>
                <w:rFonts w:eastAsia="仿宋"/>
                <w:color w:val="000000"/>
                <w:kern w:val="0"/>
                <w:sz w:val="24"/>
                <w:lang w:bidi="ar"/>
              </w:rPr>
              <w:br w:type="textWrapping"/>
            </w:r>
            <w:r>
              <w:rPr>
                <w:rFonts w:eastAsia="仿宋"/>
                <w:color w:val="000000"/>
                <w:kern w:val="0"/>
                <w:sz w:val="24"/>
                <w:lang w:bidi="ar"/>
              </w:rPr>
              <w:t>（四）地下矿山现状图纸存在下列情形之一的：</w:t>
            </w:r>
            <w:r>
              <w:rPr>
                <w:rFonts w:eastAsia="仿宋"/>
                <w:color w:val="000000"/>
                <w:kern w:val="0"/>
                <w:sz w:val="24"/>
                <w:lang w:bidi="ar"/>
              </w:rPr>
              <w:br w:type="textWrapping"/>
            </w:r>
            <w:r>
              <w:rPr>
                <w:rFonts w:eastAsia="仿宋"/>
                <w:color w:val="000000"/>
                <w:kern w:val="0"/>
                <w:sz w:val="24"/>
                <w:lang w:bidi="ar"/>
              </w:rPr>
              <w:t>1未保存《金属非金属矿山安全规程》（GB16423 -2020）第4.1.10 条规定的图纸，或者生产矿山每3个月、基建矿山每1个月未更新上述图纸；</w:t>
            </w:r>
            <w:r>
              <w:rPr>
                <w:rFonts w:eastAsia="仿宋"/>
                <w:color w:val="000000"/>
                <w:kern w:val="0"/>
                <w:sz w:val="24"/>
                <w:lang w:bidi="ar"/>
              </w:rPr>
              <w:br w:type="textWrapping"/>
            </w:r>
            <w:r>
              <w:rPr>
                <w:rFonts w:eastAsia="仿宋"/>
                <w:color w:val="000000"/>
                <w:kern w:val="0"/>
                <w:sz w:val="24"/>
                <w:lang w:bidi="ar"/>
              </w:rPr>
              <w:t>2岩体移动范围内的地面建构筑物、运输道路及沟谷河流与实际不符；</w:t>
            </w:r>
            <w:r>
              <w:rPr>
                <w:rFonts w:eastAsia="仿宋"/>
                <w:color w:val="000000"/>
                <w:kern w:val="0"/>
                <w:sz w:val="24"/>
                <w:lang w:bidi="ar"/>
              </w:rPr>
              <w:br w:type="textWrapping"/>
            </w:r>
            <w:r>
              <w:rPr>
                <w:rFonts w:eastAsia="仿宋"/>
                <w:color w:val="000000"/>
                <w:kern w:val="0"/>
                <w:sz w:val="24"/>
                <w:lang w:bidi="ar"/>
              </w:rPr>
              <w:t>3开拓工程和采准工程的井巷或者井下采区与实际不符；</w:t>
            </w:r>
            <w:r>
              <w:rPr>
                <w:rFonts w:eastAsia="仿宋"/>
                <w:color w:val="000000"/>
                <w:kern w:val="0"/>
                <w:sz w:val="24"/>
                <w:lang w:bidi="ar"/>
              </w:rPr>
              <w:br w:type="textWrapping"/>
            </w:r>
            <w:r>
              <w:rPr>
                <w:rFonts w:eastAsia="仿宋"/>
                <w:color w:val="000000"/>
                <w:kern w:val="0"/>
                <w:sz w:val="24"/>
                <w:lang w:bidi="ar"/>
              </w:rPr>
              <w:t>4相邻矿山采区位置关系与实际不符；</w:t>
            </w:r>
            <w:r>
              <w:rPr>
                <w:rFonts w:eastAsia="仿宋"/>
                <w:color w:val="000000"/>
                <w:kern w:val="0"/>
                <w:sz w:val="24"/>
                <w:lang w:bidi="ar"/>
              </w:rPr>
              <w:br w:type="textWrapping"/>
            </w:r>
            <w:r>
              <w:rPr>
                <w:rFonts w:eastAsia="仿宋"/>
                <w:color w:val="000000"/>
                <w:kern w:val="0"/>
                <w:sz w:val="24"/>
                <w:lang w:bidi="ar"/>
              </w:rPr>
              <w:t>5采空区和废弃井巷的位置、处理方式、现状，以及地表塌陷区的位置与实际不符。</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62002BA7">
            <w:pPr>
              <w:topLinePunct/>
              <w:adjustRightInd w:val="0"/>
              <w:snapToGrid w:val="0"/>
              <w:jc w:val="left"/>
              <w:textAlignment w:val="center"/>
              <w:rPr>
                <w:rFonts w:eastAsia="仿宋"/>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66F5929E">
            <w:pPr>
              <w:topLinePunct/>
              <w:adjustRightInd w:val="0"/>
              <w:snapToGrid w:val="0"/>
              <w:jc w:val="left"/>
              <w:textAlignment w:val="center"/>
              <w:rPr>
                <w:rFonts w:eastAsia="仿宋"/>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349FFB79">
            <w:pPr>
              <w:topLinePunct/>
              <w:adjustRightInd w:val="0"/>
              <w:snapToGrid w:val="0"/>
              <w:jc w:val="center"/>
              <w:textAlignment w:val="center"/>
              <w:rPr>
                <w:rFonts w:hint="eastAsia" w:eastAsia="仿宋"/>
                <w:sz w:val="24"/>
                <w:lang w:eastAsia="zh-CN"/>
              </w:rPr>
            </w:pPr>
            <w:r>
              <w:rPr>
                <w:rFonts w:hint="eastAsia" w:eastAsia="仿宋"/>
                <w:color w:val="000000"/>
                <w:kern w:val="0"/>
                <w:sz w:val="24"/>
                <w:lang w:eastAsia="zh-CN" w:bidi="ar"/>
              </w:rPr>
              <w:t>县级</w:t>
            </w:r>
          </w:p>
        </w:tc>
      </w:tr>
      <w:tr w14:paraId="5F036CA3">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54D55E8F">
            <w:pPr>
              <w:topLinePunct/>
              <w:adjustRightInd w:val="0"/>
              <w:snapToGrid w:val="0"/>
              <w:jc w:val="center"/>
              <w:textAlignment w:val="center"/>
              <w:rPr>
                <w:rFonts w:eastAsia="仿宋"/>
                <w:sz w:val="24"/>
              </w:rPr>
            </w:pPr>
            <w:r>
              <w:rPr>
                <w:rFonts w:eastAsia="仿宋"/>
                <w:kern w:val="0"/>
                <w:sz w:val="24"/>
                <w:lang w:bidi="ar"/>
              </w:rPr>
              <w:t>242</w:t>
            </w:r>
          </w:p>
        </w:tc>
        <w:tc>
          <w:tcPr>
            <w:tcW w:w="838" w:type="pct"/>
            <w:tcBorders>
              <w:top w:val="single" w:color="000000" w:sz="4" w:space="0"/>
              <w:left w:val="single" w:color="000000" w:sz="4" w:space="0"/>
              <w:bottom w:val="single" w:color="000000" w:sz="4" w:space="0"/>
              <w:right w:val="single" w:color="000000" w:sz="4" w:space="0"/>
            </w:tcBorders>
            <w:vAlign w:val="center"/>
          </w:tcPr>
          <w:p w14:paraId="31838C23">
            <w:pPr>
              <w:topLinePunct/>
              <w:adjustRightInd w:val="0"/>
              <w:snapToGrid w:val="0"/>
              <w:textAlignment w:val="center"/>
              <w:rPr>
                <w:rFonts w:eastAsia="仿宋"/>
                <w:sz w:val="24"/>
              </w:rPr>
            </w:pPr>
            <w:r>
              <w:rPr>
                <w:rFonts w:eastAsia="仿宋"/>
                <w:color w:val="000000"/>
                <w:kern w:val="0"/>
                <w:sz w:val="24"/>
                <w:lang w:bidi="ar"/>
              </w:rPr>
              <w:t>对金属非金属地下矿山安全出口不符合标准或设计要求的行政处罚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6DD29136">
            <w:pPr>
              <w:topLinePunct/>
              <w:adjustRightInd w:val="0"/>
              <w:snapToGrid w:val="0"/>
              <w:jc w:val="left"/>
              <w:textAlignment w:val="center"/>
              <w:rPr>
                <w:rFonts w:eastAsia="仿宋"/>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一、金属非金属地下矿山重大事故隐患</w:t>
            </w:r>
            <w:r>
              <w:rPr>
                <w:rFonts w:eastAsia="仿宋"/>
                <w:color w:val="000000"/>
                <w:kern w:val="0"/>
                <w:sz w:val="24"/>
                <w:lang w:bidi="ar"/>
              </w:rPr>
              <w:br w:type="textWrapping"/>
            </w:r>
            <w:r>
              <w:rPr>
                <w:rFonts w:eastAsia="仿宋"/>
                <w:color w:val="000000"/>
                <w:kern w:val="0"/>
                <w:sz w:val="24"/>
                <w:lang w:bidi="ar"/>
              </w:rPr>
              <w:t>（一）安全出口存在下列情形之一的：</w:t>
            </w:r>
            <w:r>
              <w:rPr>
                <w:rFonts w:eastAsia="仿宋"/>
                <w:color w:val="000000"/>
                <w:kern w:val="0"/>
                <w:sz w:val="24"/>
                <w:lang w:bidi="ar"/>
              </w:rPr>
              <w:br w:type="textWrapping"/>
            </w:r>
            <w:r>
              <w:rPr>
                <w:rFonts w:eastAsia="仿宋"/>
                <w:color w:val="000000"/>
                <w:kern w:val="0"/>
                <w:sz w:val="24"/>
                <w:lang w:bidi="ar"/>
              </w:rPr>
              <w:t>1矿井直达地面的独立安全出口少于2个，或者与设计不一致；</w:t>
            </w:r>
            <w:r>
              <w:rPr>
                <w:rFonts w:eastAsia="仿宋"/>
                <w:color w:val="000000"/>
                <w:kern w:val="0"/>
                <w:sz w:val="24"/>
                <w:lang w:bidi="ar"/>
              </w:rPr>
              <w:br w:type="textWrapping"/>
            </w:r>
            <w:r>
              <w:rPr>
                <w:rFonts w:eastAsia="仿宋"/>
                <w:color w:val="000000"/>
                <w:kern w:val="0"/>
                <w:sz w:val="24"/>
                <w:lang w:bidi="ar"/>
              </w:rPr>
              <w:t>2矿井只有两个独立直达地面的安全出口且安全出口的间距小于30米，或者矿体一翼走向长度超过1000米且未在此翼设置安全出口；</w:t>
            </w:r>
            <w:r>
              <w:rPr>
                <w:rFonts w:eastAsia="仿宋"/>
                <w:color w:val="000000"/>
                <w:kern w:val="0"/>
                <w:sz w:val="24"/>
                <w:lang w:bidi="ar"/>
              </w:rPr>
              <w:br w:type="textWrapping"/>
            </w:r>
            <w:r>
              <w:rPr>
                <w:rFonts w:eastAsia="仿宋"/>
                <w:color w:val="000000"/>
                <w:kern w:val="0"/>
                <w:sz w:val="24"/>
                <w:lang w:bidi="ar"/>
              </w:rPr>
              <w:t>3矿井的全部安全出口均为竖井且竖井内均未设置梯子间，或者作为主要安全出口的罐笼提升井只有1套提升系统且未设梯子间；</w:t>
            </w:r>
            <w:r>
              <w:rPr>
                <w:rFonts w:eastAsia="仿宋"/>
                <w:color w:val="000000"/>
                <w:kern w:val="0"/>
                <w:sz w:val="24"/>
                <w:lang w:bidi="ar"/>
              </w:rPr>
              <w:br w:type="textWrapping"/>
            </w:r>
            <w:r>
              <w:rPr>
                <w:rFonts w:eastAsia="仿宋"/>
                <w:color w:val="000000"/>
                <w:kern w:val="0"/>
                <w:sz w:val="24"/>
                <w:lang w:bidi="ar"/>
              </w:rPr>
              <w:t>4主要生产中段（水平）、单个采区、盘区或者矿块的安全出口少于2个，或者未与通往地面的安全出口相通；</w:t>
            </w:r>
            <w:r>
              <w:rPr>
                <w:rFonts w:eastAsia="仿宋"/>
                <w:color w:val="000000"/>
                <w:kern w:val="0"/>
                <w:sz w:val="24"/>
                <w:lang w:bidi="ar"/>
              </w:rPr>
              <w:br w:type="textWrapping"/>
            </w:r>
            <w:r>
              <w:rPr>
                <w:rFonts w:eastAsia="仿宋"/>
                <w:color w:val="000000"/>
                <w:kern w:val="0"/>
                <w:sz w:val="24"/>
                <w:lang w:bidi="ar"/>
              </w:rPr>
              <w:t>5安全出口出现堵塞或者其梯子、踏步等设施不能正常使用，导致安全出口不畅通。</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6869F900">
            <w:pPr>
              <w:topLinePunct/>
              <w:adjustRightInd w:val="0"/>
              <w:snapToGrid w:val="0"/>
              <w:jc w:val="left"/>
              <w:textAlignment w:val="center"/>
              <w:rPr>
                <w:rFonts w:eastAsia="仿宋"/>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2C6B6955">
            <w:pPr>
              <w:topLinePunct/>
              <w:adjustRightInd w:val="0"/>
              <w:snapToGrid w:val="0"/>
              <w:jc w:val="left"/>
              <w:textAlignment w:val="center"/>
              <w:rPr>
                <w:rFonts w:eastAsia="仿宋"/>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2BD0C4D6">
            <w:pPr>
              <w:topLinePunct/>
              <w:adjustRightInd w:val="0"/>
              <w:snapToGrid w:val="0"/>
              <w:jc w:val="center"/>
              <w:textAlignment w:val="center"/>
              <w:rPr>
                <w:rFonts w:hint="eastAsia" w:eastAsia="仿宋"/>
                <w:sz w:val="24"/>
                <w:lang w:eastAsia="zh-CN"/>
              </w:rPr>
            </w:pPr>
            <w:r>
              <w:rPr>
                <w:rFonts w:hint="eastAsia" w:eastAsia="仿宋"/>
                <w:color w:val="000000"/>
                <w:kern w:val="0"/>
                <w:sz w:val="24"/>
                <w:lang w:eastAsia="zh-CN" w:bidi="ar"/>
              </w:rPr>
              <w:t>县级</w:t>
            </w:r>
          </w:p>
        </w:tc>
      </w:tr>
      <w:tr w14:paraId="238E294C">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292E0337">
            <w:pPr>
              <w:topLinePunct/>
              <w:adjustRightInd w:val="0"/>
              <w:snapToGrid w:val="0"/>
              <w:jc w:val="center"/>
              <w:textAlignment w:val="center"/>
              <w:rPr>
                <w:rFonts w:eastAsia="仿宋"/>
                <w:sz w:val="24"/>
              </w:rPr>
            </w:pPr>
            <w:r>
              <w:rPr>
                <w:rFonts w:eastAsia="仿宋"/>
                <w:kern w:val="0"/>
                <w:sz w:val="24"/>
                <w:lang w:bidi="ar"/>
              </w:rPr>
              <w:t>243</w:t>
            </w:r>
          </w:p>
        </w:tc>
        <w:tc>
          <w:tcPr>
            <w:tcW w:w="838" w:type="pct"/>
            <w:tcBorders>
              <w:top w:val="single" w:color="000000" w:sz="4" w:space="0"/>
              <w:left w:val="single" w:color="000000" w:sz="4" w:space="0"/>
              <w:bottom w:val="single" w:color="000000" w:sz="4" w:space="0"/>
              <w:right w:val="single" w:color="000000" w:sz="4" w:space="0"/>
            </w:tcBorders>
            <w:vAlign w:val="center"/>
          </w:tcPr>
          <w:p w14:paraId="66CCF185">
            <w:pPr>
              <w:topLinePunct/>
              <w:adjustRightInd w:val="0"/>
              <w:snapToGrid w:val="0"/>
              <w:textAlignment w:val="center"/>
              <w:rPr>
                <w:rFonts w:eastAsia="仿宋"/>
                <w:sz w:val="24"/>
              </w:rPr>
            </w:pPr>
            <w:r>
              <w:rPr>
                <w:rFonts w:eastAsia="仿宋"/>
                <w:color w:val="000000"/>
                <w:kern w:val="0"/>
                <w:sz w:val="24"/>
                <w:lang w:bidi="ar"/>
              </w:rPr>
              <w:t>对金属非金属地下矿山巷道或者采场顶板未按设计采取支护措施的行政处罚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3311B68F">
            <w:pPr>
              <w:topLinePunct/>
              <w:adjustRightInd w:val="0"/>
              <w:snapToGrid w:val="0"/>
              <w:jc w:val="left"/>
              <w:textAlignment w:val="center"/>
              <w:rPr>
                <w:rFonts w:eastAsia="仿宋"/>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一、金属非金属地下矿山重大事故隐患</w:t>
            </w:r>
            <w:r>
              <w:rPr>
                <w:rFonts w:eastAsia="仿宋"/>
                <w:color w:val="000000"/>
                <w:kern w:val="0"/>
                <w:sz w:val="24"/>
                <w:lang w:bidi="ar"/>
              </w:rPr>
              <w:br w:type="textWrapping"/>
            </w:r>
            <w:r>
              <w:rPr>
                <w:rFonts w:eastAsia="仿宋"/>
                <w:color w:val="000000"/>
                <w:kern w:val="0"/>
                <w:sz w:val="24"/>
                <w:lang w:bidi="ar"/>
              </w:rPr>
              <w:t>（十九）巷道或者采场顶板未按设计采取支护措施。</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6F6FE712">
            <w:pPr>
              <w:topLinePunct/>
              <w:adjustRightInd w:val="0"/>
              <w:snapToGrid w:val="0"/>
              <w:jc w:val="left"/>
              <w:textAlignment w:val="center"/>
              <w:rPr>
                <w:rFonts w:eastAsia="仿宋"/>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1B50C181">
            <w:pPr>
              <w:topLinePunct/>
              <w:adjustRightInd w:val="0"/>
              <w:snapToGrid w:val="0"/>
              <w:jc w:val="left"/>
              <w:textAlignment w:val="center"/>
              <w:rPr>
                <w:rFonts w:eastAsia="仿宋"/>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00200D79">
            <w:pPr>
              <w:topLinePunct/>
              <w:adjustRightInd w:val="0"/>
              <w:snapToGrid w:val="0"/>
              <w:jc w:val="center"/>
              <w:textAlignment w:val="center"/>
              <w:rPr>
                <w:rFonts w:hint="eastAsia" w:eastAsia="仿宋"/>
                <w:sz w:val="24"/>
                <w:lang w:eastAsia="zh-CN"/>
              </w:rPr>
            </w:pPr>
            <w:r>
              <w:rPr>
                <w:rFonts w:hint="eastAsia" w:eastAsia="仿宋"/>
                <w:color w:val="000000"/>
                <w:kern w:val="0"/>
                <w:sz w:val="24"/>
                <w:lang w:eastAsia="zh-CN" w:bidi="ar"/>
              </w:rPr>
              <w:t>县级</w:t>
            </w:r>
          </w:p>
        </w:tc>
      </w:tr>
      <w:tr w14:paraId="11C2D9DD">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76E467A2">
            <w:pPr>
              <w:topLinePunct/>
              <w:adjustRightInd w:val="0"/>
              <w:snapToGrid w:val="0"/>
              <w:jc w:val="center"/>
              <w:textAlignment w:val="center"/>
              <w:rPr>
                <w:rFonts w:eastAsia="仿宋"/>
                <w:sz w:val="24"/>
              </w:rPr>
            </w:pPr>
            <w:r>
              <w:rPr>
                <w:rFonts w:eastAsia="仿宋"/>
                <w:kern w:val="0"/>
                <w:sz w:val="24"/>
                <w:lang w:bidi="ar"/>
              </w:rPr>
              <w:t>244</w:t>
            </w:r>
          </w:p>
        </w:tc>
        <w:tc>
          <w:tcPr>
            <w:tcW w:w="838" w:type="pct"/>
            <w:tcBorders>
              <w:top w:val="single" w:color="000000" w:sz="4" w:space="0"/>
              <w:left w:val="single" w:color="000000" w:sz="4" w:space="0"/>
              <w:bottom w:val="single" w:color="000000" w:sz="4" w:space="0"/>
              <w:right w:val="single" w:color="000000" w:sz="4" w:space="0"/>
            </w:tcBorders>
            <w:vAlign w:val="center"/>
          </w:tcPr>
          <w:p w14:paraId="1E13362F">
            <w:pPr>
              <w:topLinePunct/>
              <w:adjustRightInd w:val="0"/>
              <w:snapToGrid w:val="0"/>
              <w:textAlignment w:val="center"/>
              <w:rPr>
                <w:rFonts w:eastAsia="仿宋"/>
                <w:sz w:val="24"/>
              </w:rPr>
            </w:pPr>
            <w:r>
              <w:rPr>
                <w:rFonts w:eastAsia="仿宋"/>
                <w:color w:val="000000"/>
                <w:kern w:val="0"/>
                <w:sz w:val="24"/>
                <w:lang w:bidi="ar"/>
              </w:rPr>
              <w:t>对工程地质类型复杂或有严重地压活动的矿山金属非金属地下矿山，未采取防治地压灾害措施的行政处罚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33B14027">
            <w:pPr>
              <w:topLinePunct/>
              <w:adjustRightInd w:val="0"/>
              <w:snapToGrid w:val="0"/>
              <w:jc w:val="left"/>
              <w:textAlignment w:val="center"/>
              <w:rPr>
                <w:rFonts w:eastAsia="仿宋"/>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一、金属非金属地下矿山重大事故隐患</w:t>
            </w:r>
            <w:r>
              <w:rPr>
                <w:rFonts w:eastAsia="仿宋"/>
                <w:color w:val="000000"/>
                <w:kern w:val="0"/>
                <w:sz w:val="24"/>
                <w:lang w:bidi="ar"/>
              </w:rPr>
              <w:br w:type="textWrapping"/>
            </w:r>
            <w:r>
              <w:rPr>
                <w:rFonts w:eastAsia="仿宋"/>
                <w:color w:val="000000"/>
                <w:kern w:val="0"/>
                <w:sz w:val="24"/>
                <w:lang w:bidi="ar"/>
              </w:rPr>
              <w:t>（十八）工程地质类型复杂、有严重地压活动的矿山存在下列情形之一的：</w:t>
            </w:r>
            <w:r>
              <w:rPr>
                <w:rFonts w:eastAsia="仿宋"/>
                <w:color w:val="000000"/>
                <w:kern w:val="0"/>
                <w:sz w:val="24"/>
                <w:lang w:bidi="ar"/>
              </w:rPr>
              <w:br w:type="textWrapping"/>
            </w:r>
            <w:r>
              <w:rPr>
                <w:rFonts w:eastAsia="仿宋"/>
                <w:color w:val="000000"/>
                <w:kern w:val="0"/>
                <w:sz w:val="24"/>
                <w:lang w:bidi="ar"/>
              </w:rPr>
              <w:t>1未设置专门机构、配备专门人员负责地压防治工作；</w:t>
            </w:r>
            <w:r>
              <w:rPr>
                <w:rFonts w:eastAsia="仿宋"/>
                <w:color w:val="000000"/>
                <w:kern w:val="0"/>
                <w:sz w:val="24"/>
                <w:lang w:bidi="ar"/>
              </w:rPr>
              <w:br w:type="textWrapping"/>
            </w:r>
            <w:r>
              <w:rPr>
                <w:rFonts w:eastAsia="仿宋"/>
                <w:color w:val="000000"/>
                <w:kern w:val="0"/>
                <w:sz w:val="24"/>
                <w:lang w:bidi="ar"/>
              </w:rPr>
              <w:t>2未制定防治地压灾害的专门技术措施；</w:t>
            </w:r>
            <w:r>
              <w:rPr>
                <w:rFonts w:eastAsia="仿宋"/>
                <w:color w:val="000000"/>
                <w:kern w:val="0"/>
                <w:sz w:val="24"/>
                <w:lang w:bidi="ar"/>
              </w:rPr>
              <w:br w:type="textWrapping"/>
            </w:r>
            <w:r>
              <w:rPr>
                <w:rFonts w:eastAsia="仿宋"/>
                <w:color w:val="000000"/>
                <w:kern w:val="0"/>
                <w:sz w:val="24"/>
                <w:lang w:bidi="ar"/>
              </w:rPr>
              <w:t>3发现大面积地压活动预兆，未立即停止作业、撤出人员。</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56F0A18B">
            <w:pPr>
              <w:topLinePunct/>
              <w:adjustRightInd w:val="0"/>
              <w:snapToGrid w:val="0"/>
              <w:jc w:val="left"/>
              <w:textAlignment w:val="center"/>
              <w:rPr>
                <w:rFonts w:eastAsia="仿宋"/>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104FA505">
            <w:pPr>
              <w:topLinePunct/>
              <w:adjustRightInd w:val="0"/>
              <w:snapToGrid w:val="0"/>
              <w:jc w:val="left"/>
              <w:textAlignment w:val="center"/>
              <w:rPr>
                <w:rFonts w:eastAsia="仿宋"/>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63181F8B">
            <w:pPr>
              <w:topLinePunct/>
              <w:adjustRightInd w:val="0"/>
              <w:snapToGrid w:val="0"/>
              <w:jc w:val="center"/>
              <w:textAlignment w:val="center"/>
              <w:rPr>
                <w:rFonts w:hint="eastAsia" w:eastAsia="仿宋"/>
                <w:sz w:val="24"/>
                <w:lang w:eastAsia="zh-CN"/>
              </w:rPr>
            </w:pPr>
            <w:r>
              <w:rPr>
                <w:rFonts w:hint="eastAsia" w:eastAsia="仿宋"/>
                <w:color w:val="000000"/>
                <w:kern w:val="0"/>
                <w:sz w:val="24"/>
                <w:lang w:eastAsia="zh-CN" w:bidi="ar"/>
              </w:rPr>
              <w:t>县级</w:t>
            </w:r>
          </w:p>
        </w:tc>
      </w:tr>
      <w:tr w14:paraId="0E8B2218">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1E5F578D">
            <w:pPr>
              <w:topLinePunct/>
              <w:adjustRightInd w:val="0"/>
              <w:snapToGrid w:val="0"/>
              <w:jc w:val="center"/>
              <w:textAlignment w:val="center"/>
              <w:rPr>
                <w:rFonts w:eastAsia="仿宋"/>
                <w:sz w:val="24"/>
              </w:rPr>
            </w:pPr>
            <w:r>
              <w:rPr>
                <w:rFonts w:eastAsia="仿宋"/>
                <w:kern w:val="0"/>
                <w:sz w:val="24"/>
                <w:lang w:bidi="ar"/>
              </w:rPr>
              <w:t>245</w:t>
            </w:r>
          </w:p>
        </w:tc>
        <w:tc>
          <w:tcPr>
            <w:tcW w:w="838" w:type="pct"/>
            <w:tcBorders>
              <w:top w:val="single" w:color="000000" w:sz="4" w:space="0"/>
              <w:left w:val="single" w:color="000000" w:sz="4" w:space="0"/>
              <w:bottom w:val="single" w:color="000000" w:sz="4" w:space="0"/>
              <w:right w:val="single" w:color="000000" w:sz="4" w:space="0"/>
            </w:tcBorders>
            <w:vAlign w:val="center"/>
          </w:tcPr>
          <w:p w14:paraId="359E57DD">
            <w:pPr>
              <w:topLinePunct/>
              <w:adjustRightInd w:val="0"/>
              <w:snapToGrid w:val="0"/>
              <w:textAlignment w:val="center"/>
              <w:rPr>
                <w:rFonts w:eastAsia="仿宋"/>
                <w:sz w:val="24"/>
              </w:rPr>
            </w:pPr>
            <w:r>
              <w:rPr>
                <w:rFonts w:eastAsia="仿宋"/>
                <w:color w:val="000000"/>
                <w:kern w:val="0"/>
                <w:sz w:val="24"/>
                <w:lang w:bidi="ar"/>
              </w:rPr>
              <w:t>对金属非金属地下矿山未按照设计要求对采空区进行治理的行政处罚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39FD0A15">
            <w:pPr>
              <w:topLinePunct/>
              <w:adjustRightInd w:val="0"/>
              <w:snapToGrid w:val="0"/>
              <w:jc w:val="left"/>
              <w:textAlignment w:val="center"/>
              <w:rPr>
                <w:rFonts w:eastAsia="仿宋"/>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一、金属非金属地下矿山重大事故隐患</w:t>
            </w:r>
            <w:r>
              <w:rPr>
                <w:rFonts w:eastAsia="仿宋"/>
                <w:color w:val="000000"/>
                <w:kern w:val="0"/>
                <w:sz w:val="24"/>
                <w:lang w:bidi="ar"/>
              </w:rPr>
              <w:br w:type="textWrapping"/>
            </w:r>
            <w:r>
              <w:rPr>
                <w:rFonts w:eastAsia="仿宋"/>
                <w:color w:val="000000"/>
                <w:kern w:val="0"/>
                <w:sz w:val="24"/>
                <w:lang w:bidi="ar"/>
              </w:rPr>
              <w:t>（十七）未按设计要求的处理方式或者时间对采空区进行处理。</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0CE52CF1">
            <w:pPr>
              <w:topLinePunct/>
              <w:adjustRightInd w:val="0"/>
              <w:snapToGrid w:val="0"/>
              <w:jc w:val="left"/>
              <w:textAlignment w:val="center"/>
              <w:rPr>
                <w:rFonts w:eastAsia="仿宋"/>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1B8008F5">
            <w:pPr>
              <w:topLinePunct/>
              <w:adjustRightInd w:val="0"/>
              <w:snapToGrid w:val="0"/>
              <w:jc w:val="left"/>
              <w:textAlignment w:val="center"/>
              <w:rPr>
                <w:rFonts w:eastAsia="仿宋"/>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388DDB07">
            <w:pPr>
              <w:topLinePunct/>
              <w:adjustRightInd w:val="0"/>
              <w:snapToGrid w:val="0"/>
              <w:jc w:val="center"/>
              <w:textAlignment w:val="center"/>
              <w:rPr>
                <w:rFonts w:hint="eastAsia" w:eastAsia="仿宋"/>
                <w:sz w:val="24"/>
                <w:lang w:eastAsia="zh-CN"/>
              </w:rPr>
            </w:pPr>
            <w:r>
              <w:rPr>
                <w:rFonts w:hint="eastAsia" w:eastAsia="仿宋"/>
                <w:color w:val="000000"/>
                <w:kern w:val="0"/>
                <w:sz w:val="24"/>
                <w:lang w:eastAsia="zh-CN" w:bidi="ar"/>
              </w:rPr>
              <w:t>县级</w:t>
            </w:r>
          </w:p>
        </w:tc>
      </w:tr>
      <w:tr w14:paraId="5433F975">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00DC3DA8">
            <w:pPr>
              <w:topLinePunct/>
              <w:adjustRightInd w:val="0"/>
              <w:snapToGrid w:val="0"/>
              <w:jc w:val="center"/>
              <w:textAlignment w:val="center"/>
              <w:rPr>
                <w:rFonts w:eastAsia="仿宋"/>
                <w:sz w:val="24"/>
              </w:rPr>
            </w:pPr>
            <w:r>
              <w:rPr>
                <w:rFonts w:eastAsia="仿宋"/>
                <w:kern w:val="0"/>
                <w:sz w:val="24"/>
                <w:lang w:bidi="ar"/>
              </w:rPr>
              <w:t>246</w:t>
            </w:r>
          </w:p>
        </w:tc>
        <w:tc>
          <w:tcPr>
            <w:tcW w:w="838" w:type="pct"/>
            <w:tcBorders>
              <w:top w:val="single" w:color="000000" w:sz="4" w:space="0"/>
              <w:left w:val="single" w:color="000000" w:sz="4" w:space="0"/>
              <w:bottom w:val="single" w:color="000000" w:sz="4" w:space="0"/>
              <w:right w:val="single" w:color="000000" w:sz="4" w:space="0"/>
            </w:tcBorders>
            <w:vAlign w:val="center"/>
          </w:tcPr>
          <w:p w14:paraId="0B2DFA1A">
            <w:pPr>
              <w:topLinePunct/>
              <w:adjustRightInd w:val="0"/>
              <w:snapToGrid w:val="0"/>
              <w:textAlignment w:val="center"/>
              <w:rPr>
                <w:rFonts w:eastAsia="仿宋"/>
                <w:sz w:val="24"/>
              </w:rPr>
            </w:pPr>
            <w:r>
              <w:rPr>
                <w:rFonts w:eastAsia="仿宋"/>
                <w:color w:val="000000"/>
                <w:kern w:val="0"/>
                <w:sz w:val="24"/>
                <w:lang w:bidi="ar"/>
              </w:rPr>
              <w:t>对金属非金属地下矿山保安矿（岩）柱或者采场矿柱不符合规定的行政处罚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6CC8DF8E">
            <w:pPr>
              <w:topLinePunct/>
              <w:adjustRightInd w:val="0"/>
              <w:snapToGrid w:val="0"/>
              <w:jc w:val="left"/>
              <w:textAlignment w:val="center"/>
              <w:rPr>
                <w:rFonts w:eastAsia="仿宋"/>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一、金属非金属地下矿山重大事故隐患</w:t>
            </w:r>
            <w:r>
              <w:rPr>
                <w:rFonts w:eastAsia="仿宋"/>
                <w:color w:val="000000"/>
                <w:kern w:val="0"/>
                <w:sz w:val="24"/>
                <w:lang w:bidi="ar"/>
              </w:rPr>
              <w:br w:type="textWrapping"/>
            </w:r>
            <w:r>
              <w:rPr>
                <w:rFonts w:eastAsia="仿宋"/>
                <w:color w:val="000000"/>
                <w:kern w:val="0"/>
                <w:sz w:val="24"/>
                <w:lang w:bidi="ar"/>
              </w:rPr>
              <w:t>（十六）保安矿（岩）柱或者采场矿柱存在下列情形之一的：</w:t>
            </w:r>
            <w:r>
              <w:rPr>
                <w:rFonts w:eastAsia="仿宋"/>
                <w:color w:val="000000"/>
                <w:kern w:val="0"/>
                <w:sz w:val="24"/>
                <w:lang w:bidi="ar"/>
              </w:rPr>
              <w:br w:type="textWrapping"/>
            </w:r>
            <w:r>
              <w:rPr>
                <w:rFonts w:eastAsia="仿宋"/>
                <w:color w:val="000000"/>
                <w:kern w:val="0"/>
                <w:sz w:val="24"/>
                <w:lang w:bidi="ar"/>
              </w:rPr>
              <w:t>1未按设计留设矿（岩）柱；</w:t>
            </w:r>
            <w:r>
              <w:rPr>
                <w:rFonts w:eastAsia="仿宋"/>
                <w:color w:val="000000"/>
                <w:kern w:val="0"/>
                <w:sz w:val="24"/>
                <w:lang w:bidi="ar"/>
              </w:rPr>
              <w:br w:type="textWrapping"/>
            </w:r>
            <w:r>
              <w:rPr>
                <w:rFonts w:eastAsia="仿宋"/>
                <w:color w:val="000000"/>
                <w:kern w:val="0"/>
                <w:sz w:val="24"/>
                <w:lang w:bidi="ar"/>
              </w:rPr>
              <w:t>2未按设计回采矿柱；</w:t>
            </w:r>
            <w:r>
              <w:rPr>
                <w:rFonts w:eastAsia="仿宋"/>
                <w:color w:val="000000"/>
                <w:kern w:val="0"/>
                <w:sz w:val="24"/>
                <w:lang w:bidi="ar"/>
              </w:rPr>
              <w:br w:type="textWrapping"/>
            </w:r>
            <w:r>
              <w:rPr>
                <w:rFonts w:eastAsia="仿宋"/>
                <w:color w:val="000000"/>
                <w:kern w:val="0"/>
                <w:sz w:val="24"/>
                <w:lang w:bidi="ar"/>
              </w:rPr>
              <w:t>3擅自开采、损毁矿（岩）柱。</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5AD809DD">
            <w:pPr>
              <w:topLinePunct/>
              <w:adjustRightInd w:val="0"/>
              <w:snapToGrid w:val="0"/>
              <w:jc w:val="left"/>
              <w:textAlignment w:val="center"/>
              <w:rPr>
                <w:rFonts w:eastAsia="仿宋"/>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445B8467">
            <w:pPr>
              <w:topLinePunct/>
              <w:adjustRightInd w:val="0"/>
              <w:snapToGrid w:val="0"/>
              <w:jc w:val="left"/>
              <w:textAlignment w:val="center"/>
              <w:rPr>
                <w:rFonts w:eastAsia="仿宋"/>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73C63266">
            <w:pPr>
              <w:topLinePunct/>
              <w:adjustRightInd w:val="0"/>
              <w:snapToGrid w:val="0"/>
              <w:jc w:val="center"/>
              <w:textAlignment w:val="center"/>
              <w:rPr>
                <w:rFonts w:hint="eastAsia" w:eastAsia="仿宋"/>
                <w:sz w:val="24"/>
                <w:lang w:eastAsia="zh-CN"/>
              </w:rPr>
            </w:pPr>
            <w:r>
              <w:rPr>
                <w:rFonts w:hint="eastAsia" w:eastAsia="仿宋"/>
                <w:color w:val="000000"/>
                <w:kern w:val="0"/>
                <w:sz w:val="24"/>
                <w:lang w:eastAsia="zh-CN" w:bidi="ar"/>
              </w:rPr>
              <w:t>县级</w:t>
            </w:r>
          </w:p>
        </w:tc>
      </w:tr>
      <w:tr w14:paraId="73C73E32">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382FE1D0">
            <w:pPr>
              <w:topLinePunct/>
              <w:adjustRightInd w:val="0"/>
              <w:snapToGrid w:val="0"/>
              <w:jc w:val="center"/>
              <w:textAlignment w:val="center"/>
              <w:rPr>
                <w:rFonts w:eastAsia="仿宋"/>
                <w:sz w:val="24"/>
              </w:rPr>
            </w:pPr>
            <w:r>
              <w:rPr>
                <w:rFonts w:eastAsia="仿宋"/>
                <w:kern w:val="0"/>
                <w:sz w:val="24"/>
                <w:lang w:bidi="ar"/>
              </w:rPr>
              <w:t>247</w:t>
            </w:r>
          </w:p>
        </w:tc>
        <w:tc>
          <w:tcPr>
            <w:tcW w:w="838" w:type="pct"/>
            <w:tcBorders>
              <w:top w:val="single" w:color="000000" w:sz="4" w:space="0"/>
              <w:left w:val="single" w:color="000000" w:sz="4" w:space="0"/>
              <w:bottom w:val="single" w:color="000000" w:sz="4" w:space="0"/>
              <w:right w:val="single" w:color="000000" w:sz="4" w:space="0"/>
            </w:tcBorders>
            <w:vAlign w:val="center"/>
          </w:tcPr>
          <w:p w14:paraId="3785692E">
            <w:pPr>
              <w:topLinePunct/>
              <w:adjustRightInd w:val="0"/>
              <w:snapToGrid w:val="0"/>
              <w:textAlignment w:val="center"/>
              <w:rPr>
                <w:rFonts w:eastAsia="仿宋"/>
                <w:sz w:val="24"/>
              </w:rPr>
            </w:pPr>
            <w:r>
              <w:rPr>
                <w:rFonts w:eastAsia="仿宋"/>
                <w:color w:val="000000"/>
                <w:kern w:val="0"/>
                <w:sz w:val="24"/>
                <w:lang w:bidi="ar"/>
              </w:rPr>
              <w:t>对地下矿山主要系统违法分包的行政处罚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6C5A895B">
            <w:pPr>
              <w:topLinePunct/>
              <w:adjustRightInd w:val="0"/>
              <w:snapToGrid w:val="0"/>
              <w:jc w:val="left"/>
              <w:textAlignment w:val="center"/>
              <w:rPr>
                <w:rFonts w:eastAsia="仿宋"/>
                <w:sz w:val="24"/>
              </w:rPr>
            </w:pPr>
            <w:r>
              <w:rPr>
                <w:rFonts w:eastAsia="仿宋"/>
                <w:color w:val="000000"/>
                <w:kern w:val="0"/>
                <w:sz w:val="24"/>
                <w:lang w:bidi="ar"/>
              </w:rPr>
              <w:t>1.《非煤矿山外包工程安全管理暂行办法》</w:t>
            </w:r>
            <w:r>
              <w:rPr>
                <w:rFonts w:eastAsia="仿宋"/>
                <w:color w:val="000000"/>
                <w:kern w:val="0"/>
                <w:sz w:val="24"/>
                <w:lang w:bidi="ar"/>
              </w:rPr>
              <w:br w:type="textWrapping"/>
            </w:r>
            <w:r>
              <w:rPr>
                <w:rFonts w:eastAsia="仿宋"/>
                <w:color w:val="000000"/>
                <w:kern w:val="0"/>
                <w:sz w:val="24"/>
                <w:lang w:bidi="ar"/>
              </w:rPr>
              <w:t>第十二条  金属非金属矿山总发包单位对地下矿山一个生产系统进行分项发包的，承包单位原则上不得超过3家，避免相互影响生产、作业安全。</w:t>
            </w:r>
            <w:r>
              <w:rPr>
                <w:rFonts w:eastAsia="仿宋"/>
                <w:color w:val="000000"/>
                <w:kern w:val="0"/>
                <w:sz w:val="24"/>
                <w:lang w:bidi="ar"/>
              </w:rPr>
              <w:br w:type="textWrapping"/>
            </w:r>
            <w:r>
              <w:rPr>
                <w:rFonts w:eastAsia="仿宋"/>
                <w:color w:val="000000"/>
                <w:kern w:val="0"/>
                <w:sz w:val="24"/>
                <w:lang w:bidi="ar"/>
              </w:rPr>
              <w:t>前款规定的发包单位在地下矿山正常生产期间，不得将主通风、主提升、供排水、供配电、主供风系统及其设备设施的运行管理进行分项发包。</w:t>
            </w:r>
            <w:r>
              <w:rPr>
                <w:rFonts w:eastAsia="仿宋"/>
                <w:color w:val="000000"/>
                <w:kern w:val="0"/>
                <w:sz w:val="24"/>
                <w:lang w:bidi="ar"/>
              </w:rPr>
              <w:br w:type="textWrapping"/>
            </w:r>
            <w:r>
              <w:rPr>
                <w:rFonts w:eastAsia="仿宋"/>
                <w:color w:val="000000"/>
                <w:kern w:val="0"/>
                <w:sz w:val="24"/>
                <w:lang w:bidi="ar"/>
              </w:rPr>
              <w:t>第三十五条  对地下矿山实行分项发包的发包单位违反本办法第十二条的规定，在地下矿山正常生产期间，将主通风、主提升、供排水、供配电、主供风系统及其设备设施的运行管理进行分项发包的，责令限期改正，处2万元以上3万元以下罚款。</w:t>
            </w:r>
          </w:p>
        </w:tc>
        <w:tc>
          <w:tcPr>
            <w:tcW w:w="476" w:type="pct"/>
            <w:tcBorders>
              <w:top w:val="single" w:color="000000" w:sz="4" w:space="0"/>
              <w:left w:val="single" w:color="000000" w:sz="4" w:space="0"/>
              <w:bottom w:val="single" w:color="000000" w:sz="4" w:space="0"/>
              <w:right w:val="single" w:color="000000" w:sz="4" w:space="0"/>
            </w:tcBorders>
            <w:vAlign w:val="center"/>
          </w:tcPr>
          <w:p w14:paraId="6D1C45CC">
            <w:pPr>
              <w:topLinePunct/>
              <w:adjustRightInd w:val="0"/>
              <w:snapToGrid w:val="0"/>
              <w:jc w:val="left"/>
              <w:textAlignment w:val="center"/>
              <w:rPr>
                <w:rFonts w:eastAsia="仿宋"/>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15EE2716">
            <w:pPr>
              <w:topLinePunct/>
              <w:adjustRightInd w:val="0"/>
              <w:snapToGrid w:val="0"/>
              <w:jc w:val="left"/>
              <w:textAlignment w:val="center"/>
              <w:rPr>
                <w:rFonts w:eastAsia="仿宋"/>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523CC6C9">
            <w:pPr>
              <w:topLinePunct/>
              <w:adjustRightInd w:val="0"/>
              <w:snapToGrid w:val="0"/>
              <w:jc w:val="center"/>
              <w:textAlignment w:val="center"/>
              <w:rPr>
                <w:rFonts w:hint="eastAsia" w:eastAsia="仿宋"/>
                <w:sz w:val="24"/>
                <w:lang w:eastAsia="zh-CN"/>
              </w:rPr>
            </w:pPr>
            <w:r>
              <w:rPr>
                <w:rFonts w:hint="eastAsia" w:eastAsia="仿宋"/>
                <w:color w:val="000000"/>
                <w:kern w:val="0"/>
                <w:sz w:val="24"/>
                <w:lang w:eastAsia="zh-CN" w:bidi="ar"/>
              </w:rPr>
              <w:t>县级</w:t>
            </w:r>
          </w:p>
        </w:tc>
      </w:tr>
      <w:tr w14:paraId="495E226E">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1DAA79FF">
            <w:pPr>
              <w:topLinePunct/>
              <w:adjustRightInd w:val="0"/>
              <w:snapToGrid w:val="0"/>
              <w:jc w:val="center"/>
              <w:textAlignment w:val="center"/>
              <w:rPr>
                <w:rFonts w:eastAsia="仿宋"/>
                <w:color w:val="000000"/>
                <w:sz w:val="24"/>
              </w:rPr>
            </w:pPr>
            <w:r>
              <w:rPr>
                <w:rFonts w:eastAsia="仿宋"/>
                <w:color w:val="000000"/>
                <w:kern w:val="0"/>
                <w:sz w:val="24"/>
                <w:lang w:bidi="ar"/>
              </w:rPr>
              <w:t>248</w:t>
            </w:r>
          </w:p>
        </w:tc>
        <w:tc>
          <w:tcPr>
            <w:tcW w:w="838" w:type="pct"/>
            <w:tcBorders>
              <w:top w:val="single" w:color="000000" w:sz="4" w:space="0"/>
              <w:left w:val="single" w:color="000000" w:sz="4" w:space="0"/>
              <w:bottom w:val="single" w:color="000000" w:sz="4" w:space="0"/>
              <w:right w:val="single" w:color="000000" w:sz="4" w:space="0"/>
            </w:tcBorders>
            <w:vAlign w:val="center"/>
          </w:tcPr>
          <w:p w14:paraId="02F9B200">
            <w:pPr>
              <w:topLinePunct/>
              <w:adjustRightInd w:val="0"/>
              <w:snapToGrid w:val="0"/>
              <w:textAlignment w:val="center"/>
              <w:rPr>
                <w:rFonts w:eastAsia="仿宋"/>
                <w:color w:val="000000"/>
                <w:sz w:val="24"/>
              </w:rPr>
            </w:pPr>
            <w:r>
              <w:rPr>
                <w:rFonts w:eastAsia="仿宋"/>
                <w:color w:val="000000"/>
                <w:kern w:val="0"/>
                <w:sz w:val="24"/>
                <w:lang w:bidi="ar"/>
              </w:rPr>
              <w:t>对金属非金属地下矿山在突水威胁区域或可疑区域进行采掘作业，未按规定采取安全技术措施等行为的行政处罚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77E50CD9">
            <w:pPr>
              <w:topLinePunct/>
              <w:adjustRightInd w:val="0"/>
              <w:snapToGrid w:val="0"/>
              <w:jc w:val="left"/>
              <w:textAlignment w:val="center"/>
              <w:rPr>
                <w:rFonts w:eastAsia="仿宋"/>
                <w:color w:val="000000"/>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一、金属非金属地下矿山重大事故隐患</w:t>
            </w:r>
            <w:r>
              <w:rPr>
                <w:rFonts w:eastAsia="仿宋"/>
                <w:color w:val="000000"/>
                <w:kern w:val="0"/>
                <w:sz w:val="24"/>
                <w:lang w:bidi="ar"/>
              </w:rPr>
              <w:br w:type="textWrapping"/>
            </w:r>
            <w:r>
              <w:rPr>
                <w:rFonts w:eastAsia="仿宋"/>
                <w:color w:val="000000"/>
                <w:kern w:val="0"/>
                <w:sz w:val="24"/>
                <w:lang w:bidi="ar"/>
              </w:rPr>
              <w:t>（十一）在突水威胁区域或者可疑区域进行采掘作业，存在下列情形之一的：</w:t>
            </w:r>
            <w:r>
              <w:rPr>
                <w:rFonts w:eastAsia="仿宋"/>
                <w:color w:val="000000"/>
                <w:kern w:val="0"/>
                <w:sz w:val="24"/>
                <w:lang w:bidi="ar"/>
              </w:rPr>
              <w:br w:type="textWrapping"/>
            </w:r>
            <w:r>
              <w:rPr>
                <w:rFonts w:eastAsia="仿宋"/>
                <w:color w:val="000000"/>
                <w:kern w:val="0"/>
                <w:sz w:val="24"/>
                <w:lang w:bidi="ar"/>
              </w:rPr>
              <w:t>1未编制防治水技术方案，或者未在施工前制定专门的施工安全技术措施；</w:t>
            </w:r>
            <w:r>
              <w:rPr>
                <w:rFonts w:eastAsia="仿宋"/>
                <w:color w:val="000000"/>
                <w:kern w:val="0"/>
                <w:sz w:val="24"/>
                <w:lang w:bidi="ar"/>
              </w:rPr>
              <w:br w:type="textWrapping"/>
            </w:r>
            <w:r>
              <w:rPr>
                <w:rFonts w:eastAsia="仿宋"/>
                <w:color w:val="000000"/>
                <w:kern w:val="0"/>
                <w:sz w:val="24"/>
                <w:lang w:bidi="ar"/>
              </w:rPr>
              <w:t>2未超前探放水，或者超前钻孔的数量、深度低于设计要求，或者超前钻孔方位不符合设计要求。</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0EF18B48">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665594EF">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0C902E62">
            <w:pPr>
              <w:topLinePunct/>
              <w:adjustRightInd w:val="0"/>
              <w:snapToGrid w:val="0"/>
              <w:jc w:val="center"/>
              <w:textAlignment w:val="center"/>
              <w:rPr>
                <w:rFonts w:eastAsia="仿宋"/>
                <w:color w:val="000000"/>
                <w:sz w:val="24"/>
              </w:rPr>
            </w:pPr>
            <w:r>
              <w:rPr>
                <w:rFonts w:hint="eastAsia" w:eastAsia="仿宋"/>
                <w:color w:val="000000"/>
                <w:kern w:val="0"/>
                <w:sz w:val="24"/>
                <w:lang w:eastAsia="zh-CN" w:bidi="ar"/>
              </w:rPr>
              <w:t>县级</w:t>
            </w:r>
          </w:p>
        </w:tc>
      </w:tr>
      <w:tr w14:paraId="1911951F">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1E1C89D8">
            <w:pPr>
              <w:topLinePunct/>
              <w:adjustRightInd w:val="0"/>
              <w:snapToGrid w:val="0"/>
              <w:jc w:val="center"/>
              <w:textAlignment w:val="center"/>
              <w:rPr>
                <w:rFonts w:eastAsia="仿宋"/>
                <w:color w:val="000000"/>
                <w:sz w:val="24"/>
              </w:rPr>
            </w:pPr>
            <w:r>
              <w:rPr>
                <w:rFonts w:eastAsia="仿宋"/>
                <w:color w:val="000000"/>
                <w:kern w:val="0"/>
                <w:sz w:val="24"/>
                <w:lang w:bidi="ar"/>
              </w:rPr>
              <w:t>249</w:t>
            </w:r>
          </w:p>
        </w:tc>
        <w:tc>
          <w:tcPr>
            <w:tcW w:w="838" w:type="pct"/>
            <w:tcBorders>
              <w:top w:val="single" w:color="000000" w:sz="4" w:space="0"/>
              <w:left w:val="single" w:color="000000" w:sz="4" w:space="0"/>
              <w:bottom w:val="single" w:color="000000" w:sz="4" w:space="0"/>
              <w:right w:val="single" w:color="000000" w:sz="4" w:space="0"/>
            </w:tcBorders>
            <w:vAlign w:val="center"/>
          </w:tcPr>
          <w:p w14:paraId="797A7C37">
            <w:pPr>
              <w:topLinePunct/>
              <w:adjustRightInd w:val="0"/>
              <w:snapToGrid w:val="0"/>
              <w:textAlignment w:val="center"/>
              <w:rPr>
                <w:rFonts w:eastAsia="仿宋"/>
                <w:color w:val="000000"/>
                <w:sz w:val="24"/>
              </w:rPr>
            </w:pPr>
            <w:r>
              <w:rPr>
                <w:rFonts w:eastAsia="仿宋"/>
                <w:color w:val="000000"/>
                <w:kern w:val="0"/>
                <w:sz w:val="24"/>
                <w:lang w:bidi="ar"/>
              </w:rPr>
              <w:t>对金属非金属地下矿山担负提升人员的提升系统未定期检测检验、安全保护装置或信号联锁闭锁措施失效等行为的行政处罚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181B5635">
            <w:pPr>
              <w:topLinePunct/>
              <w:adjustRightInd w:val="0"/>
              <w:snapToGrid w:val="0"/>
              <w:jc w:val="left"/>
              <w:textAlignment w:val="center"/>
              <w:rPr>
                <w:rFonts w:eastAsia="仿宋"/>
                <w:color w:val="000000"/>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一、金属非金属地下矿山重大事故隐患</w:t>
            </w:r>
            <w:r>
              <w:rPr>
                <w:rFonts w:eastAsia="仿宋"/>
                <w:color w:val="000000"/>
                <w:kern w:val="0"/>
                <w:sz w:val="24"/>
                <w:lang w:bidi="ar"/>
              </w:rPr>
              <w:br w:type="textWrapping"/>
            </w:r>
            <w:r>
              <w:rPr>
                <w:rFonts w:eastAsia="仿宋"/>
                <w:color w:val="000000"/>
                <w:kern w:val="0"/>
                <w:sz w:val="24"/>
                <w:lang w:bidi="ar"/>
              </w:rPr>
              <w:t>（二十二）担负提升人员的提升系统，存在下列情形之一的：</w:t>
            </w:r>
            <w:r>
              <w:rPr>
                <w:rFonts w:eastAsia="仿宋"/>
                <w:color w:val="000000"/>
                <w:kern w:val="0"/>
                <w:sz w:val="24"/>
                <w:lang w:bidi="ar"/>
              </w:rPr>
              <w:br w:type="textWrapping"/>
            </w:r>
            <w:r>
              <w:rPr>
                <w:rFonts w:eastAsia="仿宋"/>
                <w:color w:val="000000"/>
                <w:kern w:val="0"/>
                <w:sz w:val="24"/>
                <w:lang w:bidi="ar"/>
              </w:rPr>
              <w:t>1提升机、防坠器、钢丝绳、连接装置、提升容器未按国家规定进行定期检测检验，或者提升设备的安全保护装置失效；</w:t>
            </w:r>
            <w:r>
              <w:rPr>
                <w:rFonts w:eastAsia="仿宋"/>
                <w:color w:val="000000"/>
                <w:kern w:val="0"/>
                <w:sz w:val="24"/>
                <w:lang w:bidi="ar"/>
              </w:rPr>
              <w:br w:type="textWrapping"/>
            </w:r>
            <w:r>
              <w:rPr>
                <w:rFonts w:eastAsia="仿宋"/>
                <w:color w:val="000000"/>
                <w:kern w:val="0"/>
                <w:sz w:val="24"/>
                <w:lang w:bidi="ar"/>
              </w:rPr>
              <w:t>2竖井井口和井下各中段马头门设置的安全门或者摇台与提升机未实现联锁；</w:t>
            </w:r>
            <w:r>
              <w:rPr>
                <w:rFonts w:eastAsia="仿宋"/>
                <w:color w:val="000000"/>
                <w:kern w:val="0"/>
                <w:sz w:val="24"/>
                <w:lang w:bidi="ar"/>
              </w:rPr>
              <w:br w:type="textWrapping"/>
            </w:r>
            <w:r>
              <w:rPr>
                <w:rFonts w:eastAsia="仿宋"/>
                <w:color w:val="000000"/>
                <w:kern w:val="0"/>
                <w:sz w:val="24"/>
                <w:lang w:bidi="ar"/>
              </w:rPr>
              <w:t>3竖井提升系统过卷段未按国家规定设置过卷缓冲装置、楔形罐道、过卷挡梁或者不能正常使用，或者提升人员的罐笼提升系统未按国家规定在井架或者井塔的过卷段内设置罐笼防坠装置；</w:t>
            </w:r>
            <w:r>
              <w:rPr>
                <w:rFonts w:eastAsia="仿宋"/>
                <w:color w:val="000000"/>
                <w:kern w:val="0"/>
                <w:sz w:val="24"/>
                <w:lang w:bidi="ar"/>
              </w:rPr>
              <w:br w:type="textWrapping"/>
            </w:r>
            <w:r>
              <w:rPr>
                <w:rFonts w:eastAsia="仿宋"/>
                <w:color w:val="000000"/>
                <w:kern w:val="0"/>
                <w:sz w:val="24"/>
                <w:lang w:bidi="ar"/>
              </w:rPr>
              <w:t>4斜井串车提升系统未按国家规定设置常闭式防跑车装置、阻车器、挡车栏，或者连接链、连接插销不符合国家规定；</w:t>
            </w:r>
            <w:r>
              <w:rPr>
                <w:rFonts w:eastAsia="仿宋"/>
                <w:color w:val="000000"/>
                <w:kern w:val="0"/>
                <w:sz w:val="24"/>
                <w:lang w:bidi="ar"/>
              </w:rPr>
              <w:br w:type="textWrapping"/>
            </w:r>
            <w:r>
              <w:rPr>
                <w:rFonts w:eastAsia="仿宋"/>
                <w:color w:val="000000"/>
                <w:kern w:val="0"/>
                <w:sz w:val="24"/>
                <w:lang w:bidi="ar"/>
              </w:rPr>
              <w:t>5斜井提升信号系统与提升机之间未实现闭锁。</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第九十九条第二项  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二）安全设备的安装、使用、检测、改造和报废不符合国家标准或者行业标准的；</w:t>
            </w:r>
          </w:p>
        </w:tc>
        <w:tc>
          <w:tcPr>
            <w:tcW w:w="476" w:type="pct"/>
            <w:tcBorders>
              <w:top w:val="single" w:color="000000" w:sz="4" w:space="0"/>
              <w:left w:val="single" w:color="000000" w:sz="4" w:space="0"/>
              <w:bottom w:val="single" w:color="000000" w:sz="4" w:space="0"/>
              <w:right w:val="single" w:color="000000" w:sz="4" w:space="0"/>
            </w:tcBorders>
            <w:vAlign w:val="center"/>
          </w:tcPr>
          <w:p w14:paraId="4A415B62">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69EF1CD2">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3401F0CA">
            <w:pPr>
              <w:topLinePunct/>
              <w:adjustRightInd w:val="0"/>
              <w:snapToGrid w:val="0"/>
              <w:jc w:val="center"/>
              <w:textAlignment w:val="center"/>
              <w:rPr>
                <w:rFonts w:eastAsia="仿宋"/>
                <w:color w:val="000000"/>
                <w:sz w:val="24"/>
              </w:rPr>
            </w:pPr>
            <w:r>
              <w:rPr>
                <w:rFonts w:hint="eastAsia" w:eastAsia="仿宋"/>
                <w:color w:val="000000"/>
                <w:kern w:val="0"/>
                <w:sz w:val="24"/>
                <w:lang w:eastAsia="zh-CN" w:bidi="ar"/>
              </w:rPr>
              <w:t>县级</w:t>
            </w:r>
          </w:p>
        </w:tc>
      </w:tr>
      <w:tr w14:paraId="1100B01D">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5C209D86">
            <w:pPr>
              <w:topLinePunct/>
              <w:adjustRightInd w:val="0"/>
              <w:snapToGrid w:val="0"/>
              <w:jc w:val="center"/>
              <w:textAlignment w:val="center"/>
              <w:rPr>
                <w:rFonts w:eastAsia="仿宋"/>
                <w:color w:val="000000"/>
                <w:sz w:val="24"/>
              </w:rPr>
            </w:pPr>
            <w:r>
              <w:rPr>
                <w:rFonts w:eastAsia="仿宋"/>
                <w:color w:val="000000"/>
                <w:kern w:val="0"/>
                <w:sz w:val="24"/>
                <w:lang w:bidi="ar"/>
              </w:rPr>
              <w:t>250</w:t>
            </w:r>
          </w:p>
        </w:tc>
        <w:tc>
          <w:tcPr>
            <w:tcW w:w="838" w:type="pct"/>
            <w:tcBorders>
              <w:top w:val="single" w:color="000000" w:sz="4" w:space="0"/>
              <w:left w:val="single" w:color="000000" w:sz="4" w:space="0"/>
              <w:bottom w:val="single" w:color="000000" w:sz="4" w:space="0"/>
              <w:right w:val="single" w:color="000000" w:sz="4" w:space="0"/>
            </w:tcBorders>
            <w:vAlign w:val="center"/>
          </w:tcPr>
          <w:p w14:paraId="039876C9">
            <w:pPr>
              <w:topLinePunct/>
              <w:adjustRightInd w:val="0"/>
              <w:snapToGrid w:val="0"/>
              <w:textAlignment w:val="center"/>
              <w:rPr>
                <w:rFonts w:eastAsia="仿宋"/>
                <w:color w:val="000000"/>
                <w:sz w:val="24"/>
              </w:rPr>
            </w:pPr>
            <w:r>
              <w:rPr>
                <w:rFonts w:eastAsia="仿宋"/>
                <w:color w:val="000000"/>
                <w:kern w:val="0"/>
                <w:sz w:val="24"/>
                <w:lang w:bidi="ar"/>
              </w:rPr>
              <w:t>对金属非金属地下矿山矿井未按要求建立或运行机械通风系统等行为的行政处罚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081FA3E1">
            <w:pPr>
              <w:topLinePunct/>
              <w:adjustRightInd w:val="0"/>
              <w:snapToGrid w:val="0"/>
              <w:jc w:val="left"/>
              <w:textAlignment w:val="center"/>
              <w:rPr>
                <w:rFonts w:eastAsia="仿宋"/>
                <w:color w:val="000000"/>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一、金属非金属地下矿山重大事故隐患</w:t>
            </w:r>
            <w:r>
              <w:rPr>
                <w:rFonts w:eastAsia="仿宋"/>
                <w:color w:val="000000"/>
                <w:kern w:val="0"/>
                <w:sz w:val="24"/>
                <w:lang w:bidi="ar"/>
              </w:rPr>
              <w:br w:type="textWrapping"/>
            </w:r>
            <w:r>
              <w:rPr>
                <w:rFonts w:eastAsia="仿宋"/>
                <w:color w:val="000000"/>
                <w:kern w:val="0"/>
                <w:sz w:val="24"/>
                <w:lang w:bidi="ar"/>
              </w:rPr>
              <w:t>（二十）矿井未采用机械通风，或者采用机械通风的矿井存在下列情形之一的：</w:t>
            </w:r>
            <w:r>
              <w:rPr>
                <w:rFonts w:eastAsia="仿宋"/>
                <w:color w:val="000000"/>
                <w:kern w:val="0"/>
                <w:sz w:val="24"/>
                <w:lang w:bidi="ar"/>
              </w:rPr>
              <w:br w:type="textWrapping"/>
            </w:r>
            <w:r>
              <w:rPr>
                <w:rFonts w:eastAsia="仿宋"/>
                <w:color w:val="000000"/>
                <w:kern w:val="0"/>
                <w:sz w:val="24"/>
                <w:lang w:bidi="ar"/>
              </w:rPr>
              <w:t>1在正常生产情况下，主通风机未连续运转；</w:t>
            </w:r>
            <w:r>
              <w:rPr>
                <w:rFonts w:eastAsia="仿宋"/>
                <w:color w:val="000000"/>
                <w:kern w:val="0"/>
                <w:sz w:val="24"/>
                <w:lang w:bidi="ar"/>
              </w:rPr>
              <w:br w:type="textWrapping"/>
            </w:r>
            <w:r>
              <w:rPr>
                <w:rFonts w:eastAsia="仿宋"/>
                <w:color w:val="000000"/>
                <w:kern w:val="0"/>
                <w:sz w:val="24"/>
                <w:lang w:bidi="ar"/>
              </w:rPr>
              <w:t>2主通风机发生故障或者停机检查时，未立即向调度室和企业主要负责人报告，或者未采取必要安全措施；</w:t>
            </w:r>
            <w:r>
              <w:rPr>
                <w:rFonts w:eastAsia="仿宋"/>
                <w:color w:val="000000"/>
                <w:kern w:val="0"/>
                <w:sz w:val="24"/>
                <w:lang w:bidi="ar"/>
              </w:rPr>
              <w:br w:type="textWrapping"/>
            </w:r>
            <w:r>
              <w:rPr>
                <w:rFonts w:eastAsia="仿宋"/>
                <w:color w:val="000000"/>
                <w:kern w:val="0"/>
                <w:sz w:val="24"/>
                <w:lang w:bidi="ar"/>
              </w:rPr>
              <w:t>3主通风机未按规定配备备用电动机，或者未配备能迅速调换电动机的设备及工具；</w:t>
            </w:r>
            <w:r>
              <w:rPr>
                <w:rFonts w:eastAsia="仿宋"/>
                <w:color w:val="000000"/>
                <w:kern w:val="0"/>
                <w:sz w:val="24"/>
                <w:lang w:bidi="ar"/>
              </w:rPr>
              <w:br w:type="textWrapping"/>
            </w:r>
            <w:r>
              <w:rPr>
                <w:rFonts w:eastAsia="仿宋"/>
                <w:color w:val="000000"/>
                <w:kern w:val="0"/>
                <w:sz w:val="24"/>
                <w:lang w:bidi="ar"/>
              </w:rPr>
              <w:t>4作业工作面风速、风量、风质不符合国家标准或者行业标准要求；</w:t>
            </w:r>
            <w:r>
              <w:rPr>
                <w:rFonts w:eastAsia="仿宋"/>
                <w:color w:val="000000"/>
                <w:kern w:val="0"/>
                <w:sz w:val="24"/>
                <w:lang w:bidi="ar"/>
              </w:rPr>
              <w:br w:type="textWrapping"/>
            </w:r>
            <w:r>
              <w:rPr>
                <w:rFonts w:eastAsia="仿宋"/>
                <w:color w:val="000000"/>
                <w:kern w:val="0"/>
                <w:sz w:val="24"/>
                <w:lang w:bidi="ar"/>
              </w:rPr>
              <w:t>5未设置通风系统在线监测系统的矿井，未按国家标准规定每年对通风系统进行1次检测；</w:t>
            </w:r>
            <w:r>
              <w:rPr>
                <w:rFonts w:eastAsia="仿宋"/>
                <w:color w:val="000000"/>
                <w:kern w:val="0"/>
                <w:sz w:val="24"/>
                <w:lang w:bidi="ar"/>
              </w:rPr>
              <w:br w:type="textWrapping"/>
            </w:r>
            <w:r>
              <w:rPr>
                <w:rFonts w:eastAsia="仿宋"/>
                <w:color w:val="000000"/>
                <w:kern w:val="0"/>
                <w:sz w:val="24"/>
                <w:lang w:bidi="ar"/>
              </w:rPr>
              <w:t>6主通风设施不能在10分钟之内实现矿井反风，或者反风试验周期超过1年。</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第九十九条第二项、第三项  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二）安全设备的安装、使用、检测、改造和报废不符合国家标准或者行业标准的；（三）未对安全设备进行经常性维护、保养和定期检测的；</w:t>
            </w:r>
          </w:p>
        </w:tc>
        <w:tc>
          <w:tcPr>
            <w:tcW w:w="476" w:type="pct"/>
            <w:tcBorders>
              <w:top w:val="single" w:color="000000" w:sz="4" w:space="0"/>
              <w:left w:val="single" w:color="000000" w:sz="4" w:space="0"/>
              <w:bottom w:val="single" w:color="000000" w:sz="4" w:space="0"/>
              <w:right w:val="single" w:color="000000" w:sz="4" w:space="0"/>
            </w:tcBorders>
            <w:vAlign w:val="center"/>
          </w:tcPr>
          <w:p w14:paraId="45BDAFB7">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72A6AC72">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22052ACD">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4CD1ED7A">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75A818D5">
            <w:pPr>
              <w:topLinePunct/>
              <w:adjustRightInd w:val="0"/>
              <w:snapToGrid w:val="0"/>
              <w:jc w:val="center"/>
              <w:textAlignment w:val="center"/>
              <w:rPr>
                <w:rFonts w:eastAsia="仿宋"/>
                <w:color w:val="000000"/>
                <w:sz w:val="24"/>
              </w:rPr>
            </w:pPr>
            <w:r>
              <w:rPr>
                <w:rFonts w:eastAsia="仿宋"/>
                <w:color w:val="000000"/>
                <w:kern w:val="0"/>
                <w:sz w:val="24"/>
                <w:lang w:bidi="ar"/>
              </w:rPr>
              <w:t>251</w:t>
            </w:r>
          </w:p>
        </w:tc>
        <w:tc>
          <w:tcPr>
            <w:tcW w:w="838" w:type="pct"/>
            <w:tcBorders>
              <w:top w:val="single" w:color="000000" w:sz="4" w:space="0"/>
              <w:left w:val="single" w:color="000000" w:sz="4" w:space="0"/>
              <w:bottom w:val="single" w:color="000000" w:sz="4" w:space="0"/>
              <w:right w:val="single" w:color="000000" w:sz="4" w:space="0"/>
            </w:tcBorders>
            <w:vAlign w:val="center"/>
          </w:tcPr>
          <w:p w14:paraId="17587936">
            <w:pPr>
              <w:topLinePunct/>
              <w:adjustRightInd w:val="0"/>
              <w:snapToGrid w:val="0"/>
              <w:textAlignment w:val="center"/>
              <w:rPr>
                <w:rFonts w:eastAsia="仿宋"/>
                <w:color w:val="000000"/>
                <w:sz w:val="24"/>
              </w:rPr>
            </w:pPr>
            <w:r>
              <w:rPr>
                <w:rFonts w:eastAsia="仿宋"/>
                <w:color w:val="000000"/>
                <w:kern w:val="0"/>
                <w:sz w:val="24"/>
                <w:lang w:bidi="ar"/>
              </w:rPr>
              <w:t>对金属非金属地下矿山未配齐或随身携带具有矿用产品安全标志的便携式气体检测报警仪和自救器等行为的行政处罚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259D6200">
            <w:pPr>
              <w:topLinePunct/>
              <w:adjustRightInd w:val="0"/>
              <w:snapToGrid w:val="0"/>
              <w:jc w:val="left"/>
              <w:textAlignment w:val="center"/>
              <w:rPr>
                <w:rFonts w:eastAsia="仿宋"/>
                <w:color w:val="000000"/>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一、金属非金属地下矿山重大事故隐患</w:t>
            </w:r>
            <w:r>
              <w:rPr>
                <w:rFonts w:eastAsia="仿宋"/>
                <w:color w:val="000000"/>
                <w:kern w:val="0"/>
                <w:sz w:val="24"/>
                <w:lang w:bidi="ar"/>
              </w:rPr>
              <w:br w:type="textWrapping"/>
            </w:r>
            <w:r>
              <w:rPr>
                <w:rFonts w:eastAsia="仿宋"/>
                <w:color w:val="000000"/>
                <w:kern w:val="0"/>
                <w:sz w:val="24"/>
                <w:lang w:bidi="ar"/>
              </w:rPr>
              <w:t>（二十一）未配齐或者随身携带具有矿用产品安全标志的便携式气体检测报警仪和自救器，或者从业人员不能正确使用自救器。</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第九十九条第二项  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二）安全设备的安装、使用、检测、改造和报废不符合国家标准或者行业标准的；</w:t>
            </w:r>
          </w:p>
        </w:tc>
        <w:tc>
          <w:tcPr>
            <w:tcW w:w="476" w:type="pct"/>
            <w:tcBorders>
              <w:top w:val="single" w:color="000000" w:sz="4" w:space="0"/>
              <w:left w:val="single" w:color="000000" w:sz="4" w:space="0"/>
              <w:bottom w:val="single" w:color="000000" w:sz="4" w:space="0"/>
              <w:right w:val="single" w:color="000000" w:sz="4" w:space="0"/>
            </w:tcBorders>
            <w:vAlign w:val="center"/>
          </w:tcPr>
          <w:p w14:paraId="2E8212E6">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7306F93A">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3C56238C">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4B99030C">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1BF261F5">
            <w:pPr>
              <w:topLinePunct/>
              <w:adjustRightInd w:val="0"/>
              <w:snapToGrid w:val="0"/>
              <w:jc w:val="center"/>
              <w:textAlignment w:val="center"/>
              <w:rPr>
                <w:rFonts w:eastAsia="仿宋"/>
                <w:color w:val="000000"/>
                <w:sz w:val="24"/>
              </w:rPr>
            </w:pPr>
            <w:r>
              <w:rPr>
                <w:rFonts w:eastAsia="仿宋"/>
                <w:color w:val="000000"/>
                <w:kern w:val="0"/>
                <w:sz w:val="24"/>
                <w:lang w:bidi="ar"/>
              </w:rPr>
              <w:t>252</w:t>
            </w:r>
          </w:p>
        </w:tc>
        <w:tc>
          <w:tcPr>
            <w:tcW w:w="838" w:type="pct"/>
            <w:tcBorders>
              <w:top w:val="single" w:color="000000" w:sz="4" w:space="0"/>
              <w:left w:val="single" w:color="000000" w:sz="4" w:space="0"/>
              <w:bottom w:val="single" w:color="000000" w:sz="4" w:space="0"/>
              <w:right w:val="single" w:color="000000" w:sz="4" w:space="0"/>
            </w:tcBorders>
            <w:vAlign w:val="center"/>
          </w:tcPr>
          <w:p w14:paraId="5DF57557">
            <w:pPr>
              <w:topLinePunct/>
              <w:adjustRightInd w:val="0"/>
              <w:snapToGrid w:val="0"/>
              <w:textAlignment w:val="center"/>
              <w:rPr>
                <w:rFonts w:eastAsia="仿宋"/>
                <w:color w:val="000000"/>
                <w:sz w:val="24"/>
              </w:rPr>
            </w:pPr>
            <w:r>
              <w:rPr>
                <w:rFonts w:eastAsia="仿宋"/>
                <w:color w:val="000000"/>
                <w:kern w:val="0"/>
                <w:sz w:val="24"/>
                <w:lang w:bidi="ar"/>
              </w:rPr>
              <w:t>对有自然发火危险的金属非金属地下矿山，未安装井下环境监测系统的行政处罚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543E92A3">
            <w:pPr>
              <w:topLinePunct/>
              <w:adjustRightInd w:val="0"/>
              <w:snapToGrid w:val="0"/>
              <w:jc w:val="left"/>
              <w:textAlignment w:val="center"/>
              <w:rPr>
                <w:rFonts w:eastAsia="仿宋"/>
                <w:color w:val="000000"/>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一、金属非金属地下矿山重大事故隐患</w:t>
            </w:r>
            <w:r>
              <w:rPr>
                <w:rFonts w:eastAsia="仿宋"/>
                <w:color w:val="000000"/>
                <w:kern w:val="0"/>
                <w:sz w:val="24"/>
                <w:lang w:bidi="ar"/>
              </w:rPr>
              <w:br w:type="textWrapping"/>
            </w:r>
            <w:r>
              <w:rPr>
                <w:rFonts w:eastAsia="仿宋"/>
                <w:color w:val="000000"/>
                <w:kern w:val="0"/>
                <w:sz w:val="24"/>
                <w:lang w:bidi="ar"/>
              </w:rPr>
              <w:t>（十三）有自然发火危险的矿山，存在下列情形之一的：</w:t>
            </w:r>
            <w:r>
              <w:rPr>
                <w:rFonts w:eastAsia="仿宋"/>
                <w:color w:val="000000"/>
                <w:kern w:val="0"/>
                <w:sz w:val="24"/>
                <w:lang w:bidi="ar"/>
              </w:rPr>
              <w:br w:type="textWrapping"/>
            </w:r>
            <w:r>
              <w:rPr>
                <w:rFonts w:eastAsia="仿宋"/>
                <w:color w:val="000000"/>
                <w:kern w:val="0"/>
                <w:sz w:val="24"/>
                <w:lang w:bidi="ar"/>
              </w:rPr>
              <w:t>1未安装井下环境监测系统，实现自动监测与报警；</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第九十九条第二项  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二）安全设备的安装、使用、检测、改造和报废不符合国家标准或者行业标准的；</w:t>
            </w:r>
          </w:p>
        </w:tc>
        <w:tc>
          <w:tcPr>
            <w:tcW w:w="476" w:type="pct"/>
            <w:tcBorders>
              <w:top w:val="single" w:color="000000" w:sz="4" w:space="0"/>
              <w:left w:val="single" w:color="000000" w:sz="4" w:space="0"/>
              <w:bottom w:val="single" w:color="000000" w:sz="4" w:space="0"/>
              <w:right w:val="single" w:color="000000" w:sz="4" w:space="0"/>
            </w:tcBorders>
            <w:vAlign w:val="center"/>
          </w:tcPr>
          <w:p w14:paraId="6524DCA2">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245CB7B1">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306DA58D">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3509CB61">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767088B0">
            <w:pPr>
              <w:topLinePunct/>
              <w:adjustRightInd w:val="0"/>
              <w:snapToGrid w:val="0"/>
              <w:jc w:val="center"/>
              <w:textAlignment w:val="center"/>
              <w:rPr>
                <w:rFonts w:eastAsia="仿宋"/>
                <w:color w:val="000000"/>
                <w:sz w:val="24"/>
              </w:rPr>
            </w:pPr>
            <w:r>
              <w:rPr>
                <w:rFonts w:eastAsia="仿宋"/>
                <w:color w:val="000000"/>
                <w:kern w:val="0"/>
                <w:sz w:val="24"/>
                <w:lang w:bidi="ar"/>
              </w:rPr>
              <w:t>253</w:t>
            </w:r>
          </w:p>
        </w:tc>
        <w:tc>
          <w:tcPr>
            <w:tcW w:w="838" w:type="pct"/>
            <w:tcBorders>
              <w:top w:val="single" w:color="000000" w:sz="4" w:space="0"/>
              <w:left w:val="single" w:color="000000" w:sz="4" w:space="0"/>
              <w:bottom w:val="single" w:color="000000" w:sz="4" w:space="0"/>
              <w:right w:val="single" w:color="000000" w:sz="4" w:space="0"/>
            </w:tcBorders>
            <w:vAlign w:val="center"/>
          </w:tcPr>
          <w:p w14:paraId="7260B57A">
            <w:pPr>
              <w:topLinePunct/>
              <w:adjustRightInd w:val="0"/>
              <w:snapToGrid w:val="0"/>
              <w:textAlignment w:val="center"/>
              <w:rPr>
                <w:rFonts w:eastAsia="仿宋"/>
                <w:color w:val="000000"/>
                <w:sz w:val="24"/>
              </w:rPr>
            </w:pPr>
            <w:r>
              <w:rPr>
                <w:rFonts w:eastAsia="仿宋"/>
                <w:color w:val="000000"/>
                <w:kern w:val="0"/>
                <w:sz w:val="24"/>
                <w:lang w:bidi="ar"/>
              </w:rPr>
              <w:t>对有自然发火危险的金属非金属地下矿山，未按规定采取防灭火措施等行为的行政处罚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5C258E88">
            <w:pPr>
              <w:topLinePunct/>
              <w:adjustRightInd w:val="0"/>
              <w:snapToGrid w:val="0"/>
              <w:jc w:val="left"/>
              <w:textAlignment w:val="center"/>
              <w:rPr>
                <w:rFonts w:eastAsia="仿宋"/>
                <w:color w:val="000000"/>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一、金属非金属地下矿山重大事故隐患</w:t>
            </w:r>
            <w:r>
              <w:rPr>
                <w:rFonts w:eastAsia="仿宋"/>
                <w:color w:val="000000"/>
                <w:kern w:val="0"/>
                <w:sz w:val="24"/>
                <w:lang w:bidi="ar"/>
              </w:rPr>
              <w:br w:type="textWrapping"/>
            </w:r>
            <w:r>
              <w:rPr>
                <w:rFonts w:eastAsia="仿宋"/>
                <w:color w:val="000000"/>
                <w:kern w:val="0"/>
                <w:sz w:val="24"/>
                <w:lang w:bidi="ar"/>
              </w:rPr>
              <w:t>（十三）有自然发火危险的矿山，存在下列情形之一的：</w:t>
            </w:r>
            <w:r>
              <w:rPr>
                <w:rFonts w:eastAsia="仿宋"/>
                <w:color w:val="000000"/>
                <w:kern w:val="0"/>
                <w:sz w:val="24"/>
                <w:lang w:bidi="ar"/>
              </w:rPr>
              <w:br w:type="textWrapping"/>
            </w:r>
            <w:r>
              <w:rPr>
                <w:rFonts w:eastAsia="仿宋"/>
                <w:color w:val="000000"/>
                <w:kern w:val="0"/>
                <w:sz w:val="24"/>
                <w:lang w:bidi="ar"/>
              </w:rPr>
              <w:t>2未按设计或者国家标准、行业标准采取防灭火措施；</w:t>
            </w:r>
            <w:r>
              <w:rPr>
                <w:rFonts w:eastAsia="仿宋"/>
                <w:color w:val="000000"/>
                <w:kern w:val="0"/>
                <w:sz w:val="24"/>
                <w:lang w:bidi="ar"/>
              </w:rPr>
              <w:br w:type="textWrapping"/>
            </w:r>
            <w:r>
              <w:rPr>
                <w:rFonts w:eastAsia="仿宋"/>
                <w:color w:val="000000"/>
                <w:kern w:val="0"/>
                <w:sz w:val="24"/>
                <w:lang w:bidi="ar"/>
              </w:rPr>
              <w:t>3发现自然发火预兆，未采取有效处理措施。</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7236A26D">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2FB21111">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34B8D79B">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27663D4E">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54F699B6">
            <w:pPr>
              <w:topLinePunct/>
              <w:adjustRightInd w:val="0"/>
              <w:snapToGrid w:val="0"/>
              <w:jc w:val="center"/>
              <w:textAlignment w:val="center"/>
              <w:rPr>
                <w:rFonts w:eastAsia="仿宋"/>
                <w:color w:val="000000"/>
                <w:sz w:val="24"/>
              </w:rPr>
            </w:pPr>
            <w:r>
              <w:rPr>
                <w:rFonts w:eastAsia="仿宋"/>
                <w:color w:val="000000"/>
                <w:kern w:val="0"/>
                <w:sz w:val="24"/>
                <w:lang w:bidi="ar"/>
              </w:rPr>
              <w:t>254</w:t>
            </w:r>
          </w:p>
        </w:tc>
        <w:tc>
          <w:tcPr>
            <w:tcW w:w="838" w:type="pct"/>
            <w:tcBorders>
              <w:top w:val="single" w:color="000000" w:sz="4" w:space="0"/>
              <w:left w:val="single" w:color="000000" w:sz="4" w:space="0"/>
              <w:bottom w:val="single" w:color="000000" w:sz="4" w:space="0"/>
              <w:right w:val="single" w:color="000000" w:sz="4" w:space="0"/>
            </w:tcBorders>
            <w:vAlign w:val="center"/>
          </w:tcPr>
          <w:p w14:paraId="0F9213A2">
            <w:pPr>
              <w:topLinePunct/>
              <w:adjustRightInd w:val="0"/>
              <w:snapToGrid w:val="0"/>
              <w:textAlignment w:val="center"/>
              <w:rPr>
                <w:rFonts w:eastAsia="仿宋"/>
                <w:color w:val="000000"/>
                <w:sz w:val="24"/>
              </w:rPr>
            </w:pPr>
            <w:r>
              <w:rPr>
                <w:rFonts w:eastAsia="仿宋"/>
                <w:color w:val="000000"/>
                <w:kern w:val="0"/>
                <w:sz w:val="24"/>
                <w:lang w:bidi="ar"/>
              </w:rPr>
              <w:t>对金属非金属地下矿山矿区及其附近的地表水或者大气降水危及井下安全时，未按设计采取防治水措施的行政处罚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2B94A5F1">
            <w:pPr>
              <w:topLinePunct/>
              <w:adjustRightInd w:val="0"/>
              <w:snapToGrid w:val="0"/>
              <w:jc w:val="left"/>
              <w:textAlignment w:val="center"/>
              <w:rPr>
                <w:rFonts w:eastAsia="仿宋"/>
                <w:color w:val="000000"/>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一、金属非金属地下矿山重大事故隐患</w:t>
            </w:r>
            <w:r>
              <w:rPr>
                <w:rFonts w:eastAsia="仿宋"/>
                <w:color w:val="000000"/>
                <w:kern w:val="0"/>
                <w:sz w:val="24"/>
                <w:lang w:bidi="ar"/>
              </w:rPr>
              <w:br w:type="textWrapping"/>
            </w:r>
            <w:r>
              <w:rPr>
                <w:rFonts w:eastAsia="仿宋"/>
                <w:color w:val="000000"/>
                <w:kern w:val="0"/>
                <w:sz w:val="24"/>
                <w:lang w:bidi="ar"/>
              </w:rPr>
              <w:t>（六）矿区及其附近的地表水或者大气降水危及井下安全时，未按设计采取防治水措施。</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5440ED23">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11617FD5">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4B74DC88">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79E67A00">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2D124CD7">
            <w:pPr>
              <w:topLinePunct/>
              <w:adjustRightInd w:val="0"/>
              <w:snapToGrid w:val="0"/>
              <w:jc w:val="center"/>
              <w:textAlignment w:val="center"/>
              <w:rPr>
                <w:rFonts w:eastAsia="仿宋"/>
                <w:color w:val="000000"/>
                <w:sz w:val="24"/>
              </w:rPr>
            </w:pPr>
            <w:r>
              <w:rPr>
                <w:rFonts w:eastAsia="仿宋"/>
                <w:color w:val="000000"/>
                <w:kern w:val="0"/>
                <w:sz w:val="24"/>
                <w:lang w:bidi="ar"/>
              </w:rPr>
              <w:t>255</w:t>
            </w:r>
          </w:p>
        </w:tc>
        <w:tc>
          <w:tcPr>
            <w:tcW w:w="838" w:type="pct"/>
            <w:tcBorders>
              <w:top w:val="single" w:color="000000" w:sz="4" w:space="0"/>
              <w:left w:val="single" w:color="000000" w:sz="4" w:space="0"/>
              <w:bottom w:val="single" w:color="000000" w:sz="4" w:space="0"/>
              <w:right w:val="single" w:color="000000" w:sz="4" w:space="0"/>
            </w:tcBorders>
            <w:vAlign w:val="center"/>
          </w:tcPr>
          <w:p w14:paraId="46CBAD80">
            <w:pPr>
              <w:topLinePunct/>
              <w:adjustRightInd w:val="0"/>
              <w:snapToGrid w:val="0"/>
              <w:textAlignment w:val="center"/>
              <w:rPr>
                <w:rFonts w:eastAsia="仿宋"/>
                <w:color w:val="000000"/>
                <w:sz w:val="24"/>
              </w:rPr>
            </w:pPr>
            <w:r>
              <w:rPr>
                <w:rFonts w:eastAsia="仿宋"/>
                <w:color w:val="000000"/>
                <w:kern w:val="0"/>
                <w:sz w:val="24"/>
                <w:lang w:bidi="ar"/>
              </w:rPr>
              <w:t>对金属非金属地下矿山井口标高未达到当地历史最高洪水位1米以上，且未按设计采取相应防护措施的行政处罚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2AA40145">
            <w:pPr>
              <w:topLinePunct/>
              <w:adjustRightInd w:val="0"/>
              <w:snapToGrid w:val="0"/>
              <w:jc w:val="left"/>
              <w:textAlignment w:val="center"/>
              <w:rPr>
                <w:rFonts w:eastAsia="仿宋"/>
                <w:color w:val="000000"/>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一、金属非金属地下矿山重大事故隐患</w:t>
            </w:r>
            <w:r>
              <w:rPr>
                <w:rFonts w:eastAsia="仿宋"/>
                <w:color w:val="000000"/>
                <w:kern w:val="0"/>
                <w:sz w:val="24"/>
                <w:lang w:bidi="ar"/>
              </w:rPr>
              <w:br w:type="textWrapping"/>
            </w:r>
            <w:r>
              <w:rPr>
                <w:rFonts w:eastAsia="仿宋"/>
                <w:color w:val="000000"/>
                <w:kern w:val="0"/>
                <w:sz w:val="24"/>
                <w:lang w:bidi="ar"/>
              </w:rPr>
              <w:t>（八）井口标高未达到当地历史最高洪水位1米以上，且未按设计采取相应防护措施。</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396D6E6F">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29FABE88">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6F380E08">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37EBCFD1">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25C37524">
            <w:pPr>
              <w:topLinePunct/>
              <w:adjustRightInd w:val="0"/>
              <w:snapToGrid w:val="0"/>
              <w:jc w:val="center"/>
              <w:textAlignment w:val="center"/>
              <w:rPr>
                <w:rFonts w:eastAsia="仿宋"/>
                <w:color w:val="000000"/>
                <w:sz w:val="24"/>
              </w:rPr>
            </w:pPr>
            <w:r>
              <w:rPr>
                <w:rFonts w:eastAsia="仿宋"/>
                <w:color w:val="000000"/>
                <w:kern w:val="0"/>
                <w:sz w:val="24"/>
                <w:lang w:bidi="ar"/>
              </w:rPr>
              <w:t>256</w:t>
            </w:r>
          </w:p>
        </w:tc>
        <w:tc>
          <w:tcPr>
            <w:tcW w:w="838" w:type="pct"/>
            <w:tcBorders>
              <w:top w:val="single" w:color="000000" w:sz="4" w:space="0"/>
              <w:left w:val="single" w:color="000000" w:sz="4" w:space="0"/>
              <w:bottom w:val="single" w:color="000000" w:sz="4" w:space="0"/>
              <w:right w:val="single" w:color="000000" w:sz="4" w:space="0"/>
            </w:tcBorders>
            <w:vAlign w:val="center"/>
          </w:tcPr>
          <w:p w14:paraId="6457D9A4">
            <w:pPr>
              <w:topLinePunct/>
              <w:adjustRightInd w:val="0"/>
              <w:snapToGrid w:val="0"/>
              <w:textAlignment w:val="center"/>
              <w:rPr>
                <w:rFonts w:eastAsia="仿宋"/>
                <w:color w:val="000000"/>
                <w:sz w:val="24"/>
              </w:rPr>
            </w:pPr>
            <w:r>
              <w:rPr>
                <w:rFonts w:eastAsia="仿宋"/>
                <w:color w:val="000000"/>
                <w:kern w:val="0"/>
                <w:sz w:val="24"/>
                <w:lang w:bidi="ar"/>
              </w:rPr>
              <w:t>对水文地质类型为中等及复杂的矿井未配备防治水专业技术人员等行为的行政处罚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1C815AE0">
            <w:pPr>
              <w:topLinePunct/>
              <w:adjustRightInd w:val="0"/>
              <w:snapToGrid w:val="0"/>
              <w:jc w:val="left"/>
              <w:textAlignment w:val="center"/>
              <w:rPr>
                <w:rFonts w:eastAsia="仿宋"/>
                <w:color w:val="000000"/>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一、金属非金属地下矿山重大事故隐患</w:t>
            </w:r>
            <w:r>
              <w:rPr>
                <w:rFonts w:eastAsia="仿宋"/>
                <w:color w:val="000000"/>
                <w:kern w:val="0"/>
                <w:sz w:val="24"/>
                <w:lang w:bidi="ar"/>
              </w:rPr>
              <w:br w:type="textWrapping"/>
            </w:r>
            <w:r>
              <w:rPr>
                <w:rFonts w:eastAsia="仿宋"/>
                <w:color w:val="000000"/>
                <w:kern w:val="0"/>
                <w:sz w:val="24"/>
                <w:lang w:bidi="ar"/>
              </w:rPr>
              <w:t>（九）水文地质类型为中等或者复杂的矿井，存在下列情形之一的：</w:t>
            </w:r>
            <w:r>
              <w:rPr>
                <w:rFonts w:eastAsia="仿宋"/>
                <w:color w:val="000000"/>
                <w:kern w:val="0"/>
                <w:sz w:val="24"/>
                <w:lang w:bidi="ar"/>
              </w:rPr>
              <w:br w:type="textWrapping"/>
            </w:r>
            <w:r>
              <w:rPr>
                <w:rFonts w:eastAsia="仿宋"/>
                <w:color w:val="000000"/>
                <w:kern w:val="0"/>
                <w:sz w:val="24"/>
                <w:lang w:bidi="ar"/>
              </w:rPr>
              <w:t>1未配备防治水专业技术人员；</w:t>
            </w:r>
            <w:r>
              <w:rPr>
                <w:rFonts w:eastAsia="仿宋"/>
                <w:color w:val="000000"/>
                <w:kern w:val="0"/>
                <w:sz w:val="24"/>
                <w:lang w:bidi="ar"/>
              </w:rPr>
              <w:br w:type="textWrapping"/>
            </w:r>
            <w:r>
              <w:rPr>
                <w:rFonts w:eastAsia="仿宋"/>
                <w:color w:val="000000"/>
                <w:kern w:val="0"/>
                <w:sz w:val="24"/>
                <w:lang w:bidi="ar"/>
              </w:rPr>
              <w:t>2未设置防治水机构，或者未建立探放水队伍；</w:t>
            </w:r>
            <w:r>
              <w:rPr>
                <w:rFonts w:eastAsia="仿宋"/>
                <w:color w:val="000000"/>
                <w:kern w:val="0"/>
                <w:sz w:val="24"/>
                <w:lang w:bidi="ar"/>
              </w:rPr>
              <w:br w:type="textWrapping"/>
            </w:r>
            <w:r>
              <w:rPr>
                <w:rFonts w:eastAsia="仿宋"/>
                <w:color w:val="000000"/>
                <w:kern w:val="0"/>
                <w:sz w:val="24"/>
                <w:lang w:bidi="ar"/>
              </w:rPr>
              <w:t>3未配齐专用探放水设备，或者未按设计进行探放水作业。</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6FE1181E">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445B060E">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0B0B7232">
            <w:pPr>
              <w:topLinePunct/>
              <w:adjustRightInd w:val="0"/>
              <w:snapToGrid w:val="0"/>
              <w:jc w:val="center"/>
              <w:textAlignment w:val="center"/>
              <w:rPr>
                <w:rFonts w:eastAsia="仿宋"/>
                <w:color w:val="000000"/>
                <w:sz w:val="24"/>
              </w:rPr>
            </w:pPr>
            <w:r>
              <w:rPr>
                <w:rFonts w:hint="eastAsia" w:eastAsia="仿宋"/>
                <w:color w:val="000000"/>
                <w:kern w:val="0"/>
                <w:sz w:val="24"/>
                <w:lang w:eastAsia="zh-CN" w:bidi="ar"/>
              </w:rPr>
              <w:t>县级</w:t>
            </w:r>
          </w:p>
        </w:tc>
      </w:tr>
      <w:tr w14:paraId="2AE3445B">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1D672E18">
            <w:pPr>
              <w:topLinePunct/>
              <w:adjustRightInd w:val="0"/>
              <w:snapToGrid w:val="0"/>
              <w:jc w:val="center"/>
              <w:textAlignment w:val="center"/>
              <w:rPr>
                <w:rFonts w:eastAsia="仿宋"/>
                <w:color w:val="000000"/>
                <w:sz w:val="24"/>
              </w:rPr>
            </w:pPr>
            <w:r>
              <w:rPr>
                <w:rFonts w:eastAsia="仿宋"/>
                <w:color w:val="000000"/>
                <w:kern w:val="0"/>
                <w:sz w:val="24"/>
                <w:lang w:bidi="ar"/>
              </w:rPr>
              <w:t>257</w:t>
            </w:r>
          </w:p>
        </w:tc>
        <w:tc>
          <w:tcPr>
            <w:tcW w:w="838" w:type="pct"/>
            <w:tcBorders>
              <w:top w:val="single" w:color="000000" w:sz="4" w:space="0"/>
              <w:left w:val="single" w:color="000000" w:sz="4" w:space="0"/>
              <w:bottom w:val="single" w:color="000000" w:sz="4" w:space="0"/>
              <w:right w:val="single" w:color="000000" w:sz="4" w:space="0"/>
            </w:tcBorders>
            <w:vAlign w:val="center"/>
          </w:tcPr>
          <w:p w14:paraId="0E2E6B49">
            <w:pPr>
              <w:topLinePunct/>
              <w:adjustRightInd w:val="0"/>
              <w:snapToGrid w:val="0"/>
              <w:textAlignment w:val="center"/>
              <w:rPr>
                <w:rFonts w:eastAsia="仿宋"/>
                <w:color w:val="000000"/>
                <w:sz w:val="24"/>
              </w:rPr>
            </w:pPr>
            <w:r>
              <w:rPr>
                <w:rFonts w:eastAsia="仿宋"/>
                <w:color w:val="000000"/>
                <w:kern w:val="0"/>
                <w:sz w:val="24"/>
                <w:lang w:bidi="ar"/>
              </w:rPr>
              <w:t>对金属非金属地下矿山井下主要排水系统与规定或设计不符等行为的行政处罚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4B2A5B3F">
            <w:pPr>
              <w:topLinePunct/>
              <w:adjustRightInd w:val="0"/>
              <w:snapToGrid w:val="0"/>
              <w:jc w:val="left"/>
              <w:textAlignment w:val="center"/>
              <w:rPr>
                <w:rFonts w:eastAsia="仿宋"/>
                <w:color w:val="000000"/>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一、金属非金属地下矿山重大事故隐患</w:t>
            </w:r>
            <w:r>
              <w:rPr>
                <w:rFonts w:eastAsia="仿宋"/>
                <w:color w:val="000000"/>
                <w:kern w:val="0"/>
                <w:sz w:val="24"/>
                <w:lang w:bidi="ar"/>
              </w:rPr>
              <w:br w:type="textWrapping"/>
            </w:r>
            <w:r>
              <w:rPr>
                <w:rFonts w:eastAsia="仿宋"/>
                <w:color w:val="000000"/>
                <w:kern w:val="0"/>
                <w:sz w:val="24"/>
                <w:lang w:bidi="ar"/>
              </w:rPr>
              <w:t>（七）井下主要排水系统存在下列情形之一的：</w:t>
            </w:r>
            <w:r>
              <w:rPr>
                <w:rFonts w:eastAsia="仿宋"/>
                <w:color w:val="000000"/>
                <w:kern w:val="0"/>
                <w:sz w:val="24"/>
                <w:lang w:bidi="ar"/>
              </w:rPr>
              <w:br w:type="textWrapping"/>
            </w:r>
            <w:r>
              <w:rPr>
                <w:rFonts w:eastAsia="仿宋"/>
                <w:color w:val="000000"/>
                <w:kern w:val="0"/>
                <w:sz w:val="24"/>
                <w:lang w:bidi="ar"/>
              </w:rPr>
              <w:t>1排水泵数量少于3台，或者工作水泵、备用水泵的额定排水能力低于设计要求；</w:t>
            </w:r>
            <w:r>
              <w:rPr>
                <w:rFonts w:eastAsia="仿宋"/>
                <w:color w:val="000000"/>
                <w:kern w:val="0"/>
                <w:sz w:val="24"/>
                <w:lang w:bidi="ar"/>
              </w:rPr>
              <w:br w:type="textWrapping"/>
            </w:r>
            <w:r>
              <w:rPr>
                <w:rFonts w:eastAsia="仿宋"/>
                <w:color w:val="000000"/>
                <w:kern w:val="0"/>
                <w:sz w:val="24"/>
                <w:lang w:bidi="ar"/>
              </w:rPr>
              <w:t>2井巷中未按设计设置工作和备用排水管路，或者排水管路与水泵未有效连接；</w:t>
            </w:r>
            <w:r>
              <w:rPr>
                <w:rFonts w:eastAsia="仿宋"/>
                <w:color w:val="000000"/>
                <w:kern w:val="0"/>
                <w:sz w:val="24"/>
                <w:lang w:bidi="ar"/>
              </w:rPr>
              <w:br w:type="textWrapping"/>
            </w:r>
            <w:r>
              <w:rPr>
                <w:rFonts w:eastAsia="仿宋"/>
                <w:color w:val="000000"/>
                <w:kern w:val="0"/>
                <w:sz w:val="24"/>
                <w:lang w:bidi="ar"/>
              </w:rPr>
              <w:t>3井下最低中段的主水泵房通往中段巷道的出口未装设防水门，或者另外一个出口未高于水泵房地面7米以上；</w:t>
            </w:r>
            <w:r>
              <w:rPr>
                <w:rFonts w:eastAsia="仿宋"/>
                <w:color w:val="000000"/>
                <w:kern w:val="0"/>
                <w:sz w:val="24"/>
                <w:lang w:bidi="ar"/>
              </w:rPr>
              <w:br w:type="textWrapping"/>
            </w:r>
            <w:r>
              <w:rPr>
                <w:rFonts w:eastAsia="仿宋"/>
                <w:color w:val="000000"/>
                <w:kern w:val="0"/>
                <w:sz w:val="24"/>
                <w:lang w:bidi="ar"/>
              </w:rPr>
              <w:t>4利用采空区或者其他废弃巷道作为水仓。</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0F172AFC">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6C97C45B">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497AE7BA">
            <w:pPr>
              <w:topLinePunct/>
              <w:adjustRightInd w:val="0"/>
              <w:snapToGrid w:val="0"/>
              <w:jc w:val="center"/>
              <w:textAlignment w:val="center"/>
              <w:rPr>
                <w:rFonts w:eastAsia="仿宋"/>
                <w:color w:val="000000"/>
                <w:sz w:val="24"/>
              </w:rPr>
            </w:pPr>
            <w:r>
              <w:rPr>
                <w:rFonts w:hint="eastAsia" w:eastAsia="仿宋"/>
                <w:color w:val="000000"/>
                <w:kern w:val="0"/>
                <w:sz w:val="24"/>
                <w:lang w:eastAsia="zh-CN" w:bidi="ar"/>
              </w:rPr>
              <w:t>县级</w:t>
            </w:r>
          </w:p>
        </w:tc>
      </w:tr>
      <w:tr w14:paraId="41641D35">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78FA9B09">
            <w:pPr>
              <w:topLinePunct/>
              <w:adjustRightInd w:val="0"/>
              <w:snapToGrid w:val="0"/>
              <w:jc w:val="center"/>
              <w:textAlignment w:val="center"/>
              <w:rPr>
                <w:rFonts w:eastAsia="仿宋"/>
                <w:color w:val="000000"/>
                <w:sz w:val="24"/>
              </w:rPr>
            </w:pPr>
            <w:r>
              <w:rPr>
                <w:rFonts w:eastAsia="仿宋"/>
                <w:color w:val="000000"/>
                <w:kern w:val="0"/>
                <w:sz w:val="24"/>
                <w:lang w:bidi="ar"/>
              </w:rPr>
              <w:t>258</w:t>
            </w:r>
          </w:p>
        </w:tc>
        <w:tc>
          <w:tcPr>
            <w:tcW w:w="838" w:type="pct"/>
            <w:tcBorders>
              <w:top w:val="single" w:color="000000" w:sz="4" w:space="0"/>
              <w:left w:val="single" w:color="000000" w:sz="4" w:space="0"/>
              <w:bottom w:val="single" w:color="000000" w:sz="4" w:space="0"/>
              <w:right w:val="single" w:color="000000" w:sz="4" w:space="0"/>
            </w:tcBorders>
            <w:vAlign w:val="center"/>
          </w:tcPr>
          <w:p w14:paraId="432B2826">
            <w:pPr>
              <w:topLinePunct/>
              <w:adjustRightInd w:val="0"/>
              <w:snapToGrid w:val="0"/>
              <w:textAlignment w:val="center"/>
              <w:rPr>
                <w:rFonts w:eastAsia="仿宋"/>
                <w:color w:val="000000"/>
                <w:sz w:val="24"/>
              </w:rPr>
            </w:pPr>
            <w:r>
              <w:rPr>
                <w:rFonts w:eastAsia="仿宋"/>
                <w:color w:val="000000"/>
                <w:kern w:val="0"/>
                <w:sz w:val="24"/>
                <w:lang w:bidi="ar"/>
              </w:rPr>
              <w:t>对水文地质类型复杂的金属非金属地下矿山关键巷道防水门设置与设计不符等行为的行政处罚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55BB7DC0">
            <w:pPr>
              <w:topLinePunct/>
              <w:adjustRightInd w:val="0"/>
              <w:snapToGrid w:val="0"/>
              <w:jc w:val="left"/>
              <w:textAlignment w:val="center"/>
              <w:rPr>
                <w:rFonts w:eastAsia="仿宋"/>
                <w:color w:val="000000"/>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一、金属非金属地下矿山重大事故隐患</w:t>
            </w:r>
            <w:r>
              <w:rPr>
                <w:rFonts w:eastAsia="仿宋"/>
                <w:color w:val="000000"/>
                <w:kern w:val="0"/>
                <w:sz w:val="24"/>
                <w:lang w:bidi="ar"/>
              </w:rPr>
              <w:br w:type="textWrapping"/>
            </w:r>
            <w:r>
              <w:rPr>
                <w:rFonts w:eastAsia="仿宋"/>
                <w:color w:val="000000"/>
                <w:kern w:val="0"/>
                <w:sz w:val="24"/>
                <w:lang w:bidi="ar"/>
              </w:rPr>
              <w:t>（十）水文地质类型复杂的矿山存在下列情形之一的：</w:t>
            </w:r>
            <w:r>
              <w:rPr>
                <w:rFonts w:eastAsia="仿宋"/>
                <w:color w:val="000000"/>
                <w:kern w:val="0"/>
                <w:sz w:val="24"/>
                <w:lang w:bidi="ar"/>
              </w:rPr>
              <w:br w:type="textWrapping"/>
            </w:r>
            <w:r>
              <w:rPr>
                <w:rFonts w:eastAsia="仿宋"/>
                <w:color w:val="000000"/>
                <w:kern w:val="0"/>
                <w:sz w:val="24"/>
                <w:lang w:bidi="ar"/>
              </w:rPr>
              <w:t>1关键巷道防水门设置与设计不符；</w:t>
            </w:r>
            <w:r>
              <w:rPr>
                <w:rFonts w:eastAsia="仿宋"/>
                <w:color w:val="000000"/>
                <w:kern w:val="0"/>
                <w:sz w:val="24"/>
                <w:lang w:bidi="ar"/>
              </w:rPr>
              <w:br w:type="textWrapping"/>
            </w:r>
            <w:r>
              <w:rPr>
                <w:rFonts w:eastAsia="仿宋"/>
                <w:color w:val="000000"/>
                <w:kern w:val="0"/>
                <w:sz w:val="24"/>
                <w:lang w:bidi="ar"/>
              </w:rPr>
              <w:t>2主要排水系统的水仓与水泵房之间的隔墙或者配水阀未按设计设置。</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第九十九条第二项  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二）安全设备的安装、使用、检测、改造和报废不符合国家标准或者行业标准的；</w:t>
            </w:r>
          </w:p>
        </w:tc>
        <w:tc>
          <w:tcPr>
            <w:tcW w:w="476" w:type="pct"/>
            <w:tcBorders>
              <w:top w:val="single" w:color="000000" w:sz="4" w:space="0"/>
              <w:left w:val="single" w:color="000000" w:sz="4" w:space="0"/>
              <w:bottom w:val="single" w:color="000000" w:sz="4" w:space="0"/>
              <w:right w:val="single" w:color="000000" w:sz="4" w:space="0"/>
            </w:tcBorders>
            <w:vAlign w:val="center"/>
          </w:tcPr>
          <w:p w14:paraId="7E7908B0">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289DC8E0">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278FEFF5">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0E8EACE1">
        <w:tblPrEx>
          <w:tblCellMar>
            <w:top w:w="0" w:type="dxa"/>
            <w:left w:w="108" w:type="dxa"/>
            <w:bottom w:w="0" w:type="dxa"/>
            <w:right w:w="108" w:type="dxa"/>
          </w:tblCellMar>
        </w:tblPrEx>
        <w:trPr>
          <w:trHeight w:val="275"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14246955">
            <w:pPr>
              <w:topLinePunct/>
              <w:adjustRightInd w:val="0"/>
              <w:snapToGrid w:val="0"/>
              <w:jc w:val="center"/>
              <w:textAlignment w:val="center"/>
              <w:rPr>
                <w:rFonts w:eastAsia="仿宋"/>
                <w:color w:val="000000"/>
                <w:sz w:val="24"/>
              </w:rPr>
            </w:pPr>
            <w:r>
              <w:rPr>
                <w:rFonts w:eastAsia="仿宋"/>
                <w:color w:val="000000"/>
                <w:kern w:val="0"/>
                <w:sz w:val="24"/>
                <w:lang w:bidi="ar"/>
              </w:rPr>
              <w:t>259</w:t>
            </w:r>
          </w:p>
        </w:tc>
        <w:tc>
          <w:tcPr>
            <w:tcW w:w="838" w:type="pct"/>
            <w:tcBorders>
              <w:top w:val="single" w:color="000000" w:sz="4" w:space="0"/>
              <w:left w:val="single" w:color="000000" w:sz="4" w:space="0"/>
              <w:bottom w:val="single" w:color="000000" w:sz="4" w:space="0"/>
              <w:right w:val="single" w:color="000000" w:sz="4" w:space="0"/>
            </w:tcBorders>
            <w:vAlign w:val="center"/>
          </w:tcPr>
          <w:p w14:paraId="7C1ACF6C">
            <w:pPr>
              <w:topLinePunct/>
              <w:adjustRightInd w:val="0"/>
              <w:snapToGrid w:val="0"/>
              <w:textAlignment w:val="center"/>
              <w:rPr>
                <w:rFonts w:eastAsia="仿宋"/>
                <w:color w:val="000000"/>
                <w:sz w:val="24"/>
              </w:rPr>
            </w:pPr>
            <w:r>
              <w:rPr>
                <w:rFonts w:eastAsia="仿宋"/>
                <w:color w:val="000000"/>
                <w:kern w:val="0"/>
                <w:sz w:val="24"/>
                <w:lang w:bidi="ar"/>
              </w:rPr>
              <w:t>对受地表水倒灌威胁的金属非金属地下矿山矿井在强降雨天气或其来水上游发生洪水期间，未实施停产撤人的行政处罚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77F7A4DB">
            <w:pPr>
              <w:topLinePunct/>
              <w:adjustRightInd w:val="0"/>
              <w:snapToGrid w:val="0"/>
              <w:jc w:val="left"/>
              <w:textAlignment w:val="center"/>
              <w:rPr>
                <w:rFonts w:eastAsia="仿宋"/>
                <w:color w:val="000000"/>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一、金属非金属地下矿山重大事故隐患</w:t>
            </w:r>
            <w:r>
              <w:rPr>
                <w:rFonts w:eastAsia="仿宋"/>
                <w:color w:val="000000"/>
                <w:kern w:val="0"/>
                <w:sz w:val="24"/>
                <w:lang w:bidi="ar"/>
              </w:rPr>
              <w:br w:type="textWrapping"/>
            </w:r>
            <w:r>
              <w:rPr>
                <w:rFonts w:eastAsia="仿宋"/>
                <w:color w:val="000000"/>
                <w:kern w:val="0"/>
                <w:sz w:val="24"/>
                <w:lang w:bidi="ar"/>
              </w:rPr>
              <w:t>（十二）受地表水倒灌威胁的矿井在强降雨天气或者其来水上游发生洪水期间，未实施停产撤人。</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0303E78B">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42F01DFF">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67B9041C">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737648DD">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42B96C26">
            <w:pPr>
              <w:topLinePunct/>
              <w:adjustRightInd w:val="0"/>
              <w:snapToGrid w:val="0"/>
              <w:jc w:val="center"/>
              <w:textAlignment w:val="center"/>
              <w:rPr>
                <w:rFonts w:eastAsia="仿宋"/>
                <w:color w:val="000000"/>
                <w:sz w:val="24"/>
              </w:rPr>
            </w:pPr>
            <w:r>
              <w:rPr>
                <w:rFonts w:eastAsia="仿宋"/>
                <w:color w:val="000000"/>
                <w:kern w:val="0"/>
                <w:sz w:val="24"/>
                <w:lang w:bidi="ar"/>
              </w:rPr>
              <w:t>260</w:t>
            </w:r>
          </w:p>
        </w:tc>
        <w:tc>
          <w:tcPr>
            <w:tcW w:w="838" w:type="pct"/>
            <w:tcBorders>
              <w:top w:val="single" w:color="000000" w:sz="4" w:space="0"/>
              <w:left w:val="single" w:color="000000" w:sz="4" w:space="0"/>
              <w:bottom w:val="single" w:color="000000" w:sz="4" w:space="0"/>
              <w:right w:val="single" w:color="000000" w:sz="4" w:space="0"/>
            </w:tcBorders>
            <w:vAlign w:val="center"/>
          </w:tcPr>
          <w:p w14:paraId="60A8F94D">
            <w:pPr>
              <w:topLinePunct/>
              <w:adjustRightInd w:val="0"/>
              <w:snapToGrid w:val="0"/>
              <w:textAlignment w:val="center"/>
              <w:rPr>
                <w:rFonts w:eastAsia="仿宋"/>
                <w:color w:val="000000"/>
                <w:sz w:val="24"/>
              </w:rPr>
            </w:pPr>
            <w:r>
              <w:rPr>
                <w:rFonts w:eastAsia="仿宋"/>
                <w:color w:val="000000"/>
                <w:kern w:val="0"/>
                <w:sz w:val="24"/>
                <w:lang w:bidi="ar"/>
              </w:rPr>
              <w:t>对露天转地下开采的金属非金属地下矿山，未按设计采取防排水措施等行为的行政处罚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65525F24">
            <w:pPr>
              <w:topLinePunct/>
              <w:adjustRightInd w:val="0"/>
              <w:snapToGrid w:val="0"/>
              <w:jc w:val="left"/>
              <w:textAlignment w:val="center"/>
              <w:rPr>
                <w:rFonts w:eastAsia="仿宋"/>
                <w:color w:val="000000"/>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一、金属非金属地下矿山重大事故隐患</w:t>
            </w:r>
            <w:r>
              <w:rPr>
                <w:rFonts w:eastAsia="仿宋"/>
                <w:color w:val="000000"/>
                <w:kern w:val="0"/>
                <w:sz w:val="24"/>
                <w:lang w:bidi="ar"/>
              </w:rPr>
              <w:br w:type="textWrapping"/>
            </w:r>
            <w:r>
              <w:rPr>
                <w:rFonts w:eastAsia="仿宋"/>
                <w:color w:val="000000"/>
                <w:kern w:val="0"/>
                <w:sz w:val="24"/>
                <w:lang w:bidi="ar"/>
              </w:rPr>
              <w:t>（五）露天转地下开采存在下列情形之一的：</w:t>
            </w:r>
            <w:r>
              <w:rPr>
                <w:rFonts w:eastAsia="仿宋"/>
                <w:color w:val="000000"/>
                <w:kern w:val="0"/>
                <w:sz w:val="24"/>
                <w:lang w:bidi="ar"/>
              </w:rPr>
              <w:br w:type="textWrapping"/>
            </w:r>
            <w:r>
              <w:rPr>
                <w:rFonts w:eastAsia="仿宋"/>
                <w:color w:val="000000"/>
                <w:kern w:val="0"/>
                <w:sz w:val="24"/>
                <w:lang w:bidi="ar"/>
              </w:rPr>
              <w:t>1未按设计采取防排水措施；</w:t>
            </w:r>
            <w:r>
              <w:rPr>
                <w:rFonts w:eastAsia="仿宋"/>
                <w:color w:val="000000"/>
                <w:kern w:val="0"/>
                <w:sz w:val="24"/>
                <w:lang w:bidi="ar"/>
              </w:rPr>
              <w:br w:type="textWrapping"/>
            </w:r>
            <w:r>
              <w:rPr>
                <w:rFonts w:eastAsia="仿宋"/>
                <w:color w:val="000000"/>
                <w:kern w:val="0"/>
                <w:sz w:val="24"/>
                <w:lang w:bidi="ar"/>
              </w:rPr>
              <w:t>2露天与地下联合开采时，回采顺序与设计不符；</w:t>
            </w:r>
            <w:r>
              <w:rPr>
                <w:rFonts w:eastAsia="仿宋"/>
                <w:color w:val="000000"/>
                <w:kern w:val="0"/>
                <w:sz w:val="24"/>
                <w:lang w:bidi="ar"/>
              </w:rPr>
              <w:br w:type="textWrapping"/>
            </w:r>
            <w:r>
              <w:rPr>
                <w:rFonts w:eastAsia="仿宋"/>
                <w:color w:val="000000"/>
                <w:kern w:val="0"/>
                <w:sz w:val="24"/>
                <w:lang w:bidi="ar"/>
              </w:rPr>
              <w:t>3未按设计采取留设安全顶柱或者岩石垫层等防护措施。</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37A4A00D">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31323497">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7F7D71F2">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0F663323">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1B8BD6D5">
            <w:pPr>
              <w:topLinePunct/>
              <w:adjustRightInd w:val="0"/>
              <w:snapToGrid w:val="0"/>
              <w:jc w:val="center"/>
              <w:textAlignment w:val="center"/>
              <w:rPr>
                <w:rFonts w:eastAsia="仿宋"/>
                <w:color w:val="000000"/>
                <w:sz w:val="24"/>
              </w:rPr>
            </w:pPr>
            <w:r>
              <w:rPr>
                <w:rFonts w:eastAsia="仿宋"/>
                <w:color w:val="000000"/>
                <w:kern w:val="0"/>
                <w:sz w:val="24"/>
                <w:lang w:bidi="ar"/>
              </w:rPr>
              <w:t>261</w:t>
            </w:r>
          </w:p>
        </w:tc>
        <w:tc>
          <w:tcPr>
            <w:tcW w:w="838" w:type="pct"/>
            <w:tcBorders>
              <w:top w:val="single" w:color="000000" w:sz="4" w:space="0"/>
              <w:left w:val="single" w:color="000000" w:sz="4" w:space="0"/>
              <w:bottom w:val="single" w:color="000000" w:sz="4" w:space="0"/>
              <w:right w:val="single" w:color="000000" w:sz="4" w:space="0"/>
            </w:tcBorders>
            <w:vAlign w:val="center"/>
          </w:tcPr>
          <w:p w14:paraId="2B19DC65">
            <w:pPr>
              <w:topLinePunct/>
              <w:adjustRightInd w:val="0"/>
              <w:snapToGrid w:val="0"/>
              <w:textAlignment w:val="center"/>
              <w:rPr>
                <w:rFonts w:eastAsia="仿宋"/>
                <w:color w:val="000000"/>
                <w:sz w:val="24"/>
              </w:rPr>
            </w:pPr>
            <w:r>
              <w:rPr>
                <w:rFonts w:eastAsia="仿宋"/>
                <w:color w:val="000000"/>
                <w:kern w:val="0"/>
                <w:sz w:val="24"/>
                <w:lang w:bidi="ar"/>
              </w:rPr>
              <w:t>对金属非金属地下矿山一级负荷未采用双重电源供电，或者双重电源中的任一电源不能满足全部一级负荷需要的行政处罚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40D8E0D5">
            <w:pPr>
              <w:topLinePunct/>
              <w:adjustRightInd w:val="0"/>
              <w:snapToGrid w:val="0"/>
              <w:jc w:val="left"/>
              <w:textAlignment w:val="center"/>
              <w:rPr>
                <w:rFonts w:eastAsia="仿宋"/>
                <w:color w:val="000000"/>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一、金属非金属地下矿山重大事故隐患</w:t>
            </w:r>
            <w:r>
              <w:rPr>
                <w:rFonts w:eastAsia="仿宋"/>
                <w:color w:val="000000"/>
                <w:kern w:val="0"/>
                <w:sz w:val="24"/>
                <w:lang w:bidi="ar"/>
              </w:rPr>
              <w:br w:type="textWrapping"/>
            </w:r>
            <w:r>
              <w:rPr>
                <w:rFonts w:eastAsia="仿宋"/>
                <w:color w:val="000000"/>
                <w:kern w:val="0"/>
                <w:sz w:val="24"/>
                <w:lang w:bidi="ar"/>
              </w:rPr>
              <w:t>（二十四）一级负荷未采用双重电源供电，或者双重电源中的任一电源不能满足全部一级负荷需要。</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4C4A3A84">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1711ECC0">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4610D154">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3C9FB02C">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077F04F9">
            <w:pPr>
              <w:topLinePunct/>
              <w:adjustRightInd w:val="0"/>
              <w:snapToGrid w:val="0"/>
              <w:jc w:val="center"/>
              <w:textAlignment w:val="center"/>
              <w:rPr>
                <w:rFonts w:eastAsia="仿宋"/>
                <w:color w:val="000000"/>
                <w:sz w:val="24"/>
              </w:rPr>
            </w:pPr>
            <w:r>
              <w:rPr>
                <w:rFonts w:eastAsia="仿宋"/>
                <w:color w:val="000000"/>
                <w:kern w:val="0"/>
                <w:sz w:val="24"/>
                <w:lang w:bidi="ar"/>
              </w:rPr>
              <w:t>262</w:t>
            </w:r>
          </w:p>
        </w:tc>
        <w:tc>
          <w:tcPr>
            <w:tcW w:w="838" w:type="pct"/>
            <w:tcBorders>
              <w:top w:val="single" w:color="000000" w:sz="4" w:space="0"/>
              <w:left w:val="single" w:color="000000" w:sz="4" w:space="0"/>
              <w:bottom w:val="single" w:color="000000" w:sz="4" w:space="0"/>
              <w:right w:val="single" w:color="000000" w:sz="4" w:space="0"/>
            </w:tcBorders>
            <w:vAlign w:val="center"/>
          </w:tcPr>
          <w:p w14:paraId="4336F3BD">
            <w:pPr>
              <w:topLinePunct/>
              <w:adjustRightInd w:val="0"/>
              <w:snapToGrid w:val="0"/>
              <w:textAlignment w:val="center"/>
              <w:rPr>
                <w:rFonts w:eastAsia="仿宋"/>
                <w:color w:val="000000"/>
                <w:sz w:val="24"/>
              </w:rPr>
            </w:pPr>
            <w:r>
              <w:rPr>
                <w:rFonts w:eastAsia="仿宋"/>
                <w:color w:val="000000"/>
                <w:kern w:val="0"/>
                <w:sz w:val="24"/>
                <w:lang w:bidi="ar"/>
              </w:rPr>
              <w:t>对金属非金属地下矿山向井下采场供电的6kV～35kV系统的中性点采用直接接地的行政处罚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19719126">
            <w:pPr>
              <w:topLinePunct/>
              <w:adjustRightInd w:val="0"/>
              <w:snapToGrid w:val="0"/>
              <w:jc w:val="left"/>
              <w:textAlignment w:val="center"/>
              <w:rPr>
                <w:rFonts w:eastAsia="仿宋"/>
                <w:color w:val="000000"/>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一、金属非金属地下矿山重大事故隐患</w:t>
            </w:r>
            <w:r>
              <w:rPr>
                <w:rFonts w:eastAsia="仿宋"/>
                <w:color w:val="000000"/>
                <w:kern w:val="0"/>
                <w:sz w:val="24"/>
                <w:lang w:bidi="ar"/>
              </w:rPr>
              <w:br w:type="textWrapping"/>
            </w:r>
            <w:r>
              <w:rPr>
                <w:rFonts w:eastAsia="仿宋"/>
                <w:color w:val="000000"/>
                <w:kern w:val="0"/>
                <w:sz w:val="24"/>
                <w:lang w:bidi="ar"/>
              </w:rPr>
              <w:t>（二十五）向井下采场供电的6kV～35kV系统的中性点采用直接接地。</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第九十九条第二项  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二）安全设备的安装、使用、检测、改造和报废不符合国家标准或者行业标准的；</w:t>
            </w:r>
          </w:p>
        </w:tc>
        <w:tc>
          <w:tcPr>
            <w:tcW w:w="476" w:type="pct"/>
            <w:tcBorders>
              <w:top w:val="single" w:color="000000" w:sz="4" w:space="0"/>
              <w:left w:val="single" w:color="000000" w:sz="4" w:space="0"/>
              <w:bottom w:val="single" w:color="000000" w:sz="4" w:space="0"/>
              <w:right w:val="single" w:color="000000" w:sz="4" w:space="0"/>
            </w:tcBorders>
            <w:vAlign w:val="center"/>
          </w:tcPr>
          <w:p w14:paraId="42D0776B">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7D4794A2">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434674CC">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165688B3">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4224276B">
            <w:pPr>
              <w:topLinePunct/>
              <w:adjustRightInd w:val="0"/>
              <w:snapToGrid w:val="0"/>
              <w:jc w:val="center"/>
              <w:textAlignment w:val="center"/>
              <w:rPr>
                <w:rFonts w:eastAsia="仿宋"/>
                <w:color w:val="000000"/>
                <w:sz w:val="24"/>
              </w:rPr>
            </w:pPr>
            <w:r>
              <w:rPr>
                <w:rFonts w:eastAsia="仿宋"/>
                <w:color w:val="000000"/>
                <w:kern w:val="0"/>
                <w:sz w:val="24"/>
                <w:lang w:bidi="ar"/>
              </w:rPr>
              <w:t>263</w:t>
            </w:r>
          </w:p>
        </w:tc>
        <w:tc>
          <w:tcPr>
            <w:tcW w:w="838" w:type="pct"/>
            <w:tcBorders>
              <w:top w:val="single" w:color="000000" w:sz="4" w:space="0"/>
              <w:left w:val="single" w:color="000000" w:sz="4" w:space="0"/>
              <w:bottom w:val="single" w:color="000000" w:sz="4" w:space="0"/>
              <w:right w:val="single" w:color="000000" w:sz="4" w:space="0"/>
            </w:tcBorders>
            <w:vAlign w:val="center"/>
          </w:tcPr>
          <w:p w14:paraId="3C1C6183">
            <w:pPr>
              <w:topLinePunct/>
              <w:adjustRightInd w:val="0"/>
              <w:snapToGrid w:val="0"/>
              <w:textAlignment w:val="center"/>
              <w:rPr>
                <w:rFonts w:eastAsia="仿宋"/>
                <w:color w:val="000000"/>
                <w:sz w:val="24"/>
              </w:rPr>
            </w:pPr>
            <w:r>
              <w:rPr>
                <w:rFonts w:eastAsia="仿宋"/>
                <w:color w:val="000000"/>
                <w:kern w:val="0"/>
                <w:sz w:val="24"/>
                <w:lang w:bidi="ar"/>
              </w:rPr>
              <w:t>对相邻金属非金属地下矿山开采岩体移动范围存在交叉重叠等相互影响时，未按设计留设保安矿（岩）柱或者采取其他措施的行政处罚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54A481A1">
            <w:pPr>
              <w:topLinePunct/>
              <w:adjustRightInd w:val="0"/>
              <w:snapToGrid w:val="0"/>
              <w:jc w:val="left"/>
              <w:textAlignment w:val="center"/>
              <w:rPr>
                <w:rFonts w:eastAsia="仿宋"/>
                <w:color w:val="000000"/>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一、金属非金属地下矿山重大事故隐患</w:t>
            </w:r>
            <w:r>
              <w:rPr>
                <w:rFonts w:eastAsia="仿宋"/>
                <w:color w:val="000000"/>
                <w:kern w:val="0"/>
                <w:sz w:val="24"/>
                <w:lang w:bidi="ar"/>
              </w:rPr>
              <w:br w:type="textWrapping"/>
            </w:r>
            <w:r>
              <w:rPr>
                <w:rFonts w:eastAsia="仿宋"/>
                <w:color w:val="000000"/>
                <w:kern w:val="0"/>
                <w:sz w:val="24"/>
                <w:lang w:bidi="ar"/>
              </w:rPr>
              <w:t>（十四）相邻矿山开采岩体移动范围存在交叉重叠等相互影响时，未按设计留设保安矿（岩）柱或者采取其他措施。</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351CA83C">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307761C8">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48B3B407">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2A0EFCAA">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20E77C73">
            <w:pPr>
              <w:topLinePunct/>
              <w:adjustRightInd w:val="0"/>
              <w:snapToGrid w:val="0"/>
              <w:jc w:val="center"/>
              <w:textAlignment w:val="center"/>
              <w:rPr>
                <w:rFonts w:eastAsia="仿宋"/>
                <w:color w:val="000000"/>
                <w:sz w:val="24"/>
              </w:rPr>
            </w:pPr>
            <w:r>
              <w:rPr>
                <w:rFonts w:eastAsia="仿宋"/>
                <w:color w:val="000000"/>
                <w:kern w:val="0"/>
                <w:sz w:val="24"/>
                <w:lang w:bidi="ar"/>
              </w:rPr>
              <w:t>264</w:t>
            </w:r>
          </w:p>
        </w:tc>
        <w:tc>
          <w:tcPr>
            <w:tcW w:w="838" w:type="pct"/>
            <w:tcBorders>
              <w:top w:val="single" w:color="000000" w:sz="4" w:space="0"/>
              <w:left w:val="single" w:color="000000" w:sz="4" w:space="0"/>
              <w:bottom w:val="single" w:color="000000" w:sz="4" w:space="0"/>
              <w:right w:val="single" w:color="000000" w:sz="4" w:space="0"/>
            </w:tcBorders>
            <w:vAlign w:val="center"/>
          </w:tcPr>
          <w:p w14:paraId="5D71FFE6">
            <w:pPr>
              <w:topLinePunct/>
              <w:adjustRightInd w:val="0"/>
              <w:snapToGrid w:val="0"/>
              <w:textAlignment w:val="center"/>
              <w:rPr>
                <w:rFonts w:eastAsia="仿宋"/>
                <w:color w:val="000000"/>
                <w:sz w:val="24"/>
              </w:rPr>
            </w:pPr>
            <w:r>
              <w:rPr>
                <w:rFonts w:eastAsia="仿宋"/>
                <w:color w:val="000000"/>
                <w:kern w:val="0"/>
                <w:sz w:val="24"/>
                <w:lang w:bidi="ar"/>
              </w:rPr>
              <w:t>对金属非金属地下矿山地表设施未按设计采取有效安全措施保护的行政处罚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739131B4">
            <w:pPr>
              <w:topLinePunct/>
              <w:adjustRightInd w:val="0"/>
              <w:snapToGrid w:val="0"/>
              <w:jc w:val="left"/>
              <w:textAlignment w:val="center"/>
              <w:rPr>
                <w:rFonts w:eastAsia="仿宋"/>
                <w:color w:val="000000"/>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一、金属非金属地下矿山重大事故隐患</w:t>
            </w:r>
            <w:r>
              <w:rPr>
                <w:rFonts w:eastAsia="仿宋"/>
                <w:color w:val="000000"/>
                <w:kern w:val="0"/>
                <w:sz w:val="24"/>
                <w:lang w:bidi="ar"/>
              </w:rPr>
              <w:br w:type="textWrapping"/>
            </w:r>
            <w:r>
              <w:rPr>
                <w:rFonts w:eastAsia="仿宋"/>
                <w:color w:val="000000"/>
                <w:kern w:val="0"/>
                <w:sz w:val="24"/>
                <w:lang w:bidi="ar"/>
              </w:rPr>
              <w:t>（十五）地表设施设置存在下列情形之一，未按设计采取有效安全措施的：</w:t>
            </w:r>
            <w:r>
              <w:rPr>
                <w:rFonts w:eastAsia="仿宋"/>
                <w:color w:val="000000"/>
                <w:kern w:val="0"/>
                <w:sz w:val="24"/>
                <w:lang w:bidi="ar"/>
              </w:rPr>
              <w:br w:type="textWrapping"/>
            </w:r>
            <w:r>
              <w:rPr>
                <w:rFonts w:eastAsia="仿宋"/>
                <w:color w:val="000000"/>
                <w:kern w:val="0"/>
                <w:sz w:val="24"/>
                <w:lang w:bidi="ar"/>
              </w:rPr>
              <w:t>1岩体移动范围内存在居民村庄或者重要设备设施；</w:t>
            </w:r>
            <w:r>
              <w:rPr>
                <w:rFonts w:eastAsia="仿宋"/>
                <w:color w:val="000000"/>
                <w:kern w:val="0"/>
                <w:sz w:val="24"/>
                <w:lang w:bidi="ar"/>
              </w:rPr>
              <w:br w:type="textWrapping"/>
            </w:r>
            <w:r>
              <w:rPr>
                <w:rFonts w:eastAsia="仿宋"/>
                <w:color w:val="000000"/>
                <w:kern w:val="0"/>
                <w:sz w:val="24"/>
                <w:lang w:bidi="ar"/>
              </w:rPr>
              <w:t>2主要开拓工程出入口易受地表滑坡、滚石、泥石流等地质灾害影响。2.《中华人民共和国安全生产法》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2004065F">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5839ED59">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5786D99E">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764C4931">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7334A81E">
            <w:pPr>
              <w:topLinePunct/>
              <w:adjustRightInd w:val="0"/>
              <w:snapToGrid w:val="0"/>
              <w:jc w:val="center"/>
              <w:textAlignment w:val="center"/>
              <w:rPr>
                <w:rFonts w:eastAsia="仿宋"/>
                <w:color w:val="000000"/>
                <w:sz w:val="24"/>
              </w:rPr>
            </w:pPr>
            <w:r>
              <w:rPr>
                <w:rFonts w:eastAsia="仿宋"/>
                <w:color w:val="000000"/>
                <w:kern w:val="0"/>
                <w:sz w:val="24"/>
                <w:lang w:bidi="ar"/>
              </w:rPr>
              <w:t>265</w:t>
            </w:r>
          </w:p>
        </w:tc>
        <w:tc>
          <w:tcPr>
            <w:tcW w:w="838" w:type="pct"/>
            <w:tcBorders>
              <w:top w:val="single" w:color="000000" w:sz="4" w:space="0"/>
              <w:left w:val="single" w:color="000000" w:sz="4" w:space="0"/>
              <w:bottom w:val="single" w:color="000000" w:sz="4" w:space="0"/>
              <w:right w:val="single" w:color="000000" w:sz="4" w:space="0"/>
            </w:tcBorders>
            <w:vAlign w:val="center"/>
          </w:tcPr>
          <w:p w14:paraId="6CFA2E18">
            <w:pPr>
              <w:topLinePunct/>
              <w:adjustRightInd w:val="0"/>
              <w:snapToGrid w:val="0"/>
              <w:textAlignment w:val="center"/>
              <w:rPr>
                <w:rFonts w:eastAsia="仿宋"/>
                <w:color w:val="000000"/>
                <w:sz w:val="24"/>
              </w:rPr>
            </w:pPr>
            <w:r>
              <w:rPr>
                <w:rFonts w:eastAsia="仿宋"/>
                <w:color w:val="000000"/>
                <w:kern w:val="0"/>
                <w:sz w:val="24"/>
                <w:lang w:bidi="ar"/>
              </w:rPr>
              <w:t>对相邻金属非金属地下矿山不同矿权主体的相邻矿山井巷相互贯通，或者同一矿权主体相邻独立生产系统的井巷擅自贯通的行政处罚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03BA0269">
            <w:pPr>
              <w:topLinePunct/>
              <w:adjustRightInd w:val="0"/>
              <w:snapToGrid w:val="0"/>
              <w:jc w:val="left"/>
              <w:textAlignment w:val="center"/>
              <w:rPr>
                <w:rFonts w:eastAsia="仿宋"/>
                <w:color w:val="000000"/>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一、金属非金属地下矿山重大事故隐患</w:t>
            </w:r>
            <w:r>
              <w:rPr>
                <w:rFonts w:eastAsia="仿宋"/>
                <w:color w:val="000000"/>
                <w:kern w:val="0"/>
                <w:sz w:val="24"/>
                <w:lang w:bidi="ar"/>
              </w:rPr>
              <w:br w:type="textWrapping"/>
            </w:r>
            <w:r>
              <w:rPr>
                <w:rFonts w:eastAsia="仿宋"/>
                <w:color w:val="000000"/>
                <w:kern w:val="0"/>
                <w:sz w:val="24"/>
                <w:lang w:bidi="ar"/>
              </w:rPr>
              <w:t>（三）不同矿权主体的相邻矿山井巷相互贯通，或者同一矿权主体相邻独立生产系统的井巷擅自贯通。</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496D0A27">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740A2ED0">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3701AD24">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2A8CE507">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3AE47C0A">
            <w:pPr>
              <w:topLinePunct/>
              <w:adjustRightInd w:val="0"/>
              <w:snapToGrid w:val="0"/>
              <w:jc w:val="center"/>
              <w:textAlignment w:val="center"/>
              <w:rPr>
                <w:rFonts w:eastAsia="仿宋"/>
                <w:color w:val="000000"/>
                <w:sz w:val="24"/>
              </w:rPr>
            </w:pPr>
            <w:r>
              <w:rPr>
                <w:rFonts w:eastAsia="仿宋"/>
                <w:color w:val="000000"/>
                <w:kern w:val="0"/>
                <w:sz w:val="24"/>
                <w:lang w:bidi="ar"/>
              </w:rPr>
              <w:t>266</w:t>
            </w:r>
          </w:p>
        </w:tc>
        <w:tc>
          <w:tcPr>
            <w:tcW w:w="838" w:type="pct"/>
            <w:tcBorders>
              <w:top w:val="single" w:color="000000" w:sz="4" w:space="0"/>
              <w:left w:val="single" w:color="000000" w:sz="4" w:space="0"/>
              <w:bottom w:val="single" w:color="000000" w:sz="4" w:space="0"/>
              <w:right w:val="single" w:color="000000" w:sz="4" w:space="0"/>
            </w:tcBorders>
            <w:vAlign w:val="center"/>
          </w:tcPr>
          <w:p w14:paraId="586A9917">
            <w:pPr>
              <w:topLinePunct/>
              <w:adjustRightInd w:val="0"/>
              <w:snapToGrid w:val="0"/>
              <w:textAlignment w:val="center"/>
              <w:rPr>
                <w:rFonts w:eastAsia="仿宋"/>
                <w:color w:val="000000"/>
                <w:sz w:val="24"/>
              </w:rPr>
            </w:pPr>
            <w:r>
              <w:rPr>
                <w:rFonts w:eastAsia="仿宋"/>
                <w:color w:val="000000"/>
                <w:kern w:val="0"/>
                <w:sz w:val="24"/>
                <w:lang w:bidi="ar"/>
              </w:rPr>
              <w:t>对金属非金属地下矿山使用国家明令禁止使用的设备、材料或者工艺的行政处罚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7DA3541D">
            <w:pPr>
              <w:topLinePunct/>
              <w:adjustRightInd w:val="0"/>
              <w:snapToGrid w:val="0"/>
              <w:jc w:val="left"/>
              <w:textAlignment w:val="center"/>
              <w:rPr>
                <w:rFonts w:eastAsia="仿宋"/>
                <w:color w:val="000000"/>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一、金属非金属地下矿山重大事故隐患</w:t>
            </w:r>
            <w:r>
              <w:rPr>
                <w:rFonts w:eastAsia="仿宋"/>
                <w:color w:val="000000"/>
                <w:kern w:val="0"/>
                <w:sz w:val="24"/>
                <w:lang w:bidi="ar"/>
              </w:rPr>
              <w:br w:type="textWrapping"/>
            </w:r>
            <w:r>
              <w:rPr>
                <w:rFonts w:eastAsia="仿宋"/>
                <w:color w:val="000000"/>
                <w:kern w:val="0"/>
                <w:sz w:val="24"/>
                <w:lang w:bidi="ar"/>
              </w:rPr>
              <w:t>（二）使用国家明令禁止使用的设备、材料或者工艺。</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第九十九条第七项  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七）使用应当淘汰的危及生产安全的工艺、设备的；</w:t>
            </w:r>
          </w:p>
        </w:tc>
        <w:tc>
          <w:tcPr>
            <w:tcW w:w="476" w:type="pct"/>
            <w:tcBorders>
              <w:top w:val="single" w:color="000000" w:sz="4" w:space="0"/>
              <w:left w:val="single" w:color="000000" w:sz="4" w:space="0"/>
              <w:bottom w:val="single" w:color="000000" w:sz="4" w:space="0"/>
              <w:right w:val="single" w:color="000000" w:sz="4" w:space="0"/>
            </w:tcBorders>
            <w:vAlign w:val="center"/>
          </w:tcPr>
          <w:p w14:paraId="4B0AA832">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16DE9359">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6789CBC4">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662D7CF2">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0A4B2107">
            <w:pPr>
              <w:topLinePunct/>
              <w:adjustRightInd w:val="0"/>
              <w:snapToGrid w:val="0"/>
              <w:jc w:val="center"/>
              <w:textAlignment w:val="center"/>
              <w:rPr>
                <w:rFonts w:eastAsia="仿宋"/>
                <w:color w:val="000000"/>
                <w:sz w:val="24"/>
              </w:rPr>
            </w:pPr>
            <w:r>
              <w:rPr>
                <w:rFonts w:eastAsia="仿宋"/>
                <w:color w:val="000000"/>
                <w:kern w:val="0"/>
                <w:sz w:val="24"/>
                <w:lang w:bidi="ar"/>
              </w:rPr>
              <w:t>267</w:t>
            </w:r>
          </w:p>
        </w:tc>
        <w:tc>
          <w:tcPr>
            <w:tcW w:w="838" w:type="pct"/>
            <w:tcBorders>
              <w:top w:val="single" w:color="000000" w:sz="4" w:space="0"/>
              <w:left w:val="single" w:color="000000" w:sz="4" w:space="0"/>
              <w:bottom w:val="single" w:color="000000" w:sz="4" w:space="0"/>
              <w:right w:val="single" w:color="000000" w:sz="4" w:space="0"/>
            </w:tcBorders>
            <w:vAlign w:val="center"/>
          </w:tcPr>
          <w:p w14:paraId="085A9743">
            <w:pPr>
              <w:topLinePunct/>
              <w:adjustRightInd w:val="0"/>
              <w:snapToGrid w:val="0"/>
              <w:textAlignment w:val="center"/>
              <w:rPr>
                <w:rFonts w:eastAsia="仿宋"/>
                <w:color w:val="000000"/>
                <w:sz w:val="24"/>
              </w:rPr>
            </w:pPr>
            <w:r>
              <w:rPr>
                <w:rFonts w:eastAsia="仿宋"/>
                <w:color w:val="000000"/>
                <w:kern w:val="0"/>
                <w:sz w:val="24"/>
                <w:lang w:bidi="ar"/>
              </w:rPr>
              <w:t>对金属非金属地下矿山井下无轨运人车辆未取得金属非金属矿山矿用产品安全标志等行为的行政处罚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154F1B3D">
            <w:pPr>
              <w:topLinePunct/>
              <w:adjustRightInd w:val="0"/>
              <w:snapToGrid w:val="0"/>
              <w:jc w:val="left"/>
              <w:textAlignment w:val="center"/>
              <w:rPr>
                <w:rFonts w:eastAsia="仿宋"/>
                <w:color w:val="000000"/>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一、金属非金属地下矿山重大事故隐患</w:t>
            </w:r>
            <w:r>
              <w:rPr>
                <w:rFonts w:eastAsia="仿宋"/>
                <w:color w:val="000000"/>
                <w:kern w:val="0"/>
                <w:sz w:val="24"/>
                <w:lang w:bidi="ar"/>
              </w:rPr>
              <w:br w:type="textWrapping"/>
            </w:r>
            <w:r>
              <w:rPr>
                <w:rFonts w:eastAsia="仿宋"/>
                <w:color w:val="000000"/>
                <w:kern w:val="0"/>
                <w:sz w:val="24"/>
                <w:lang w:bidi="ar"/>
              </w:rPr>
              <w:t>（二十三）井下无轨运人车辆存在下列情形之一的：</w:t>
            </w:r>
            <w:r>
              <w:rPr>
                <w:rFonts w:eastAsia="仿宋"/>
                <w:color w:val="000000"/>
                <w:kern w:val="0"/>
                <w:sz w:val="24"/>
                <w:lang w:bidi="ar"/>
              </w:rPr>
              <w:br w:type="textWrapping"/>
            </w:r>
            <w:r>
              <w:rPr>
                <w:rFonts w:eastAsia="仿宋"/>
                <w:color w:val="000000"/>
                <w:kern w:val="0"/>
                <w:sz w:val="24"/>
                <w:lang w:bidi="ar"/>
              </w:rPr>
              <w:t>1未取得金属非金属矿山矿用产品安全标志；</w:t>
            </w:r>
            <w:r>
              <w:rPr>
                <w:rFonts w:eastAsia="仿宋"/>
                <w:color w:val="000000"/>
                <w:kern w:val="0"/>
                <w:sz w:val="24"/>
                <w:lang w:bidi="ar"/>
              </w:rPr>
              <w:br w:type="textWrapping"/>
            </w:r>
            <w:r>
              <w:rPr>
                <w:rFonts w:eastAsia="仿宋"/>
                <w:color w:val="000000"/>
                <w:kern w:val="0"/>
                <w:sz w:val="24"/>
                <w:lang w:bidi="ar"/>
              </w:rPr>
              <w:t>2载人数量超过25人或者超过核载人数；</w:t>
            </w:r>
            <w:r>
              <w:rPr>
                <w:rFonts w:eastAsia="仿宋"/>
                <w:color w:val="000000"/>
                <w:kern w:val="0"/>
                <w:sz w:val="24"/>
                <w:lang w:bidi="ar"/>
              </w:rPr>
              <w:br w:type="textWrapping"/>
            </w:r>
            <w:r>
              <w:rPr>
                <w:rFonts w:eastAsia="仿宋"/>
                <w:color w:val="000000"/>
                <w:kern w:val="0"/>
                <w:sz w:val="24"/>
                <w:lang w:bidi="ar"/>
              </w:rPr>
              <w:t>3制动系统采用干式制动器，或者未同时配备行车制动系统、驻车制动系统和应急制动系统；</w:t>
            </w:r>
            <w:r>
              <w:rPr>
                <w:rFonts w:eastAsia="仿宋"/>
                <w:color w:val="000000"/>
                <w:kern w:val="0"/>
                <w:sz w:val="24"/>
                <w:lang w:bidi="ar"/>
              </w:rPr>
              <w:br w:type="textWrapping"/>
            </w:r>
            <w:r>
              <w:rPr>
                <w:rFonts w:eastAsia="仿宋"/>
                <w:color w:val="000000"/>
                <w:kern w:val="0"/>
                <w:sz w:val="24"/>
                <w:lang w:bidi="ar"/>
              </w:rPr>
              <w:t>4未按国家规定对车辆进行检测检验。</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第九十九条第二项、第三项  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二）安全设备的安装、使用、检测、改造和报废不符合国家标准或者行业标准的；（三）未对安全设备进行经常性维护、保养和定期检测的；</w:t>
            </w:r>
          </w:p>
        </w:tc>
        <w:tc>
          <w:tcPr>
            <w:tcW w:w="476" w:type="pct"/>
            <w:tcBorders>
              <w:top w:val="single" w:color="000000" w:sz="4" w:space="0"/>
              <w:left w:val="single" w:color="000000" w:sz="4" w:space="0"/>
              <w:bottom w:val="single" w:color="000000" w:sz="4" w:space="0"/>
              <w:right w:val="single" w:color="000000" w:sz="4" w:space="0"/>
            </w:tcBorders>
            <w:vAlign w:val="center"/>
          </w:tcPr>
          <w:p w14:paraId="258D2FC5">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79CBD1BA">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479525DF">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3F8BEE27">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35656492">
            <w:pPr>
              <w:topLinePunct/>
              <w:adjustRightInd w:val="0"/>
              <w:snapToGrid w:val="0"/>
              <w:jc w:val="center"/>
              <w:textAlignment w:val="center"/>
              <w:rPr>
                <w:rFonts w:eastAsia="仿宋"/>
                <w:color w:val="000000"/>
                <w:sz w:val="24"/>
              </w:rPr>
            </w:pPr>
            <w:r>
              <w:rPr>
                <w:rFonts w:eastAsia="仿宋"/>
                <w:color w:val="000000"/>
                <w:kern w:val="0"/>
                <w:sz w:val="24"/>
                <w:lang w:bidi="ar"/>
              </w:rPr>
              <w:t>268</w:t>
            </w:r>
          </w:p>
        </w:tc>
        <w:tc>
          <w:tcPr>
            <w:tcW w:w="838" w:type="pct"/>
            <w:tcBorders>
              <w:top w:val="single" w:color="000000" w:sz="4" w:space="0"/>
              <w:left w:val="single" w:color="000000" w:sz="4" w:space="0"/>
              <w:bottom w:val="single" w:color="000000" w:sz="4" w:space="0"/>
              <w:right w:val="single" w:color="000000" w:sz="4" w:space="0"/>
            </w:tcBorders>
            <w:vAlign w:val="center"/>
          </w:tcPr>
          <w:p w14:paraId="2615AFBB">
            <w:pPr>
              <w:topLinePunct/>
              <w:adjustRightInd w:val="0"/>
              <w:snapToGrid w:val="0"/>
              <w:textAlignment w:val="center"/>
              <w:rPr>
                <w:rFonts w:eastAsia="仿宋"/>
                <w:color w:val="000000"/>
                <w:sz w:val="24"/>
              </w:rPr>
            </w:pPr>
            <w:r>
              <w:rPr>
                <w:rFonts w:eastAsia="仿宋"/>
                <w:color w:val="000000"/>
                <w:kern w:val="0"/>
                <w:sz w:val="24"/>
                <w:lang w:bidi="ar"/>
              </w:rPr>
              <w:t>对工程地质或者水文地质类型复杂的金属非金属地下矿山，井巷工程施工未进行施工组织设计，或者未按施工组织设计落实安全措施的行政处罚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167CDD01">
            <w:pPr>
              <w:topLinePunct/>
              <w:adjustRightInd w:val="0"/>
              <w:snapToGrid w:val="0"/>
              <w:jc w:val="left"/>
              <w:textAlignment w:val="center"/>
              <w:rPr>
                <w:rFonts w:eastAsia="仿宋"/>
                <w:color w:val="000000"/>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一、金属非金属地下矿山重大事故隐患</w:t>
            </w:r>
            <w:r>
              <w:rPr>
                <w:rFonts w:eastAsia="仿宋"/>
                <w:color w:val="000000"/>
                <w:kern w:val="0"/>
                <w:sz w:val="24"/>
                <w:lang w:bidi="ar"/>
              </w:rPr>
              <w:br w:type="textWrapping"/>
            </w:r>
            <w:r>
              <w:rPr>
                <w:rFonts w:eastAsia="仿宋"/>
                <w:color w:val="000000"/>
                <w:kern w:val="0"/>
                <w:sz w:val="24"/>
                <w:lang w:bidi="ar"/>
              </w:rPr>
              <w:t>（二十六）工程地质或者水文地质类型复杂的矿山，井巷工程施工未进行施工组织设计，或者未按施工组织设计落实安全措施。</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0B2BEFAE">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60037D74">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58925944">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45B99483">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33F7BEF5">
            <w:pPr>
              <w:topLinePunct/>
              <w:adjustRightInd w:val="0"/>
              <w:snapToGrid w:val="0"/>
              <w:jc w:val="center"/>
              <w:textAlignment w:val="center"/>
              <w:rPr>
                <w:rFonts w:eastAsia="仿宋"/>
                <w:color w:val="000000"/>
                <w:sz w:val="24"/>
              </w:rPr>
            </w:pPr>
            <w:r>
              <w:rPr>
                <w:rFonts w:eastAsia="仿宋"/>
                <w:color w:val="000000"/>
                <w:kern w:val="0"/>
                <w:sz w:val="24"/>
                <w:lang w:bidi="ar"/>
              </w:rPr>
              <w:t>269</w:t>
            </w:r>
          </w:p>
        </w:tc>
        <w:tc>
          <w:tcPr>
            <w:tcW w:w="838" w:type="pct"/>
            <w:tcBorders>
              <w:top w:val="single" w:color="000000" w:sz="4" w:space="0"/>
              <w:left w:val="single" w:color="000000" w:sz="4" w:space="0"/>
              <w:bottom w:val="single" w:color="000000" w:sz="4" w:space="0"/>
              <w:right w:val="single" w:color="000000" w:sz="4" w:space="0"/>
            </w:tcBorders>
            <w:vAlign w:val="center"/>
          </w:tcPr>
          <w:p w14:paraId="4BEBCEBB">
            <w:pPr>
              <w:topLinePunct/>
              <w:adjustRightInd w:val="0"/>
              <w:snapToGrid w:val="0"/>
              <w:textAlignment w:val="center"/>
              <w:rPr>
                <w:rFonts w:eastAsia="仿宋"/>
                <w:color w:val="000000"/>
                <w:sz w:val="24"/>
              </w:rPr>
            </w:pPr>
            <w:r>
              <w:rPr>
                <w:rFonts w:eastAsia="仿宋"/>
                <w:color w:val="000000"/>
                <w:kern w:val="0"/>
                <w:sz w:val="24"/>
                <w:lang w:bidi="ar"/>
              </w:rPr>
              <w:t>对新建、改扩建金属非金属地下矿山“三同时”程序不符合规定的行政处罚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6CA1E3C8">
            <w:pPr>
              <w:topLinePunct/>
              <w:adjustRightInd w:val="0"/>
              <w:snapToGrid w:val="0"/>
              <w:jc w:val="left"/>
              <w:textAlignment w:val="center"/>
              <w:rPr>
                <w:rFonts w:eastAsia="仿宋"/>
                <w:color w:val="000000"/>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一、金属非金属地下矿山重大事故隐患</w:t>
            </w:r>
            <w:r>
              <w:rPr>
                <w:rFonts w:eastAsia="仿宋"/>
                <w:color w:val="000000"/>
                <w:kern w:val="0"/>
                <w:sz w:val="24"/>
                <w:lang w:bidi="ar"/>
              </w:rPr>
              <w:br w:type="textWrapping"/>
            </w:r>
            <w:r>
              <w:rPr>
                <w:rFonts w:eastAsia="仿宋"/>
                <w:color w:val="000000"/>
                <w:kern w:val="0"/>
                <w:sz w:val="24"/>
                <w:lang w:bidi="ar"/>
              </w:rPr>
              <w:t>（二十七）新建、改扩建矿山建设项目有下列行为之一的：</w:t>
            </w:r>
            <w:r>
              <w:rPr>
                <w:rFonts w:eastAsia="仿宋"/>
                <w:color w:val="000000"/>
                <w:kern w:val="0"/>
                <w:sz w:val="24"/>
                <w:lang w:bidi="ar"/>
              </w:rPr>
              <w:br w:type="textWrapping"/>
            </w:r>
            <w:r>
              <w:rPr>
                <w:rFonts w:eastAsia="仿宋"/>
                <w:color w:val="000000"/>
                <w:kern w:val="0"/>
                <w:sz w:val="24"/>
                <w:lang w:bidi="ar"/>
              </w:rPr>
              <w:t>1安全设施设计未经批准，或者批准后出现重大变更未经再次批准擅自组织施工；</w:t>
            </w:r>
            <w:r>
              <w:rPr>
                <w:rFonts w:eastAsia="仿宋"/>
                <w:color w:val="000000"/>
                <w:kern w:val="0"/>
                <w:sz w:val="24"/>
                <w:lang w:bidi="ar"/>
              </w:rPr>
              <w:br w:type="textWrapping"/>
            </w:r>
            <w:r>
              <w:rPr>
                <w:rFonts w:eastAsia="仿宋"/>
                <w:color w:val="000000"/>
                <w:kern w:val="0"/>
                <w:sz w:val="24"/>
                <w:lang w:bidi="ar"/>
              </w:rPr>
              <w:t>2在竣工验收前组织生产，经批准的联合试运转除外。</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第九十八条第二项、第四项  生产经营单位有下列行为之一的，责令停止建设或者停产停业整顿，限期改正，并处十万元以上五十万元以下的罚款，对其直接负责的主管人员和其他直接责任人员处二万元以上五万元以下的罚款；逾期未改正的，处五十万元以上一百万元以下的罚款，对其直接负责的主管人员和其他直接责任人员处五万元以上十万元以下的罚款；构成犯罪的，依照刑法有关规定追究刑事责任：（二）矿山、金属冶炼建设项目或者用于生产、储存、装卸危险物品的建设项目没有安全设施设计或者安全设施设计未按照规定报经有关部门审查同意的；（四）矿山、金属冶炼建设项目或者用于生产、储存、装卸危险物品的建设项目竣工投入生产或者使用前，安全设施未经验收合格的。</w:t>
            </w:r>
          </w:p>
        </w:tc>
        <w:tc>
          <w:tcPr>
            <w:tcW w:w="476" w:type="pct"/>
            <w:tcBorders>
              <w:top w:val="single" w:color="000000" w:sz="4" w:space="0"/>
              <w:left w:val="single" w:color="000000" w:sz="4" w:space="0"/>
              <w:bottom w:val="single" w:color="000000" w:sz="4" w:space="0"/>
              <w:right w:val="single" w:color="000000" w:sz="4" w:space="0"/>
            </w:tcBorders>
            <w:vAlign w:val="center"/>
          </w:tcPr>
          <w:p w14:paraId="7A3F9D8C">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19B86564">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0C433EC6">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1CA330C3">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6FEFF235">
            <w:pPr>
              <w:topLinePunct/>
              <w:adjustRightInd w:val="0"/>
              <w:snapToGrid w:val="0"/>
              <w:jc w:val="center"/>
              <w:textAlignment w:val="center"/>
              <w:rPr>
                <w:rFonts w:eastAsia="仿宋"/>
                <w:color w:val="000000"/>
                <w:sz w:val="24"/>
              </w:rPr>
            </w:pPr>
            <w:r>
              <w:rPr>
                <w:rFonts w:eastAsia="仿宋"/>
                <w:color w:val="000000"/>
                <w:kern w:val="0"/>
                <w:sz w:val="24"/>
                <w:lang w:bidi="ar"/>
              </w:rPr>
              <w:t>270</w:t>
            </w:r>
          </w:p>
        </w:tc>
        <w:tc>
          <w:tcPr>
            <w:tcW w:w="838" w:type="pct"/>
            <w:tcBorders>
              <w:top w:val="single" w:color="000000" w:sz="4" w:space="0"/>
              <w:left w:val="single" w:color="000000" w:sz="4" w:space="0"/>
              <w:bottom w:val="single" w:color="000000" w:sz="4" w:space="0"/>
              <w:right w:val="single" w:color="000000" w:sz="4" w:space="0"/>
            </w:tcBorders>
            <w:vAlign w:val="center"/>
          </w:tcPr>
          <w:p w14:paraId="5DEAAE04">
            <w:pPr>
              <w:topLinePunct/>
              <w:adjustRightInd w:val="0"/>
              <w:snapToGrid w:val="0"/>
              <w:textAlignment w:val="center"/>
              <w:rPr>
                <w:rFonts w:eastAsia="仿宋"/>
                <w:color w:val="000000"/>
                <w:sz w:val="24"/>
              </w:rPr>
            </w:pPr>
            <w:r>
              <w:rPr>
                <w:rFonts w:eastAsia="仿宋"/>
                <w:color w:val="000000"/>
                <w:kern w:val="0"/>
                <w:sz w:val="24"/>
                <w:lang w:bidi="ar"/>
              </w:rPr>
              <w:t>对金属非金属地下矿山将工程项目发包给不具有法定资质和条件的单位的行政处罚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54C7D35B">
            <w:pPr>
              <w:topLinePunct/>
              <w:adjustRightInd w:val="0"/>
              <w:snapToGrid w:val="0"/>
              <w:jc w:val="left"/>
              <w:textAlignment w:val="center"/>
              <w:rPr>
                <w:rFonts w:eastAsia="仿宋"/>
                <w:color w:val="000000"/>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一、金属非金属地下矿山重大事故隐患</w:t>
            </w:r>
            <w:r>
              <w:rPr>
                <w:rFonts w:eastAsia="仿宋"/>
                <w:color w:val="000000"/>
                <w:kern w:val="0"/>
                <w:sz w:val="24"/>
                <w:lang w:bidi="ar"/>
              </w:rPr>
              <w:br w:type="textWrapping"/>
            </w:r>
            <w:r>
              <w:rPr>
                <w:rFonts w:eastAsia="仿宋"/>
                <w:color w:val="000000"/>
                <w:kern w:val="0"/>
                <w:sz w:val="24"/>
                <w:lang w:bidi="ar"/>
              </w:rPr>
              <w:t>（二十八）矿山企业违反国家有关工程项目发包规定，有下列行为之一的：</w:t>
            </w:r>
            <w:r>
              <w:rPr>
                <w:rFonts w:eastAsia="仿宋"/>
                <w:color w:val="000000"/>
                <w:kern w:val="0"/>
                <w:sz w:val="24"/>
                <w:lang w:bidi="ar"/>
              </w:rPr>
              <w:br w:type="textWrapping"/>
            </w:r>
            <w:r>
              <w:rPr>
                <w:rFonts w:eastAsia="仿宋"/>
                <w:color w:val="000000"/>
                <w:kern w:val="0"/>
                <w:sz w:val="24"/>
                <w:lang w:bidi="ar"/>
              </w:rPr>
              <w:t>1将工程项目发包给不具有法定资质和条件的单位，或者承包单位数量超过国家规定的数量；</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第一百零三条第一款  生产经营单位将生产经营项目、场所、设备发包或者出租给不具备安全生产条件或者相应资质的单位或者个人的，责令限期改正，没收违法所得；违法所得十万元以上的，并处违法所得二倍以上五倍以下的罚款；没有违法所得或者违法所得不足十万元的，单处或者并处十万元以上二十万元以下的罚款；对其直接负责的主管人员和其他直接责任人员处一万元以上二万元以下的罚款；导致发生生产安全事故给他人造成损害的，与承包方、承租方承担连带赔偿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239C301A">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457BCF42">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65FEBB22">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32E7E6A7">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689922E3">
            <w:pPr>
              <w:topLinePunct/>
              <w:adjustRightInd w:val="0"/>
              <w:snapToGrid w:val="0"/>
              <w:jc w:val="center"/>
              <w:textAlignment w:val="center"/>
              <w:rPr>
                <w:rFonts w:eastAsia="仿宋"/>
                <w:color w:val="000000"/>
                <w:sz w:val="24"/>
              </w:rPr>
            </w:pPr>
            <w:r>
              <w:rPr>
                <w:rFonts w:eastAsia="仿宋"/>
                <w:color w:val="000000"/>
                <w:kern w:val="0"/>
                <w:sz w:val="24"/>
                <w:lang w:bidi="ar"/>
              </w:rPr>
              <w:t>271</w:t>
            </w:r>
          </w:p>
        </w:tc>
        <w:tc>
          <w:tcPr>
            <w:tcW w:w="838" w:type="pct"/>
            <w:tcBorders>
              <w:top w:val="single" w:color="000000" w:sz="4" w:space="0"/>
              <w:left w:val="single" w:color="000000" w:sz="4" w:space="0"/>
              <w:bottom w:val="single" w:color="000000" w:sz="4" w:space="0"/>
              <w:right w:val="single" w:color="000000" w:sz="4" w:space="0"/>
            </w:tcBorders>
            <w:vAlign w:val="center"/>
          </w:tcPr>
          <w:p w14:paraId="77332E96">
            <w:pPr>
              <w:topLinePunct/>
              <w:adjustRightInd w:val="0"/>
              <w:snapToGrid w:val="0"/>
              <w:textAlignment w:val="center"/>
              <w:rPr>
                <w:rFonts w:eastAsia="仿宋"/>
                <w:color w:val="000000"/>
                <w:sz w:val="24"/>
              </w:rPr>
            </w:pPr>
            <w:r>
              <w:rPr>
                <w:rFonts w:eastAsia="仿宋"/>
                <w:color w:val="000000"/>
                <w:kern w:val="0"/>
                <w:sz w:val="24"/>
                <w:lang w:bidi="ar"/>
              </w:rPr>
              <w:t>对金属非金属地下矿山工程项目的承包单位数量超过国家规定的数量，承包单位项目部的负责人、安全生产管理人员、专业技术人员、特种作业人员不符合国家规定的数量、条件或者不属于承包单位正式职工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79EAEE1C">
            <w:pPr>
              <w:topLinePunct/>
              <w:adjustRightInd w:val="0"/>
              <w:snapToGrid w:val="0"/>
              <w:jc w:val="left"/>
              <w:textAlignment w:val="center"/>
              <w:rPr>
                <w:rFonts w:eastAsia="仿宋"/>
                <w:color w:val="000000"/>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一、金属非金属地下矿山重大事故隐患</w:t>
            </w:r>
            <w:r>
              <w:rPr>
                <w:rFonts w:eastAsia="仿宋"/>
                <w:color w:val="000000"/>
                <w:kern w:val="0"/>
                <w:sz w:val="24"/>
                <w:lang w:bidi="ar"/>
              </w:rPr>
              <w:br w:type="textWrapping"/>
            </w:r>
            <w:r>
              <w:rPr>
                <w:rFonts w:eastAsia="仿宋"/>
                <w:color w:val="000000"/>
                <w:kern w:val="0"/>
                <w:sz w:val="24"/>
                <w:lang w:bidi="ar"/>
              </w:rPr>
              <w:t>（二十八）矿山企业违反国家有关工程项目发包规定，有下列行为之一的：</w:t>
            </w:r>
            <w:r>
              <w:rPr>
                <w:rFonts w:eastAsia="仿宋"/>
                <w:color w:val="000000"/>
                <w:kern w:val="0"/>
                <w:sz w:val="24"/>
                <w:lang w:bidi="ar"/>
              </w:rPr>
              <w:br w:type="textWrapping"/>
            </w:r>
            <w:r>
              <w:rPr>
                <w:rFonts w:eastAsia="仿宋"/>
                <w:color w:val="000000"/>
                <w:kern w:val="0"/>
                <w:sz w:val="24"/>
                <w:lang w:bidi="ar"/>
              </w:rPr>
              <w:t>1将工程项目发包给不具有法定资质和条件的单位，或者承包单位数量超过国家规定的数量；</w:t>
            </w:r>
            <w:r>
              <w:rPr>
                <w:rFonts w:eastAsia="仿宋"/>
                <w:color w:val="000000"/>
                <w:kern w:val="0"/>
                <w:sz w:val="24"/>
                <w:lang w:bidi="ar"/>
              </w:rPr>
              <w:br w:type="textWrapping"/>
            </w:r>
            <w:r>
              <w:rPr>
                <w:rFonts w:eastAsia="仿宋"/>
                <w:color w:val="000000"/>
                <w:kern w:val="0"/>
                <w:sz w:val="24"/>
                <w:lang w:bidi="ar"/>
              </w:rPr>
              <w:t>2承包单位项目部的负责人、安全生产管理人员、专业技术人员、特种作业人员不符合国家规定的数量、条件或者不属于承包单位正式职工。</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571ED6B7">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7D379DCC">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3BC21DB3">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70B60315">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545833FD">
            <w:pPr>
              <w:topLinePunct/>
              <w:adjustRightInd w:val="0"/>
              <w:snapToGrid w:val="0"/>
              <w:jc w:val="center"/>
              <w:textAlignment w:val="center"/>
              <w:rPr>
                <w:rFonts w:eastAsia="仿宋"/>
                <w:color w:val="000000"/>
                <w:sz w:val="24"/>
              </w:rPr>
            </w:pPr>
            <w:r>
              <w:rPr>
                <w:rFonts w:eastAsia="仿宋"/>
                <w:color w:val="000000"/>
                <w:kern w:val="0"/>
                <w:sz w:val="24"/>
                <w:lang w:bidi="ar"/>
              </w:rPr>
              <w:t>272</w:t>
            </w:r>
          </w:p>
        </w:tc>
        <w:tc>
          <w:tcPr>
            <w:tcW w:w="838" w:type="pct"/>
            <w:tcBorders>
              <w:top w:val="single" w:color="000000" w:sz="4" w:space="0"/>
              <w:left w:val="single" w:color="000000" w:sz="4" w:space="0"/>
              <w:bottom w:val="single" w:color="000000" w:sz="4" w:space="0"/>
              <w:right w:val="single" w:color="000000" w:sz="4" w:space="0"/>
            </w:tcBorders>
            <w:vAlign w:val="center"/>
          </w:tcPr>
          <w:p w14:paraId="3D685881">
            <w:pPr>
              <w:topLinePunct/>
              <w:adjustRightInd w:val="0"/>
              <w:snapToGrid w:val="0"/>
              <w:textAlignment w:val="center"/>
              <w:rPr>
                <w:rFonts w:eastAsia="仿宋"/>
                <w:color w:val="000000"/>
                <w:sz w:val="24"/>
              </w:rPr>
            </w:pPr>
            <w:r>
              <w:rPr>
                <w:rFonts w:eastAsia="仿宋"/>
                <w:color w:val="000000"/>
                <w:kern w:val="0"/>
                <w:sz w:val="24"/>
                <w:lang w:bidi="ar"/>
              </w:rPr>
              <w:t>对金属非金属地下矿山井下或者井口动火作业未按国家规定落实审批制度或者安全措施的行政处罚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36912D55">
            <w:pPr>
              <w:topLinePunct/>
              <w:adjustRightInd w:val="0"/>
              <w:snapToGrid w:val="0"/>
              <w:jc w:val="left"/>
              <w:textAlignment w:val="center"/>
              <w:rPr>
                <w:rFonts w:eastAsia="仿宋"/>
                <w:color w:val="000000"/>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一、金属非金属地下矿山重大事故隐患</w:t>
            </w:r>
            <w:r>
              <w:rPr>
                <w:rFonts w:eastAsia="仿宋"/>
                <w:color w:val="000000"/>
                <w:kern w:val="0"/>
                <w:sz w:val="24"/>
                <w:lang w:bidi="ar"/>
              </w:rPr>
              <w:br w:type="textWrapping"/>
            </w:r>
            <w:r>
              <w:rPr>
                <w:rFonts w:eastAsia="仿宋"/>
                <w:color w:val="000000"/>
                <w:kern w:val="0"/>
                <w:sz w:val="24"/>
                <w:lang w:bidi="ar"/>
              </w:rPr>
              <w:t>（二十九）井下或者井口动火作业未按国家规定落实审批制度或者安全措施。</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5DC0296D">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3455B312">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6EA03A7A">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51E9A96E">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6652EDAB">
            <w:pPr>
              <w:topLinePunct/>
              <w:adjustRightInd w:val="0"/>
              <w:snapToGrid w:val="0"/>
              <w:jc w:val="center"/>
              <w:textAlignment w:val="center"/>
              <w:rPr>
                <w:rFonts w:eastAsia="仿宋"/>
                <w:color w:val="000000"/>
                <w:sz w:val="24"/>
              </w:rPr>
            </w:pPr>
            <w:r>
              <w:rPr>
                <w:rFonts w:eastAsia="仿宋"/>
                <w:color w:val="000000"/>
                <w:kern w:val="0"/>
                <w:sz w:val="24"/>
                <w:lang w:bidi="ar"/>
              </w:rPr>
              <w:t>273</w:t>
            </w:r>
          </w:p>
        </w:tc>
        <w:tc>
          <w:tcPr>
            <w:tcW w:w="838" w:type="pct"/>
            <w:tcBorders>
              <w:top w:val="single" w:color="000000" w:sz="4" w:space="0"/>
              <w:left w:val="single" w:color="000000" w:sz="4" w:space="0"/>
              <w:bottom w:val="single" w:color="000000" w:sz="4" w:space="0"/>
              <w:right w:val="single" w:color="000000" w:sz="4" w:space="0"/>
            </w:tcBorders>
            <w:vAlign w:val="center"/>
          </w:tcPr>
          <w:p w14:paraId="4C9D2C36">
            <w:pPr>
              <w:topLinePunct/>
              <w:adjustRightInd w:val="0"/>
              <w:snapToGrid w:val="0"/>
              <w:textAlignment w:val="center"/>
              <w:rPr>
                <w:rFonts w:eastAsia="仿宋"/>
                <w:color w:val="000000"/>
                <w:sz w:val="24"/>
              </w:rPr>
            </w:pPr>
            <w:r>
              <w:rPr>
                <w:rFonts w:eastAsia="仿宋"/>
                <w:color w:val="000000"/>
                <w:kern w:val="0"/>
                <w:sz w:val="24"/>
                <w:lang w:bidi="ar"/>
              </w:rPr>
              <w:t>对金属非金属地下矿山超能力生产的行政处罚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2D4EA10B">
            <w:pPr>
              <w:topLinePunct/>
              <w:adjustRightInd w:val="0"/>
              <w:snapToGrid w:val="0"/>
              <w:jc w:val="left"/>
              <w:textAlignment w:val="center"/>
              <w:rPr>
                <w:rFonts w:eastAsia="仿宋"/>
                <w:color w:val="000000"/>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一、金属非金属地下矿山重大事故隐患</w:t>
            </w:r>
            <w:r>
              <w:rPr>
                <w:rFonts w:eastAsia="仿宋"/>
                <w:color w:val="000000"/>
                <w:kern w:val="0"/>
                <w:sz w:val="24"/>
                <w:lang w:bidi="ar"/>
              </w:rPr>
              <w:br w:type="textWrapping"/>
            </w:r>
            <w:r>
              <w:rPr>
                <w:rFonts w:eastAsia="仿宋"/>
                <w:color w:val="000000"/>
                <w:kern w:val="0"/>
                <w:sz w:val="24"/>
                <w:lang w:bidi="ar"/>
              </w:rPr>
              <w:t>（三十）矿山年产量超过矿山设计年生产能力幅度在20%及以上，或者月产量大于矿山设计年生产能力的20%及以上。</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0D45F5F4">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282E2350">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49EEC72E">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06C3B2BE">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33D7C83D">
            <w:pPr>
              <w:topLinePunct/>
              <w:adjustRightInd w:val="0"/>
              <w:snapToGrid w:val="0"/>
              <w:jc w:val="center"/>
              <w:textAlignment w:val="center"/>
              <w:rPr>
                <w:rFonts w:eastAsia="仿宋"/>
                <w:color w:val="000000"/>
                <w:sz w:val="24"/>
              </w:rPr>
            </w:pPr>
            <w:r>
              <w:rPr>
                <w:rFonts w:eastAsia="仿宋"/>
                <w:color w:val="000000"/>
                <w:kern w:val="0"/>
                <w:sz w:val="24"/>
                <w:lang w:bidi="ar"/>
              </w:rPr>
              <w:t>274</w:t>
            </w:r>
          </w:p>
        </w:tc>
        <w:tc>
          <w:tcPr>
            <w:tcW w:w="838" w:type="pct"/>
            <w:tcBorders>
              <w:top w:val="single" w:color="000000" w:sz="4" w:space="0"/>
              <w:left w:val="single" w:color="000000" w:sz="4" w:space="0"/>
              <w:bottom w:val="single" w:color="000000" w:sz="4" w:space="0"/>
              <w:right w:val="single" w:color="000000" w:sz="4" w:space="0"/>
            </w:tcBorders>
            <w:vAlign w:val="center"/>
          </w:tcPr>
          <w:p w14:paraId="394A5D87">
            <w:pPr>
              <w:topLinePunct/>
              <w:adjustRightInd w:val="0"/>
              <w:snapToGrid w:val="0"/>
              <w:textAlignment w:val="center"/>
              <w:rPr>
                <w:rFonts w:eastAsia="仿宋"/>
                <w:color w:val="000000"/>
                <w:sz w:val="24"/>
              </w:rPr>
            </w:pPr>
            <w:r>
              <w:rPr>
                <w:rFonts w:eastAsia="仿宋"/>
                <w:color w:val="000000"/>
                <w:kern w:val="0"/>
                <w:sz w:val="24"/>
                <w:lang w:bidi="ar"/>
              </w:rPr>
              <w:t>对金属非金属地下矿山未按规定建立、运行安全监测监控系统、人员定位系统、通信联络系统等的行政处罚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77D4386F">
            <w:pPr>
              <w:topLinePunct/>
              <w:adjustRightInd w:val="0"/>
              <w:snapToGrid w:val="0"/>
              <w:jc w:val="left"/>
              <w:textAlignment w:val="center"/>
              <w:rPr>
                <w:rFonts w:eastAsia="仿宋"/>
                <w:color w:val="000000"/>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一、金属非金属地下矿山重大事故隐患</w:t>
            </w:r>
            <w:r>
              <w:rPr>
                <w:rFonts w:eastAsia="仿宋"/>
                <w:color w:val="000000"/>
                <w:kern w:val="0"/>
                <w:sz w:val="24"/>
                <w:lang w:bidi="ar"/>
              </w:rPr>
              <w:br w:type="textWrapping"/>
            </w:r>
            <w:r>
              <w:rPr>
                <w:rFonts w:eastAsia="仿宋"/>
                <w:color w:val="000000"/>
                <w:kern w:val="0"/>
                <w:sz w:val="24"/>
                <w:lang w:bidi="ar"/>
              </w:rPr>
              <w:t>（三十一）矿井未建立安全监测监控系统、人员定位系统、通信联络系统，或者已经建立的系统不符合国家有关规定，或者系统运行不正常未及时修复，或者关闭、破坏该系统，或者篡改、隐瞒、销毁其相关数据、信息。</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第九十九条第二项、第四项  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二）安全设备的安装、使用、检测、改造和报废不符合国家标准或者行业标准的；（四）关闭、破坏直接关系生产安全的监控、报警、防护、救生设备、设施，或者篡改、隐瞒、销毁其相关数据、信息的；</w:t>
            </w:r>
          </w:p>
        </w:tc>
        <w:tc>
          <w:tcPr>
            <w:tcW w:w="476" w:type="pct"/>
            <w:tcBorders>
              <w:top w:val="single" w:color="000000" w:sz="4" w:space="0"/>
              <w:left w:val="single" w:color="000000" w:sz="4" w:space="0"/>
              <w:bottom w:val="single" w:color="000000" w:sz="4" w:space="0"/>
              <w:right w:val="single" w:color="000000" w:sz="4" w:space="0"/>
            </w:tcBorders>
            <w:vAlign w:val="center"/>
          </w:tcPr>
          <w:p w14:paraId="24017692">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6DCC2F16">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195E2110">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37F9821E">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7506A82D">
            <w:pPr>
              <w:topLinePunct/>
              <w:adjustRightInd w:val="0"/>
              <w:snapToGrid w:val="0"/>
              <w:jc w:val="center"/>
              <w:textAlignment w:val="center"/>
              <w:rPr>
                <w:rFonts w:eastAsia="仿宋"/>
                <w:color w:val="000000"/>
                <w:sz w:val="24"/>
              </w:rPr>
            </w:pPr>
            <w:r>
              <w:rPr>
                <w:rFonts w:eastAsia="仿宋"/>
                <w:color w:val="000000"/>
                <w:kern w:val="0"/>
                <w:sz w:val="24"/>
                <w:lang w:bidi="ar"/>
              </w:rPr>
              <w:t>275</w:t>
            </w:r>
          </w:p>
        </w:tc>
        <w:tc>
          <w:tcPr>
            <w:tcW w:w="838" w:type="pct"/>
            <w:tcBorders>
              <w:top w:val="single" w:color="000000" w:sz="4" w:space="0"/>
              <w:left w:val="single" w:color="000000" w:sz="4" w:space="0"/>
              <w:bottom w:val="single" w:color="000000" w:sz="4" w:space="0"/>
              <w:right w:val="single" w:color="000000" w:sz="4" w:space="0"/>
            </w:tcBorders>
            <w:vAlign w:val="center"/>
          </w:tcPr>
          <w:p w14:paraId="52F52341">
            <w:pPr>
              <w:topLinePunct/>
              <w:adjustRightInd w:val="0"/>
              <w:snapToGrid w:val="0"/>
              <w:textAlignment w:val="center"/>
              <w:rPr>
                <w:rFonts w:eastAsia="仿宋"/>
                <w:color w:val="000000"/>
                <w:sz w:val="24"/>
              </w:rPr>
            </w:pPr>
            <w:r>
              <w:rPr>
                <w:rFonts w:eastAsia="仿宋"/>
                <w:color w:val="000000"/>
                <w:kern w:val="0"/>
                <w:sz w:val="24"/>
                <w:lang w:bidi="ar"/>
              </w:rPr>
              <w:t>对金属非金属地下矿山未配备五职矿长或专业技术人员的行政处罚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6D85CE8F">
            <w:pPr>
              <w:topLinePunct/>
              <w:adjustRightInd w:val="0"/>
              <w:snapToGrid w:val="0"/>
              <w:jc w:val="left"/>
              <w:textAlignment w:val="center"/>
              <w:rPr>
                <w:rFonts w:eastAsia="仿宋"/>
                <w:color w:val="000000"/>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一、金属非金属地下矿山重大事故隐患</w:t>
            </w:r>
            <w:r>
              <w:rPr>
                <w:rFonts w:eastAsia="仿宋"/>
                <w:color w:val="000000"/>
                <w:kern w:val="0"/>
                <w:sz w:val="24"/>
                <w:lang w:bidi="ar"/>
              </w:rPr>
              <w:br w:type="textWrapping"/>
            </w:r>
            <w:r>
              <w:rPr>
                <w:rFonts w:eastAsia="仿宋"/>
                <w:color w:val="000000"/>
                <w:kern w:val="0"/>
                <w:sz w:val="24"/>
                <w:lang w:bidi="ar"/>
              </w:rPr>
              <w:t>（三十二）未配备具有矿山相关专业的专职矿长、总工程师以及分管安全、生产、机电的副矿长，或者未配备具有采矿、地质、测量、机电等专业的技术人员。</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7927C539">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272659DA">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576EA742">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1CFD6576">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28BB512E">
            <w:pPr>
              <w:topLinePunct/>
              <w:adjustRightInd w:val="0"/>
              <w:snapToGrid w:val="0"/>
              <w:jc w:val="center"/>
              <w:textAlignment w:val="center"/>
              <w:rPr>
                <w:rFonts w:eastAsia="仿宋"/>
                <w:color w:val="000000"/>
                <w:sz w:val="24"/>
              </w:rPr>
            </w:pPr>
            <w:r>
              <w:rPr>
                <w:rFonts w:eastAsia="仿宋"/>
                <w:color w:val="000000"/>
                <w:kern w:val="0"/>
                <w:sz w:val="24"/>
                <w:lang w:bidi="ar"/>
              </w:rPr>
              <w:t>276</w:t>
            </w:r>
          </w:p>
        </w:tc>
        <w:tc>
          <w:tcPr>
            <w:tcW w:w="838" w:type="pct"/>
            <w:tcBorders>
              <w:top w:val="single" w:color="000000" w:sz="4" w:space="0"/>
              <w:left w:val="single" w:color="000000" w:sz="4" w:space="0"/>
              <w:bottom w:val="single" w:color="000000" w:sz="4" w:space="0"/>
              <w:right w:val="single" w:color="000000" w:sz="4" w:space="0"/>
            </w:tcBorders>
            <w:vAlign w:val="center"/>
          </w:tcPr>
          <w:p w14:paraId="0D03FABC">
            <w:pPr>
              <w:topLinePunct/>
              <w:adjustRightInd w:val="0"/>
              <w:snapToGrid w:val="0"/>
              <w:textAlignment w:val="center"/>
              <w:rPr>
                <w:rFonts w:eastAsia="仿宋"/>
                <w:color w:val="000000"/>
                <w:sz w:val="24"/>
              </w:rPr>
            </w:pPr>
            <w:r>
              <w:rPr>
                <w:rFonts w:eastAsia="仿宋"/>
                <w:color w:val="000000"/>
                <w:kern w:val="0"/>
                <w:sz w:val="24"/>
                <w:lang w:bidi="ar"/>
              </w:rPr>
              <w:t>对金属非金属地下矿山企业未制定领导带班下井制度的行政处罚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099C933D">
            <w:pPr>
              <w:topLinePunct/>
              <w:adjustRightInd w:val="0"/>
              <w:snapToGrid w:val="0"/>
              <w:jc w:val="left"/>
              <w:textAlignment w:val="center"/>
              <w:rPr>
                <w:rFonts w:eastAsia="仿宋"/>
                <w:color w:val="000000"/>
                <w:sz w:val="24"/>
              </w:rPr>
            </w:pPr>
            <w:r>
              <w:rPr>
                <w:rFonts w:eastAsia="仿宋"/>
                <w:color w:val="000000"/>
                <w:kern w:val="0"/>
                <w:sz w:val="24"/>
                <w:lang w:bidi="ar"/>
              </w:rPr>
              <w:t>1.《金属非金属地下矿山企业领导带班下井及监督检查暂行规定》</w:t>
            </w:r>
            <w:r>
              <w:rPr>
                <w:rFonts w:eastAsia="仿宋"/>
                <w:color w:val="000000"/>
                <w:kern w:val="0"/>
                <w:sz w:val="24"/>
                <w:lang w:bidi="ar"/>
              </w:rPr>
              <w:br w:type="textWrapping"/>
            </w:r>
            <w:r>
              <w:rPr>
                <w:rFonts w:eastAsia="仿宋"/>
                <w:color w:val="000000"/>
                <w:kern w:val="0"/>
                <w:sz w:val="24"/>
                <w:lang w:bidi="ar"/>
              </w:rPr>
              <w:t>第十九条第一项  矿山企业存在下列行为之一的，责令限期整改，并处3万元的罚款；对其主要负责人给予警告，并处1万元的罚款：（一）未制定领导带班下井制度的；</w:t>
            </w:r>
          </w:p>
        </w:tc>
        <w:tc>
          <w:tcPr>
            <w:tcW w:w="476" w:type="pct"/>
            <w:tcBorders>
              <w:top w:val="single" w:color="000000" w:sz="4" w:space="0"/>
              <w:left w:val="single" w:color="000000" w:sz="4" w:space="0"/>
              <w:bottom w:val="single" w:color="000000" w:sz="4" w:space="0"/>
              <w:right w:val="single" w:color="000000" w:sz="4" w:space="0"/>
            </w:tcBorders>
            <w:vAlign w:val="center"/>
          </w:tcPr>
          <w:p w14:paraId="1FDD5AA4">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6DD8A525">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580C7F0A">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72C55891">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7ED6AD31">
            <w:pPr>
              <w:topLinePunct/>
              <w:adjustRightInd w:val="0"/>
              <w:snapToGrid w:val="0"/>
              <w:jc w:val="center"/>
              <w:textAlignment w:val="center"/>
              <w:rPr>
                <w:rFonts w:eastAsia="仿宋"/>
                <w:color w:val="000000"/>
                <w:sz w:val="24"/>
              </w:rPr>
            </w:pPr>
            <w:r>
              <w:rPr>
                <w:rFonts w:eastAsia="仿宋"/>
                <w:color w:val="000000"/>
                <w:kern w:val="0"/>
                <w:sz w:val="24"/>
                <w:lang w:bidi="ar"/>
              </w:rPr>
              <w:t>277</w:t>
            </w:r>
          </w:p>
        </w:tc>
        <w:tc>
          <w:tcPr>
            <w:tcW w:w="838" w:type="pct"/>
            <w:tcBorders>
              <w:top w:val="single" w:color="000000" w:sz="4" w:space="0"/>
              <w:left w:val="single" w:color="000000" w:sz="4" w:space="0"/>
              <w:bottom w:val="single" w:color="000000" w:sz="4" w:space="0"/>
              <w:right w:val="single" w:color="000000" w:sz="4" w:space="0"/>
            </w:tcBorders>
            <w:vAlign w:val="center"/>
          </w:tcPr>
          <w:p w14:paraId="5E31D787">
            <w:pPr>
              <w:topLinePunct/>
              <w:adjustRightInd w:val="0"/>
              <w:snapToGrid w:val="0"/>
              <w:textAlignment w:val="center"/>
              <w:rPr>
                <w:rFonts w:eastAsia="仿宋"/>
                <w:color w:val="000000"/>
                <w:sz w:val="24"/>
              </w:rPr>
            </w:pPr>
            <w:r>
              <w:rPr>
                <w:rFonts w:eastAsia="仿宋"/>
                <w:color w:val="000000"/>
                <w:kern w:val="0"/>
                <w:sz w:val="24"/>
                <w:lang w:bidi="ar"/>
              </w:rPr>
              <w:t>对金属非金属地下矿山企业未按规定公告领导带班下井月度计划的行政处罚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68788413">
            <w:pPr>
              <w:topLinePunct/>
              <w:adjustRightInd w:val="0"/>
              <w:snapToGrid w:val="0"/>
              <w:jc w:val="left"/>
              <w:textAlignment w:val="center"/>
              <w:rPr>
                <w:rFonts w:eastAsia="仿宋"/>
                <w:color w:val="000000"/>
                <w:sz w:val="24"/>
              </w:rPr>
            </w:pPr>
            <w:r>
              <w:rPr>
                <w:rFonts w:eastAsia="仿宋"/>
                <w:color w:val="000000"/>
                <w:kern w:val="0"/>
                <w:sz w:val="24"/>
                <w:lang w:bidi="ar"/>
              </w:rPr>
              <w:t>1.《金属非金属地下矿山企业领导带班下井及监督检查暂行规定》</w:t>
            </w:r>
            <w:r>
              <w:rPr>
                <w:rFonts w:eastAsia="仿宋"/>
                <w:color w:val="000000"/>
                <w:kern w:val="0"/>
                <w:sz w:val="24"/>
                <w:lang w:bidi="ar"/>
              </w:rPr>
              <w:br w:type="textWrapping"/>
            </w:r>
            <w:r>
              <w:rPr>
                <w:rFonts w:eastAsia="仿宋"/>
                <w:color w:val="000000"/>
                <w:kern w:val="0"/>
                <w:sz w:val="24"/>
                <w:lang w:bidi="ar"/>
              </w:rPr>
              <w:t>第十九条第二项  矿山企业存在下列行为之一的，责令限期整改，并处3万元的罚款；对其主要负责人给予警告，并处1万元的罚款：（二）未按照规定公告领导带班下井月度计划的；</w:t>
            </w:r>
          </w:p>
        </w:tc>
        <w:tc>
          <w:tcPr>
            <w:tcW w:w="476" w:type="pct"/>
            <w:tcBorders>
              <w:top w:val="single" w:color="000000" w:sz="4" w:space="0"/>
              <w:left w:val="single" w:color="000000" w:sz="4" w:space="0"/>
              <w:bottom w:val="single" w:color="000000" w:sz="4" w:space="0"/>
              <w:right w:val="single" w:color="000000" w:sz="4" w:space="0"/>
            </w:tcBorders>
            <w:vAlign w:val="center"/>
          </w:tcPr>
          <w:p w14:paraId="29B64D19">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7DE8C632">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30B1390C">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6B140FB6">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108EF736">
            <w:pPr>
              <w:topLinePunct/>
              <w:adjustRightInd w:val="0"/>
              <w:snapToGrid w:val="0"/>
              <w:jc w:val="center"/>
              <w:textAlignment w:val="center"/>
              <w:rPr>
                <w:rFonts w:eastAsia="仿宋"/>
                <w:color w:val="000000"/>
                <w:sz w:val="24"/>
              </w:rPr>
            </w:pPr>
            <w:r>
              <w:rPr>
                <w:rFonts w:eastAsia="仿宋"/>
                <w:color w:val="000000"/>
                <w:kern w:val="0"/>
                <w:sz w:val="24"/>
                <w:lang w:bidi="ar"/>
              </w:rPr>
              <w:t>278</w:t>
            </w:r>
          </w:p>
        </w:tc>
        <w:tc>
          <w:tcPr>
            <w:tcW w:w="838" w:type="pct"/>
            <w:tcBorders>
              <w:top w:val="single" w:color="000000" w:sz="4" w:space="0"/>
              <w:left w:val="single" w:color="000000" w:sz="4" w:space="0"/>
              <w:bottom w:val="single" w:color="000000" w:sz="4" w:space="0"/>
              <w:right w:val="single" w:color="000000" w:sz="4" w:space="0"/>
            </w:tcBorders>
            <w:vAlign w:val="center"/>
          </w:tcPr>
          <w:p w14:paraId="6F099905">
            <w:pPr>
              <w:topLinePunct/>
              <w:adjustRightInd w:val="0"/>
              <w:snapToGrid w:val="0"/>
              <w:textAlignment w:val="center"/>
              <w:rPr>
                <w:rFonts w:eastAsia="仿宋"/>
                <w:color w:val="000000"/>
                <w:sz w:val="24"/>
              </w:rPr>
            </w:pPr>
            <w:r>
              <w:rPr>
                <w:rFonts w:eastAsia="仿宋"/>
                <w:color w:val="000000"/>
                <w:kern w:val="0"/>
                <w:sz w:val="24"/>
                <w:lang w:bidi="ar"/>
              </w:rPr>
              <w:t>对金属非金属地下矿山企业未按规定公示领导带班下井月度计划完成情况的行政处罚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1BFBDBAD">
            <w:pPr>
              <w:topLinePunct/>
              <w:adjustRightInd w:val="0"/>
              <w:snapToGrid w:val="0"/>
              <w:jc w:val="left"/>
              <w:textAlignment w:val="center"/>
              <w:rPr>
                <w:rFonts w:eastAsia="仿宋"/>
                <w:color w:val="000000"/>
                <w:sz w:val="24"/>
              </w:rPr>
            </w:pPr>
            <w:r>
              <w:rPr>
                <w:rFonts w:eastAsia="仿宋"/>
                <w:color w:val="000000"/>
                <w:kern w:val="0"/>
                <w:sz w:val="24"/>
                <w:lang w:bidi="ar"/>
              </w:rPr>
              <w:t>1.《金属非金属地下矿山企业领导带班下井及监督检查暂行规定》</w:t>
            </w:r>
            <w:r>
              <w:rPr>
                <w:rFonts w:eastAsia="仿宋"/>
                <w:color w:val="000000"/>
                <w:kern w:val="0"/>
                <w:sz w:val="24"/>
                <w:lang w:bidi="ar"/>
              </w:rPr>
              <w:br w:type="textWrapping"/>
            </w:r>
            <w:r>
              <w:rPr>
                <w:rFonts w:eastAsia="仿宋"/>
                <w:color w:val="000000"/>
                <w:kern w:val="0"/>
                <w:sz w:val="24"/>
                <w:lang w:bidi="ar"/>
              </w:rPr>
              <w:t>第十九条第三项  矿山企业存在下列行为之一的，责令限期整改，并处3万元的罚款；对其主要负责人给予警告，并处1万元的罚款：（三）未按照规定公示领导带班下井月度计划完成情况的。</w:t>
            </w:r>
          </w:p>
        </w:tc>
        <w:tc>
          <w:tcPr>
            <w:tcW w:w="476" w:type="pct"/>
            <w:tcBorders>
              <w:top w:val="single" w:color="000000" w:sz="4" w:space="0"/>
              <w:left w:val="single" w:color="000000" w:sz="4" w:space="0"/>
              <w:bottom w:val="single" w:color="000000" w:sz="4" w:space="0"/>
              <w:right w:val="single" w:color="000000" w:sz="4" w:space="0"/>
            </w:tcBorders>
            <w:vAlign w:val="center"/>
          </w:tcPr>
          <w:p w14:paraId="34CFA02B">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7BA67910">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2F808319">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2F9B52CB">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302F5913">
            <w:pPr>
              <w:topLinePunct/>
              <w:adjustRightInd w:val="0"/>
              <w:snapToGrid w:val="0"/>
              <w:jc w:val="center"/>
              <w:textAlignment w:val="center"/>
              <w:rPr>
                <w:rFonts w:eastAsia="仿宋"/>
                <w:color w:val="000000"/>
                <w:sz w:val="24"/>
              </w:rPr>
            </w:pPr>
            <w:r>
              <w:rPr>
                <w:rFonts w:eastAsia="仿宋"/>
                <w:color w:val="000000"/>
                <w:kern w:val="0"/>
                <w:sz w:val="24"/>
                <w:lang w:bidi="ar"/>
              </w:rPr>
              <w:t>279</w:t>
            </w:r>
          </w:p>
        </w:tc>
        <w:tc>
          <w:tcPr>
            <w:tcW w:w="838" w:type="pct"/>
            <w:tcBorders>
              <w:top w:val="single" w:color="000000" w:sz="4" w:space="0"/>
              <w:left w:val="single" w:color="000000" w:sz="4" w:space="0"/>
              <w:bottom w:val="single" w:color="000000" w:sz="4" w:space="0"/>
              <w:right w:val="single" w:color="000000" w:sz="4" w:space="0"/>
            </w:tcBorders>
            <w:vAlign w:val="center"/>
          </w:tcPr>
          <w:p w14:paraId="35C1A321">
            <w:pPr>
              <w:topLinePunct/>
              <w:adjustRightInd w:val="0"/>
              <w:snapToGrid w:val="0"/>
              <w:textAlignment w:val="center"/>
              <w:rPr>
                <w:rFonts w:eastAsia="仿宋"/>
                <w:color w:val="000000"/>
                <w:sz w:val="24"/>
              </w:rPr>
            </w:pPr>
            <w:r>
              <w:rPr>
                <w:rFonts w:eastAsia="仿宋"/>
                <w:color w:val="000000"/>
                <w:kern w:val="0"/>
                <w:sz w:val="24"/>
                <w:lang w:bidi="ar"/>
              </w:rPr>
              <w:t>对金属非金属地下矿山企业领导未按规定填写带班下井交接班记录、登记档案，或者弄虚作假的行政处罚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2CE031CE">
            <w:pPr>
              <w:topLinePunct/>
              <w:adjustRightInd w:val="0"/>
              <w:snapToGrid w:val="0"/>
              <w:jc w:val="left"/>
              <w:textAlignment w:val="center"/>
              <w:rPr>
                <w:rFonts w:eastAsia="仿宋"/>
                <w:color w:val="000000"/>
                <w:sz w:val="24"/>
              </w:rPr>
            </w:pPr>
            <w:r>
              <w:rPr>
                <w:rFonts w:eastAsia="仿宋"/>
                <w:color w:val="000000"/>
                <w:kern w:val="0"/>
                <w:sz w:val="24"/>
                <w:lang w:bidi="ar"/>
              </w:rPr>
              <w:t>1.《金属非金属地下矿山企业领导带班下井及监督检查暂行规定》</w:t>
            </w:r>
            <w:r>
              <w:rPr>
                <w:rFonts w:eastAsia="仿宋"/>
                <w:color w:val="000000"/>
                <w:kern w:val="0"/>
                <w:sz w:val="24"/>
                <w:lang w:bidi="ar"/>
              </w:rPr>
              <w:br w:type="textWrapping"/>
            </w:r>
            <w:r>
              <w:rPr>
                <w:rFonts w:eastAsia="仿宋"/>
                <w:color w:val="000000"/>
                <w:kern w:val="0"/>
                <w:sz w:val="24"/>
                <w:lang w:bidi="ar"/>
              </w:rPr>
              <w:t>第二十条  矿山企业领导未按照规定填写带班下井交接班记录、带班下井登记档案，或者弄虚作假的，给予警告，并处1万元的罚款。</w:t>
            </w:r>
          </w:p>
        </w:tc>
        <w:tc>
          <w:tcPr>
            <w:tcW w:w="476" w:type="pct"/>
            <w:tcBorders>
              <w:top w:val="single" w:color="000000" w:sz="4" w:space="0"/>
              <w:left w:val="single" w:color="000000" w:sz="4" w:space="0"/>
              <w:bottom w:val="single" w:color="000000" w:sz="4" w:space="0"/>
              <w:right w:val="single" w:color="000000" w:sz="4" w:space="0"/>
            </w:tcBorders>
            <w:vAlign w:val="center"/>
          </w:tcPr>
          <w:p w14:paraId="78908D70">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58DB9D37">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3E851252">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76D64DA6">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22FC2C45">
            <w:pPr>
              <w:topLinePunct/>
              <w:adjustRightInd w:val="0"/>
              <w:snapToGrid w:val="0"/>
              <w:jc w:val="center"/>
              <w:textAlignment w:val="center"/>
              <w:rPr>
                <w:rFonts w:eastAsia="仿宋"/>
                <w:color w:val="000000"/>
                <w:sz w:val="24"/>
              </w:rPr>
            </w:pPr>
            <w:r>
              <w:rPr>
                <w:rFonts w:eastAsia="仿宋"/>
                <w:color w:val="000000"/>
                <w:kern w:val="0"/>
                <w:sz w:val="24"/>
                <w:lang w:bidi="ar"/>
              </w:rPr>
              <w:t>280</w:t>
            </w:r>
          </w:p>
        </w:tc>
        <w:tc>
          <w:tcPr>
            <w:tcW w:w="838" w:type="pct"/>
            <w:tcBorders>
              <w:top w:val="single" w:color="000000" w:sz="4" w:space="0"/>
              <w:left w:val="single" w:color="000000" w:sz="4" w:space="0"/>
              <w:bottom w:val="single" w:color="000000" w:sz="4" w:space="0"/>
              <w:right w:val="single" w:color="000000" w:sz="4" w:space="0"/>
            </w:tcBorders>
            <w:vAlign w:val="center"/>
          </w:tcPr>
          <w:p w14:paraId="161F9FED">
            <w:pPr>
              <w:topLinePunct/>
              <w:adjustRightInd w:val="0"/>
              <w:snapToGrid w:val="0"/>
              <w:textAlignment w:val="center"/>
              <w:rPr>
                <w:rFonts w:eastAsia="仿宋"/>
                <w:color w:val="000000"/>
                <w:sz w:val="24"/>
              </w:rPr>
            </w:pPr>
            <w:r>
              <w:rPr>
                <w:rFonts w:eastAsia="仿宋"/>
                <w:color w:val="000000"/>
                <w:kern w:val="0"/>
                <w:sz w:val="24"/>
                <w:lang w:bidi="ar"/>
              </w:rPr>
              <w:t>对金属非金属地下矿山企业领导未按规定带班下井的行政处罚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1F4FB2E6">
            <w:pPr>
              <w:topLinePunct/>
              <w:adjustRightInd w:val="0"/>
              <w:snapToGrid w:val="0"/>
              <w:jc w:val="left"/>
              <w:textAlignment w:val="center"/>
              <w:rPr>
                <w:rFonts w:eastAsia="仿宋"/>
                <w:color w:val="000000"/>
                <w:sz w:val="24"/>
              </w:rPr>
            </w:pPr>
            <w:r>
              <w:rPr>
                <w:rFonts w:eastAsia="仿宋"/>
                <w:color w:val="000000"/>
                <w:kern w:val="0"/>
                <w:sz w:val="24"/>
                <w:lang w:bidi="ar"/>
              </w:rPr>
              <w:t>1.《金属非金属地下矿山企业领导带班下井及监督检查暂行规定》</w:t>
            </w:r>
            <w:r>
              <w:rPr>
                <w:rFonts w:eastAsia="仿宋"/>
                <w:color w:val="000000"/>
                <w:kern w:val="0"/>
                <w:sz w:val="24"/>
                <w:lang w:bidi="ar"/>
              </w:rPr>
              <w:br w:type="textWrapping"/>
            </w:r>
            <w:r>
              <w:rPr>
                <w:rFonts w:eastAsia="仿宋"/>
                <w:color w:val="000000"/>
                <w:kern w:val="0"/>
                <w:sz w:val="24"/>
                <w:lang w:bidi="ar"/>
              </w:rPr>
              <w:t>第二十一条  矿山企业领导未按照规定带班下井的，对矿山企业给予警告，处3万元的罚款；情节严重的，依法责令停产整顿；对违反规定的矿山企业领导按照擅离职守处理，并处1万元的罚款。</w:t>
            </w:r>
          </w:p>
        </w:tc>
        <w:tc>
          <w:tcPr>
            <w:tcW w:w="476" w:type="pct"/>
            <w:tcBorders>
              <w:top w:val="single" w:color="000000" w:sz="4" w:space="0"/>
              <w:left w:val="single" w:color="000000" w:sz="4" w:space="0"/>
              <w:bottom w:val="single" w:color="000000" w:sz="4" w:space="0"/>
              <w:right w:val="single" w:color="000000" w:sz="4" w:space="0"/>
            </w:tcBorders>
            <w:vAlign w:val="center"/>
          </w:tcPr>
          <w:p w14:paraId="117F5A71">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37683341">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6CE226DB">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3B31559B">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2BA464FF">
            <w:pPr>
              <w:topLinePunct/>
              <w:adjustRightInd w:val="0"/>
              <w:snapToGrid w:val="0"/>
              <w:jc w:val="center"/>
              <w:textAlignment w:val="center"/>
              <w:rPr>
                <w:rFonts w:eastAsia="仿宋"/>
                <w:color w:val="000000"/>
                <w:sz w:val="24"/>
              </w:rPr>
            </w:pPr>
            <w:r>
              <w:rPr>
                <w:rFonts w:eastAsia="仿宋"/>
                <w:color w:val="000000"/>
                <w:kern w:val="0"/>
                <w:sz w:val="24"/>
                <w:lang w:bidi="ar"/>
              </w:rPr>
              <w:t>281</w:t>
            </w:r>
          </w:p>
        </w:tc>
        <w:tc>
          <w:tcPr>
            <w:tcW w:w="838" w:type="pct"/>
            <w:tcBorders>
              <w:top w:val="single" w:color="000000" w:sz="4" w:space="0"/>
              <w:left w:val="single" w:color="000000" w:sz="4" w:space="0"/>
              <w:bottom w:val="single" w:color="000000" w:sz="4" w:space="0"/>
              <w:right w:val="single" w:color="000000" w:sz="4" w:space="0"/>
            </w:tcBorders>
            <w:vAlign w:val="center"/>
          </w:tcPr>
          <w:p w14:paraId="7E43E194">
            <w:pPr>
              <w:topLinePunct/>
              <w:adjustRightInd w:val="0"/>
              <w:snapToGrid w:val="0"/>
              <w:textAlignment w:val="center"/>
              <w:rPr>
                <w:rFonts w:eastAsia="仿宋"/>
                <w:color w:val="000000"/>
                <w:sz w:val="24"/>
              </w:rPr>
            </w:pPr>
            <w:r>
              <w:rPr>
                <w:rFonts w:eastAsia="仿宋"/>
                <w:color w:val="000000"/>
                <w:kern w:val="0"/>
                <w:sz w:val="24"/>
                <w:lang w:bidi="ar"/>
              </w:rPr>
              <w:t>对小型露天采石场未按规定测绘采石场开采现状平面图和剖面图，并归档管理的行政处罚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28CDD4CB">
            <w:pPr>
              <w:topLinePunct/>
              <w:adjustRightInd w:val="0"/>
              <w:snapToGrid w:val="0"/>
              <w:jc w:val="left"/>
              <w:textAlignment w:val="center"/>
              <w:rPr>
                <w:rFonts w:eastAsia="仿宋"/>
                <w:color w:val="000000"/>
                <w:sz w:val="24"/>
              </w:rPr>
            </w:pPr>
            <w:r>
              <w:rPr>
                <w:rFonts w:eastAsia="仿宋"/>
                <w:color w:val="000000"/>
                <w:kern w:val="0"/>
                <w:sz w:val="24"/>
                <w:lang w:bidi="ar"/>
              </w:rPr>
              <w:t>1.《小型露天采石场安全管理与监督检查规定》</w:t>
            </w:r>
            <w:r>
              <w:rPr>
                <w:rFonts w:eastAsia="仿宋"/>
                <w:color w:val="000000"/>
                <w:kern w:val="0"/>
                <w:sz w:val="24"/>
                <w:lang w:bidi="ar"/>
              </w:rPr>
              <w:br w:type="textWrapping"/>
            </w:r>
            <w:r>
              <w:rPr>
                <w:rFonts w:eastAsia="仿宋"/>
                <w:color w:val="000000"/>
                <w:kern w:val="0"/>
                <w:sz w:val="24"/>
                <w:lang w:bidi="ar"/>
              </w:rPr>
              <w:t>第二十八条  小型露天采石场应当在每年年末测绘采石场开采现状平面图和剖面图，并归档管理。</w:t>
            </w:r>
            <w:r>
              <w:rPr>
                <w:rFonts w:eastAsia="仿宋"/>
                <w:color w:val="000000"/>
                <w:kern w:val="0"/>
                <w:sz w:val="24"/>
                <w:lang w:bidi="ar"/>
              </w:rPr>
              <w:br w:type="textWrapping"/>
            </w:r>
            <w:r>
              <w:rPr>
                <w:rFonts w:eastAsia="仿宋"/>
                <w:color w:val="000000"/>
                <w:kern w:val="0"/>
                <w:sz w:val="24"/>
                <w:lang w:bidi="ar"/>
              </w:rPr>
              <w:t>第四十条  违反本规定第二十三条、第二十四条、第二十五条、第二十八条规定的，给予警告，并处2万元以下的罚款。</w:t>
            </w:r>
          </w:p>
        </w:tc>
        <w:tc>
          <w:tcPr>
            <w:tcW w:w="476" w:type="pct"/>
            <w:tcBorders>
              <w:top w:val="single" w:color="000000" w:sz="4" w:space="0"/>
              <w:left w:val="single" w:color="000000" w:sz="4" w:space="0"/>
              <w:bottom w:val="single" w:color="000000" w:sz="4" w:space="0"/>
              <w:right w:val="single" w:color="000000" w:sz="4" w:space="0"/>
            </w:tcBorders>
            <w:vAlign w:val="center"/>
          </w:tcPr>
          <w:p w14:paraId="3D53D941">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0506FAC9">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703F89F5">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323EFB29">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523D45B4">
            <w:pPr>
              <w:topLinePunct/>
              <w:adjustRightInd w:val="0"/>
              <w:snapToGrid w:val="0"/>
              <w:jc w:val="center"/>
              <w:textAlignment w:val="center"/>
              <w:rPr>
                <w:rFonts w:eastAsia="仿宋"/>
                <w:color w:val="000000"/>
                <w:sz w:val="24"/>
              </w:rPr>
            </w:pPr>
            <w:r>
              <w:rPr>
                <w:rFonts w:eastAsia="仿宋"/>
                <w:color w:val="000000"/>
                <w:kern w:val="0"/>
                <w:sz w:val="24"/>
                <w:lang w:bidi="ar"/>
              </w:rPr>
              <w:t>282</w:t>
            </w:r>
          </w:p>
        </w:tc>
        <w:tc>
          <w:tcPr>
            <w:tcW w:w="838" w:type="pct"/>
            <w:tcBorders>
              <w:top w:val="single" w:color="000000" w:sz="4" w:space="0"/>
              <w:left w:val="single" w:color="000000" w:sz="4" w:space="0"/>
              <w:bottom w:val="single" w:color="000000" w:sz="4" w:space="0"/>
              <w:right w:val="single" w:color="000000" w:sz="4" w:space="0"/>
            </w:tcBorders>
            <w:vAlign w:val="center"/>
          </w:tcPr>
          <w:p w14:paraId="7F7B7DF0">
            <w:pPr>
              <w:topLinePunct/>
              <w:adjustRightInd w:val="0"/>
              <w:snapToGrid w:val="0"/>
              <w:textAlignment w:val="center"/>
              <w:rPr>
                <w:rFonts w:eastAsia="仿宋"/>
                <w:color w:val="000000"/>
                <w:sz w:val="24"/>
              </w:rPr>
            </w:pPr>
            <w:r>
              <w:rPr>
                <w:rFonts w:eastAsia="仿宋"/>
                <w:color w:val="000000"/>
                <w:kern w:val="0"/>
                <w:sz w:val="24"/>
                <w:lang w:bidi="ar"/>
              </w:rPr>
              <w:t>对金属非金属露天矿山使用国家明令禁止使用的设备、材料或者工艺的行政处罚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5A64C85C">
            <w:pPr>
              <w:topLinePunct/>
              <w:adjustRightInd w:val="0"/>
              <w:snapToGrid w:val="0"/>
              <w:jc w:val="left"/>
              <w:textAlignment w:val="center"/>
              <w:rPr>
                <w:rFonts w:eastAsia="仿宋"/>
                <w:color w:val="000000"/>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二、金属非金属露天矿山重大事故隐患</w:t>
            </w:r>
            <w:r>
              <w:rPr>
                <w:rFonts w:eastAsia="仿宋"/>
                <w:color w:val="000000"/>
                <w:kern w:val="0"/>
                <w:sz w:val="24"/>
                <w:lang w:bidi="ar"/>
              </w:rPr>
              <w:br w:type="textWrapping"/>
            </w:r>
            <w:r>
              <w:rPr>
                <w:rFonts w:eastAsia="仿宋"/>
                <w:color w:val="000000"/>
                <w:kern w:val="0"/>
                <w:sz w:val="24"/>
                <w:lang w:bidi="ar"/>
              </w:rPr>
              <w:t>（二）使用国家明令禁止使用的设备、材料或者工艺。</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第九十九条第七项  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七）使用应当淘汰的危及生产安全的工艺、设备的；</w:t>
            </w:r>
          </w:p>
        </w:tc>
        <w:tc>
          <w:tcPr>
            <w:tcW w:w="476" w:type="pct"/>
            <w:tcBorders>
              <w:top w:val="single" w:color="000000" w:sz="4" w:space="0"/>
              <w:left w:val="single" w:color="000000" w:sz="4" w:space="0"/>
              <w:bottom w:val="single" w:color="000000" w:sz="4" w:space="0"/>
              <w:right w:val="single" w:color="000000" w:sz="4" w:space="0"/>
            </w:tcBorders>
            <w:vAlign w:val="center"/>
          </w:tcPr>
          <w:p w14:paraId="1D497BAC">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6C7D64DF">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1BCD3491">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7F45DA52">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0C623A09">
            <w:pPr>
              <w:topLinePunct/>
              <w:adjustRightInd w:val="0"/>
              <w:snapToGrid w:val="0"/>
              <w:jc w:val="center"/>
              <w:textAlignment w:val="center"/>
              <w:rPr>
                <w:rFonts w:eastAsia="仿宋"/>
                <w:color w:val="000000"/>
                <w:sz w:val="24"/>
              </w:rPr>
            </w:pPr>
            <w:r>
              <w:rPr>
                <w:rFonts w:eastAsia="仿宋"/>
                <w:color w:val="000000"/>
                <w:kern w:val="0"/>
                <w:sz w:val="24"/>
                <w:lang w:bidi="ar"/>
              </w:rPr>
              <w:t>283</w:t>
            </w:r>
          </w:p>
        </w:tc>
        <w:tc>
          <w:tcPr>
            <w:tcW w:w="838" w:type="pct"/>
            <w:tcBorders>
              <w:top w:val="single" w:color="000000" w:sz="4" w:space="0"/>
              <w:left w:val="single" w:color="000000" w:sz="4" w:space="0"/>
              <w:bottom w:val="single" w:color="000000" w:sz="4" w:space="0"/>
              <w:right w:val="single" w:color="000000" w:sz="4" w:space="0"/>
            </w:tcBorders>
            <w:vAlign w:val="center"/>
          </w:tcPr>
          <w:p w14:paraId="19BF5325">
            <w:pPr>
              <w:topLinePunct/>
              <w:adjustRightInd w:val="0"/>
              <w:snapToGrid w:val="0"/>
              <w:textAlignment w:val="center"/>
              <w:rPr>
                <w:rFonts w:eastAsia="仿宋"/>
                <w:color w:val="000000"/>
                <w:sz w:val="24"/>
              </w:rPr>
            </w:pPr>
            <w:r>
              <w:rPr>
                <w:rFonts w:eastAsia="仿宋"/>
                <w:color w:val="000000"/>
                <w:kern w:val="0"/>
                <w:sz w:val="24"/>
                <w:lang w:bidi="ar"/>
              </w:rPr>
              <w:t>对金属非金属露天矿山未采用自上而下的开采顺序分台阶或者分层开采的行政处罚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1A06902D">
            <w:pPr>
              <w:topLinePunct/>
              <w:adjustRightInd w:val="0"/>
              <w:snapToGrid w:val="0"/>
              <w:jc w:val="left"/>
              <w:textAlignment w:val="center"/>
              <w:rPr>
                <w:rFonts w:eastAsia="仿宋"/>
                <w:color w:val="000000"/>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二、金属非金属露天矿山重大事故隐患</w:t>
            </w:r>
            <w:r>
              <w:rPr>
                <w:rFonts w:eastAsia="仿宋"/>
                <w:color w:val="000000"/>
                <w:kern w:val="0"/>
                <w:sz w:val="24"/>
                <w:lang w:bidi="ar"/>
              </w:rPr>
              <w:br w:type="textWrapping"/>
            </w:r>
            <w:r>
              <w:rPr>
                <w:rFonts w:eastAsia="仿宋"/>
                <w:color w:val="000000"/>
                <w:kern w:val="0"/>
                <w:sz w:val="24"/>
                <w:lang w:bidi="ar"/>
              </w:rPr>
              <w:t>（三）未采用自上而下的开采顺序分台阶或者分层开采。</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0272A504">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6527230F">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65B58342">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3777A166">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05D9BC3A">
            <w:pPr>
              <w:topLinePunct/>
              <w:adjustRightInd w:val="0"/>
              <w:snapToGrid w:val="0"/>
              <w:jc w:val="center"/>
              <w:textAlignment w:val="center"/>
              <w:rPr>
                <w:rFonts w:eastAsia="仿宋"/>
                <w:color w:val="000000"/>
                <w:sz w:val="24"/>
              </w:rPr>
            </w:pPr>
            <w:r>
              <w:rPr>
                <w:rFonts w:eastAsia="仿宋"/>
                <w:color w:val="000000"/>
                <w:kern w:val="0"/>
                <w:sz w:val="24"/>
                <w:lang w:bidi="ar"/>
              </w:rPr>
              <w:t>284</w:t>
            </w:r>
          </w:p>
        </w:tc>
        <w:tc>
          <w:tcPr>
            <w:tcW w:w="838" w:type="pct"/>
            <w:tcBorders>
              <w:top w:val="single" w:color="000000" w:sz="4" w:space="0"/>
              <w:left w:val="single" w:color="000000" w:sz="4" w:space="0"/>
              <w:bottom w:val="single" w:color="000000" w:sz="4" w:space="0"/>
              <w:right w:val="single" w:color="000000" w:sz="4" w:space="0"/>
            </w:tcBorders>
            <w:vAlign w:val="center"/>
          </w:tcPr>
          <w:p w14:paraId="73DE2065">
            <w:pPr>
              <w:topLinePunct/>
              <w:adjustRightInd w:val="0"/>
              <w:snapToGrid w:val="0"/>
              <w:textAlignment w:val="center"/>
              <w:rPr>
                <w:rFonts w:eastAsia="仿宋"/>
                <w:color w:val="000000"/>
                <w:sz w:val="24"/>
              </w:rPr>
            </w:pPr>
            <w:r>
              <w:rPr>
                <w:rFonts w:eastAsia="仿宋"/>
                <w:color w:val="000000"/>
                <w:kern w:val="0"/>
                <w:sz w:val="24"/>
                <w:lang w:bidi="ar"/>
              </w:rPr>
              <w:t>对小型露天采石场开采方式、分层参数等不符合规定的行政处罚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4BA44C5C">
            <w:pPr>
              <w:topLinePunct/>
              <w:adjustRightInd w:val="0"/>
              <w:snapToGrid w:val="0"/>
              <w:jc w:val="left"/>
              <w:textAlignment w:val="center"/>
              <w:rPr>
                <w:rFonts w:eastAsia="仿宋"/>
                <w:color w:val="000000"/>
                <w:sz w:val="24"/>
              </w:rPr>
            </w:pPr>
            <w:r>
              <w:rPr>
                <w:rFonts w:eastAsia="仿宋"/>
                <w:color w:val="000000"/>
                <w:kern w:val="0"/>
                <w:sz w:val="24"/>
                <w:lang w:bidi="ar"/>
              </w:rPr>
              <w:t>1.《小型露天采石场安全管理与监督检查规定》</w:t>
            </w:r>
            <w:r>
              <w:rPr>
                <w:rFonts w:eastAsia="仿宋"/>
                <w:color w:val="000000"/>
                <w:kern w:val="0"/>
                <w:sz w:val="24"/>
                <w:lang w:bidi="ar"/>
              </w:rPr>
              <w:br w:type="textWrapping"/>
            </w:r>
            <w:r>
              <w:rPr>
                <w:rFonts w:eastAsia="仿宋"/>
                <w:color w:val="000000"/>
                <w:kern w:val="0"/>
                <w:sz w:val="24"/>
                <w:lang w:bidi="ar"/>
              </w:rPr>
              <w:t>第十三条第一款、第二款  小型露天采石场应当采用中深孔爆破，严禁采用扩壶爆破、掏底崩落、掏挖开采和不分层的“一面墙”等开采方式。</w:t>
            </w:r>
            <w:r>
              <w:rPr>
                <w:rFonts w:eastAsia="仿宋"/>
                <w:color w:val="000000"/>
                <w:kern w:val="0"/>
                <w:sz w:val="24"/>
                <w:lang w:bidi="ar"/>
              </w:rPr>
              <w:br w:type="textWrapping"/>
            </w:r>
            <w:r>
              <w:rPr>
                <w:rFonts w:eastAsia="仿宋"/>
                <w:color w:val="000000"/>
                <w:kern w:val="0"/>
                <w:sz w:val="24"/>
                <w:lang w:bidi="ar"/>
              </w:rPr>
              <w:t>不具备实施中深孔爆破条件的，由所在地安全生产监督管理部门聘请有关专家进行论证，经论证符合要求的，方可采用浅孔爆破开采。</w:t>
            </w:r>
            <w:r>
              <w:rPr>
                <w:rFonts w:eastAsia="仿宋"/>
                <w:color w:val="000000"/>
                <w:kern w:val="0"/>
                <w:sz w:val="24"/>
                <w:lang w:bidi="ar"/>
              </w:rPr>
              <w:br w:type="textWrapping"/>
            </w:r>
            <w:r>
              <w:rPr>
                <w:rFonts w:eastAsia="仿宋"/>
                <w:color w:val="000000"/>
                <w:kern w:val="0"/>
                <w:sz w:val="24"/>
                <w:lang w:bidi="ar"/>
              </w:rPr>
              <w:t>第十四条  不采用爆破方式直接使用挖掘机进行采矿作业的，台阶高度不得超过挖掘机最大挖掘高度。</w:t>
            </w:r>
            <w:r>
              <w:rPr>
                <w:rFonts w:eastAsia="仿宋"/>
                <w:color w:val="000000"/>
                <w:kern w:val="0"/>
                <w:sz w:val="24"/>
                <w:lang w:bidi="ar"/>
              </w:rPr>
              <w:br w:type="textWrapping"/>
            </w:r>
            <w:r>
              <w:rPr>
                <w:rFonts w:eastAsia="仿宋"/>
                <w:color w:val="000000"/>
                <w:kern w:val="0"/>
                <w:sz w:val="24"/>
                <w:lang w:bidi="ar"/>
              </w:rPr>
              <w:t>第十五条  小型露天采石场应当采用台阶式开采。不能采用台阶式开采的，应当自上而下分层顺序开采。</w:t>
            </w:r>
            <w:r>
              <w:rPr>
                <w:rFonts w:eastAsia="仿宋"/>
                <w:color w:val="000000"/>
                <w:kern w:val="0"/>
                <w:sz w:val="24"/>
                <w:lang w:bidi="ar"/>
              </w:rPr>
              <w:br w:type="textWrapping"/>
            </w:r>
            <w:r>
              <w:rPr>
                <w:rFonts w:eastAsia="仿宋"/>
                <w:color w:val="000000"/>
                <w:kern w:val="0"/>
                <w:sz w:val="24"/>
                <w:lang w:bidi="ar"/>
              </w:rPr>
              <w:t>分层开采的分层高度、最大开采高度（第一分层的坡顶线到最后一分层的坡底线的垂直距离）和最终边坡角由设计确定，实施浅孔爆破作业时，分层数不得超过6个，最大开采高度不得超过30米；实施中深孔爆破作业时，分层高度不得超过20米，分层数不得超过3个，最大开采高度不得超过60米。</w:t>
            </w:r>
            <w:r>
              <w:rPr>
                <w:rFonts w:eastAsia="仿宋"/>
                <w:color w:val="000000"/>
                <w:kern w:val="0"/>
                <w:sz w:val="24"/>
                <w:lang w:bidi="ar"/>
              </w:rPr>
              <w:br w:type="textWrapping"/>
            </w:r>
            <w:r>
              <w:rPr>
                <w:rFonts w:eastAsia="仿宋"/>
                <w:color w:val="000000"/>
                <w:kern w:val="0"/>
                <w:sz w:val="24"/>
                <w:lang w:bidi="ar"/>
              </w:rPr>
              <w:t>分层开采的凿岩平台宽度由设计确定，最小凿岩平台宽度不得小于4米。</w:t>
            </w:r>
            <w:r>
              <w:rPr>
                <w:rFonts w:eastAsia="仿宋"/>
                <w:color w:val="000000"/>
                <w:kern w:val="0"/>
                <w:sz w:val="24"/>
                <w:lang w:bidi="ar"/>
              </w:rPr>
              <w:br w:type="textWrapping"/>
            </w:r>
            <w:r>
              <w:rPr>
                <w:rFonts w:eastAsia="仿宋"/>
                <w:color w:val="000000"/>
                <w:kern w:val="0"/>
                <w:sz w:val="24"/>
                <w:lang w:bidi="ar"/>
              </w:rPr>
              <w:t>分层开采的底部装运平台宽度由设计确定，且应当满足调车作业所需的最小平台宽度要求。</w:t>
            </w:r>
            <w:r>
              <w:rPr>
                <w:rFonts w:eastAsia="仿宋"/>
                <w:color w:val="000000"/>
                <w:kern w:val="0"/>
                <w:sz w:val="24"/>
                <w:lang w:bidi="ar"/>
              </w:rPr>
              <w:br w:type="textWrapping"/>
            </w:r>
            <w:r>
              <w:rPr>
                <w:rFonts w:eastAsia="仿宋"/>
                <w:color w:val="000000"/>
                <w:kern w:val="0"/>
                <w:sz w:val="24"/>
                <w:lang w:bidi="ar"/>
              </w:rPr>
              <w:t>第三十九条  违反本规定第十二条、第十三条第一、二款、第十四条、第十五条、第十六条、第十七条、第十九条、第二十条第一款、第二十一条、第二十二条规定的，给予警告，并处1万元以上3万元以下的罚款。</w:t>
            </w:r>
          </w:p>
        </w:tc>
        <w:tc>
          <w:tcPr>
            <w:tcW w:w="476" w:type="pct"/>
            <w:tcBorders>
              <w:top w:val="single" w:color="000000" w:sz="4" w:space="0"/>
              <w:left w:val="single" w:color="000000" w:sz="4" w:space="0"/>
              <w:bottom w:val="single" w:color="000000" w:sz="4" w:space="0"/>
              <w:right w:val="single" w:color="000000" w:sz="4" w:space="0"/>
            </w:tcBorders>
            <w:vAlign w:val="center"/>
          </w:tcPr>
          <w:p w14:paraId="2C796076">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0C6DCA46">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6DF510DD">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7B84F460">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0B90BC20">
            <w:pPr>
              <w:topLinePunct/>
              <w:adjustRightInd w:val="0"/>
              <w:snapToGrid w:val="0"/>
              <w:jc w:val="center"/>
              <w:textAlignment w:val="center"/>
              <w:rPr>
                <w:rFonts w:eastAsia="仿宋"/>
                <w:color w:val="000000"/>
                <w:sz w:val="24"/>
              </w:rPr>
            </w:pPr>
            <w:r>
              <w:rPr>
                <w:rFonts w:eastAsia="仿宋"/>
                <w:color w:val="000000"/>
                <w:kern w:val="0"/>
                <w:sz w:val="24"/>
                <w:lang w:bidi="ar"/>
              </w:rPr>
              <w:t>285</w:t>
            </w:r>
          </w:p>
        </w:tc>
        <w:tc>
          <w:tcPr>
            <w:tcW w:w="838" w:type="pct"/>
            <w:tcBorders>
              <w:top w:val="single" w:color="000000" w:sz="4" w:space="0"/>
              <w:left w:val="single" w:color="000000" w:sz="4" w:space="0"/>
              <w:bottom w:val="single" w:color="000000" w:sz="4" w:space="0"/>
              <w:right w:val="single" w:color="000000" w:sz="4" w:space="0"/>
            </w:tcBorders>
            <w:vAlign w:val="center"/>
          </w:tcPr>
          <w:p w14:paraId="69B22BCE">
            <w:pPr>
              <w:topLinePunct/>
              <w:adjustRightInd w:val="0"/>
              <w:snapToGrid w:val="0"/>
              <w:textAlignment w:val="center"/>
              <w:rPr>
                <w:rFonts w:eastAsia="仿宋"/>
                <w:color w:val="000000"/>
                <w:sz w:val="24"/>
              </w:rPr>
            </w:pPr>
            <w:r>
              <w:rPr>
                <w:rFonts w:eastAsia="仿宋"/>
                <w:color w:val="000000"/>
                <w:kern w:val="0"/>
                <w:sz w:val="24"/>
                <w:lang w:bidi="ar"/>
              </w:rPr>
              <w:t>对金属非金属露天矿山工作帮坡角大于设计工作帮坡角，或者最终边坡台阶高度超过设计高度的行政处罚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24A87632">
            <w:pPr>
              <w:topLinePunct/>
              <w:adjustRightInd w:val="0"/>
              <w:snapToGrid w:val="0"/>
              <w:jc w:val="left"/>
              <w:textAlignment w:val="center"/>
              <w:rPr>
                <w:rFonts w:eastAsia="仿宋"/>
                <w:color w:val="000000"/>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二、金属非金属露天矿山重大事故隐患</w:t>
            </w:r>
            <w:r>
              <w:rPr>
                <w:rFonts w:eastAsia="仿宋"/>
                <w:color w:val="000000"/>
                <w:kern w:val="0"/>
                <w:sz w:val="24"/>
                <w:lang w:bidi="ar"/>
              </w:rPr>
              <w:br w:type="textWrapping"/>
            </w:r>
            <w:r>
              <w:rPr>
                <w:rFonts w:eastAsia="仿宋"/>
                <w:color w:val="000000"/>
                <w:kern w:val="0"/>
                <w:sz w:val="24"/>
                <w:lang w:bidi="ar"/>
              </w:rPr>
              <w:t>（四）工作帮坡角大于设计工作帮坡角，或者最终边坡台阶高度超过设计高度。</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 xml:space="preserve">    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377E93B1">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53B9602E">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4FBD28FF">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56DAA02C">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0B1B01D9">
            <w:pPr>
              <w:topLinePunct/>
              <w:adjustRightInd w:val="0"/>
              <w:snapToGrid w:val="0"/>
              <w:jc w:val="center"/>
              <w:textAlignment w:val="center"/>
              <w:rPr>
                <w:rFonts w:eastAsia="仿宋"/>
                <w:color w:val="000000"/>
                <w:sz w:val="24"/>
              </w:rPr>
            </w:pPr>
            <w:r>
              <w:rPr>
                <w:rFonts w:eastAsia="仿宋"/>
                <w:color w:val="000000"/>
                <w:kern w:val="0"/>
                <w:sz w:val="24"/>
                <w:lang w:bidi="ar"/>
              </w:rPr>
              <w:t>286</w:t>
            </w:r>
          </w:p>
        </w:tc>
        <w:tc>
          <w:tcPr>
            <w:tcW w:w="838" w:type="pct"/>
            <w:tcBorders>
              <w:top w:val="single" w:color="000000" w:sz="4" w:space="0"/>
              <w:left w:val="single" w:color="000000" w:sz="4" w:space="0"/>
              <w:bottom w:val="single" w:color="000000" w:sz="4" w:space="0"/>
              <w:right w:val="single" w:color="000000" w:sz="4" w:space="0"/>
            </w:tcBorders>
            <w:vAlign w:val="center"/>
          </w:tcPr>
          <w:p w14:paraId="1313DCFB">
            <w:pPr>
              <w:topLinePunct/>
              <w:adjustRightInd w:val="0"/>
              <w:snapToGrid w:val="0"/>
              <w:textAlignment w:val="center"/>
              <w:rPr>
                <w:rFonts w:eastAsia="仿宋"/>
                <w:color w:val="000000"/>
                <w:sz w:val="24"/>
              </w:rPr>
            </w:pPr>
            <w:r>
              <w:rPr>
                <w:rFonts w:eastAsia="仿宋"/>
                <w:color w:val="000000"/>
                <w:kern w:val="0"/>
                <w:sz w:val="24"/>
                <w:lang w:bidi="ar"/>
              </w:rPr>
              <w:t>对金属非金属凹陷露天矿山未按设计建设防洪、排洪设施的行政处罚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64040474">
            <w:pPr>
              <w:topLinePunct/>
              <w:adjustRightInd w:val="0"/>
              <w:snapToGrid w:val="0"/>
              <w:jc w:val="left"/>
              <w:textAlignment w:val="center"/>
              <w:rPr>
                <w:rFonts w:eastAsia="仿宋"/>
                <w:color w:val="000000"/>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二、金属非金属露天矿山重大事故隐患</w:t>
            </w:r>
            <w:r>
              <w:rPr>
                <w:rFonts w:eastAsia="仿宋"/>
                <w:color w:val="000000"/>
                <w:kern w:val="0"/>
                <w:sz w:val="24"/>
                <w:lang w:bidi="ar"/>
              </w:rPr>
              <w:br w:type="textWrapping"/>
            </w:r>
            <w:r>
              <w:rPr>
                <w:rFonts w:eastAsia="仿宋"/>
                <w:color w:val="000000"/>
                <w:kern w:val="0"/>
                <w:sz w:val="24"/>
                <w:lang w:bidi="ar"/>
              </w:rPr>
              <w:t>（十）凹陷露天矿山未按设计建设防洪、排洪设施。</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71FB8C8A">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6E9521A6">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7AA1D303">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0D599E69">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432EDFCE">
            <w:pPr>
              <w:topLinePunct/>
              <w:adjustRightInd w:val="0"/>
              <w:snapToGrid w:val="0"/>
              <w:jc w:val="center"/>
              <w:textAlignment w:val="center"/>
              <w:rPr>
                <w:rFonts w:eastAsia="仿宋"/>
                <w:color w:val="000000"/>
                <w:sz w:val="24"/>
              </w:rPr>
            </w:pPr>
            <w:r>
              <w:rPr>
                <w:rFonts w:eastAsia="仿宋"/>
                <w:color w:val="000000"/>
                <w:kern w:val="0"/>
                <w:sz w:val="24"/>
                <w:lang w:bidi="ar"/>
              </w:rPr>
              <w:t>287</w:t>
            </w:r>
          </w:p>
        </w:tc>
        <w:tc>
          <w:tcPr>
            <w:tcW w:w="838" w:type="pct"/>
            <w:tcBorders>
              <w:top w:val="single" w:color="000000" w:sz="4" w:space="0"/>
              <w:left w:val="single" w:color="000000" w:sz="4" w:space="0"/>
              <w:bottom w:val="single" w:color="000000" w:sz="4" w:space="0"/>
              <w:right w:val="single" w:color="000000" w:sz="4" w:space="0"/>
            </w:tcBorders>
            <w:vAlign w:val="center"/>
          </w:tcPr>
          <w:p w14:paraId="5C650B19">
            <w:pPr>
              <w:topLinePunct/>
              <w:adjustRightInd w:val="0"/>
              <w:snapToGrid w:val="0"/>
              <w:textAlignment w:val="center"/>
              <w:rPr>
                <w:rFonts w:eastAsia="仿宋"/>
                <w:color w:val="000000"/>
                <w:sz w:val="24"/>
              </w:rPr>
            </w:pPr>
            <w:r>
              <w:rPr>
                <w:rFonts w:eastAsia="仿宋"/>
                <w:color w:val="000000"/>
                <w:kern w:val="0"/>
                <w:sz w:val="24"/>
                <w:lang w:bidi="ar"/>
              </w:rPr>
              <w:t>对小型露天采石场防洪措施不符合规定的行政处罚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40803A64">
            <w:pPr>
              <w:topLinePunct/>
              <w:adjustRightInd w:val="0"/>
              <w:snapToGrid w:val="0"/>
              <w:jc w:val="left"/>
              <w:textAlignment w:val="center"/>
              <w:rPr>
                <w:rFonts w:eastAsia="仿宋"/>
                <w:color w:val="000000"/>
                <w:sz w:val="24"/>
              </w:rPr>
            </w:pPr>
            <w:r>
              <w:rPr>
                <w:rFonts w:eastAsia="仿宋"/>
                <w:color w:val="000000"/>
                <w:kern w:val="0"/>
                <w:sz w:val="24"/>
                <w:lang w:bidi="ar"/>
              </w:rPr>
              <w:t>1.《小型露天采石场安全管理与监督检查规定》</w:t>
            </w:r>
            <w:r>
              <w:rPr>
                <w:rFonts w:eastAsia="仿宋"/>
                <w:color w:val="000000"/>
                <w:kern w:val="0"/>
                <w:sz w:val="24"/>
                <w:lang w:bidi="ar"/>
              </w:rPr>
              <w:br w:type="textWrapping"/>
            </w:r>
            <w:r>
              <w:rPr>
                <w:rFonts w:eastAsia="仿宋"/>
                <w:color w:val="000000"/>
                <w:kern w:val="0"/>
                <w:sz w:val="24"/>
                <w:lang w:bidi="ar"/>
              </w:rPr>
              <w:t>第二十五条  小型露天采石场应当制定完善的防洪措施。对开采境界上方汇水影响安全的，应当设置截水沟。</w:t>
            </w:r>
            <w:r>
              <w:rPr>
                <w:rFonts w:eastAsia="仿宋"/>
                <w:color w:val="000000"/>
                <w:kern w:val="0"/>
                <w:sz w:val="24"/>
                <w:lang w:bidi="ar"/>
              </w:rPr>
              <w:br w:type="textWrapping"/>
            </w:r>
            <w:r>
              <w:rPr>
                <w:rFonts w:eastAsia="仿宋"/>
                <w:color w:val="000000"/>
                <w:kern w:val="0"/>
                <w:sz w:val="24"/>
                <w:lang w:bidi="ar"/>
              </w:rPr>
              <w:t>第四十条  违反本规定第二十三条、第二十四条、第二十五条、第二十八条规定的，给予警告，并处2万元以下的罚款。</w:t>
            </w:r>
          </w:p>
        </w:tc>
        <w:tc>
          <w:tcPr>
            <w:tcW w:w="476" w:type="pct"/>
            <w:tcBorders>
              <w:top w:val="single" w:color="000000" w:sz="4" w:space="0"/>
              <w:left w:val="single" w:color="000000" w:sz="4" w:space="0"/>
              <w:bottom w:val="single" w:color="000000" w:sz="4" w:space="0"/>
              <w:right w:val="single" w:color="000000" w:sz="4" w:space="0"/>
            </w:tcBorders>
            <w:vAlign w:val="center"/>
          </w:tcPr>
          <w:p w14:paraId="527CB8F1">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2F05AB94">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1AD0B45E">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1850D060">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550D59C7">
            <w:pPr>
              <w:topLinePunct/>
              <w:adjustRightInd w:val="0"/>
              <w:snapToGrid w:val="0"/>
              <w:jc w:val="center"/>
              <w:textAlignment w:val="center"/>
              <w:rPr>
                <w:rFonts w:eastAsia="仿宋"/>
                <w:color w:val="000000"/>
                <w:sz w:val="24"/>
              </w:rPr>
            </w:pPr>
            <w:r>
              <w:rPr>
                <w:rFonts w:eastAsia="仿宋"/>
                <w:color w:val="000000"/>
                <w:kern w:val="0"/>
                <w:sz w:val="24"/>
                <w:lang w:bidi="ar"/>
              </w:rPr>
              <w:t>288</w:t>
            </w:r>
          </w:p>
        </w:tc>
        <w:tc>
          <w:tcPr>
            <w:tcW w:w="838" w:type="pct"/>
            <w:tcBorders>
              <w:top w:val="single" w:color="000000" w:sz="4" w:space="0"/>
              <w:left w:val="single" w:color="000000" w:sz="4" w:space="0"/>
              <w:bottom w:val="single" w:color="000000" w:sz="4" w:space="0"/>
              <w:right w:val="single" w:color="000000" w:sz="4" w:space="0"/>
            </w:tcBorders>
            <w:vAlign w:val="center"/>
          </w:tcPr>
          <w:p w14:paraId="3C46A64A">
            <w:pPr>
              <w:topLinePunct/>
              <w:adjustRightInd w:val="0"/>
              <w:snapToGrid w:val="0"/>
              <w:textAlignment w:val="center"/>
              <w:rPr>
                <w:rFonts w:eastAsia="仿宋"/>
                <w:color w:val="000000"/>
                <w:sz w:val="24"/>
              </w:rPr>
            </w:pPr>
            <w:r>
              <w:rPr>
                <w:rFonts w:eastAsia="仿宋"/>
                <w:color w:val="000000"/>
                <w:kern w:val="0"/>
                <w:sz w:val="24"/>
                <w:lang w:bidi="ar"/>
              </w:rPr>
              <w:t>对相邻的小型露天采石场安全距离不符合规定等行为的行政处罚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02B3CE4D">
            <w:pPr>
              <w:topLinePunct/>
              <w:adjustRightInd w:val="0"/>
              <w:snapToGrid w:val="0"/>
              <w:jc w:val="left"/>
              <w:textAlignment w:val="center"/>
              <w:rPr>
                <w:rFonts w:eastAsia="仿宋"/>
                <w:color w:val="000000"/>
                <w:sz w:val="24"/>
              </w:rPr>
            </w:pPr>
            <w:r>
              <w:rPr>
                <w:rFonts w:eastAsia="仿宋"/>
                <w:color w:val="000000"/>
                <w:kern w:val="0"/>
                <w:sz w:val="24"/>
                <w:lang w:bidi="ar"/>
              </w:rPr>
              <w:t>1.《小型露天采石场安全管理与监督检查规定》</w:t>
            </w:r>
            <w:r>
              <w:rPr>
                <w:rFonts w:eastAsia="仿宋"/>
                <w:color w:val="000000"/>
                <w:kern w:val="0"/>
                <w:sz w:val="24"/>
                <w:lang w:bidi="ar"/>
              </w:rPr>
              <w:br w:type="textWrapping"/>
            </w:r>
            <w:r>
              <w:rPr>
                <w:rFonts w:eastAsia="仿宋"/>
                <w:color w:val="000000"/>
                <w:kern w:val="0"/>
                <w:sz w:val="24"/>
                <w:lang w:bidi="ar"/>
              </w:rPr>
              <w:t>第十二条  相邻的采石场开采范围之间最小距离应当大于300米。对可能危及对方生产安全的，双方应当签订安全生产管理协议，明确各自的安全生产管理职责和应当采取的安全措施，指定专门人员进行安全检查与协调。</w:t>
            </w:r>
            <w:r>
              <w:rPr>
                <w:rFonts w:eastAsia="仿宋"/>
                <w:color w:val="000000"/>
                <w:kern w:val="0"/>
                <w:sz w:val="24"/>
                <w:lang w:bidi="ar"/>
              </w:rPr>
              <w:br w:type="textWrapping"/>
            </w:r>
            <w:r>
              <w:rPr>
                <w:rFonts w:eastAsia="仿宋"/>
                <w:color w:val="000000"/>
                <w:kern w:val="0"/>
                <w:sz w:val="24"/>
                <w:lang w:bidi="ar"/>
              </w:rPr>
              <w:t>第三十九条  违反本规定第十二条、第十三条第一、二款、第十四条、第十五条、第十六条、第十七条、第十九条、第二十条第一款、第二十一条、第二十二条规定的，给予警告，并处1万元以上3万元以下的罚款。</w:t>
            </w:r>
          </w:p>
        </w:tc>
        <w:tc>
          <w:tcPr>
            <w:tcW w:w="476" w:type="pct"/>
            <w:tcBorders>
              <w:top w:val="single" w:color="000000" w:sz="4" w:space="0"/>
              <w:left w:val="single" w:color="000000" w:sz="4" w:space="0"/>
              <w:bottom w:val="single" w:color="000000" w:sz="4" w:space="0"/>
              <w:right w:val="single" w:color="000000" w:sz="4" w:space="0"/>
            </w:tcBorders>
            <w:vAlign w:val="center"/>
          </w:tcPr>
          <w:p w14:paraId="1089509F">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0FC9E8FA">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708AC24C">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0A776220">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6B7FF896">
            <w:pPr>
              <w:topLinePunct/>
              <w:adjustRightInd w:val="0"/>
              <w:snapToGrid w:val="0"/>
              <w:jc w:val="center"/>
              <w:textAlignment w:val="center"/>
              <w:rPr>
                <w:rFonts w:eastAsia="仿宋"/>
                <w:color w:val="000000"/>
                <w:sz w:val="24"/>
              </w:rPr>
            </w:pPr>
            <w:r>
              <w:rPr>
                <w:rFonts w:eastAsia="仿宋"/>
                <w:color w:val="000000"/>
                <w:kern w:val="0"/>
                <w:sz w:val="24"/>
                <w:lang w:bidi="ar"/>
              </w:rPr>
              <w:t>289</w:t>
            </w:r>
          </w:p>
        </w:tc>
        <w:tc>
          <w:tcPr>
            <w:tcW w:w="838" w:type="pct"/>
            <w:tcBorders>
              <w:top w:val="single" w:color="000000" w:sz="4" w:space="0"/>
              <w:left w:val="single" w:color="000000" w:sz="4" w:space="0"/>
              <w:bottom w:val="single" w:color="000000" w:sz="4" w:space="0"/>
              <w:right w:val="single" w:color="000000" w:sz="4" w:space="0"/>
            </w:tcBorders>
            <w:vAlign w:val="center"/>
          </w:tcPr>
          <w:p w14:paraId="6E760169">
            <w:pPr>
              <w:topLinePunct/>
              <w:adjustRightInd w:val="0"/>
              <w:snapToGrid w:val="0"/>
              <w:textAlignment w:val="center"/>
              <w:rPr>
                <w:rFonts w:eastAsia="仿宋"/>
                <w:color w:val="000000"/>
                <w:sz w:val="24"/>
              </w:rPr>
            </w:pPr>
            <w:r>
              <w:rPr>
                <w:rFonts w:eastAsia="仿宋"/>
                <w:color w:val="000000"/>
                <w:kern w:val="0"/>
                <w:sz w:val="24"/>
                <w:lang w:bidi="ar"/>
              </w:rPr>
              <w:t>对小型露天采石场废石、废碴处理不符合规定的行政处罚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1621862F">
            <w:pPr>
              <w:topLinePunct/>
              <w:adjustRightInd w:val="0"/>
              <w:snapToGrid w:val="0"/>
              <w:jc w:val="left"/>
              <w:textAlignment w:val="center"/>
              <w:rPr>
                <w:rFonts w:eastAsia="仿宋"/>
                <w:color w:val="000000"/>
                <w:sz w:val="24"/>
              </w:rPr>
            </w:pPr>
            <w:r>
              <w:rPr>
                <w:rFonts w:eastAsia="仿宋"/>
                <w:color w:val="000000"/>
                <w:kern w:val="0"/>
                <w:sz w:val="24"/>
                <w:lang w:bidi="ar"/>
              </w:rPr>
              <w:t>1.《小型露天采石场安全管理与监督检查规定》</w:t>
            </w:r>
            <w:r>
              <w:rPr>
                <w:rFonts w:eastAsia="仿宋"/>
                <w:color w:val="000000"/>
                <w:kern w:val="0"/>
                <w:sz w:val="24"/>
                <w:lang w:bidi="ar"/>
              </w:rPr>
              <w:br w:type="textWrapping"/>
            </w:r>
            <w:r>
              <w:rPr>
                <w:rFonts w:eastAsia="仿宋"/>
                <w:color w:val="000000"/>
                <w:kern w:val="0"/>
                <w:sz w:val="24"/>
                <w:lang w:bidi="ar"/>
              </w:rPr>
              <w:t>第二十三条  废石、废碴应当排放到废石场。废石场的设置应当符合设计要求和有关安全规定。顺山或顺沟排放废石、废碴的，应当有防止泥石流的具体措施。</w:t>
            </w:r>
            <w:r>
              <w:rPr>
                <w:rFonts w:eastAsia="仿宋"/>
                <w:color w:val="000000"/>
                <w:kern w:val="0"/>
                <w:sz w:val="24"/>
                <w:lang w:bidi="ar"/>
              </w:rPr>
              <w:br w:type="textWrapping"/>
            </w:r>
            <w:r>
              <w:rPr>
                <w:rFonts w:eastAsia="仿宋"/>
                <w:color w:val="000000"/>
                <w:kern w:val="0"/>
                <w:sz w:val="24"/>
                <w:lang w:bidi="ar"/>
              </w:rPr>
              <w:t>第四十条  违反本规定第二十三条、第二十四条、第二十五条、第二十八条规定的，给予警告，并处2万元以下的罚款。</w:t>
            </w:r>
          </w:p>
        </w:tc>
        <w:tc>
          <w:tcPr>
            <w:tcW w:w="476" w:type="pct"/>
            <w:tcBorders>
              <w:top w:val="single" w:color="000000" w:sz="4" w:space="0"/>
              <w:left w:val="single" w:color="000000" w:sz="4" w:space="0"/>
              <w:bottom w:val="single" w:color="000000" w:sz="4" w:space="0"/>
              <w:right w:val="single" w:color="000000" w:sz="4" w:space="0"/>
            </w:tcBorders>
            <w:vAlign w:val="center"/>
          </w:tcPr>
          <w:p w14:paraId="3B8A7C32">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207243A5">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2A34A5EC">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377FD99D">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2828CACA">
            <w:pPr>
              <w:topLinePunct/>
              <w:adjustRightInd w:val="0"/>
              <w:snapToGrid w:val="0"/>
              <w:jc w:val="center"/>
              <w:textAlignment w:val="center"/>
              <w:rPr>
                <w:rFonts w:eastAsia="仿宋"/>
                <w:color w:val="000000"/>
                <w:sz w:val="24"/>
              </w:rPr>
            </w:pPr>
            <w:r>
              <w:rPr>
                <w:rFonts w:eastAsia="仿宋"/>
                <w:color w:val="000000"/>
                <w:kern w:val="0"/>
                <w:sz w:val="24"/>
                <w:lang w:bidi="ar"/>
              </w:rPr>
              <w:t>290</w:t>
            </w:r>
          </w:p>
        </w:tc>
        <w:tc>
          <w:tcPr>
            <w:tcW w:w="838" w:type="pct"/>
            <w:tcBorders>
              <w:top w:val="single" w:color="000000" w:sz="4" w:space="0"/>
              <w:left w:val="single" w:color="000000" w:sz="4" w:space="0"/>
              <w:bottom w:val="single" w:color="000000" w:sz="4" w:space="0"/>
              <w:right w:val="single" w:color="000000" w:sz="4" w:space="0"/>
            </w:tcBorders>
            <w:vAlign w:val="center"/>
          </w:tcPr>
          <w:p w14:paraId="14D2B956">
            <w:pPr>
              <w:topLinePunct/>
              <w:adjustRightInd w:val="0"/>
              <w:snapToGrid w:val="0"/>
              <w:textAlignment w:val="center"/>
              <w:rPr>
                <w:rFonts w:eastAsia="仿宋"/>
                <w:color w:val="000000"/>
                <w:sz w:val="24"/>
              </w:rPr>
            </w:pPr>
            <w:r>
              <w:rPr>
                <w:rFonts w:eastAsia="仿宋"/>
                <w:color w:val="000000"/>
                <w:kern w:val="0"/>
                <w:sz w:val="24"/>
                <w:lang w:bidi="ar"/>
              </w:rPr>
              <w:t>对小型露天采石场在爆破作业中，有未设置爆破警戒范围、在爆破警戒范围内避炮等行为的行政处罚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5DB69770">
            <w:pPr>
              <w:topLinePunct/>
              <w:adjustRightInd w:val="0"/>
              <w:snapToGrid w:val="0"/>
              <w:jc w:val="left"/>
              <w:textAlignment w:val="center"/>
              <w:rPr>
                <w:rFonts w:eastAsia="仿宋"/>
                <w:color w:val="000000"/>
                <w:sz w:val="24"/>
              </w:rPr>
            </w:pPr>
            <w:r>
              <w:rPr>
                <w:rFonts w:eastAsia="仿宋"/>
                <w:color w:val="000000"/>
                <w:kern w:val="0"/>
                <w:sz w:val="24"/>
                <w:lang w:bidi="ar"/>
              </w:rPr>
              <w:t>1.《小型露天采石场安全管理与监督检查规定》</w:t>
            </w:r>
            <w:r>
              <w:rPr>
                <w:rFonts w:eastAsia="仿宋"/>
                <w:color w:val="000000"/>
                <w:kern w:val="0"/>
                <w:sz w:val="24"/>
                <w:lang w:bidi="ar"/>
              </w:rPr>
              <w:br w:type="textWrapping"/>
            </w:r>
            <w:r>
              <w:rPr>
                <w:rFonts w:eastAsia="仿宋"/>
                <w:color w:val="000000"/>
                <w:kern w:val="0"/>
                <w:sz w:val="24"/>
                <w:lang w:bidi="ar"/>
              </w:rPr>
              <w:t>第十六条  小型露天采石场应当遵守国家有关民用爆炸物品和爆破作业的安全规定，由具有相应资格的爆破作业人员进行爆破，设置爆破警戒范围，实行定时爆破制度。不得在爆破警戒范围内避炮。</w:t>
            </w:r>
            <w:r>
              <w:rPr>
                <w:rFonts w:eastAsia="仿宋"/>
                <w:color w:val="000000"/>
                <w:kern w:val="0"/>
                <w:sz w:val="24"/>
                <w:lang w:bidi="ar"/>
              </w:rPr>
              <w:br w:type="textWrapping"/>
            </w:r>
            <w:r>
              <w:rPr>
                <w:rFonts w:eastAsia="仿宋"/>
                <w:color w:val="000000"/>
                <w:kern w:val="0"/>
                <w:sz w:val="24"/>
                <w:lang w:bidi="ar"/>
              </w:rPr>
              <w:t>禁止在雷雨、大雾、大风等恶劣天气条件下进行爆破作业。雷电高发地区应当选用非电起爆系统。</w:t>
            </w:r>
            <w:r>
              <w:rPr>
                <w:rFonts w:eastAsia="仿宋"/>
                <w:color w:val="000000"/>
                <w:kern w:val="0"/>
                <w:sz w:val="24"/>
                <w:lang w:bidi="ar"/>
              </w:rPr>
              <w:br w:type="textWrapping"/>
            </w:r>
            <w:r>
              <w:rPr>
                <w:rFonts w:eastAsia="仿宋"/>
                <w:color w:val="000000"/>
                <w:kern w:val="0"/>
                <w:sz w:val="24"/>
                <w:lang w:bidi="ar"/>
              </w:rPr>
              <w:t>第十七条  对爆破后产生的大块矿岩应当采用机械方式进行破碎，不得使用爆破方式进行二次破碎。</w:t>
            </w:r>
            <w:r>
              <w:rPr>
                <w:rFonts w:eastAsia="仿宋"/>
                <w:color w:val="000000"/>
                <w:kern w:val="0"/>
                <w:sz w:val="24"/>
                <w:lang w:bidi="ar"/>
              </w:rPr>
              <w:br w:type="textWrapping"/>
            </w:r>
            <w:r>
              <w:rPr>
                <w:rFonts w:eastAsia="仿宋"/>
                <w:color w:val="000000"/>
                <w:kern w:val="0"/>
                <w:sz w:val="24"/>
                <w:lang w:bidi="ar"/>
              </w:rPr>
              <w:t>第三十九条  违反本规定第十二条、第十三条第一、二款、第十四条、第十五条、第十六条、第十七条、第十九条、第二十条第一款、第二十一条、第二十二条规定的，给予警告，并处1万元以上3万元以下的罚款。</w:t>
            </w:r>
          </w:p>
        </w:tc>
        <w:tc>
          <w:tcPr>
            <w:tcW w:w="476" w:type="pct"/>
            <w:tcBorders>
              <w:top w:val="single" w:color="000000" w:sz="4" w:space="0"/>
              <w:left w:val="single" w:color="000000" w:sz="4" w:space="0"/>
              <w:bottom w:val="single" w:color="000000" w:sz="4" w:space="0"/>
              <w:right w:val="single" w:color="000000" w:sz="4" w:space="0"/>
            </w:tcBorders>
            <w:vAlign w:val="center"/>
          </w:tcPr>
          <w:p w14:paraId="7DD508D2">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03B194F4">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278DE24D">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5D3E813A">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12FF4307">
            <w:pPr>
              <w:topLinePunct/>
              <w:adjustRightInd w:val="0"/>
              <w:snapToGrid w:val="0"/>
              <w:jc w:val="center"/>
              <w:textAlignment w:val="center"/>
              <w:rPr>
                <w:rFonts w:eastAsia="仿宋"/>
                <w:color w:val="000000"/>
                <w:sz w:val="24"/>
              </w:rPr>
            </w:pPr>
            <w:r>
              <w:rPr>
                <w:rFonts w:eastAsia="仿宋"/>
                <w:color w:val="000000"/>
                <w:kern w:val="0"/>
                <w:sz w:val="24"/>
                <w:lang w:bidi="ar"/>
              </w:rPr>
              <w:t>291</w:t>
            </w:r>
          </w:p>
        </w:tc>
        <w:tc>
          <w:tcPr>
            <w:tcW w:w="838" w:type="pct"/>
            <w:tcBorders>
              <w:top w:val="single" w:color="000000" w:sz="4" w:space="0"/>
              <w:left w:val="single" w:color="000000" w:sz="4" w:space="0"/>
              <w:bottom w:val="single" w:color="000000" w:sz="4" w:space="0"/>
              <w:right w:val="single" w:color="000000" w:sz="4" w:space="0"/>
            </w:tcBorders>
            <w:vAlign w:val="center"/>
          </w:tcPr>
          <w:p w14:paraId="53FD54AF">
            <w:pPr>
              <w:topLinePunct/>
              <w:adjustRightInd w:val="0"/>
              <w:snapToGrid w:val="0"/>
              <w:textAlignment w:val="center"/>
              <w:rPr>
                <w:rFonts w:eastAsia="仿宋"/>
                <w:color w:val="000000"/>
                <w:sz w:val="24"/>
              </w:rPr>
            </w:pPr>
            <w:r>
              <w:rPr>
                <w:rFonts w:eastAsia="仿宋"/>
                <w:color w:val="000000"/>
                <w:kern w:val="0"/>
                <w:sz w:val="24"/>
                <w:lang w:bidi="ar"/>
              </w:rPr>
              <w:t>对小型露天采石场未按规定进行剥离作业的行政处罚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6884A148">
            <w:pPr>
              <w:topLinePunct/>
              <w:adjustRightInd w:val="0"/>
              <w:snapToGrid w:val="0"/>
              <w:jc w:val="left"/>
              <w:textAlignment w:val="center"/>
              <w:rPr>
                <w:rFonts w:eastAsia="仿宋"/>
                <w:color w:val="000000"/>
                <w:sz w:val="24"/>
              </w:rPr>
            </w:pPr>
            <w:r>
              <w:rPr>
                <w:rFonts w:eastAsia="仿宋"/>
                <w:color w:val="000000"/>
                <w:kern w:val="0"/>
                <w:sz w:val="24"/>
                <w:lang w:bidi="ar"/>
              </w:rPr>
              <w:t>1.《小型露天采石场安全管理与监督检查规定》</w:t>
            </w:r>
            <w:r>
              <w:rPr>
                <w:rFonts w:eastAsia="仿宋"/>
                <w:color w:val="000000"/>
                <w:kern w:val="0"/>
                <w:sz w:val="24"/>
                <w:lang w:bidi="ar"/>
              </w:rPr>
              <w:br w:type="textWrapping"/>
            </w:r>
            <w:r>
              <w:rPr>
                <w:rFonts w:eastAsia="仿宋"/>
                <w:color w:val="000000"/>
                <w:kern w:val="0"/>
                <w:sz w:val="24"/>
                <w:lang w:bidi="ar"/>
              </w:rPr>
              <w:t>第十九条  采石场上部需要剥离的，剥离工作面应当超前于开采工作面4米以上。</w:t>
            </w:r>
            <w:r>
              <w:rPr>
                <w:rFonts w:eastAsia="仿宋"/>
                <w:color w:val="000000"/>
                <w:kern w:val="0"/>
                <w:sz w:val="24"/>
                <w:lang w:bidi="ar"/>
              </w:rPr>
              <w:br w:type="textWrapping"/>
            </w:r>
            <w:r>
              <w:rPr>
                <w:rFonts w:eastAsia="仿宋"/>
                <w:color w:val="000000"/>
                <w:kern w:val="0"/>
                <w:sz w:val="24"/>
                <w:lang w:bidi="ar"/>
              </w:rPr>
              <w:t>第三十九条  违反本规定第十二条、第十三条第一、二款、第十四条、第十五条、第十六条、第十七条、第十九条、第二十条第一款、第二十一条、第二十二条规定的，给予警告，并处1万元以上3万元以下的罚款。</w:t>
            </w:r>
          </w:p>
        </w:tc>
        <w:tc>
          <w:tcPr>
            <w:tcW w:w="476" w:type="pct"/>
            <w:tcBorders>
              <w:top w:val="single" w:color="000000" w:sz="4" w:space="0"/>
              <w:left w:val="single" w:color="000000" w:sz="4" w:space="0"/>
              <w:bottom w:val="single" w:color="000000" w:sz="4" w:space="0"/>
              <w:right w:val="single" w:color="000000" w:sz="4" w:space="0"/>
            </w:tcBorders>
            <w:vAlign w:val="center"/>
          </w:tcPr>
          <w:p w14:paraId="6ACA9143">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12A09631">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64EBFCBD">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192A3F96">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6C527989">
            <w:pPr>
              <w:topLinePunct/>
              <w:adjustRightInd w:val="0"/>
              <w:snapToGrid w:val="0"/>
              <w:jc w:val="center"/>
              <w:textAlignment w:val="center"/>
              <w:rPr>
                <w:rFonts w:eastAsia="仿宋"/>
                <w:color w:val="000000"/>
                <w:sz w:val="24"/>
              </w:rPr>
            </w:pPr>
            <w:r>
              <w:rPr>
                <w:rFonts w:eastAsia="仿宋"/>
                <w:color w:val="000000"/>
                <w:kern w:val="0"/>
                <w:sz w:val="24"/>
                <w:lang w:bidi="ar"/>
              </w:rPr>
              <w:t>292</w:t>
            </w:r>
          </w:p>
        </w:tc>
        <w:tc>
          <w:tcPr>
            <w:tcW w:w="838" w:type="pct"/>
            <w:tcBorders>
              <w:top w:val="single" w:color="000000" w:sz="4" w:space="0"/>
              <w:left w:val="single" w:color="000000" w:sz="4" w:space="0"/>
              <w:bottom w:val="single" w:color="000000" w:sz="4" w:space="0"/>
              <w:right w:val="single" w:color="000000" w:sz="4" w:space="0"/>
            </w:tcBorders>
            <w:vAlign w:val="center"/>
          </w:tcPr>
          <w:p w14:paraId="053443C1">
            <w:pPr>
              <w:topLinePunct/>
              <w:adjustRightInd w:val="0"/>
              <w:snapToGrid w:val="0"/>
              <w:textAlignment w:val="center"/>
              <w:rPr>
                <w:rFonts w:eastAsia="仿宋"/>
                <w:color w:val="000000"/>
                <w:sz w:val="24"/>
              </w:rPr>
            </w:pPr>
            <w:r>
              <w:rPr>
                <w:rFonts w:eastAsia="仿宋"/>
                <w:color w:val="000000"/>
                <w:kern w:val="0"/>
                <w:sz w:val="24"/>
                <w:lang w:bidi="ar"/>
              </w:rPr>
              <w:t>对小型露天采石场未按规定进行作业安全检查的行政处罚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5881CE65">
            <w:pPr>
              <w:topLinePunct/>
              <w:adjustRightInd w:val="0"/>
              <w:snapToGrid w:val="0"/>
              <w:jc w:val="left"/>
              <w:textAlignment w:val="center"/>
              <w:rPr>
                <w:rFonts w:eastAsia="仿宋"/>
                <w:color w:val="000000"/>
                <w:sz w:val="24"/>
              </w:rPr>
            </w:pPr>
            <w:r>
              <w:rPr>
                <w:rFonts w:eastAsia="仿宋"/>
                <w:color w:val="000000"/>
                <w:kern w:val="0"/>
                <w:sz w:val="24"/>
                <w:lang w:bidi="ar"/>
              </w:rPr>
              <w:t>1.《小型露天采石场安全管理与监督检查规定》</w:t>
            </w:r>
            <w:r>
              <w:rPr>
                <w:rFonts w:eastAsia="仿宋"/>
                <w:color w:val="000000"/>
                <w:kern w:val="0"/>
                <w:sz w:val="24"/>
                <w:lang w:bidi="ar"/>
              </w:rPr>
              <w:br w:type="textWrapping"/>
            </w:r>
            <w:r>
              <w:rPr>
                <w:rFonts w:eastAsia="仿宋"/>
                <w:color w:val="000000"/>
                <w:kern w:val="0"/>
                <w:sz w:val="24"/>
                <w:lang w:bidi="ar"/>
              </w:rPr>
              <w:t>第二十条第一款  小型露天采石场在作业前和作业中以及每次爆破后，应当对坡面进行安全检查。发现工作面有裂痕，或者在坡面上有浮石、危石和伞檐体可能塌落时，应当立即停止作业并撤离人员至安全地点，采取安全措施和消除隐患。</w:t>
            </w:r>
            <w:r>
              <w:rPr>
                <w:rFonts w:eastAsia="仿宋"/>
                <w:color w:val="000000"/>
                <w:kern w:val="0"/>
                <w:sz w:val="24"/>
                <w:lang w:bidi="ar"/>
              </w:rPr>
              <w:br w:type="textWrapping"/>
            </w:r>
            <w:r>
              <w:rPr>
                <w:rFonts w:eastAsia="仿宋"/>
                <w:color w:val="000000"/>
                <w:kern w:val="0"/>
                <w:sz w:val="24"/>
                <w:lang w:bidi="ar"/>
              </w:rPr>
              <w:t>第三十九条  违反本规定第十二条、第十三条第一、二款、第十四条、第十五条、第十六条、第十七条、第十九条、第二十条第一款、第二十一条、第二十二条规定的，给予警告，并处1万元以上3万元以下的罚款。</w:t>
            </w:r>
          </w:p>
        </w:tc>
        <w:tc>
          <w:tcPr>
            <w:tcW w:w="476" w:type="pct"/>
            <w:tcBorders>
              <w:top w:val="single" w:color="000000" w:sz="4" w:space="0"/>
              <w:left w:val="single" w:color="000000" w:sz="4" w:space="0"/>
              <w:bottom w:val="single" w:color="000000" w:sz="4" w:space="0"/>
              <w:right w:val="single" w:color="000000" w:sz="4" w:space="0"/>
            </w:tcBorders>
            <w:vAlign w:val="center"/>
          </w:tcPr>
          <w:p w14:paraId="548387CF">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25884F6E">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6F01F12D">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1C6012BF">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0216CED7">
            <w:pPr>
              <w:topLinePunct/>
              <w:adjustRightInd w:val="0"/>
              <w:snapToGrid w:val="0"/>
              <w:jc w:val="center"/>
              <w:textAlignment w:val="center"/>
              <w:rPr>
                <w:rFonts w:eastAsia="仿宋"/>
                <w:color w:val="000000"/>
                <w:sz w:val="24"/>
              </w:rPr>
            </w:pPr>
            <w:r>
              <w:rPr>
                <w:rFonts w:eastAsia="仿宋"/>
                <w:color w:val="000000"/>
                <w:kern w:val="0"/>
                <w:sz w:val="24"/>
                <w:lang w:bidi="ar"/>
              </w:rPr>
              <w:t>293</w:t>
            </w:r>
          </w:p>
        </w:tc>
        <w:tc>
          <w:tcPr>
            <w:tcW w:w="838" w:type="pct"/>
            <w:tcBorders>
              <w:top w:val="single" w:color="000000" w:sz="4" w:space="0"/>
              <w:left w:val="single" w:color="000000" w:sz="4" w:space="0"/>
              <w:bottom w:val="single" w:color="000000" w:sz="4" w:space="0"/>
              <w:right w:val="single" w:color="000000" w:sz="4" w:space="0"/>
            </w:tcBorders>
            <w:vAlign w:val="center"/>
          </w:tcPr>
          <w:p w14:paraId="20216410">
            <w:pPr>
              <w:topLinePunct/>
              <w:adjustRightInd w:val="0"/>
              <w:snapToGrid w:val="0"/>
              <w:textAlignment w:val="center"/>
              <w:rPr>
                <w:rFonts w:eastAsia="仿宋"/>
                <w:color w:val="000000"/>
                <w:sz w:val="24"/>
              </w:rPr>
            </w:pPr>
            <w:r>
              <w:rPr>
                <w:rFonts w:eastAsia="仿宋"/>
                <w:color w:val="000000"/>
                <w:kern w:val="0"/>
                <w:sz w:val="24"/>
                <w:lang w:bidi="ar"/>
              </w:rPr>
              <w:t>对小型露天采石场未按规定进行排险作业、碎石加工作业的行政处罚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7F4142D0">
            <w:pPr>
              <w:topLinePunct/>
              <w:adjustRightInd w:val="0"/>
              <w:snapToGrid w:val="0"/>
              <w:jc w:val="left"/>
              <w:textAlignment w:val="center"/>
              <w:rPr>
                <w:rFonts w:eastAsia="仿宋"/>
                <w:color w:val="000000"/>
                <w:sz w:val="24"/>
              </w:rPr>
            </w:pPr>
            <w:r>
              <w:rPr>
                <w:rFonts w:eastAsia="仿宋"/>
                <w:color w:val="000000"/>
                <w:kern w:val="0"/>
                <w:sz w:val="24"/>
                <w:lang w:bidi="ar"/>
              </w:rPr>
              <w:t>1.《小型露天采石场安全管理与监督检查规定》</w:t>
            </w:r>
            <w:r>
              <w:rPr>
                <w:rFonts w:eastAsia="仿宋"/>
                <w:color w:val="000000"/>
                <w:kern w:val="0"/>
                <w:sz w:val="24"/>
                <w:lang w:bidi="ar"/>
              </w:rPr>
              <w:br w:type="textWrapping"/>
            </w:r>
            <w:r>
              <w:rPr>
                <w:rFonts w:eastAsia="仿宋"/>
                <w:color w:val="000000"/>
                <w:kern w:val="0"/>
                <w:sz w:val="24"/>
                <w:lang w:bidi="ar"/>
              </w:rPr>
              <w:t>第二十一条  在坡面上进行排险作业时，作业人员应当系安全带，不得站在危石、浮石上及悬空作业。严禁在同一坡面上下双层或者多层同时作业。</w:t>
            </w:r>
            <w:r>
              <w:rPr>
                <w:rFonts w:eastAsia="仿宋"/>
                <w:color w:val="000000"/>
                <w:kern w:val="0"/>
                <w:sz w:val="24"/>
                <w:lang w:bidi="ar"/>
              </w:rPr>
              <w:br w:type="textWrapping"/>
            </w:r>
            <w:r>
              <w:rPr>
                <w:rFonts w:eastAsia="仿宋"/>
                <w:color w:val="000000"/>
                <w:kern w:val="0"/>
                <w:sz w:val="24"/>
                <w:lang w:bidi="ar"/>
              </w:rPr>
              <w:t>距工作台阶坡底线50米范围内不得从事碎石加工作业。</w:t>
            </w:r>
            <w:r>
              <w:rPr>
                <w:rFonts w:eastAsia="仿宋"/>
                <w:color w:val="000000"/>
                <w:kern w:val="0"/>
                <w:sz w:val="24"/>
                <w:lang w:bidi="ar"/>
              </w:rPr>
              <w:br w:type="textWrapping"/>
            </w:r>
            <w:r>
              <w:rPr>
                <w:rFonts w:eastAsia="仿宋"/>
                <w:color w:val="000000"/>
                <w:kern w:val="0"/>
                <w:sz w:val="24"/>
                <w:lang w:bidi="ar"/>
              </w:rPr>
              <w:t>第三十九条  违反本规定第十二条、第十三条第一、二款、第十四条、第十五条、第十六条、第十七条、第十九条、第二十条第一款、第二十一条、第二十二条规定的，给予警告，并处1万元以上3万元以下的罚款。</w:t>
            </w:r>
          </w:p>
        </w:tc>
        <w:tc>
          <w:tcPr>
            <w:tcW w:w="476" w:type="pct"/>
            <w:tcBorders>
              <w:top w:val="single" w:color="000000" w:sz="4" w:space="0"/>
              <w:left w:val="single" w:color="000000" w:sz="4" w:space="0"/>
              <w:bottom w:val="single" w:color="000000" w:sz="4" w:space="0"/>
              <w:right w:val="single" w:color="000000" w:sz="4" w:space="0"/>
            </w:tcBorders>
            <w:vAlign w:val="center"/>
          </w:tcPr>
          <w:p w14:paraId="3673C1CC">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1FB3D378">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1057C276">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677A869D">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7B21CD8B">
            <w:pPr>
              <w:topLinePunct/>
              <w:adjustRightInd w:val="0"/>
              <w:snapToGrid w:val="0"/>
              <w:jc w:val="center"/>
              <w:textAlignment w:val="center"/>
              <w:rPr>
                <w:rFonts w:eastAsia="仿宋"/>
                <w:color w:val="000000"/>
                <w:sz w:val="24"/>
              </w:rPr>
            </w:pPr>
            <w:r>
              <w:rPr>
                <w:rFonts w:eastAsia="仿宋"/>
                <w:color w:val="000000"/>
                <w:kern w:val="0"/>
                <w:sz w:val="24"/>
                <w:lang w:bidi="ar"/>
              </w:rPr>
              <w:t>294</w:t>
            </w:r>
          </w:p>
        </w:tc>
        <w:tc>
          <w:tcPr>
            <w:tcW w:w="838" w:type="pct"/>
            <w:tcBorders>
              <w:top w:val="single" w:color="000000" w:sz="4" w:space="0"/>
              <w:left w:val="single" w:color="000000" w:sz="4" w:space="0"/>
              <w:bottom w:val="single" w:color="000000" w:sz="4" w:space="0"/>
              <w:right w:val="single" w:color="000000" w:sz="4" w:space="0"/>
            </w:tcBorders>
            <w:vAlign w:val="center"/>
          </w:tcPr>
          <w:p w14:paraId="4F8AA13B">
            <w:pPr>
              <w:topLinePunct/>
              <w:adjustRightInd w:val="0"/>
              <w:snapToGrid w:val="0"/>
              <w:textAlignment w:val="center"/>
              <w:rPr>
                <w:rFonts w:eastAsia="仿宋"/>
                <w:color w:val="000000"/>
                <w:sz w:val="24"/>
              </w:rPr>
            </w:pPr>
            <w:r>
              <w:rPr>
                <w:rFonts w:eastAsia="仿宋"/>
                <w:color w:val="000000"/>
                <w:kern w:val="0"/>
                <w:sz w:val="24"/>
                <w:lang w:bidi="ar"/>
              </w:rPr>
              <w:t>对小型露天采石场未按规定进行机械铲装作业的行政处罚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026760CC">
            <w:pPr>
              <w:topLinePunct/>
              <w:adjustRightInd w:val="0"/>
              <w:snapToGrid w:val="0"/>
              <w:jc w:val="left"/>
              <w:textAlignment w:val="center"/>
              <w:rPr>
                <w:rFonts w:eastAsia="仿宋"/>
                <w:color w:val="000000"/>
                <w:sz w:val="24"/>
              </w:rPr>
            </w:pPr>
            <w:r>
              <w:rPr>
                <w:rFonts w:eastAsia="仿宋"/>
                <w:color w:val="000000"/>
                <w:kern w:val="0"/>
                <w:sz w:val="24"/>
                <w:lang w:bidi="ar"/>
              </w:rPr>
              <w:t>1.《小型露天采石场安全管理与监督检查规定》</w:t>
            </w:r>
            <w:r>
              <w:rPr>
                <w:rFonts w:eastAsia="仿宋"/>
                <w:color w:val="000000"/>
                <w:kern w:val="0"/>
                <w:sz w:val="24"/>
                <w:lang w:bidi="ar"/>
              </w:rPr>
              <w:br w:type="textWrapping"/>
            </w:r>
            <w:r>
              <w:rPr>
                <w:rFonts w:eastAsia="仿宋"/>
                <w:color w:val="000000"/>
                <w:kern w:val="0"/>
                <w:sz w:val="24"/>
                <w:lang w:bidi="ar"/>
              </w:rPr>
              <w:t>第二十二条  小型露天采石场应当采用机械铲装作业，严禁使用人工装运矿岩。</w:t>
            </w:r>
            <w:r>
              <w:rPr>
                <w:rFonts w:eastAsia="仿宋"/>
                <w:color w:val="000000"/>
                <w:kern w:val="0"/>
                <w:sz w:val="24"/>
                <w:lang w:bidi="ar"/>
              </w:rPr>
              <w:br w:type="textWrapping"/>
            </w:r>
            <w:r>
              <w:rPr>
                <w:rFonts w:eastAsia="仿宋"/>
                <w:color w:val="000000"/>
                <w:kern w:val="0"/>
                <w:sz w:val="24"/>
                <w:lang w:bidi="ar"/>
              </w:rPr>
              <w:t>同一工作面有两台铲装机械作业时，最小间距应当大于铲装机械最大回转半径的2倍。</w:t>
            </w:r>
            <w:r>
              <w:rPr>
                <w:rFonts w:eastAsia="仿宋"/>
                <w:color w:val="000000"/>
                <w:kern w:val="0"/>
                <w:sz w:val="24"/>
                <w:lang w:bidi="ar"/>
              </w:rPr>
              <w:br w:type="textWrapping"/>
            </w:r>
            <w:r>
              <w:rPr>
                <w:rFonts w:eastAsia="仿宋"/>
                <w:color w:val="000000"/>
                <w:kern w:val="0"/>
                <w:sz w:val="24"/>
                <w:lang w:bidi="ar"/>
              </w:rPr>
              <w:t>严禁自卸汽车运载易燃、易爆物品；严禁超载运输；装载与运输作业时，严禁在驾驶室外侧、车斗内站人。</w:t>
            </w:r>
            <w:r>
              <w:rPr>
                <w:rFonts w:eastAsia="仿宋"/>
                <w:color w:val="000000"/>
                <w:kern w:val="0"/>
                <w:sz w:val="24"/>
                <w:lang w:bidi="ar"/>
              </w:rPr>
              <w:br w:type="textWrapping"/>
            </w:r>
            <w:r>
              <w:rPr>
                <w:rFonts w:eastAsia="仿宋"/>
                <w:color w:val="000000"/>
                <w:kern w:val="0"/>
                <w:sz w:val="24"/>
                <w:lang w:bidi="ar"/>
              </w:rPr>
              <w:t>第三十九条  违反本规定第十二条、第十三条第一、二款、第十四条、第十五条、第十六条、第十七条、第十九条、第二十条第一款、第二十一条、第二十二条规定的，给予警告，并处1万元以上3万元以下的罚款。</w:t>
            </w:r>
          </w:p>
        </w:tc>
        <w:tc>
          <w:tcPr>
            <w:tcW w:w="476" w:type="pct"/>
            <w:tcBorders>
              <w:top w:val="single" w:color="000000" w:sz="4" w:space="0"/>
              <w:left w:val="single" w:color="000000" w:sz="4" w:space="0"/>
              <w:bottom w:val="single" w:color="000000" w:sz="4" w:space="0"/>
              <w:right w:val="single" w:color="000000" w:sz="4" w:space="0"/>
            </w:tcBorders>
            <w:vAlign w:val="center"/>
          </w:tcPr>
          <w:p w14:paraId="64DD01DF">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251B7232">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20784E51">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40D12836">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03AE57A4">
            <w:pPr>
              <w:topLinePunct/>
              <w:adjustRightInd w:val="0"/>
              <w:snapToGrid w:val="0"/>
              <w:jc w:val="center"/>
              <w:textAlignment w:val="center"/>
              <w:rPr>
                <w:rFonts w:eastAsia="仿宋"/>
                <w:color w:val="000000"/>
                <w:sz w:val="24"/>
              </w:rPr>
            </w:pPr>
            <w:r>
              <w:rPr>
                <w:rFonts w:eastAsia="仿宋"/>
                <w:color w:val="000000"/>
                <w:kern w:val="0"/>
                <w:sz w:val="24"/>
                <w:lang w:bidi="ar"/>
              </w:rPr>
              <w:t>295</w:t>
            </w:r>
          </w:p>
        </w:tc>
        <w:tc>
          <w:tcPr>
            <w:tcW w:w="838" w:type="pct"/>
            <w:tcBorders>
              <w:top w:val="single" w:color="000000" w:sz="4" w:space="0"/>
              <w:left w:val="single" w:color="000000" w:sz="4" w:space="0"/>
              <w:bottom w:val="single" w:color="000000" w:sz="4" w:space="0"/>
              <w:right w:val="single" w:color="000000" w:sz="4" w:space="0"/>
            </w:tcBorders>
            <w:vAlign w:val="center"/>
          </w:tcPr>
          <w:p w14:paraId="2017601D">
            <w:pPr>
              <w:topLinePunct/>
              <w:adjustRightInd w:val="0"/>
              <w:snapToGrid w:val="0"/>
              <w:textAlignment w:val="center"/>
              <w:rPr>
                <w:rFonts w:eastAsia="仿宋"/>
                <w:color w:val="000000"/>
                <w:sz w:val="24"/>
              </w:rPr>
            </w:pPr>
            <w:r>
              <w:rPr>
                <w:rFonts w:eastAsia="仿宋"/>
                <w:color w:val="000000"/>
                <w:kern w:val="0"/>
                <w:sz w:val="24"/>
                <w:lang w:bidi="ar"/>
              </w:rPr>
              <w:t>对金属非金属露天矿山未按有关国家标准或者行业标准对采场边坡、排土场边坡进行稳定性分析的行政处罚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591FEC46">
            <w:pPr>
              <w:topLinePunct/>
              <w:adjustRightInd w:val="0"/>
              <w:snapToGrid w:val="0"/>
              <w:jc w:val="left"/>
              <w:textAlignment w:val="center"/>
              <w:rPr>
                <w:rFonts w:eastAsia="仿宋"/>
                <w:color w:val="000000"/>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二、金属非金属露天矿山重大事故隐患</w:t>
            </w:r>
            <w:r>
              <w:rPr>
                <w:rFonts w:eastAsia="仿宋"/>
                <w:color w:val="000000"/>
                <w:kern w:val="0"/>
                <w:sz w:val="24"/>
                <w:lang w:bidi="ar"/>
              </w:rPr>
              <w:br w:type="textWrapping"/>
            </w:r>
            <w:r>
              <w:rPr>
                <w:rFonts w:eastAsia="仿宋"/>
                <w:color w:val="000000"/>
                <w:kern w:val="0"/>
                <w:sz w:val="24"/>
                <w:lang w:bidi="ar"/>
              </w:rPr>
              <w:t>（六）未按有关国家标准或者行业标准对采场边坡、排土场边坡进行稳定性分析。</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35BAAE07">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17937A12">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6149911E">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51DC3812">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5356A57A">
            <w:pPr>
              <w:topLinePunct/>
              <w:adjustRightInd w:val="0"/>
              <w:snapToGrid w:val="0"/>
              <w:jc w:val="center"/>
              <w:textAlignment w:val="center"/>
              <w:rPr>
                <w:rFonts w:eastAsia="仿宋"/>
                <w:color w:val="000000"/>
                <w:sz w:val="24"/>
              </w:rPr>
            </w:pPr>
            <w:r>
              <w:rPr>
                <w:rFonts w:eastAsia="仿宋"/>
                <w:color w:val="000000"/>
                <w:kern w:val="0"/>
                <w:sz w:val="24"/>
                <w:lang w:bidi="ar"/>
              </w:rPr>
              <w:t>296</w:t>
            </w:r>
          </w:p>
        </w:tc>
        <w:tc>
          <w:tcPr>
            <w:tcW w:w="838" w:type="pct"/>
            <w:tcBorders>
              <w:top w:val="single" w:color="000000" w:sz="4" w:space="0"/>
              <w:left w:val="single" w:color="000000" w:sz="4" w:space="0"/>
              <w:bottom w:val="single" w:color="000000" w:sz="4" w:space="0"/>
              <w:right w:val="single" w:color="000000" w:sz="4" w:space="0"/>
            </w:tcBorders>
            <w:vAlign w:val="center"/>
          </w:tcPr>
          <w:p w14:paraId="2B81415D">
            <w:pPr>
              <w:topLinePunct/>
              <w:adjustRightInd w:val="0"/>
              <w:snapToGrid w:val="0"/>
              <w:textAlignment w:val="center"/>
              <w:rPr>
                <w:rFonts w:eastAsia="仿宋"/>
                <w:color w:val="000000"/>
                <w:sz w:val="24"/>
              </w:rPr>
            </w:pPr>
            <w:r>
              <w:rPr>
                <w:rFonts w:eastAsia="仿宋"/>
                <w:color w:val="000000"/>
                <w:kern w:val="0"/>
                <w:sz w:val="24"/>
                <w:lang w:bidi="ar"/>
              </w:rPr>
              <w:t>对金属非金属露天矿山开采或者破坏设计要求保留的矿（岩）柱或者挂帮矿体的行政处罚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1114A1EB">
            <w:pPr>
              <w:topLinePunct/>
              <w:adjustRightInd w:val="0"/>
              <w:snapToGrid w:val="0"/>
              <w:jc w:val="left"/>
              <w:textAlignment w:val="center"/>
              <w:rPr>
                <w:rFonts w:eastAsia="仿宋"/>
                <w:color w:val="000000"/>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二、金属非金属露天矿山重大事故隐患</w:t>
            </w:r>
            <w:r>
              <w:rPr>
                <w:rFonts w:eastAsia="仿宋"/>
                <w:color w:val="000000"/>
                <w:kern w:val="0"/>
                <w:sz w:val="24"/>
                <w:lang w:bidi="ar"/>
              </w:rPr>
              <w:br w:type="textWrapping"/>
            </w:r>
            <w:r>
              <w:rPr>
                <w:rFonts w:eastAsia="仿宋"/>
                <w:color w:val="000000"/>
                <w:kern w:val="0"/>
                <w:sz w:val="24"/>
                <w:lang w:bidi="ar"/>
              </w:rPr>
              <w:t>（五）开采或者破坏设计要求保留的矿（岩）柱或者挂帮矿体。</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22FFF2DE">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3CA748E6">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7C1FBB6C">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00E8FB38">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031166C2">
            <w:pPr>
              <w:topLinePunct/>
              <w:adjustRightInd w:val="0"/>
              <w:snapToGrid w:val="0"/>
              <w:jc w:val="center"/>
              <w:textAlignment w:val="center"/>
              <w:rPr>
                <w:rFonts w:eastAsia="仿宋"/>
                <w:color w:val="000000"/>
                <w:sz w:val="24"/>
              </w:rPr>
            </w:pPr>
            <w:r>
              <w:rPr>
                <w:rFonts w:eastAsia="仿宋"/>
                <w:color w:val="000000"/>
                <w:kern w:val="0"/>
                <w:sz w:val="24"/>
                <w:lang w:bidi="ar"/>
              </w:rPr>
              <w:t>297</w:t>
            </w:r>
          </w:p>
        </w:tc>
        <w:tc>
          <w:tcPr>
            <w:tcW w:w="838" w:type="pct"/>
            <w:tcBorders>
              <w:top w:val="single" w:color="000000" w:sz="4" w:space="0"/>
              <w:left w:val="single" w:color="000000" w:sz="4" w:space="0"/>
              <w:bottom w:val="single" w:color="000000" w:sz="4" w:space="0"/>
              <w:right w:val="single" w:color="000000" w:sz="4" w:space="0"/>
            </w:tcBorders>
            <w:vAlign w:val="center"/>
          </w:tcPr>
          <w:p w14:paraId="5E54A9A6">
            <w:pPr>
              <w:topLinePunct/>
              <w:adjustRightInd w:val="0"/>
              <w:snapToGrid w:val="0"/>
              <w:textAlignment w:val="center"/>
              <w:rPr>
                <w:rFonts w:eastAsia="仿宋"/>
                <w:color w:val="000000"/>
                <w:sz w:val="24"/>
              </w:rPr>
            </w:pPr>
            <w:r>
              <w:rPr>
                <w:rFonts w:eastAsia="仿宋"/>
                <w:color w:val="000000"/>
                <w:kern w:val="0"/>
                <w:sz w:val="24"/>
                <w:lang w:bidi="ar"/>
              </w:rPr>
              <w:t>对金属非金属矿山地下开采转露天开采前，未探明采空区和溶洞，或者未按设计处理对露天开采安全有威胁的采空区和溶洞的行政处罚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17D30157">
            <w:pPr>
              <w:topLinePunct/>
              <w:adjustRightInd w:val="0"/>
              <w:snapToGrid w:val="0"/>
              <w:jc w:val="left"/>
              <w:textAlignment w:val="center"/>
              <w:rPr>
                <w:rFonts w:eastAsia="仿宋"/>
                <w:color w:val="000000"/>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二、金属非金属露天矿山重大事故隐患</w:t>
            </w:r>
            <w:r>
              <w:rPr>
                <w:rFonts w:eastAsia="仿宋"/>
                <w:color w:val="000000"/>
                <w:kern w:val="0"/>
                <w:sz w:val="24"/>
                <w:lang w:bidi="ar"/>
              </w:rPr>
              <w:br w:type="textWrapping"/>
            </w:r>
            <w:r>
              <w:rPr>
                <w:rFonts w:eastAsia="仿宋"/>
                <w:color w:val="000000"/>
                <w:kern w:val="0"/>
                <w:sz w:val="24"/>
                <w:lang w:bidi="ar"/>
              </w:rPr>
              <w:t>（一）地下开采转露天开采前，未探明采空区和溶洞，或者未按设计处理对露天开采安全有威胁的采空区和溶洞。</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077FEA10">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42F383EA">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4433C342">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54520995">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71F3C25D">
            <w:pPr>
              <w:topLinePunct/>
              <w:adjustRightInd w:val="0"/>
              <w:snapToGrid w:val="0"/>
              <w:jc w:val="center"/>
              <w:textAlignment w:val="center"/>
              <w:rPr>
                <w:rFonts w:eastAsia="仿宋"/>
                <w:color w:val="000000"/>
                <w:sz w:val="24"/>
              </w:rPr>
            </w:pPr>
            <w:r>
              <w:rPr>
                <w:rFonts w:eastAsia="仿宋"/>
                <w:color w:val="000000"/>
                <w:kern w:val="0"/>
                <w:sz w:val="24"/>
                <w:lang w:bidi="ar"/>
              </w:rPr>
              <w:t>298</w:t>
            </w:r>
          </w:p>
        </w:tc>
        <w:tc>
          <w:tcPr>
            <w:tcW w:w="838" w:type="pct"/>
            <w:tcBorders>
              <w:top w:val="single" w:color="000000" w:sz="4" w:space="0"/>
              <w:left w:val="single" w:color="000000" w:sz="4" w:space="0"/>
              <w:bottom w:val="single" w:color="000000" w:sz="4" w:space="0"/>
              <w:right w:val="single" w:color="000000" w:sz="4" w:space="0"/>
            </w:tcBorders>
            <w:vAlign w:val="center"/>
          </w:tcPr>
          <w:p w14:paraId="042AC9D7">
            <w:pPr>
              <w:topLinePunct/>
              <w:adjustRightInd w:val="0"/>
              <w:snapToGrid w:val="0"/>
              <w:textAlignment w:val="center"/>
              <w:rPr>
                <w:rFonts w:eastAsia="仿宋"/>
                <w:color w:val="000000"/>
                <w:sz w:val="24"/>
              </w:rPr>
            </w:pPr>
            <w:r>
              <w:rPr>
                <w:rFonts w:eastAsia="仿宋"/>
                <w:color w:val="000000"/>
                <w:kern w:val="0"/>
                <w:sz w:val="24"/>
                <w:lang w:bidi="ar"/>
              </w:rPr>
              <w:t>对金属非金属露天矿山边坡存在滑移现象的行政处罚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4D050DE0">
            <w:pPr>
              <w:topLinePunct/>
              <w:adjustRightInd w:val="0"/>
              <w:snapToGrid w:val="0"/>
              <w:jc w:val="left"/>
              <w:textAlignment w:val="center"/>
              <w:rPr>
                <w:rFonts w:eastAsia="仿宋"/>
                <w:color w:val="000000"/>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二、金属非金属露天矿山重大事故隐患</w:t>
            </w:r>
            <w:r>
              <w:rPr>
                <w:rFonts w:eastAsia="仿宋"/>
                <w:color w:val="000000"/>
                <w:kern w:val="0"/>
                <w:sz w:val="24"/>
                <w:lang w:bidi="ar"/>
              </w:rPr>
              <w:br w:type="textWrapping"/>
            </w:r>
            <w:r>
              <w:rPr>
                <w:rFonts w:eastAsia="仿宋"/>
                <w:color w:val="000000"/>
                <w:kern w:val="0"/>
                <w:sz w:val="24"/>
                <w:lang w:bidi="ar"/>
              </w:rPr>
              <w:t>（八）边坡出现滑移现象，存在下列情形之一的：</w:t>
            </w:r>
            <w:r>
              <w:rPr>
                <w:rFonts w:eastAsia="仿宋"/>
                <w:color w:val="000000"/>
                <w:kern w:val="0"/>
                <w:sz w:val="24"/>
                <w:lang w:bidi="ar"/>
              </w:rPr>
              <w:br w:type="textWrapping"/>
            </w:r>
            <w:r>
              <w:rPr>
                <w:rFonts w:eastAsia="仿宋"/>
                <w:color w:val="000000"/>
                <w:kern w:val="0"/>
                <w:sz w:val="24"/>
                <w:lang w:bidi="ar"/>
              </w:rPr>
              <w:t>1边坡出现横向及纵向放射状裂缝；</w:t>
            </w:r>
            <w:r>
              <w:rPr>
                <w:rFonts w:eastAsia="仿宋"/>
                <w:color w:val="000000"/>
                <w:kern w:val="0"/>
                <w:sz w:val="24"/>
                <w:lang w:bidi="ar"/>
              </w:rPr>
              <w:br w:type="textWrapping"/>
            </w:r>
            <w:r>
              <w:rPr>
                <w:rFonts w:eastAsia="仿宋"/>
                <w:color w:val="000000"/>
                <w:kern w:val="0"/>
                <w:sz w:val="24"/>
                <w:lang w:bidi="ar"/>
              </w:rPr>
              <w:t>2坡体前缘坡脚处出现上隆（凸起）现象，后缘的裂缝急剧扩展；</w:t>
            </w:r>
            <w:r>
              <w:rPr>
                <w:rFonts w:eastAsia="仿宋"/>
                <w:color w:val="000000"/>
                <w:kern w:val="0"/>
                <w:sz w:val="24"/>
                <w:lang w:bidi="ar"/>
              </w:rPr>
              <w:br w:type="textWrapping"/>
            </w:r>
            <w:r>
              <w:rPr>
                <w:rFonts w:eastAsia="仿宋"/>
                <w:color w:val="000000"/>
                <w:kern w:val="0"/>
                <w:sz w:val="24"/>
                <w:lang w:bidi="ar"/>
              </w:rPr>
              <w:t>3位移观测资料显示的水平位移量或者垂直位移量出现加速变化的趋势。</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58D26842">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7A13D72A">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0D002405">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322E0AD2">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6C56A932">
            <w:pPr>
              <w:topLinePunct/>
              <w:adjustRightInd w:val="0"/>
              <w:snapToGrid w:val="0"/>
              <w:jc w:val="center"/>
              <w:textAlignment w:val="center"/>
              <w:rPr>
                <w:rFonts w:eastAsia="仿宋"/>
                <w:color w:val="000000"/>
                <w:sz w:val="24"/>
              </w:rPr>
            </w:pPr>
            <w:r>
              <w:rPr>
                <w:rFonts w:eastAsia="仿宋"/>
                <w:color w:val="000000"/>
                <w:kern w:val="0"/>
                <w:sz w:val="24"/>
                <w:lang w:bidi="ar"/>
              </w:rPr>
              <w:t>299</w:t>
            </w:r>
          </w:p>
        </w:tc>
        <w:tc>
          <w:tcPr>
            <w:tcW w:w="838" w:type="pct"/>
            <w:tcBorders>
              <w:top w:val="single" w:color="000000" w:sz="4" w:space="0"/>
              <w:left w:val="single" w:color="000000" w:sz="4" w:space="0"/>
              <w:bottom w:val="single" w:color="000000" w:sz="4" w:space="0"/>
              <w:right w:val="single" w:color="000000" w:sz="4" w:space="0"/>
            </w:tcBorders>
            <w:vAlign w:val="center"/>
          </w:tcPr>
          <w:p w14:paraId="4AAEEE88">
            <w:pPr>
              <w:topLinePunct/>
              <w:adjustRightInd w:val="0"/>
              <w:snapToGrid w:val="0"/>
              <w:textAlignment w:val="center"/>
              <w:rPr>
                <w:rFonts w:eastAsia="仿宋"/>
                <w:color w:val="000000"/>
                <w:sz w:val="24"/>
              </w:rPr>
            </w:pPr>
            <w:r>
              <w:rPr>
                <w:rFonts w:eastAsia="仿宋"/>
                <w:color w:val="000000"/>
                <w:kern w:val="0"/>
                <w:sz w:val="24"/>
                <w:lang w:bidi="ar"/>
              </w:rPr>
              <w:t>对金属非金属露天矿山运输道路坡度大于设计坡度10%以上的行政处罚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62E98F19">
            <w:pPr>
              <w:topLinePunct/>
              <w:adjustRightInd w:val="0"/>
              <w:snapToGrid w:val="0"/>
              <w:jc w:val="left"/>
              <w:textAlignment w:val="center"/>
              <w:rPr>
                <w:rFonts w:eastAsia="仿宋"/>
                <w:color w:val="000000"/>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二、金属非金属露天矿山重大事故隐患</w:t>
            </w:r>
            <w:r>
              <w:rPr>
                <w:rFonts w:eastAsia="仿宋"/>
                <w:color w:val="000000"/>
                <w:kern w:val="0"/>
                <w:sz w:val="24"/>
                <w:lang w:bidi="ar"/>
              </w:rPr>
              <w:br w:type="textWrapping"/>
            </w:r>
            <w:r>
              <w:rPr>
                <w:rFonts w:eastAsia="仿宋"/>
                <w:color w:val="000000"/>
                <w:kern w:val="0"/>
                <w:sz w:val="24"/>
                <w:lang w:bidi="ar"/>
              </w:rPr>
              <w:t>（九）运输道路坡度大于设计坡度10%以上。</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33C8570E">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46291EEE">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3D1DD272">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75A45975">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33EECEDB">
            <w:pPr>
              <w:topLinePunct/>
              <w:adjustRightInd w:val="0"/>
              <w:snapToGrid w:val="0"/>
              <w:jc w:val="center"/>
              <w:textAlignment w:val="center"/>
              <w:rPr>
                <w:rFonts w:eastAsia="仿宋"/>
                <w:color w:val="000000"/>
                <w:sz w:val="24"/>
              </w:rPr>
            </w:pPr>
            <w:r>
              <w:rPr>
                <w:rFonts w:eastAsia="仿宋"/>
                <w:color w:val="000000"/>
                <w:kern w:val="0"/>
                <w:sz w:val="24"/>
                <w:lang w:bidi="ar"/>
              </w:rPr>
              <w:t>300</w:t>
            </w:r>
          </w:p>
        </w:tc>
        <w:tc>
          <w:tcPr>
            <w:tcW w:w="838" w:type="pct"/>
            <w:tcBorders>
              <w:top w:val="single" w:color="000000" w:sz="4" w:space="0"/>
              <w:left w:val="single" w:color="000000" w:sz="4" w:space="0"/>
              <w:bottom w:val="single" w:color="000000" w:sz="4" w:space="0"/>
              <w:right w:val="single" w:color="000000" w:sz="4" w:space="0"/>
            </w:tcBorders>
            <w:vAlign w:val="center"/>
          </w:tcPr>
          <w:p w14:paraId="3AC71280">
            <w:pPr>
              <w:topLinePunct/>
              <w:adjustRightInd w:val="0"/>
              <w:snapToGrid w:val="0"/>
              <w:textAlignment w:val="center"/>
              <w:rPr>
                <w:rFonts w:eastAsia="仿宋"/>
                <w:color w:val="000000"/>
                <w:sz w:val="24"/>
              </w:rPr>
            </w:pPr>
            <w:r>
              <w:rPr>
                <w:rFonts w:eastAsia="仿宋"/>
                <w:color w:val="000000"/>
                <w:kern w:val="0"/>
                <w:sz w:val="24"/>
                <w:lang w:bidi="ar"/>
              </w:rPr>
              <w:t>对金属非金属露天矿山高度200米及以上的采场边坡未进行在线监测等行为的行政处罚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3CDB0F53">
            <w:pPr>
              <w:topLinePunct/>
              <w:adjustRightInd w:val="0"/>
              <w:snapToGrid w:val="0"/>
              <w:jc w:val="left"/>
              <w:textAlignment w:val="center"/>
              <w:rPr>
                <w:rFonts w:eastAsia="仿宋"/>
                <w:color w:val="000000"/>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二、金属非金属露天矿山重大事故隐患</w:t>
            </w:r>
            <w:r>
              <w:rPr>
                <w:rFonts w:eastAsia="仿宋"/>
                <w:color w:val="000000"/>
                <w:kern w:val="0"/>
                <w:sz w:val="24"/>
                <w:lang w:bidi="ar"/>
              </w:rPr>
              <w:br w:type="textWrapping"/>
            </w:r>
            <w:r>
              <w:rPr>
                <w:rFonts w:eastAsia="仿宋"/>
                <w:color w:val="000000"/>
                <w:kern w:val="0"/>
                <w:sz w:val="24"/>
                <w:lang w:bidi="ar"/>
              </w:rPr>
              <w:t>（七）边坡存在下列情形之一的：</w:t>
            </w:r>
            <w:r>
              <w:rPr>
                <w:rFonts w:eastAsia="仿宋"/>
                <w:color w:val="000000"/>
                <w:kern w:val="0"/>
                <w:sz w:val="24"/>
                <w:lang w:bidi="ar"/>
              </w:rPr>
              <w:br w:type="textWrapping"/>
            </w:r>
            <w:r>
              <w:rPr>
                <w:rFonts w:eastAsia="仿宋"/>
                <w:color w:val="000000"/>
                <w:kern w:val="0"/>
                <w:sz w:val="24"/>
                <w:lang w:bidi="ar"/>
              </w:rPr>
              <w:t>1高度200米及以上的采场边坡未进行在线监测；</w:t>
            </w:r>
            <w:r>
              <w:rPr>
                <w:rFonts w:eastAsia="仿宋"/>
                <w:color w:val="000000"/>
                <w:kern w:val="0"/>
                <w:sz w:val="24"/>
                <w:lang w:bidi="ar"/>
              </w:rPr>
              <w:br w:type="textWrapping"/>
            </w:r>
            <w:r>
              <w:rPr>
                <w:rFonts w:eastAsia="仿宋"/>
                <w:color w:val="000000"/>
                <w:kern w:val="0"/>
                <w:sz w:val="24"/>
                <w:lang w:bidi="ar"/>
              </w:rPr>
              <w:t>2高度200米及以上的排土场边坡未建立边坡稳定监测系统；</w:t>
            </w:r>
            <w:r>
              <w:rPr>
                <w:rFonts w:eastAsia="仿宋"/>
                <w:color w:val="000000"/>
                <w:kern w:val="0"/>
                <w:sz w:val="24"/>
                <w:lang w:bidi="ar"/>
              </w:rPr>
              <w:br w:type="textWrapping"/>
            </w:r>
            <w:r>
              <w:rPr>
                <w:rFonts w:eastAsia="仿宋"/>
                <w:color w:val="000000"/>
                <w:kern w:val="0"/>
                <w:sz w:val="24"/>
                <w:lang w:bidi="ar"/>
              </w:rPr>
              <w:t>3关闭、破坏监测系统或者隐瞒、篡改、销毁其相关数据、信息。</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第九十九条第二项、第四项  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二）安全设备的安装、使用、检测、改造和报废不符合国家标准或者行业标准的；（四）关闭、破坏直接关系生产安全的监控、报警、防护、救生设备、设施，或者篡改、隐瞒、销毁其相关数据、信息的；</w:t>
            </w:r>
          </w:p>
        </w:tc>
        <w:tc>
          <w:tcPr>
            <w:tcW w:w="476" w:type="pct"/>
            <w:tcBorders>
              <w:top w:val="single" w:color="000000" w:sz="4" w:space="0"/>
              <w:left w:val="single" w:color="000000" w:sz="4" w:space="0"/>
              <w:bottom w:val="single" w:color="000000" w:sz="4" w:space="0"/>
              <w:right w:val="single" w:color="000000" w:sz="4" w:space="0"/>
            </w:tcBorders>
            <w:vAlign w:val="center"/>
          </w:tcPr>
          <w:p w14:paraId="5391B8EF">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06E05418">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240781DB">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13F6F642">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77E14C8C">
            <w:pPr>
              <w:topLinePunct/>
              <w:adjustRightInd w:val="0"/>
              <w:snapToGrid w:val="0"/>
              <w:jc w:val="center"/>
              <w:textAlignment w:val="center"/>
              <w:rPr>
                <w:rFonts w:eastAsia="仿宋"/>
                <w:color w:val="000000"/>
                <w:sz w:val="24"/>
              </w:rPr>
            </w:pPr>
            <w:r>
              <w:rPr>
                <w:rFonts w:eastAsia="仿宋"/>
                <w:color w:val="000000"/>
                <w:kern w:val="0"/>
                <w:sz w:val="24"/>
                <w:lang w:bidi="ar"/>
              </w:rPr>
              <w:t>301</w:t>
            </w:r>
          </w:p>
        </w:tc>
        <w:tc>
          <w:tcPr>
            <w:tcW w:w="838" w:type="pct"/>
            <w:tcBorders>
              <w:top w:val="single" w:color="000000" w:sz="4" w:space="0"/>
              <w:left w:val="single" w:color="000000" w:sz="4" w:space="0"/>
              <w:bottom w:val="single" w:color="000000" w:sz="4" w:space="0"/>
              <w:right w:val="single" w:color="000000" w:sz="4" w:space="0"/>
            </w:tcBorders>
            <w:vAlign w:val="center"/>
          </w:tcPr>
          <w:p w14:paraId="00A5D263">
            <w:pPr>
              <w:topLinePunct/>
              <w:adjustRightInd w:val="0"/>
              <w:snapToGrid w:val="0"/>
              <w:textAlignment w:val="center"/>
              <w:rPr>
                <w:rFonts w:eastAsia="仿宋"/>
                <w:color w:val="000000"/>
                <w:sz w:val="24"/>
              </w:rPr>
            </w:pPr>
            <w:r>
              <w:rPr>
                <w:rFonts w:eastAsia="仿宋"/>
                <w:color w:val="000000"/>
                <w:kern w:val="0"/>
                <w:sz w:val="24"/>
                <w:lang w:bidi="ar"/>
              </w:rPr>
              <w:t>对金属非金属露天矿山在平均坡度大于1：5的地基上顺坡排土，未按设计采取安全措施等行为的行政处罚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239519CD">
            <w:pPr>
              <w:topLinePunct/>
              <w:adjustRightInd w:val="0"/>
              <w:snapToGrid w:val="0"/>
              <w:jc w:val="left"/>
              <w:textAlignment w:val="center"/>
              <w:rPr>
                <w:rFonts w:eastAsia="仿宋"/>
                <w:color w:val="000000"/>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二、金属非金属露天矿山重大事故隐患</w:t>
            </w:r>
            <w:r>
              <w:rPr>
                <w:rFonts w:eastAsia="仿宋"/>
                <w:color w:val="000000"/>
                <w:kern w:val="0"/>
                <w:sz w:val="24"/>
                <w:lang w:bidi="ar"/>
              </w:rPr>
              <w:br w:type="textWrapping"/>
            </w:r>
            <w:r>
              <w:rPr>
                <w:rFonts w:eastAsia="仿宋"/>
                <w:color w:val="000000"/>
                <w:kern w:val="0"/>
                <w:sz w:val="24"/>
                <w:lang w:bidi="ar"/>
              </w:rPr>
              <w:t>（十一）排土场存在下列情形之一的：</w:t>
            </w:r>
            <w:r>
              <w:rPr>
                <w:rFonts w:eastAsia="仿宋"/>
                <w:color w:val="000000"/>
                <w:kern w:val="0"/>
                <w:sz w:val="24"/>
                <w:lang w:bidi="ar"/>
              </w:rPr>
              <w:br w:type="textWrapping"/>
            </w:r>
            <w:r>
              <w:rPr>
                <w:rFonts w:eastAsia="仿宋"/>
                <w:color w:val="000000"/>
                <w:kern w:val="0"/>
                <w:sz w:val="24"/>
                <w:lang w:bidi="ar"/>
              </w:rPr>
              <w:t>1在平均坡度大于1：5的地基上顺坡排土，未按设计采取安全措施；</w:t>
            </w:r>
            <w:r>
              <w:rPr>
                <w:rFonts w:eastAsia="仿宋"/>
                <w:color w:val="000000"/>
                <w:kern w:val="0"/>
                <w:sz w:val="24"/>
                <w:lang w:bidi="ar"/>
              </w:rPr>
              <w:br w:type="textWrapping"/>
            </w:r>
            <w:r>
              <w:rPr>
                <w:rFonts w:eastAsia="仿宋"/>
                <w:color w:val="000000"/>
                <w:kern w:val="0"/>
                <w:sz w:val="24"/>
                <w:lang w:bidi="ar"/>
              </w:rPr>
              <w:t>2排土场总堆置高度2倍范围以内有人员密集场所，未按设计采取安全措施；</w:t>
            </w:r>
            <w:r>
              <w:rPr>
                <w:rFonts w:eastAsia="仿宋"/>
                <w:color w:val="000000"/>
                <w:kern w:val="0"/>
                <w:sz w:val="24"/>
                <w:lang w:bidi="ar"/>
              </w:rPr>
              <w:br w:type="textWrapping"/>
            </w:r>
            <w:r>
              <w:rPr>
                <w:rFonts w:eastAsia="仿宋"/>
                <w:color w:val="000000"/>
                <w:kern w:val="0"/>
                <w:sz w:val="24"/>
                <w:lang w:bidi="ar"/>
              </w:rPr>
              <w:t>3山坡排土场周围未按设计修筑截、排水设施。</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492CA7E4">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2736E728">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54E6B4D1">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1056AF8C">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218E1E01">
            <w:pPr>
              <w:topLinePunct/>
              <w:adjustRightInd w:val="0"/>
              <w:snapToGrid w:val="0"/>
              <w:jc w:val="center"/>
              <w:textAlignment w:val="center"/>
              <w:rPr>
                <w:rFonts w:eastAsia="仿宋"/>
                <w:color w:val="000000"/>
                <w:sz w:val="24"/>
              </w:rPr>
            </w:pPr>
            <w:r>
              <w:rPr>
                <w:rFonts w:eastAsia="仿宋"/>
                <w:color w:val="000000"/>
                <w:kern w:val="0"/>
                <w:sz w:val="24"/>
                <w:lang w:bidi="ar"/>
              </w:rPr>
              <w:t>302</w:t>
            </w:r>
          </w:p>
        </w:tc>
        <w:tc>
          <w:tcPr>
            <w:tcW w:w="838" w:type="pct"/>
            <w:tcBorders>
              <w:top w:val="single" w:color="000000" w:sz="4" w:space="0"/>
              <w:left w:val="single" w:color="000000" w:sz="4" w:space="0"/>
              <w:bottom w:val="single" w:color="000000" w:sz="4" w:space="0"/>
              <w:right w:val="single" w:color="000000" w:sz="4" w:space="0"/>
            </w:tcBorders>
            <w:vAlign w:val="center"/>
          </w:tcPr>
          <w:p w14:paraId="7A551859">
            <w:pPr>
              <w:topLinePunct/>
              <w:adjustRightInd w:val="0"/>
              <w:snapToGrid w:val="0"/>
              <w:textAlignment w:val="center"/>
              <w:rPr>
                <w:rFonts w:eastAsia="仿宋"/>
                <w:color w:val="000000"/>
                <w:sz w:val="24"/>
              </w:rPr>
            </w:pPr>
            <w:r>
              <w:rPr>
                <w:rFonts w:eastAsia="仿宋"/>
                <w:color w:val="000000"/>
                <w:kern w:val="0"/>
                <w:sz w:val="24"/>
                <w:lang w:bidi="ar"/>
              </w:rPr>
              <w:t>对金属非金属露天矿山采场未按设计设置安全平台和清扫平台的行政处罚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2C7553D0">
            <w:pPr>
              <w:topLinePunct/>
              <w:adjustRightInd w:val="0"/>
              <w:snapToGrid w:val="0"/>
              <w:jc w:val="left"/>
              <w:textAlignment w:val="center"/>
              <w:rPr>
                <w:rFonts w:eastAsia="仿宋"/>
                <w:color w:val="000000"/>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二、金属非金属露天矿山重大事故隐患</w:t>
            </w:r>
            <w:r>
              <w:rPr>
                <w:rFonts w:eastAsia="仿宋"/>
                <w:color w:val="000000"/>
                <w:kern w:val="0"/>
                <w:sz w:val="24"/>
                <w:lang w:bidi="ar"/>
              </w:rPr>
              <w:br w:type="textWrapping"/>
            </w:r>
            <w:r>
              <w:rPr>
                <w:rFonts w:eastAsia="仿宋"/>
                <w:color w:val="000000"/>
                <w:kern w:val="0"/>
                <w:sz w:val="24"/>
                <w:lang w:bidi="ar"/>
              </w:rPr>
              <w:t>（十二）露天采场未按设计设置安全平台和清扫平台。</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0BDF0070">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0FB6B074">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076528BB">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5F07D418">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54030623">
            <w:pPr>
              <w:topLinePunct/>
              <w:adjustRightInd w:val="0"/>
              <w:snapToGrid w:val="0"/>
              <w:jc w:val="center"/>
              <w:textAlignment w:val="center"/>
              <w:rPr>
                <w:rFonts w:eastAsia="仿宋"/>
                <w:color w:val="000000"/>
                <w:sz w:val="24"/>
              </w:rPr>
            </w:pPr>
            <w:r>
              <w:rPr>
                <w:rFonts w:eastAsia="仿宋"/>
                <w:color w:val="000000"/>
                <w:kern w:val="0"/>
                <w:sz w:val="24"/>
                <w:lang w:bidi="ar"/>
              </w:rPr>
              <w:t>303</w:t>
            </w:r>
          </w:p>
        </w:tc>
        <w:tc>
          <w:tcPr>
            <w:tcW w:w="838" w:type="pct"/>
            <w:tcBorders>
              <w:top w:val="single" w:color="000000" w:sz="4" w:space="0"/>
              <w:left w:val="single" w:color="000000" w:sz="4" w:space="0"/>
              <w:bottom w:val="single" w:color="000000" w:sz="4" w:space="0"/>
              <w:right w:val="single" w:color="000000" w:sz="4" w:space="0"/>
            </w:tcBorders>
            <w:vAlign w:val="center"/>
          </w:tcPr>
          <w:p w14:paraId="038B02CF">
            <w:pPr>
              <w:topLinePunct/>
              <w:adjustRightInd w:val="0"/>
              <w:snapToGrid w:val="0"/>
              <w:textAlignment w:val="center"/>
              <w:rPr>
                <w:rFonts w:eastAsia="仿宋"/>
                <w:color w:val="000000"/>
                <w:sz w:val="24"/>
              </w:rPr>
            </w:pPr>
            <w:r>
              <w:rPr>
                <w:rFonts w:eastAsia="仿宋"/>
                <w:color w:val="000000"/>
                <w:kern w:val="0"/>
                <w:sz w:val="24"/>
                <w:lang w:bidi="ar"/>
              </w:rPr>
              <w:t>对金属非金属露天矿山擅自对在用排土场进行回采作业的行政处罚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1D877A6D">
            <w:pPr>
              <w:topLinePunct/>
              <w:adjustRightInd w:val="0"/>
              <w:snapToGrid w:val="0"/>
              <w:jc w:val="left"/>
              <w:textAlignment w:val="center"/>
              <w:rPr>
                <w:rFonts w:eastAsia="仿宋"/>
                <w:color w:val="000000"/>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二、金属非金属露天矿山重大事故隐患</w:t>
            </w:r>
            <w:r>
              <w:rPr>
                <w:rFonts w:eastAsia="仿宋"/>
                <w:color w:val="000000"/>
                <w:kern w:val="0"/>
                <w:sz w:val="24"/>
                <w:lang w:bidi="ar"/>
              </w:rPr>
              <w:br w:type="textWrapping"/>
            </w:r>
            <w:r>
              <w:rPr>
                <w:rFonts w:eastAsia="仿宋"/>
                <w:color w:val="000000"/>
                <w:kern w:val="0"/>
                <w:sz w:val="24"/>
                <w:lang w:bidi="ar"/>
              </w:rPr>
              <w:t>（十三）擅自对在用排土场进行回采作业。</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6A4B8BE5">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04D4C6EC">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61FC8BB7">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7AD1F065">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2F7137D1">
            <w:pPr>
              <w:topLinePunct/>
              <w:adjustRightInd w:val="0"/>
              <w:snapToGrid w:val="0"/>
              <w:jc w:val="center"/>
              <w:textAlignment w:val="center"/>
              <w:rPr>
                <w:rFonts w:eastAsia="仿宋"/>
                <w:color w:val="000000"/>
                <w:sz w:val="24"/>
              </w:rPr>
            </w:pPr>
            <w:r>
              <w:rPr>
                <w:rFonts w:eastAsia="仿宋"/>
                <w:color w:val="000000"/>
                <w:kern w:val="0"/>
                <w:sz w:val="24"/>
                <w:lang w:bidi="ar"/>
              </w:rPr>
              <w:t>304</w:t>
            </w:r>
          </w:p>
        </w:tc>
        <w:tc>
          <w:tcPr>
            <w:tcW w:w="838" w:type="pct"/>
            <w:tcBorders>
              <w:top w:val="single" w:color="000000" w:sz="4" w:space="0"/>
              <w:left w:val="single" w:color="000000" w:sz="4" w:space="0"/>
              <w:bottom w:val="single" w:color="000000" w:sz="4" w:space="0"/>
              <w:right w:val="single" w:color="000000" w:sz="4" w:space="0"/>
            </w:tcBorders>
            <w:vAlign w:val="center"/>
          </w:tcPr>
          <w:p w14:paraId="7863C532">
            <w:pPr>
              <w:topLinePunct/>
              <w:adjustRightInd w:val="0"/>
              <w:snapToGrid w:val="0"/>
              <w:textAlignment w:val="center"/>
              <w:rPr>
                <w:rFonts w:eastAsia="仿宋"/>
                <w:color w:val="000000"/>
                <w:sz w:val="24"/>
              </w:rPr>
            </w:pPr>
            <w:r>
              <w:rPr>
                <w:rFonts w:eastAsia="仿宋"/>
                <w:color w:val="000000"/>
                <w:kern w:val="0"/>
                <w:sz w:val="24"/>
                <w:lang w:bidi="ar"/>
              </w:rPr>
              <w:t>对小型露天采石场电气设备设置不符合规定的行政处罚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3DF3C5DB">
            <w:pPr>
              <w:topLinePunct/>
              <w:adjustRightInd w:val="0"/>
              <w:snapToGrid w:val="0"/>
              <w:jc w:val="left"/>
              <w:textAlignment w:val="center"/>
              <w:rPr>
                <w:rFonts w:eastAsia="仿宋"/>
                <w:color w:val="000000"/>
                <w:sz w:val="24"/>
              </w:rPr>
            </w:pPr>
            <w:r>
              <w:rPr>
                <w:rFonts w:eastAsia="仿宋"/>
                <w:color w:val="000000"/>
                <w:kern w:val="0"/>
                <w:sz w:val="24"/>
                <w:lang w:bidi="ar"/>
              </w:rPr>
              <w:t>1.《小型露天采石场安全管理与监督检查规定》</w:t>
            </w:r>
            <w:r>
              <w:rPr>
                <w:rFonts w:eastAsia="仿宋"/>
                <w:color w:val="000000"/>
                <w:kern w:val="0"/>
                <w:sz w:val="24"/>
                <w:lang w:bidi="ar"/>
              </w:rPr>
              <w:br w:type="textWrapping"/>
            </w:r>
            <w:r>
              <w:rPr>
                <w:rFonts w:eastAsia="仿宋"/>
                <w:color w:val="000000"/>
                <w:kern w:val="0"/>
                <w:sz w:val="24"/>
                <w:lang w:bidi="ar"/>
              </w:rPr>
              <w:t>第二十四条  电气设备应当有接地、过流、漏电保护装置。变电所应当有独立的避雷系统和防火、防潮与防止小动物窜入带电部位的措施。</w:t>
            </w:r>
            <w:r>
              <w:rPr>
                <w:rFonts w:eastAsia="仿宋"/>
                <w:color w:val="000000"/>
                <w:kern w:val="0"/>
                <w:sz w:val="24"/>
                <w:lang w:bidi="ar"/>
              </w:rPr>
              <w:br w:type="textWrapping"/>
            </w:r>
            <w:r>
              <w:rPr>
                <w:rFonts w:eastAsia="仿宋"/>
                <w:color w:val="000000"/>
                <w:kern w:val="0"/>
                <w:sz w:val="24"/>
                <w:lang w:bidi="ar"/>
              </w:rPr>
              <w:t>第四十条  违反本规定第二十三条、第二十四条、第二十五条、第二十八条规定的，给予警告，并处2万元以下的罚款。</w:t>
            </w:r>
          </w:p>
        </w:tc>
        <w:tc>
          <w:tcPr>
            <w:tcW w:w="476" w:type="pct"/>
            <w:tcBorders>
              <w:top w:val="single" w:color="000000" w:sz="4" w:space="0"/>
              <w:left w:val="single" w:color="000000" w:sz="4" w:space="0"/>
              <w:bottom w:val="single" w:color="000000" w:sz="4" w:space="0"/>
              <w:right w:val="single" w:color="000000" w:sz="4" w:space="0"/>
            </w:tcBorders>
            <w:vAlign w:val="center"/>
          </w:tcPr>
          <w:p w14:paraId="75106BBC">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389CB6B9">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69D48A38">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56F71A53">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64B2EB72">
            <w:pPr>
              <w:topLinePunct/>
              <w:adjustRightInd w:val="0"/>
              <w:snapToGrid w:val="0"/>
              <w:jc w:val="center"/>
              <w:textAlignment w:val="center"/>
              <w:rPr>
                <w:rFonts w:eastAsia="仿宋"/>
                <w:color w:val="000000"/>
                <w:sz w:val="24"/>
              </w:rPr>
            </w:pPr>
            <w:r>
              <w:rPr>
                <w:rFonts w:eastAsia="仿宋"/>
                <w:color w:val="000000"/>
                <w:kern w:val="0"/>
                <w:sz w:val="24"/>
                <w:lang w:bidi="ar"/>
              </w:rPr>
              <w:t>305</w:t>
            </w:r>
          </w:p>
        </w:tc>
        <w:tc>
          <w:tcPr>
            <w:tcW w:w="838" w:type="pct"/>
            <w:tcBorders>
              <w:top w:val="single" w:color="000000" w:sz="4" w:space="0"/>
              <w:left w:val="single" w:color="000000" w:sz="4" w:space="0"/>
              <w:bottom w:val="single" w:color="000000" w:sz="4" w:space="0"/>
              <w:right w:val="single" w:color="000000" w:sz="4" w:space="0"/>
            </w:tcBorders>
            <w:vAlign w:val="center"/>
          </w:tcPr>
          <w:p w14:paraId="3FAF3EF1">
            <w:pPr>
              <w:topLinePunct/>
              <w:adjustRightInd w:val="0"/>
              <w:snapToGrid w:val="0"/>
              <w:textAlignment w:val="center"/>
              <w:rPr>
                <w:rFonts w:eastAsia="仿宋"/>
                <w:color w:val="000000"/>
                <w:sz w:val="24"/>
              </w:rPr>
            </w:pPr>
            <w:r>
              <w:rPr>
                <w:rFonts w:eastAsia="仿宋"/>
                <w:color w:val="000000"/>
                <w:kern w:val="0"/>
                <w:sz w:val="24"/>
                <w:lang w:bidi="ar"/>
              </w:rPr>
              <w:t>对库区或者尾矿坝上存在未按设计进行开采、挖掘、爆破等危及尾矿库安全的活动的行政处罚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125910F8">
            <w:pPr>
              <w:topLinePunct/>
              <w:adjustRightInd w:val="0"/>
              <w:snapToGrid w:val="0"/>
              <w:jc w:val="left"/>
              <w:textAlignment w:val="center"/>
              <w:rPr>
                <w:rFonts w:eastAsia="仿宋"/>
                <w:color w:val="000000"/>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三、尾矿库重大事故隐患</w:t>
            </w:r>
            <w:r>
              <w:rPr>
                <w:rFonts w:eastAsia="仿宋"/>
                <w:color w:val="000000"/>
                <w:kern w:val="0"/>
                <w:sz w:val="24"/>
                <w:lang w:bidi="ar"/>
              </w:rPr>
              <w:br w:type="textWrapping"/>
            </w:r>
            <w:r>
              <w:rPr>
                <w:rFonts w:eastAsia="仿宋"/>
                <w:color w:val="000000"/>
                <w:kern w:val="0"/>
                <w:sz w:val="24"/>
                <w:lang w:bidi="ar"/>
              </w:rPr>
              <w:t>（一）库区或者尾矿坝上存在未按设计进行开采、挖掘、爆破等危及尾矿库安全的活动。</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08A56E9E">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5CFC5F23">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5E6A41ED">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0BCFFB09">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7A16807A">
            <w:pPr>
              <w:topLinePunct/>
              <w:adjustRightInd w:val="0"/>
              <w:snapToGrid w:val="0"/>
              <w:jc w:val="center"/>
              <w:textAlignment w:val="center"/>
              <w:rPr>
                <w:rFonts w:eastAsia="仿宋"/>
                <w:color w:val="000000"/>
                <w:sz w:val="24"/>
              </w:rPr>
            </w:pPr>
            <w:r>
              <w:rPr>
                <w:rFonts w:eastAsia="仿宋"/>
                <w:color w:val="000000"/>
                <w:kern w:val="0"/>
                <w:sz w:val="24"/>
                <w:lang w:bidi="ar"/>
              </w:rPr>
              <w:t>306</w:t>
            </w:r>
          </w:p>
        </w:tc>
        <w:tc>
          <w:tcPr>
            <w:tcW w:w="838" w:type="pct"/>
            <w:tcBorders>
              <w:top w:val="single" w:color="000000" w:sz="4" w:space="0"/>
              <w:left w:val="single" w:color="000000" w:sz="4" w:space="0"/>
              <w:bottom w:val="single" w:color="000000" w:sz="4" w:space="0"/>
              <w:right w:val="single" w:color="000000" w:sz="4" w:space="0"/>
            </w:tcBorders>
            <w:vAlign w:val="center"/>
          </w:tcPr>
          <w:p w14:paraId="5A4D101B">
            <w:pPr>
              <w:topLinePunct/>
              <w:adjustRightInd w:val="0"/>
              <w:snapToGrid w:val="0"/>
              <w:textAlignment w:val="center"/>
              <w:rPr>
                <w:rFonts w:eastAsia="仿宋"/>
                <w:color w:val="000000"/>
                <w:sz w:val="24"/>
              </w:rPr>
            </w:pPr>
            <w:r>
              <w:rPr>
                <w:rFonts w:eastAsia="仿宋"/>
                <w:color w:val="000000"/>
                <w:kern w:val="0"/>
                <w:sz w:val="24"/>
                <w:lang w:bidi="ar"/>
              </w:rPr>
              <w:t>对生产经营单位或者尾矿库管理单位有未经批准变更筑坝方式等行为的行政处罚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2AD4C9CF">
            <w:pPr>
              <w:topLinePunct/>
              <w:adjustRightInd w:val="0"/>
              <w:snapToGrid w:val="0"/>
              <w:jc w:val="left"/>
              <w:textAlignment w:val="center"/>
              <w:rPr>
                <w:rFonts w:eastAsia="仿宋"/>
                <w:color w:val="000000"/>
                <w:sz w:val="24"/>
              </w:rPr>
            </w:pPr>
            <w:r>
              <w:rPr>
                <w:rFonts w:eastAsia="仿宋"/>
                <w:color w:val="000000"/>
                <w:kern w:val="0"/>
                <w:sz w:val="24"/>
                <w:lang w:bidi="ar"/>
              </w:rPr>
              <w:t>1.《尾矿库安全监督管理规定》</w:t>
            </w:r>
            <w:r>
              <w:rPr>
                <w:rFonts w:eastAsia="仿宋"/>
                <w:color w:val="000000"/>
                <w:kern w:val="0"/>
                <w:sz w:val="24"/>
                <w:lang w:bidi="ar"/>
              </w:rPr>
              <w:br w:type="textWrapping"/>
            </w:r>
            <w:r>
              <w:rPr>
                <w:rFonts w:eastAsia="仿宋"/>
                <w:color w:val="000000"/>
                <w:kern w:val="0"/>
                <w:sz w:val="24"/>
                <w:lang w:bidi="ar"/>
              </w:rPr>
              <w:t>第十八条第一项、第二项、第三项、第五项、第六项  对生产运行的尾矿库，未经技术论证和安全生产监督管理部门的批准，任何单位和个人不得对下列事项进行变更：（一）筑坝方式；（二）排放方式；（三）尾矿物化特性；（五）坝体防渗、排渗及反滤层的设置；（六）排洪系统的型式、布置及尺寸；</w:t>
            </w:r>
            <w:r>
              <w:rPr>
                <w:rFonts w:eastAsia="仿宋"/>
                <w:color w:val="000000"/>
                <w:kern w:val="0"/>
                <w:sz w:val="24"/>
                <w:lang w:bidi="ar"/>
              </w:rPr>
              <w:br w:type="textWrapping"/>
            </w:r>
            <w:r>
              <w:rPr>
                <w:rFonts w:eastAsia="仿宋"/>
                <w:color w:val="000000"/>
                <w:kern w:val="0"/>
                <w:sz w:val="24"/>
                <w:lang w:bidi="ar"/>
              </w:rPr>
              <w:t>第四十条  生产经营单位或者尾矿库管理单位违反本规定第十八条规定的，给予警告，并处3万元的罚款；情节严重的，依法责令停产整顿或者提请县级以上地方人民政府按照规定权限予以关闭。</w:t>
            </w:r>
          </w:p>
        </w:tc>
        <w:tc>
          <w:tcPr>
            <w:tcW w:w="476" w:type="pct"/>
            <w:tcBorders>
              <w:top w:val="single" w:color="000000" w:sz="4" w:space="0"/>
              <w:left w:val="single" w:color="000000" w:sz="4" w:space="0"/>
              <w:bottom w:val="single" w:color="000000" w:sz="4" w:space="0"/>
              <w:right w:val="single" w:color="000000" w:sz="4" w:space="0"/>
            </w:tcBorders>
            <w:vAlign w:val="center"/>
          </w:tcPr>
          <w:p w14:paraId="4D76068E">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6A9D5C5E">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32C4945A">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2724E2A6">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653F36FA">
            <w:pPr>
              <w:topLinePunct/>
              <w:adjustRightInd w:val="0"/>
              <w:snapToGrid w:val="0"/>
              <w:jc w:val="center"/>
              <w:textAlignment w:val="center"/>
              <w:rPr>
                <w:rFonts w:eastAsia="仿宋"/>
                <w:color w:val="000000"/>
                <w:sz w:val="24"/>
              </w:rPr>
            </w:pPr>
            <w:r>
              <w:rPr>
                <w:rFonts w:eastAsia="仿宋"/>
                <w:color w:val="000000"/>
                <w:kern w:val="0"/>
                <w:sz w:val="24"/>
                <w:lang w:bidi="ar"/>
              </w:rPr>
              <w:t>307</w:t>
            </w:r>
          </w:p>
        </w:tc>
        <w:tc>
          <w:tcPr>
            <w:tcW w:w="838" w:type="pct"/>
            <w:tcBorders>
              <w:top w:val="single" w:color="000000" w:sz="4" w:space="0"/>
              <w:left w:val="single" w:color="000000" w:sz="4" w:space="0"/>
              <w:bottom w:val="single" w:color="000000" w:sz="4" w:space="0"/>
              <w:right w:val="single" w:color="000000" w:sz="4" w:space="0"/>
            </w:tcBorders>
            <w:vAlign w:val="center"/>
          </w:tcPr>
          <w:p w14:paraId="04B8A68E">
            <w:pPr>
              <w:topLinePunct/>
              <w:adjustRightInd w:val="0"/>
              <w:snapToGrid w:val="0"/>
              <w:textAlignment w:val="center"/>
              <w:rPr>
                <w:rFonts w:eastAsia="仿宋"/>
                <w:color w:val="000000"/>
                <w:sz w:val="24"/>
              </w:rPr>
            </w:pPr>
            <w:r>
              <w:rPr>
                <w:rFonts w:eastAsia="仿宋"/>
                <w:color w:val="000000"/>
                <w:kern w:val="0"/>
                <w:sz w:val="24"/>
                <w:lang w:bidi="ar"/>
              </w:rPr>
              <w:t>对尾矿库存在设计以外的尾矿、废料或者废水进库的行政处罚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33BF91A0">
            <w:pPr>
              <w:topLinePunct/>
              <w:adjustRightInd w:val="0"/>
              <w:snapToGrid w:val="0"/>
              <w:jc w:val="left"/>
              <w:textAlignment w:val="center"/>
              <w:rPr>
                <w:rFonts w:eastAsia="仿宋"/>
                <w:color w:val="000000"/>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三、尾矿库重大事故隐患</w:t>
            </w:r>
            <w:r>
              <w:rPr>
                <w:rFonts w:eastAsia="仿宋"/>
                <w:color w:val="000000"/>
                <w:kern w:val="0"/>
                <w:sz w:val="24"/>
                <w:lang w:bidi="ar"/>
              </w:rPr>
              <w:br w:type="textWrapping"/>
            </w:r>
            <w:r>
              <w:rPr>
                <w:rFonts w:eastAsia="仿宋"/>
                <w:color w:val="000000"/>
                <w:kern w:val="0"/>
                <w:sz w:val="24"/>
                <w:lang w:bidi="ar"/>
              </w:rPr>
              <w:t>（十）设计以外的尾矿、废料或者废水进库。</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03C169A9">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7660532D">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4139E087">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60770A27">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7FC5FB3F">
            <w:pPr>
              <w:topLinePunct/>
              <w:adjustRightInd w:val="0"/>
              <w:snapToGrid w:val="0"/>
              <w:jc w:val="center"/>
              <w:textAlignment w:val="center"/>
              <w:rPr>
                <w:rFonts w:eastAsia="仿宋"/>
                <w:color w:val="000000"/>
                <w:sz w:val="24"/>
              </w:rPr>
            </w:pPr>
            <w:r>
              <w:rPr>
                <w:rFonts w:eastAsia="仿宋"/>
                <w:color w:val="000000"/>
                <w:kern w:val="0"/>
                <w:sz w:val="24"/>
                <w:lang w:bidi="ar"/>
              </w:rPr>
              <w:t>308</w:t>
            </w:r>
          </w:p>
        </w:tc>
        <w:tc>
          <w:tcPr>
            <w:tcW w:w="838" w:type="pct"/>
            <w:tcBorders>
              <w:top w:val="single" w:color="000000" w:sz="4" w:space="0"/>
              <w:left w:val="single" w:color="000000" w:sz="4" w:space="0"/>
              <w:bottom w:val="single" w:color="000000" w:sz="4" w:space="0"/>
              <w:right w:val="single" w:color="000000" w:sz="4" w:space="0"/>
            </w:tcBorders>
            <w:vAlign w:val="center"/>
          </w:tcPr>
          <w:p w14:paraId="04C5F6A2">
            <w:pPr>
              <w:topLinePunct/>
              <w:adjustRightInd w:val="0"/>
              <w:snapToGrid w:val="0"/>
              <w:textAlignment w:val="center"/>
              <w:rPr>
                <w:rFonts w:eastAsia="仿宋"/>
                <w:color w:val="000000"/>
                <w:sz w:val="24"/>
              </w:rPr>
            </w:pPr>
            <w:r>
              <w:rPr>
                <w:rFonts w:eastAsia="仿宋"/>
                <w:color w:val="000000"/>
                <w:kern w:val="0"/>
                <w:sz w:val="24"/>
                <w:lang w:bidi="ar"/>
              </w:rPr>
              <w:t>对尾矿库坝体出现严重的管涌、流土变形等现象，出现贯穿性裂缝、坍塌、滑动迹象，出现大面积纵向裂缝，且出现较大范围渗透水高位出逸或者大面积沼泽化的行政处罚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6A734B09">
            <w:pPr>
              <w:topLinePunct/>
              <w:adjustRightInd w:val="0"/>
              <w:snapToGrid w:val="0"/>
              <w:jc w:val="left"/>
              <w:textAlignment w:val="center"/>
              <w:rPr>
                <w:rFonts w:eastAsia="仿宋"/>
                <w:color w:val="000000"/>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三、尾矿库重大事故隐患</w:t>
            </w:r>
            <w:r>
              <w:rPr>
                <w:rFonts w:eastAsia="仿宋"/>
                <w:color w:val="000000"/>
                <w:kern w:val="0"/>
                <w:sz w:val="24"/>
                <w:lang w:bidi="ar"/>
              </w:rPr>
              <w:br w:type="textWrapping"/>
            </w:r>
            <w:r>
              <w:rPr>
                <w:rFonts w:eastAsia="仿宋"/>
                <w:color w:val="000000"/>
                <w:kern w:val="0"/>
                <w:sz w:val="24"/>
                <w:lang w:bidi="ar"/>
              </w:rPr>
              <w:t>（二）坝体存在下列情形之一的：</w:t>
            </w:r>
            <w:r>
              <w:rPr>
                <w:rFonts w:eastAsia="仿宋"/>
                <w:color w:val="000000"/>
                <w:kern w:val="0"/>
                <w:sz w:val="24"/>
                <w:lang w:bidi="ar"/>
              </w:rPr>
              <w:br w:type="textWrapping"/>
            </w:r>
            <w:r>
              <w:rPr>
                <w:rFonts w:eastAsia="仿宋"/>
                <w:color w:val="000000"/>
                <w:kern w:val="0"/>
                <w:sz w:val="24"/>
                <w:lang w:bidi="ar"/>
              </w:rPr>
              <w:t>1坝体出现严重的管涌、流土变形等现象；</w:t>
            </w:r>
            <w:r>
              <w:rPr>
                <w:rFonts w:eastAsia="仿宋"/>
                <w:color w:val="000000"/>
                <w:kern w:val="0"/>
                <w:sz w:val="24"/>
                <w:lang w:bidi="ar"/>
              </w:rPr>
              <w:br w:type="textWrapping"/>
            </w:r>
            <w:r>
              <w:rPr>
                <w:rFonts w:eastAsia="仿宋"/>
                <w:color w:val="000000"/>
                <w:kern w:val="0"/>
                <w:sz w:val="24"/>
                <w:lang w:bidi="ar"/>
              </w:rPr>
              <w:t>2坝体出现贯穿性裂缝、坍塌、滑动迹象；</w:t>
            </w:r>
            <w:r>
              <w:rPr>
                <w:rFonts w:eastAsia="仿宋"/>
                <w:color w:val="000000"/>
                <w:kern w:val="0"/>
                <w:sz w:val="24"/>
                <w:lang w:bidi="ar"/>
              </w:rPr>
              <w:br w:type="textWrapping"/>
            </w:r>
            <w:r>
              <w:rPr>
                <w:rFonts w:eastAsia="仿宋"/>
                <w:color w:val="000000"/>
                <w:kern w:val="0"/>
                <w:sz w:val="24"/>
                <w:lang w:bidi="ar"/>
              </w:rPr>
              <w:t>3坝体出现大面积纵向裂缝，且出现较大范围渗透水高位出逸或者大面积沼泽化。</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4C2A7B28">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75D52F40">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3716B304">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45B5DF81">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159F8E1E">
            <w:pPr>
              <w:topLinePunct/>
              <w:adjustRightInd w:val="0"/>
              <w:snapToGrid w:val="0"/>
              <w:jc w:val="center"/>
              <w:textAlignment w:val="center"/>
              <w:rPr>
                <w:rFonts w:eastAsia="仿宋"/>
                <w:color w:val="000000"/>
                <w:sz w:val="24"/>
              </w:rPr>
            </w:pPr>
            <w:r>
              <w:rPr>
                <w:rFonts w:eastAsia="仿宋"/>
                <w:color w:val="000000"/>
                <w:kern w:val="0"/>
                <w:sz w:val="24"/>
                <w:lang w:bidi="ar"/>
              </w:rPr>
              <w:t>309</w:t>
            </w:r>
          </w:p>
        </w:tc>
        <w:tc>
          <w:tcPr>
            <w:tcW w:w="838" w:type="pct"/>
            <w:tcBorders>
              <w:top w:val="single" w:color="000000" w:sz="4" w:space="0"/>
              <w:left w:val="single" w:color="000000" w:sz="4" w:space="0"/>
              <w:bottom w:val="single" w:color="000000" w:sz="4" w:space="0"/>
              <w:right w:val="single" w:color="000000" w:sz="4" w:space="0"/>
            </w:tcBorders>
            <w:vAlign w:val="center"/>
          </w:tcPr>
          <w:p w14:paraId="159BCA9C">
            <w:pPr>
              <w:topLinePunct/>
              <w:adjustRightInd w:val="0"/>
              <w:snapToGrid w:val="0"/>
              <w:textAlignment w:val="center"/>
              <w:rPr>
                <w:rFonts w:eastAsia="仿宋"/>
                <w:color w:val="000000"/>
                <w:sz w:val="24"/>
              </w:rPr>
            </w:pPr>
            <w:r>
              <w:rPr>
                <w:rFonts w:eastAsia="仿宋"/>
                <w:color w:val="000000"/>
                <w:kern w:val="0"/>
                <w:sz w:val="24"/>
                <w:lang w:bidi="ar"/>
              </w:rPr>
              <w:t>对尾矿库出现库内水位超过限制的最高洪水位等重大险情未及时报告及抢险的行政处罚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3D69A256">
            <w:pPr>
              <w:topLinePunct/>
              <w:adjustRightInd w:val="0"/>
              <w:snapToGrid w:val="0"/>
              <w:jc w:val="left"/>
              <w:textAlignment w:val="center"/>
              <w:rPr>
                <w:rFonts w:eastAsia="仿宋"/>
                <w:color w:val="000000"/>
                <w:sz w:val="24"/>
              </w:rPr>
            </w:pPr>
            <w:r>
              <w:rPr>
                <w:rFonts w:eastAsia="仿宋"/>
                <w:color w:val="000000"/>
                <w:kern w:val="0"/>
                <w:sz w:val="24"/>
                <w:lang w:bidi="ar"/>
              </w:rPr>
              <w:t>1.《尾矿库安全监督管理规定》</w:t>
            </w:r>
            <w:r>
              <w:rPr>
                <w:rFonts w:eastAsia="仿宋"/>
                <w:color w:val="000000"/>
                <w:kern w:val="0"/>
                <w:sz w:val="24"/>
                <w:lang w:bidi="ar"/>
              </w:rPr>
              <w:br w:type="textWrapping"/>
            </w:r>
            <w:r>
              <w:rPr>
                <w:rFonts w:eastAsia="仿宋"/>
                <w:color w:val="000000"/>
                <w:kern w:val="0"/>
                <w:sz w:val="24"/>
                <w:lang w:bidi="ar"/>
              </w:rPr>
              <w:t>第二十四条第三项、第五项  尾矿库出现下列重大险情之一的，生产经营单位应当按照安全监管权限和职责立即报告当地县级安全生产监督管理部门和人民政府，并启动应急预案，进行抢险：（三）库内水位超过限制的最高洪水位的；（五）其他危及尾矿库安全的重大险情。</w:t>
            </w:r>
            <w:r>
              <w:rPr>
                <w:rFonts w:eastAsia="仿宋"/>
                <w:color w:val="000000"/>
                <w:kern w:val="0"/>
                <w:sz w:val="24"/>
                <w:lang w:bidi="ar"/>
              </w:rPr>
              <w:br w:type="textWrapping"/>
            </w:r>
            <w:r>
              <w:rPr>
                <w:rFonts w:eastAsia="仿宋"/>
                <w:color w:val="000000"/>
                <w:kern w:val="0"/>
                <w:sz w:val="24"/>
                <w:lang w:bidi="ar"/>
              </w:rPr>
              <w:t>第三十九条第一款  生产经营单位或者尾矿库管理单位违反本规定第八条第二款、第十九条、第二十条、第二十一条、第二十二条、第二十四条、第二十六条、第二十九条第一款规定的，给予警告，并处1万元以上3万元以下的罚款；对主管人员和直接责任人员由其所在单位或者上级主管单位给予行政处分；构成犯罪的，依法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469B1C28">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391179D8">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0FFAC52F">
            <w:pPr>
              <w:topLinePunct/>
              <w:adjustRightInd w:val="0"/>
              <w:snapToGrid w:val="0"/>
              <w:jc w:val="center"/>
              <w:textAlignment w:val="center"/>
              <w:rPr>
                <w:rFonts w:hint="eastAsia" w:eastAsia="仿宋"/>
                <w:color w:val="000000"/>
                <w:sz w:val="24"/>
                <w:lang w:eastAsia="zh-CN"/>
              </w:rPr>
            </w:pPr>
            <w:r>
              <w:rPr>
                <w:rFonts w:eastAsia="仿宋"/>
                <w:color w:val="000000"/>
                <w:kern w:val="0"/>
                <w:sz w:val="24"/>
                <w:lang w:bidi="ar"/>
              </w:rPr>
              <w:t>县级</w:t>
            </w:r>
          </w:p>
        </w:tc>
      </w:tr>
      <w:tr w14:paraId="70BE8C34">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1A7A7A4F">
            <w:pPr>
              <w:topLinePunct/>
              <w:adjustRightInd w:val="0"/>
              <w:snapToGrid w:val="0"/>
              <w:jc w:val="center"/>
              <w:textAlignment w:val="center"/>
              <w:rPr>
                <w:rFonts w:eastAsia="仿宋"/>
                <w:color w:val="000000"/>
                <w:sz w:val="24"/>
              </w:rPr>
            </w:pPr>
            <w:r>
              <w:rPr>
                <w:rFonts w:eastAsia="仿宋"/>
                <w:color w:val="000000"/>
                <w:kern w:val="0"/>
                <w:sz w:val="24"/>
                <w:lang w:bidi="ar"/>
              </w:rPr>
              <w:t>310</w:t>
            </w:r>
          </w:p>
        </w:tc>
        <w:tc>
          <w:tcPr>
            <w:tcW w:w="838" w:type="pct"/>
            <w:tcBorders>
              <w:top w:val="single" w:color="000000" w:sz="4" w:space="0"/>
              <w:left w:val="single" w:color="000000" w:sz="4" w:space="0"/>
              <w:bottom w:val="single" w:color="000000" w:sz="4" w:space="0"/>
              <w:right w:val="single" w:color="000000" w:sz="4" w:space="0"/>
            </w:tcBorders>
            <w:vAlign w:val="center"/>
          </w:tcPr>
          <w:p w14:paraId="3DFC7BFC">
            <w:pPr>
              <w:topLinePunct/>
              <w:adjustRightInd w:val="0"/>
              <w:snapToGrid w:val="0"/>
              <w:textAlignment w:val="center"/>
              <w:rPr>
                <w:rFonts w:eastAsia="仿宋"/>
                <w:color w:val="000000"/>
                <w:sz w:val="24"/>
              </w:rPr>
            </w:pPr>
            <w:r>
              <w:rPr>
                <w:rFonts w:eastAsia="仿宋"/>
                <w:color w:val="000000"/>
                <w:kern w:val="0"/>
                <w:sz w:val="24"/>
                <w:lang w:bidi="ar"/>
              </w:rPr>
              <w:t>对尾矿堆积坝上升速率大于设计值的行政处罚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7D517B2D">
            <w:pPr>
              <w:topLinePunct/>
              <w:adjustRightInd w:val="0"/>
              <w:snapToGrid w:val="0"/>
              <w:jc w:val="left"/>
              <w:textAlignment w:val="center"/>
              <w:rPr>
                <w:rFonts w:eastAsia="仿宋"/>
                <w:color w:val="000000"/>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三、尾矿库重大事故隐患</w:t>
            </w:r>
            <w:r>
              <w:rPr>
                <w:rFonts w:eastAsia="仿宋"/>
                <w:color w:val="000000"/>
                <w:kern w:val="0"/>
                <w:sz w:val="24"/>
                <w:lang w:bidi="ar"/>
              </w:rPr>
              <w:br w:type="textWrapping"/>
            </w:r>
            <w:r>
              <w:rPr>
                <w:rFonts w:eastAsia="仿宋"/>
                <w:color w:val="000000"/>
                <w:kern w:val="0"/>
                <w:sz w:val="24"/>
                <w:lang w:bidi="ar"/>
              </w:rPr>
              <w:t>（五）尾矿堆积坝上升速率大于设计堆积上升速率。</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3DFC7E01">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6484EDE9">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03DE8025">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32A40D6C">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5D6B6CA4">
            <w:pPr>
              <w:topLinePunct/>
              <w:adjustRightInd w:val="0"/>
              <w:snapToGrid w:val="0"/>
              <w:jc w:val="center"/>
              <w:textAlignment w:val="center"/>
              <w:rPr>
                <w:rFonts w:eastAsia="仿宋"/>
                <w:color w:val="000000"/>
                <w:sz w:val="24"/>
              </w:rPr>
            </w:pPr>
            <w:r>
              <w:rPr>
                <w:rFonts w:eastAsia="仿宋"/>
                <w:color w:val="000000"/>
                <w:kern w:val="0"/>
                <w:sz w:val="24"/>
                <w:lang w:bidi="ar"/>
              </w:rPr>
              <w:t>311</w:t>
            </w:r>
          </w:p>
        </w:tc>
        <w:tc>
          <w:tcPr>
            <w:tcW w:w="838" w:type="pct"/>
            <w:tcBorders>
              <w:top w:val="single" w:color="000000" w:sz="4" w:space="0"/>
              <w:left w:val="single" w:color="000000" w:sz="4" w:space="0"/>
              <w:bottom w:val="single" w:color="000000" w:sz="4" w:space="0"/>
              <w:right w:val="single" w:color="000000" w:sz="4" w:space="0"/>
            </w:tcBorders>
            <w:vAlign w:val="center"/>
          </w:tcPr>
          <w:p w14:paraId="740C9664">
            <w:pPr>
              <w:topLinePunct/>
              <w:adjustRightInd w:val="0"/>
              <w:snapToGrid w:val="0"/>
              <w:textAlignment w:val="center"/>
              <w:rPr>
                <w:rFonts w:eastAsia="仿宋"/>
                <w:color w:val="000000"/>
                <w:sz w:val="24"/>
              </w:rPr>
            </w:pPr>
            <w:r>
              <w:rPr>
                <w:rFonts w:eastAsia="仿宋"/>
                <w:color w:val="000000"/>
                <w:kern w:val="0"/>
                <w:sz w:val="24"/>
                <w:lang w:bidi="ar"/>
              </w:rPr>
              <w:t>对采用尾矿堆坝的尾矿库，未按规定对尾矿坝做全面的安全性复核的行政处罚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2C34DCDE">
            <w:pPr>
              <w:topLinePunct/>
              <w:adjustRightInd w:val="0"/>
              <w:snapToGrid w:val="0"/>
              <w:jc w:val="left"/>
              <w:textAlignment w:val="center"/>
              <w:rPr>
                <w:rFonts w:eastAsia="仿宋"/>
                <w:color w:val="000000"/>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三、尾矿库重大事故隐患</w:t>
            </w:r>
            <w:r>
              <w:rPr>
                <w:rFonts w:eastAsia="仿宋"/>
                <w:color w:val="000000"/>
                <w:kern w:val="0"/>
                <w:sz w:val="24"/>
                <w:lang w:bidi="ar"/>
              </w:rPr>
              <w:br w:type="textWrapping"/>
            </w:r>
            <w:r>
              <w:rPr>
                <w:rFonts w:eastAsia="仿宋"/>
                <w:color w:val="000000"/>
                <w:kern w:val="0"/>
                <w:sz w:val="24"/>
                <w:lang w:bidi="ar"/>
              </w:rPr>
              <w:t>（六）采用尾矿堆坝的尾矿库，未按《尾矿库安全规程》（GB39496-2020）第6.1.9条规定对尾矿坝做全面的安全性复核。</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7F353CD7">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778ABDCA">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166E88E2">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03BD3FF4">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0274E39D">
            <w:pPr>
              <w:topLinePunct/>
              <w:adjustRightInd w:val="0"/>
              <w:snapToGrid w:val="0"/>
              <w:jc w:val="center"/>
              <w:textAlignment w:val="center"/>
              <w:rPr>
                <w:rFonts w:eastAsia="仿宋"/>
                <w:color w:val="000000"/>
                <w:sz w:val="24"/>
              </w:rPr>
            </w:pPr>
            <w:r>
              <w:rPr>
                <w:rFonts w:eastAsia="仿宋"/>
                <w:color w:val="000000"/>
                <w:kern w:val="0"/>
                <w:sz w:val="24"/>
                <w:lang w:bidi="ar"/>
              </w:rPr>
              <w:t>312</w:t>
            </w:r>
          </w:p>
        </w:tc>
        <w:tc>
          <w:tcPr>
            <w:tcW w:w="838" w:type="pct"/>
            <w:tcBorders>
              <w:top w:val="single" w:color="000000" w:sz="4" w:space="0"/>
              <w:left w:val="single" w:color="000000" w:sz="4" w:space="0"/>
              <w:bottom w:val="single" w:color="000000" w:sz="4" w:space="0"/>
              <w:right w:val="single" w:color="000000" w:sz="4" w:space="0"/>
            </w:tcBorders>
            <w:vAlign w:val="center"/>
          </w:tcPr>
          <w:p w14:paraId="5D76227B">
            <w:pPr>
              <w:topLinePunct/>
              <w:adjustRightInd w:val="0"/>
              <w:snapToGrid w:val="0"/>
              <w:textAlignment w:val="center"/>
              <w:rPr>
                <w:rFonts w:eastAsia="仿宋"/>
                <w:color w:val="000000"/>
                <w:sz w:val="24"/>
              </w:rPr>
            </w:pPr>
            <w:r>
              <w:rPr>
                <w:rFonts w:eastAsia="仿宋"/>
                <w:color w:val="000000"/>
                <w:kern w:val="0"/>
                <w:sz w:val="24"/>
                <w:lang w:bidi="ar"/>
              </w:rPr>
              <w:t>对未按规定对尾矿库进行安全现状评价的行政处罚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3F4318A1">
            <w:pPr>
              <w:topLinePunct/>
              <w:adjustRightInd w:val="0"/>
              <w:snapToGrid w:val="0"/>
              <w:jc w:val="left"/>
              <w:textAlignment w:val="center"/>
              <w:rPr>
                <w:rFonts w:eastAsia="仿宋"/>
                <w:color w:val="000000"/>
                <w:sz w:val="24"/>
              </w:rPr>
            </w:pPr>
            <w:r>
              <w:rPr>
                <w:rFonts w:eastAsia="仿宋"/>
                <w:color w:val="000000"/>
                <w:kern w:val="0"/>
                <w:sz w:val="24"/>
                <w:lang w:bidi="ar"/>
              </w:rPr>
              <w:t>1.《尾矿库安全监督管理规定》</w:t>
            </w:r>
            <w:r>
              <w:rPr>
                <w:rFonts w:eastAsia="仿宋"/>
                <w:color w:val="000000"/>
                <w:kern w:val="0"/>
                <w:sz w:val="24"/>
                <w:lang w:bidi="ar"/>
              </w:rPr>
              <w:br w:type="textWrapping"/>
            </w:r>
            <w:r>
              <w:rPr>
                <w:rFonts w:eastAsia="仿宋"/>
                <w:color w:val="000000"/>
                <w:kern w:val="0"/>
                <w:sz w:val="24"/>
                <w:lang w:bidi="ar"/>
              </w:rPr>
              <w:t>第十九条  尾矿库应当每三年至少进行一次安全现状评价。安全现状评价应当符合国家标准或者行业标准的要求。</w:t>
            </w:r>
            <w:r>
              <w:rPr>
                <w:rFonts w:eastAsia="仿宋"/>
                <w:color w:val="000000"/>
                <w:kern w:val="0"/>
                <w:sz w:val="24"/>
                <w:lang w:bidi="ar"/>
              </w:rPr>
              <w:br w:type="textWrapping"/>
            </w:r>
            <w:r>
              <w:rPr>
                <w:rFonts w:eastAsia="仿宋"/>
                <w:color w:val="000000"/>
                <w:kern w:val="0"/>
                <w:sz w:val="24"/>
                <w:lang w:bidi="ar"/>
              </w:rPr>
              <w:t>尾矿库安全现状评价工作应当有能够进行尾矿坝稳定性验算、尾矿库水文计算、构筑物计算的专业技术人员参加。</w:t>
            </w:r>
            <w:r>
              <w:rPr>
                <w:rFonts w:eastAsia="仿宋"/>
                <w:color w:val="000000"/>
                <w:kern w:val="0"/>
                <w:sz w:val="24"/>
                <w:lang w:bidi="ar"/>
              </w:rPr>
              <w:br w:type="textWrapping"/>
            </w:r>
            <w:r>
              <w:rPr>
                <w:rFonts w:eastAsia="仿宋"/>
                <w:color w:val="000000"/>
                <w:kern w:val="0"/>
                <w:sz w:val="24"/>
                <w:lang w:bidi="ar"/>
              </w:rPr>
              <w:t>上游式尾矿坝堆积至二分之一至三分之二最终设计坝高时，应当对坝体进行一次全面勘察，并进行稳定性专项评价。</w:t>
            </w:r>
            <w:r>
              <w:rPr>
                <w:rFonts w:eastAsia="仿宋"/>
                <w:color w:val="000000"/>
                <w:kern w:val="0"/>
                <w:sz w:val="24"/>
                <w:lang w:bidi="ar"/>
              </w:rPr>
              <w:br w:type="textWrapping"/>
            </w:r>
            <w:r>
              <w:rPr>
                <w:rFonts w:eastAsia="仿宋"/>
                <w:color w:val="000000"/>
                <w:kern w:val="0"/>
                <w:sz w:val="24"/>
                <w:lang w:bidi="ar"/>
              </w:rPr>
              <w:t>第三十九条第一款  生产经营单位或者尾矿库管理单位违反本规定第八条第二款、第十九条、第二十条、第二十一条、第二十二条、第二十四条、第二十六条、第二十九条第一款规定的，给予警告，并处1万元以上3万元以下的罚款；对主管人员和直接责任人员由其所在单位或者上级主管单位给予行政处分；构成犯罪的，依法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2E474A4F">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1F75071C">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635C125F">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3A926DEF">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1A4D7A18">
            <w:pPr>
              <w:topLinePunct/>
              <w:adjustRightInd w:val="0"/>
              <w:snapToGrid w:val="0"/>
              <w:jc w:val="center"/>
              <w:textAlignment w:val="center"/>
              <w:rPr>
                <w:rFonts w:eastAsia="仿宋"/>
                <w:color w:val="000000"/>
                <w:sz w:val="24"/>
              </w:rPr>
            </w:pPr>
            <w:r>
              <w:rPr>
                <w:rFonts w:eastAsia="仿宋"/>
                <w:color w:val="000000"/>
                <w:kern w:val="0"/>
                <w:sz w:val="24"/>
                <w:lang w:bidi="ar"/>
              </w:rPr>
              <w:t>313</w:t>
            </w:r>
          </w:p>
        </w:tc>
        <w:tc>
          <w:tcPr>
            <w:tcW w:w="838" w:type="pct"/>
            <w:tcBorders>
              <w:top w:val="single" w:color="000000" w:sz="4" w:space="0"/>
              <w:left w:val="single" w:color="000000" w:sz="4" w:space="0"/>
              <w:bottom w:val="single" w:color="000000" w:sz="4" w:space="0"/>
              <w:right w:val="single" w:color="000000" w:sz="4" w:space="0"/>
            </w:tcBorders>
            <w:vAlign w:val="center"/>
          </w:tcPr>
          <w:p w14:paraId="23490ED7">
            <w:pPr>
              <w:topLinePunct/>
              <w:adjustRightInd w:val="0"/>
              <w:snapToGrid w:val="0"/>
              <w:textAlignment w:val="center"/>
              <w:rPr>
                <w:rFonts w:eastAsia="仿宋"/>
                <w:color w:val="000000"/>
                <w:sz w:val="24"/>
              </w:rPr>
            </w:pPr>
            <w:r>
              <w:rPr>
                <w:rFonts w:eastAsia="仿宋"/>
                <w:color w:val="000000"/>
                <w:kern w:val="0"/>
                <w:sz w:val="24"/>
                <w:lang w:bidi="ar"/>
              </w:rPr>
              <w:t>对尾矿库坝体高度超过设计总坝高，或者尾矿库超过设计库容贮存尾矿的行政处罚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5B37D7CF">
            <w:pPr>
              <w:topLinePunct/>
              <w:adjustRightInd w:val="0"/>
              <w:snapToGrid w:val="0"/>
              <w:jc w:val="left"/>
              <w:textAlignment w:val="center"/>
              <w:rPr>
                <w:rFonts w:eastAsia="仿宋"/>
                <w:color w:val="000000"/>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三、尾矿库重大事故隐患</w:t>
            </w:r>
            <w:r>
              <w:rPr>
                <w:rFonts w:eastAsia="仿宋"/>
                <w:color w:val="000000"/>
                <w:kern w:val="0"/>
                <w:sz w:val="24"/>
                <w:lang w:bidi="ar"/>
              </w:rPr>
              <w:br w:type="textWrapping"/>
            </w:r>
            <w:r>
              <w:rPr>
                <w:rFonts w:eastAsia="仿宋"/>
                <w:color w:val="000000"/>
                <w:kern w:val="0"/>
                <w:sz w:val="24"/>
                <w:lang w:bidi="ar"/>
              </w:rPr>
              <w:t>（四）坝体高度超过设计总坝高，或者尾矿库超过设计库容贮存尾矿。</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4FC081D6">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640C7B2E">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5C71BD8A">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27195F69">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2B46FE5D">
            <w:pPr>
              <w:topLinePunct/>
              <w:adjustRightInd w:val="0"/>
              <w:snapToGrid w:val="0"/>
              <w:jc w:val="center"/>
              <w:textAlignment w:val="center"/>
              <w:rPr>
                <w:rFonts w:eastAsia="仿宋"/>
                <w:color w:val="000000"/>
                <w:sz w:val="24"/>
              </w:rPr>
            </w:pPr>
            <w:r>
              <w:rPr>
                <w:rFonts w:eastAsia="仿宋"/>
                <w:color w:val="000000"/>
                <w:kern w:val="0"/>
                <w:sz w:val="24"/>
                <w:lang w:bidi="ar"/>
              </w:rPr>
              <w:t>314</w:t>
            </w:r>
          </w:p>
        </w:tc>
        <w:tc>
          <w:tcPr>
            <w:tcW w:w="838" w:type="pct"/>
            <w:tcBorders>
              <w:top w:val="single" w:color="000000" w:sz="4" w:space="0"/>
              <w:left w:val="single" w:color="000000" w:sz="4" w:space="0"/>
              <w:bottom w:val="single" w:color="000000" w:sz="4" w:space="0"/>
              <w:right w:val="single" w:color="000000" w:sz="4" w:space="0"/>
            </w:tcBorders>
            <w:vAlign w:val="center"/>
          </w:tcPr>
          <w:p w14:paraId="7A5710C7">
            <w:pPr>
              <w:topLinePunct/>
              <w:adjustRightInd w:val="0"/>
              <w:snapToGrid w:val="0"/>
              <w:textAlignment w:val="center"/>
              <w:rPr>
                <w:rFonts w:eastAsia="仿宋"/>
                <w:color w:val="000000"/>
                <w:sz w:val="24"/>
              </w:rPr>
            </w:pPr>
            <w:r>
              <w:rPr>
                <w:rFonts w:eastAsia="仿宋"/>
                <w:color w:val="000000"/>
                <w:kern w:val="0"/>
                <w:sz w:val="24"/>
                <w:lang w:bidi="ar"/>
              </w:rPr>
              <w:t>对尾矿库坝体的平均外坡比或者堆积子坝的外坡比陡于设计坡比的行政处罚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5BB30EB2">
            <w:pPr>
              <w:topLinePunct/>
              <w:adjustRightInd w:val="0"/>
              <w:snapToGrid w:val="0"/>
              <w:jc w:val="left"/>
              <w:textAlignment w:val="center"/>
              <w:rPr>
                <w:rFonts w:eastAsia="仿宋"/>
                <w:color w:val="000000"/>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三、尾矿库重大事故隐患</w:t>
            </w:r>
            <w:r>
              <w:rPr>
                <w:rFonts w:eastAsia="仿宋"/>
                <w:color w:val="000000"/>
                <w:kern w:val="0"/>
                <w:sz w:val="24"/>
                <w:lang w:bidi="ar"/>
              </w:rPr>
              <w:br w:type="textWrapping"/>
            </w:r>
            <w:r>
              <w:rPr>
                <w:rFonts w:eastAsia="仿宋"/>
                <w:color w:val="000000"/>
                <w:kern w:val="0"/>
                <w:sz w:val="24"/>
                <w:lang w:bidi="ar"/>
              </w:rPr>
              <w:t>（三）坝体的平均外坡比或者堆积子坝的外坡比陡于设计坡比。</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5D3CDDE9">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0E00A559">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5D15ACA9">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31E58CDF">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2F60FC29">
            <w:pPr>
              <w:topLinePunct/>
              <w:adjustRightInd w:val="0"/>
              <w:snapToGrid w:val="0"/>
              <w:jc w:val="center"/>
              <w:textAlignment w:val="center"/>
              <w:rPr>
                <w:rFonts w:eastAsia="仿宋"/>
                <w:color w:val="000000"/>
                <w:sz w:val="24"/>
              </w:rPr>
            </w:pPr>
            <w:r>
              <w:rPr>
                <w:rFonts w:eastAsia="仿宋"/>
                <w:color w:val="000000"/>
                <w:kern w:val="0"/>
                <w:sz w:val="24"/>
                <w:lang w:bidi="ar"/>
              </w:rPr>
              <w:t>315</w:t>
            </w:r>
          </w:p>
        </w:tc>
        <w:tc>
          <w:tcPr>
            <w:tcW w:w="838" w:type="pct"/>
            <w:tcBorders>
              <w:top w:val="single" w:color="000000" w:sz="4" w:space="0"/>
              <w:left w:val="single" w:color="000000" w:sz="4" w:space="0"/>
              <w:bottom w:val="single" w:color="000000" w:sz="4" w:space="0"/>
              <w:right w:val="single" w:color="000000" w:sz="4" w:space="0"/>
            </w:tcBorders>
            <w:vAlign w:val="center"/>
          </w:tcPr>
          <w:p w14:paraId="401E6C92">
            <w:pPr>
              <w:topLinePunct/>
              <w:adjustRightInd w:val="0"/>
              <w:snapToGrid w:val="0"/>
              <w:textAlignment w:val="center"/>
              <w:rPr>
                <w:rFonts w:eastAsia="仿宋"/>
                <w:color w:val="000000"/>
                <w:sz w:val="24"/>
              </w:rPr>
            </w:pPr>
            <w:r>
              <w:rPr>
                <w:rFonts w:eastAsia="仿宋"/>
                <w:color w:val="000000"/>
                <w:kern w:val="0"/>
                <w:sz w:val="24"/>
                <w:lang w:bidi="ar"/>
              </w:rPr>
              <w:t>对尾矿库坝型、最终堆积标高和最终坝轴线的位置未经批准作出变更的行政处罚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337D84D5">
            <w:pPr>
              <w:topLinePunct/>
              <w:adjustRightInd w:val="0"/>
              <w:snapToGrid w:val="0"/>
              <w:jc w:val="left"/>
              <w:textAlignment w:val="center"/>
              <w:rPr>
                <w:rFonts w:eastAsia="仿宋"/>
                <w:color w:val="000000"/>
                <w:sz w:val="24"/>
              </w:rPr>
            </w:pPr>
            <w:r>
              <w:rPr>
                <w:rFonts w:eastAsia="仿宋"/>
                <w:color w:val="000000"/>
                <w:kern w:val="0"/>
                <w:sz w:val="24"/>
                <w:lang w:bidi="ar"/>
              </w:rPr>
              <w:t>1.《尾矿库安全监督管理规定》</w:t>
            </w:r>
            <w:r>
              <w:rPr>
                <w:rFonts w:eastAsia="仿宋"/>
                <w:color w:val="000000"/>
                <w:kern w:val="0"/>
                <w:sz w:val="24"/>
                <w:lang w:bidi="ar"/>
              </w:rPr>
              <w:br w:type="textWrapping"/>
            </w:r>
            <w:r>
              <w:rPr>
                <w:rFonts w:eastAsia="仿宋"/>
                <w:color w:val="000000"/>
                <w:kern w:val="0"/>
                <w:sz w:val="24"/>
                <w:lang w:bidi="ar"/>
              </w:rPr>
              <w:t>第十八条第四项  对生产运行的尾矿库，未经技术论证和安全生产监督管理部门的批准，任何单位和个人不得对下列事项进行变更：（四）坝型、坝外坡坡比、最终堆积标高和最终坝轴线的位置；</w:t>
            </w:r>
            <w:r>
              <w:rPr>
                <w:rFonts w:eastAsia="仿宋"/>
                <w:color w:val="000000"/>
                <w:kern w:val="0"/>
                <w:sz w:val="24"/>
                <w:lang w:bidi="ar"/>
              </w:rPr>
              <w:br w:type="textWrapping"/>
            </w:r>
            <w:r>
              <w:rPr>
                <w:rFonts w:eastAsia="仿宋"/>
                <w:color w:val="000000"/>
                <w:kern w:val="0"/>
                <w:sz w:val="24"/>
                <w:lang w:bidi="ar"/>
              </w:rPr>
              <w:t>第四十条  生产经营单位或者尾矿库管理单位违反本规定第十八条规定的，给予警告，并处3万元的罚款；情节严重的，依法责令停产整顿或者提请县级以上地方人民政府按照规定权限予以关闭。</w:t>
            </w:r>
          </w:p>
        </w:tc>
        <w:tc>
          <w:tcPr>
            <w:tcW w:w="476" w:type="pct"/>
            <w:tcBorders>
              <w:top w:val="single" w:color="000000" w:sz="4" w:space="0"/>
              <w:left w:val="single" w:color="000000" w:sz="4" w:space="0"/>
              <w:bottom w:val="single" w:color="000000" w:sz="4" w:space="0"/>
              <w:right w:val="single" w:color="000000" w:sz="4" w:space="0"/>
            </w:tcBorders>
            <w:vAlign w:val="center"/>
          </w:tcPr>
          <w:p w14:paraId="5B3C489A">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54346591">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53AA3070">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4C0AAB32">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59B8141A">
            <w:pPr>
              <w:topLinePunct/>
              <w:adjustRightInd w:val="0"/>
              <w:snapToGrid w:val="0"/>
              <w:jc w:val="center"/>
              <w:textAlignment w:val="center"/>
              <w:rPr>
                <w:rFonts w:eastAsia="仿宋"/>
                <w:color w:val="000000"/>
                <w:sz w:val="24"/>
              </w:rPr>
            </w:pPr>
            <w:r>
              <w:rPr>
                <w:rFonts w:eastAsia="仿宋"/>
                <w:color w:val="000000"/>
                <w:kern w:val="0"/>
                <w:sz w:val="24"/>
                <w:lang w:bidi="ar"/>
              </w:rPr>
              <w:t>316</w:t>
            </w:r>
          </w:p>
        </w:tc>
        <w:tc>
          <w:tcPr>
            <w:tcW w:w="838" w:type="pct"/>
            <w:tcBorders>
              <w:top w:val="single" w:color="000000" w:sz="4" w:space="0"/>
              <w:left w:val="single" w:color="000000" w:sz="4" w:space="0"/>
              <w:bottom w:val="single" w:color="000000" w:sz="4" w:space="0"/>
              <w:right w:val="single" w:color="000000" w:sz="4" w:space="0"/>
            </w:tcBorders>
            <w:vAlign w:val="center"/>
          </w:tcPr>
          <w:p w14:paraId="7B218719">
            <w:pPr>
              <w:topLinePunct/>
              <w:adjustRightInd w:val="0"/>
              <w:snapToGrid w:val="0"/>
              <w:textAlignment w:val="center"/>
              <w:rPr>
                <w:rFonts w:eastAsia="仿宋"/>
                <w:color w:val="000000"/>
                <w:sz w:val="24"/>
              </w:rPr>
            </w:pPr>
            <w:r>
              <w:rPr>
                <w:rFonts w:eastAsia="仿宋"/>
                <w:color w:val="000000"/>
                <w:kern w:val="0"/>
                <w:sz w:val="24"/>
                <w:lang w:bidi="ar"/>
              </w:rPr>
              <w:t>对尾矿库排水井、排水斜槽、排水管、排水隧洞、拱板、盖板等排洪建构筑物混凝土厚度、强度或者型式不满足设计要求等行为的行政处罚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7B09DB57">
            <w:pPr>
              <w:topLinePunct/>
              <w:adjustRightInd w:val="0"/>
              <w:snapToGrid w:val="0"/>
              <w:jc w:val="left"/>
              <w:textAlignment w:val="center"/>
              <w:rPr>
                <w:rFonts w:eastAsia="仿宋"/>
                <w:color w:val="000000"/>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三、尾矿库重大事故隐患</w:t>
            </w:r>
            <w:r>
              <w:rPr>
                <w:rFonts w:eastAsia="仿宋"/>
                <w:color w:val="000000"/>
                <w:kern w:val="0"/>
                <w:sz w:val="24"/>
                <w:lang w:bidi="ar"/>
              </w:rPr>
              <w:br w:type="textWrapping"/>
            </w:r>
            <w:r>
              <w:rPr>
                <w:rFonts w:eastAsia="仿宋"/>
                <w:color w:val="000000"/>
                <w:kern w:val="0"/>
                <w:sz w:val="24"/>
                <w:lang w:bidi="ar"/>
              </w:rPr>
              <w:t>（九）排洪系统存在下列情形之一的：</w:t>
            </w:r>
            <w:r>
              <w:rPr>
                <w:rFonts w:eastAsia="仿宋"/>
                <w:color w:val="000000"/>
                <w:kern w:val="0"/>
                <w:sz w:val="24"/>
                <w:lang w:bidi="ar"/>
              </w:rPr>
              <w:br w:type="textWrapping"/>
            </w:r>
            <w:r>
              <w:rPr>
                <w:rFonts w:eastAsia="仿宋"/>
                <w:color w:val="000000"/>
                <w:kern w:val="0"/>
                <w:sz w:val="24"/>
                <w:lang w:bidi="ar"/>
              </w:rPr>
              <w:t>1排水井、排水斜槽、排水管、排水隧洞、拱板、盖板等排洪建构筑物混凝土厚度、强度或者型式不满足设计要求；</w:t>
            </w:r>
            <w:r>
              <w:rPr>
                <w:rFonts w:eastAsia="仿宋"/>
                <w:color w:val="000000"/>
                <w:kern w:val="0"/>
                <w:sz w:val="24"/>
                <w:lang w:bidi="ar"/>
              </w:rPr>
              <w:br w:type="textWrapping"/>
            </w:r>
            <w:r>
              <w:rPr>
                <w:rFonts w:eastAsia="仿宋"/>
                <w:color w:val="000000"/>
                <w:kern w:val="0"/>
                <w:sz w:val="24"/>
                <w:lang w:bidi="ar"/>
              </w:rPr>
              <w:t>2排洪设施部分堵塞或者坍塌、排水井有所倾斜，排水能力有所降低，达不到设计要求；</w:t>
            </w:r>
            <w:r>
              <w:rPr>
                <w:rFonts w:eastAsia="仿宋"/>
                <w:color w:val="000000"/>
                <w:kern w:val="0"/>
                <w:sz w:val="24"/>
                <w:lang w:bidi="ar"/>
              </w:rPr>
              <w:br w:type="textWrapping"/>
            </w:r>
            <w:r>
              <w:rPr>
                <w:rFonts w:eastAsia="仿宋"/>
                <w:color w:val="000000"/>
                <w:kern w:val="0"/>
                <w:sz w:val="24"/>
                <w:lang w:bidi="ar"/>
              </w:rPr>
              <w:t>3排洪构筑物终止使用时，封堵措施不满足设计要求。</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09098593">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5145D949">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60A3F8DB">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366DBA44">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20277FCA">
            <w:pPr>
              <w:topLinePunct/>
              <w:adjustRightInd w:val="0"/>
              <w:snapToGrid w:val="0"/>
              <w:jc w:val="center"/>
              <w:textAlignment w:val="center"/>
              <w:rPr>
                <w:rFonts w:eastAsia="仿宋"/>
                <w:color w:val="000000"/>
                <w:sz w:val="24"/>
              </w:rPr>
            </w:pPr>
            <w:r>
              <w:rPr>
                <w:rFonts w:eastAsia="仿宋"/>
                <w:color w:val="000000"/>
                <w:kern w:val="0"/>
                <w:sz w:val="24"/>
                <w:lang w:bidi="ar"/>
              </w:rPr>
              <w:t>317</w:t>
            </w:r>
          </w:p>
        </w:tc>
        <w:tc>
          <w:tcPr>
            <w:tcW w:w="838" w:type="pct"/>
            <w:tcBorders>
              <w:top w:val="single" w:color="000000" w:sz="4" w:space="0"/>
              <w:left w:val="single" w:color="000000" w:sz="4" w:space="0"/>
              <w:bottom w:val="single" w:color="000000" w:sz="4" w:space="0"/>
              <w:right w:val="single" w:color="000000" w:sz="4" w:space="0"/>
            </w:tcBorders>
            <w:vAlign w:val="center"/>
          </w:tcPr>
          <w:p w14:paraId="3A100AF3">
            <w:pPr>
              <w:topLinePunct/>
              <w:adjustRightInd w:val="0"/>
              <w:snapToGrid w:val="0"/>
              <w:textAlignment w:val="center"/>
              <w:rPr>
                <w:rFonts w:eastAsia="仿宋"/>
                <w:color w:val="000000"/>
                <w:sz w:val="24"/>
              </w:rPr>
            </w:pPr>
            <w:r>
              <w:rPr>
                <w:rFonts w:eastAsia="仿宋"/>
                <w:color w:val="000000"/>
                <w:kern w:val="0"/>
                <w:sz w:val="24"/>
                <w:lang w:bidi="ar"/>
              </w:rPr>
              <w:t>对尾矿库浸润线埋深小于控制浸润线埋深的行政处罚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7A3B53CF">
            <w:pPr>
              <w:topLinePunct/>
              <w:adjustRightInd w:val="0"/>
              <w:snapToGrid w:val="0"/>
              <w:jc w:val="left"/>
              <w:textAlignment w:val="center"/>
              <w:rPr>
                <w:rFonts w:eastAsia="仿宋"/>
                <w:color w:val="000000"/>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三、尾矿库重大事故隐患</w:t>
            </w:r>
            <w:r>
              <w:rPr>
                <w:rFonts w:eastAsia="仿宋"/>
                <w:color w:val="000000"/>
                <w:kern w:val="0"/>
                <w:sz w:val="24"/>
                <w:lang w:bidi="ar"/>
              </w:rPr>
              <w:br w:type="textWrapping"/>
            </w:r>
            <w:r>
              <w:rPr>
                <w:rFonts w:eastAsia="仿宋"/>
                <w:color w:val="000000"/>
                <w:kern w:val="0"/>
                <w:sz w:val="24"/>
                <w:lang w:bidi="ar"/>
              </w:rPr>
              <w:t>（七）浸润线埋深小于控制浸润线埋深。</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0DF219F5">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66B87AD8">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38175FDC">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435E268E">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3E480BA1">
            <w:pPr>
              <w:topLinePunct/>
              <w:adjustRightInd w:val="0"/>
              <w:snapToGrid w:val="0"/>
              <w:jc w:val="center"/>
              <w:textAlignment w:val="center"/>
              <w:rPr>
                <w:rFonts w:eastAsia="仿宋"/>
                <w:color w:val="000000"/>
                <w:sz w:val="24"/>
              </w:rPr>
            </w:pPr>
            <w:r>
              <w:rPr>
                <w:rFonts w:eastAsia="仿宋"/>
                <w:color w:val="000000"/>
                <w:kern w:val="0"/>
                <w:sz w:val="24"/>
                <w:lang w:bidi="ar"/>
              </w:rPr>
              <w:t>318</w:t>
            </w:r>
          </w:p>
        </w:tc>
        <w:tc>
          <w:tcPr>
            <w:tcW w:w="838" w:type="pct"/>
            <w:tcBorders>
              <w:top w:val="single" w:color="000000" w:sz="4" w:space="0"/>
              <w:left w:val="single" w:color="000000" w:sz="4" w:space="0"/>
              <w:bottom w:val="single" w:color="000000" w:sz="4" w:space="0"/>
              <w:right w:val="single" w:color="000000" w:sz="4" w:space="0"/>
            </w:tcBorders>
            <w:vAlign w:val="center"/>
          </w:tcPr>
          <w:p w14:paraId="20633124">
            <w:pPr>
              <w:topLinePunct/>
              <w:adjustRightInd w:val="0"/>
              <w:snapToGrid w:val="0"/>
              <w:textAlignment w:val="center"/>
              <w:rPr>
                <w:rFonts w:eastAsia="仿宋"/>
                <w:color w:val="000000"/>
                <w:sz w:val="24"/>
              </w:rPr>
            </w:pPr>
            <w:r>
              <w:rPr>
                <w:rFonts w:eastAsia="仿宋"/>
                <w:color w:val="000000"/>
                <w:kern w:val="0"/>
                <w:sz w:val="24"/>
                <w:lang w:bidi="ar"/>
              </w:rPr>
              <w:t>对尾矿库汛前未进行调洪演算或防洪控制参数小于设计值的行政处罚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19F2DCA0">
            <w:pPr>
              <w:topLinePunct/>
              <w:adjustRightInd w:val="0"/>
              <w:snapToGrid w:val="0"/>
              <w:jc w:val="left"/>
              <w:textAlignment w:val="center"/>
              <w:rPr>
                <w:rFonts w:eastAsia="仿宋"/>
                <w:color w:val="000000"/>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三、尾矿库重大事故隐患</w:t>
            </w:r>
            <w:r>
              <w:rPr>
                <w:rFonts w:eastAsia="仿宋"/>
                <w:color w:val="000000"/>
                <w:kern w:val="0"/>
                <w:sz w:val="24"/>
                <w:lang w:bidi="ar"/>
              </w:rPr>
              <w:br w:type="textWrapping"/>
            </w:r>
            <w:r>
              <w:rPr>
                <w:rFonts w:eastAsia="仿宋"/>
                <w:color w:val="000000"/>
                <w:kern w:val="0"/>
                <w:sz w:val="24"/>
                <w:lang w:bidi="ar"/>
              </w:rPr>
              <w:t>（八）汛前未按国家有关规定对尾矿库进行调洪演算，或者湿式尾矿库防洪高度和干滩长度小于设计值，或者干式尾矿库防洪高度和防洪宽度小于设计值。</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71389DCB">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0E650AC1">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12A15A93">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35104F2D">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729EB855">
            <w:pPr>
              <w:topLinePunct/>
              <w:adjustRightInd w:val="0"/>
              <w:snapToGrid w:val="0"/>
              <w:jc w:val="center"/>
              <w:textAlignment w:val="center"/>
              <w:rPr>
                <w:rFonts w:eastAsia="仿宋"/>
                <w:color w:val="000000"/>
                <w:sz w:val="24"/>
              </w:rPr>
            </w:pPr>
            <w:r>
              <w:rPr>
                <w:rFonts w:eastAsia="仿宋"/>
                <w:color w:val="000000"/>
                <w:kern w:val="0"/>
                <w:sz w:val="24"/>
                <w:lang w:bidi="ar"/>
              </w:rPr>
              <w:t>319</w:t>
            </w:r>
          </w:p>
        </w:tc>
        <w:tc>
          <w:tcPr>
            <w:tcW w:w="838" w:type="pct"/>
            <w:tcBorders>
              <w:top w:val="single" w:color="000000" w:sz="4" w:space="0"/>
              <w:left w:val="single" w:color="000000" w:sz="4" w:space="0"/>
              <w:bottom w:val="single" w:color="000000" w:sz="4" w:space="0"/>
              <w:right w:val="single" w:color="000000" w:sz="4" w:space="0"/>
            </w:tcBorders>
            <w:vAlign w:val="center"/>
          </w:tcPr>
          <w:p w14:paraId="1CCF31EB">
            <w:pPr>
              <w:topLinePunct/>
              <w:adjustRightInd w:val="0"/>
              <w:snapToGrid w:val="0"/>
              <w:textAlignment w:val="center"/>
              <w:rPr>
                <w:rFonts w:eastAsia="仿宋"/>
                <w:color w:val="000000"/>
                <w:sz w:val="24"/>
              </w:rPr>
            </w:pPr>
            <w:r>
              <w:rPr>
                <w:rFonts w:eastAsia="仿宋"/>
                <w:color w:val="000000"/>
                <w:kern w:val="0"/>
                <w:sz w:val="24"/>
                <w:lang w:bidi="ar"/>
              </w:rPr>
              <w:t>对尾矿库未按设计建立、运行安全监测系统等行为的行政处罚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479D89F8">
            <w:pPr>
              <w:topLinePunct/>
              <w:adjustRightInd w:val="0"/>
              <w:snapToGrid w:val="0"/>
              <w:jc w:val="left"/>
              <w:textAlignment w:val="center"/>
              <w:rPr>
                <w:rFonts w:eastAsia="仿宋"/>
                <w:color w:val="000000"/>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三、尾矿库重大事故隐患</w:t>
            </w:r>
            <w:r>
              <w:rPr>
                <w:rFonts w:eastAsia="仿宋"/>
                <w:color w:val="000000"/>
                <w:kern w:val="0"/>
                <w:sz w:val="24"/>
                <w:lang w:bidi="ar"/>
              </w:rPr>
              <w:br w:type="textWrapping"/>
            </w:r>
            <w:r>
              <w:rPr>
                <w:rFonts w:eastAsia="仿宋"/>
                <w:color w:val="000000"/>
                <w:kern w:val="0"/>
                <w:sz w:val="24"/>
                <w:lang w:bidi="ar"/>
              </w:rPr>
              <w:t>（十三）安全监测系统存在下列情形之一的：</w:t>
            </w:r>
            <w:r>
              <w:rPr>
                <w:rFonts w:eastAsia="仿宋"/>
                <w:color w:val="000000"/>
                <w:kern w:val="0"/>
                <w:sz w:val="24"/>
                <w:lang w:bidi="ar"/>
              </w:rPr>
              <w:br w:type="textWrapping"/>
            </w:r>
            <w:r>
              <w:rPr>
                <w:rFonts w:eastAsia="仿宋"/>
                <w:color w:val="000000"/>
                <w:kern w:val="0"/>
                <w:sz w:val="24"/>
                <w:lang w:bidi="ar"/>
              </w:rPr>
              <w:t>1未按设计设置安全监测系统；</w:t>
            </w:r>
            <w:r>
              <w:rPr>
                <w:rFonts w:eastAsia="仿宋"/>
                <w:color w:val="000000"/>
                <w:kern w:val="0"/>
                <w:sz w:val="24"/>
                <w:lang w:bidi="ar"/>
              </w:rPr>
              <w:br w:type="textWrapping"/>
            </w:r>
            <w:r>
              <w:rPr>
                <w:rFonts w:eastAsia="仿宋"/>
                <w:color w:val="000000"/>
                <w:kern w:val="0"/>
                <w:sz w:val="24"/>
                <w:lang w:bidi="ar"/>
              </w:rPr>
              <w:t>2安全监测系统运行不正常未及时修复；</w:t>
            </w:r>
            <w:r>
              <w:rPr>
                <w:rFonts w:eastAsia="仿宋"/>
                <w:color w:val="000000"/>
                <w:kern w:val="0"/>
                <w:sz w:val="24"/>
                <w:lang w:bidi="ar"/>
              </w:rPr>
              <w:br w:type="textWrapping"/>
            </w:r>
            <w:r>
              <w:rPr>
                <w:rFonts w:eastAsia="仿宋"/>
                <w:color w:val="000000"/>
                <w:kern w:val="0"/>
                <w:sz w:val="24"/>
                <w:lang w:bidi="ar"/>
              </w:rPr>
              <w:t>3关闭、破坏安全监测系统，或者篡改、隐瞒、销毁其相关数据、信息。</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第九十九条第二项、第四项  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二）安全设备的安装、使用、检测、改造和报废不符合国家标准或者行业标准的；（四）关闭、破坏直接关系生产安全的监控、报警、防护、救生设备、设施，或者篡改、隐瞒、销毁其相关数据、信息的；</w:t>
            </w:r>
          </w:p>
        </w:tc>
        <w:tc>
          <w:tcPr>
            <w:tcW w:w="476" w:type="pct"/>
            <w:tcBorders>
              <w:top w:val="single" w:color="000000" w:sz="4" w:space="0"/>
              <w:left w:val="single" w:color="000000" w:sz="4" w:space="0"/>
              <w:bottom w:val="single" w:color="000000" w:sz="4" w:space="0"/>
              <w:right w:val="single" w:color="000000" w:sz="4" w:space="0"/>
            </w:tcBorders>
            <w:vAlign w:val="center"/>
          </w:tcPr>
          <w:p w14:paraId="6E080896">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4EB7D86A">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07CA8749">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7DCC21BB">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0B255680">
            <w:pPr>
              <w:topLinePunct/>
              <w:adjustRightInd w:val="0"/>
              <w:snapToGrid w:val="0"/>
              <w:jc w:val="center"/>
              <w:textAlignment w:val="center"/>
              <w:rPr>
                <w:rFonts w:eastAsia="仿宋"/>
                <w:color w:val="000000"/>
                <w:sz w:val="24"/>
              </w:rPr>
            </w:pPr>
            <w:r>
              <w:rPr>
                <w:rFonts w:eastAsia="仿宋"/>
                <w:color w:val="000000"/>
                <w:kern w:val="0"/>
                <w:sz w:val="24"/>
                <w:lang w:bidi="ar"/>
              </w:rPr>
              <w:t>320</w:t>
            </w:r>
          </w:p>
        </w:tc>
        <w:tc>
          <w:tcPr>
            <w:tcW w:w="838" w:type="pct"/>
            <w:tcBorders>
              <w:top w:val="single" w:color="000000" w:sz="4" w:space="0"/>
              <w:left w:val="single" w:color="000000" w:sz="4" w:space="0"/>
              <w:bottom w:val="single" w:color="000000" w:sz="4" w:space="0"/>
              <w:right w:val="single" w:color="000000" w:sz="4" w:space="0"/>
            </w:tcBorders>
            <w:vAlign w:val="center"/>
          </w:tcPr>
          <w:p w14:paraId="553C561A">
            <w:pPr>
              <w:topLinePunct/>
              <w:adjustRightInd w:val="0"/>
              <w:snapToGrid w:val="0"/>
              <w:textAlignment w:val="center"/>
              <w:rPr>
                <w:rFonts w:eastAsia="仿宋"/>
                <w:color w:val="000000"/>
                <w:sz w:val="24"/>
              </w:rPr>
            </w:pPr>
            <w:r>
              <w:rPr>
                <w:rFonts w:eastAsia="仿宋"/>
                <w:color w:val="000000"/>
                <w:kern w:val="0"/>
                <w:sz w:val="24"/>
                <w:lang w:bidi="ar"/>
              </w:rPr>
              <w:t>对干式尾矿库不符合设计的行政处罚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611ED613">
            <w:pPr>
              <w:topLinePunct/>
              <w:adjustRightInd w:val="0"/>
              <w:snapToGrid w:val="0"/>
              <w:jc w:val="left"/>
              <w:textAlignment w:val="center"/>
              <w:rPr>
                <w:rFonts w:eastAsia="仿宋"/>
                <w:color w:val="000000"/>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三、尾矿库重大事故隐患</w:t>
            </w:r>
            <w:r>
              <w:rPr>
                <w:rFonts w:eastAsia="仿宋"/>
                <w:color w:val="000000"/>
                <w:kern w:val="0"/>
                <w:sz w:val="24"/>
                <w:lang w:bidi="ar"/>
              </w:rPr>
              <w:br w:type="textWrapping"/>
            </w:r>
            <w:r>
              <w:rPr>
                <w:rFonts w:eastAsia="仿宋"/>
                <w:color w:val="000000"/>
                <w:kern w:val="0"/>
                <w:sz w:val="24"/>
                <w:lang w:bidi="ar"/>
              </w:rPr>
              <w:t>（十四）干式尾矿库存在下列情形之一的：</w:t>
            </w:r>
            <w:r>
              <w:rPr>
                <w:rFonts w:eastAsia="仿宋"/>
                <w:color w:val="000000"/>
                <w:kern w:val="0"/>
                <w:sz w:val="24"/>
                <w:lang w:bidi="ar"/>
              </w:rPr>
              <w:br w:type="textWrapping"/>
            </w:r>
            <w:r>
              <w:rPr>
                <w:rFonts w:eastAsia="仿宋"/>
                <w:color w:val="000000"/>
                <w:kern w:val="0"/>
                <w:sz w:val="24"/>
                <w:lang w:bidi="ar"/>
              </w:rPr>
              <w:t>1入库尾矿的含水率大于设计值，无法进行正常碾压且未设置可靠的防范措施；</w:t>
            </w:r>
            <w:r>
              <w:rPr>
                <w:rFonts w:eastAsia="仿宋"/>
                <w:color w:val="000000"/>
                <w:kern w:val="0"/>
                <w:sz w:val="24"/>
                <w:lang w:bidi="ar"/>
              </w:rPr>
              <w:br w:type="textWrapping"/>
            </w:r>
            <w:r>
              <w:rPr>
                <w:rFonts w:eastAsia="仿宋"/>
                <w:color w:val="000000"/>
                <w:kern w:val="0"/>
                <w:sz w:val="24"/>
                <w:lang w:bidi="ar"/>
              </w:rPr>
              <w:t>2堆存推进方向与设计不一致；</w:t>
            </w:r>
            <w:r>
              <w:rPr>
                <w:rFonts w:eastAsia="仿宋"/>
                <w:color w:val="000000"/>
                <w:kern w:val="0"/>
                <w:sz w:val="24"/>
                <w:lang w:bidi="ar"/>
              </w:rPr>
              <w:br w:type="textWrapping"/>
            </w:r>
            <w:r>
              <w:rPr>
                <w:rFonts w:eastAsia="仿宋"/>
                <w:color w:val="000000"/>
                <w:kern w:val="0"/>
                <w:sz w:val="24"/>
                <w:lang w:bidi="ar"/>
              </w:rPr>
              <w:t>3分层厚度或者台阶高度大于设计值；</w:t>
            </w:r>
            <w:r>
              <w:rPr>
                <w:rFonts w:eastAsia="仿宋"/>
                <w:color w:val="000000"/>
                <w:kern w:val="0"/>
                <w:sz w:val="24"/>
                <w:lang w:bidi="ar"/>
              </w:rPr>
              <w:br w:type="textWrapping"/>
            </w:r>
            <w:r>
              <w:rPr>
                <w:rFonts w:eastAsia="仿宋"/>
                <w:color w:val="000000"/>
                <w:kern w:val="0"/>
                <w:sz w:val="24"/>
                <w:lang w:bidi="ar"/>
              </w:rPr>
              <w:t>4未按设计要求进行碾压。</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3C18D2B6">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72D0B304">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755F8EAD">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2A106A37">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3B3A9591">
            <w:pPr>
              <w:topLinePunct/>
              <w:adjustRightInd w:val="0"/>
              <w:snapToGrid w:val="0"/>
              <w:jc w:val="center"/>
              <w:textAlignment w:val="center"/>
              <w:rPr>
                <w:rFonts w:eastAsia="仿宋"/>
                <w:color w:val="000000"/>
                <w:sz w:val="24"/>
              </w:rPr>
            </w:pPr>
            <w:r>
              <w:rPr>
                <w:rFonts w:eastAsia="仿宋"/>
                <w:color w:val="000000"/>
                <w:kern w:val="0"/>
                <w:sz w:val="24"/>
                <w:lang w:bidi="ar"/>
              </w:rPr>
              <w:t>321</w:t>
            </w:r>
          </w:p>
        </w:tc>
        <w:tc>
          <w:tcPr>
            <w:tcW w:w="838" w:type="pct"/>
            <w:tcBorders>
              <w:top w:val="single" w:color="000000" w:sz="4" w:space="0"/>
              <w:left w:val="single" w:color="000000" w:sz="4" w:space="0"/>
              <w:bottom w:val="single" w:color="000000" w:sz="4" w:space="0"/>
              <w:right w:val="single" w:color="000000" w:sz="4" w:space="0"/>
            </w:tcBorders>
            <w:vAlign w:val="center"/>
          </w:tcPr>
          <w:p w14:paraId="7E62CEE6">
            <w:pPr>
              <w:topLinePunct/>
              <w:adjustRightInd w:val="0"/>
              <w:snapToGrid w:val="0"/>
              <w:textAlignment w:val="center"/>
              <w:rPr>
                <w:rFonts w:eastAsia="仿宋"/>
                <w:color w:val="000000"/>
                <w:sz w:val="24"/>
              </w:rPr>
            </w:pPr>
            <w:r>
              <w:rPr>
                <w:rFonts w:eastAsia="仿宋"/>
                <w:color w:val="000000"/>
                <w:kern w:val="0"/>
                <w:sz w:val="24"/>
                <w:lang w:bidi="ar"/>
              </w:rPr>
              <w:t>对坝体抗滑稳定最小安全系数不满足规定的行政处罚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6BF32748">
            <w:pPr>
              <w:topLinePunct/>
              <w:adjustRightInd w:val="0"/>
              <w:snapToGrid w:val="0"/>
              <w:jc w:val="left"/>
              <w:textAlignment w:val="center"/>
              <w:rPr>
                <w:rFonts w:eastAsia="仿宋"/>
                <w:color w:val="000000"/>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三、尾矿库重大事故隐患</w:t>
            </w:r>
            <w:r>
              <w:rPr>
                <w:rFonts w:eastAsia="仿宋"/>
                <w:color w:val="000000"/>
                <w:kern w:val="0"/>
                <w:sz w:val="24"/>
                <w:lang w:bidi="ar"/>
              </w:rPr>
              <w:br w:type="textWrapping"/>
            </w:r>
            <w:r>
              <w:rPr>
                <w:rFonts w:eastAsia="仿宋"/>
                <w:color w:val="000000"/>
                <w:kern w:val="0"/>
                <w:sz w:val="24"/>
                <w:lang w:bidi="ar"/>
              </w:rPr>
              <w:t>（十五）经验算，坝体抗滑稳定最小安全系数小于国家标准规定值的0.98倍。</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0029E166">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4428F174">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19829C33">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3C9F8A8D">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5D5DA614">
            <w:pPr>
              <w:topLinePunct/>
              <w:adjustRightInd w:val="0"/>
              <w:snapToGrid w:val="0"/>
              <w:jc w:val="center"/>
              <w:textAlignment w:val="center"/>
              <w:rPr>
                <w:rFonts w:eastAsia="仿宋"/>
                <w:color w:val="000000"/>
                <w:sz w:val="24"/>
              </w:rPr>
            </w:pPr>
            <w:r>
              <w:rPr>
                <w:rFonts w:eastAsia="仿宋"/>
                <w:color w:val="000000"/>
                <w:kern w:val="0"/>
                <w:sz w:val="24"/>
                <w:lang w:bidi="ar"/>
              </w:rPr>
              <w:t>322</w:t>
            </w:r>
          </w:p>
        </w:tc>
        <w:tc>
          <w:tcPr>
            <w:tcW w:w="838" w:type="pct"/>
            <w:tcBorders>
              <w:top w:val="single" w:color="000000" w:sz="4" w:space="0"/>
              <w:left w:val="single" w:color="000000" w:sz="4" w:space="0"/>
              <w:bottom w:val="single" w:color="000000" w:sz="4" w:space="0"/>
              <w:right w:val="single" w:color="000000" w:sz="4" w:space="0"/>
            </w:tcBorders>
            <w:vAlign w:val="center"/>
          </w:tcPr>
          <w:p w14:paraId="2A778022">
            <w:pPr>
              <w:topLinePunct/>
              <w:adjustRightInd w:val="0"/>
              <w:snapToGrid w:val="0"/>
              <w:textAlignment w:val="center"/>
              <w:rPr>
                <w:rFonts w:eastAsia="仿宋"/>
                <w:color w:val="000000"/>
                <w:sz w:val="24"/>
              </w:rPr>
            </w:pPr>
            <w:r>
              <w:rPr>
                <w:rFonts w:eastAsia="仿宋"/>
                <w:color w:val="000000"/>
                <w:kern w:val="0"/>
                <w:sz w:val="24"/>
                <w:lang w:bidi="ar"/>
              </w:rPr>
              <w:t>对三等及以上尾矿库及“头顶库”未按设计设置通往坝顶、排洪系统附近的应急道路等行为的行政处罚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46B4B05F">
            <w:pPr>
              <w:topLinePunct/>
              <w:adjustRightInd w:val="0"/>
              <w:snapToGrid w:val="0"/>
              <w:jc w:val="left"/>
              <w:textAlignment w:val="center"/>
              <w:rPr>
                <w:rFonts w:eastAsia="仿宋"/>
                <w:color w:val="000000"/>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三、尾矿库重大事故隐患</w:t>
            </w:r>
            <w:r>
              <w:rPr>
                <w:rFonts w:eastAsia="仿宋"/>
                <w:color w:val="000000"/>
                <w:kern w:val="0"/>
                <w:sz w:val="24"/>
                <w:lang w:bidi="ar"/>
              </w:rPr>
              <w:br w:type="textWrapping"/>
            </w:r>
            <w:r>
              <w:rPr>
                <w:rFonts w:eastAsia="仿宋"/>
                <w:color w:val="000000"/>
                <w:kern w:val="0"/>
                <w:sz w:val="24"/>
                <w:lang w:bidi="ar"/>
              </w:rPr>
              <w:t>（十六）三等及以上尾矿库及“头顶库”未按设计设置通往坝顶、排洪系统附近的应急道路，或者应急道路无法满足应急抢险时通行和运送应急物资的需求。</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5E82D152">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75D104B9">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08770311">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60C17414">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69976317">
            <w:pPr>
              <w:topLinePunct/>
              <w:adjustRightInd w:val="0"/>
              <w:snapToGrid w:val="0"/>
              <w:jc w:val="center"/>
              <w:textAlignment w:val="center"/>
              <w:rPr>
                <w:rFonts w:eastAsia="仿宋"/>
                <w:color w:val="000000"/>
                <w:sz w:val="24"/>
              </w:rPr>
            </w:pPr>
            <w:r>
              <w:rPr>
                <w:rFonts w:eastAsia="仿宋"/>
                <w:color w:val="000000"/>
                <w:kern w:val="0"/>
                <w:sz w:val="24"/>
                <w:lang w:bidi="ar"/>
              </w:rPr>
              <w:t>323</w:t>
            </w:r>
          </w:p>
        </w:tc>
        <w:tc>
          <w:tcPr>
            <w:tcW w:w="838" w:type="pct"/>
            <w:tcBorders>
              <w:top w:val="single" w:color="000000" w:sz="4" w:space="0"/>
              <w:left w:val="single" w:color="000000" w:sz="4" w:space="0"/>
              <w:bottom w:val="single" w:color="000000" w:sz="4" w:space="0"/>
              <w:right w:val="single" w:color="000000" w:sz="4" w:space="0"/>
            </w:tcBorders>
            <w:vAlign w:val="center"/>
          </w:tcPr>
          <w:p w14:paraId="2C71CAA8">
            <w:pPr>
              <w:topLinePunct/>
              <w:adjustRightInd w:val="0"/>
              <w:snapToGrid w:val="0"/>
              <w:textAlignment w:val="center"/>
              <w:rPr>
                <w:rFonts w:eastAsia="仿宋"/>
                <w:color w:val="000000"/>
                <w:sz w:val="24"/>
              </w:rPr>
            </w:pPr>
            <w:r>
              <w:rPr>
                <w:rFonts w:eastAsia="仿宋"/>
                <w:color w:val="000000"/>
                <w:kern w:val="0"/>
                <w:sz w:val="24"/>
                <w:lang w:bidi="ar"/>
              </w:rPr>
              <w:t>对尾矿库未经批准擅自回采等行为的行政处罚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79B278C9">
            <w:pPr>
              <w:topLinePunct/>
              <w:adjustRightInd w:val="0"/>
              <w:snapToGrid w:val="0"/>
              <w:jc w:val="left"/>
              <w:textAlignment w:val="center"/>
              <w:rPr>
                <w:rFonts w:eastAsia="仿宋"/>
                <w:color w:val="000000"/>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三、尾矿库重大事故隐患</w:t>
            </w:r>
            <w:r>
              <w:rPr>
                <w:rFonts w:eastAsia="仿宋"/>
                <w:color w:val="000000"/>
                <w:kern w:val="0"/>
                <w:sz w:val="24"/>
                <w:lang w:bidi="ar"/>
              </w:rPr>
              <w:br w:type="textWrapping"/>
            </w:r>
            <w:r>
              <w:rPr>
                <w:rFonts w:eastAsia="仿宋"/>
                <w:color w:val="000000"/>
                <w:kern w:val="0"/>
                <w:sz w:val="24"/>
                <w:lang w:bidi="ar"/>
              </w:rPr>
              <w:t>（十七）尾矿库回采存在下列情形之一的：</w:t>
            </w:r>
            <w:r>
              <w:rPr>
                <w:rFonts w:eastAsia="仿宋"/>
                <w:color w:val="000000"/>
                <w:kern w:val="0"/>
                <w:sz w:val="24"/>
                <w:lang w:bidi="ar"/>
              </w:rPr>
              <w:br w:type="textWrapping"/>
            </w:r>
            <w:r>
              <w:rPr>
                <w:rFonts w:eastAsia="仿宋"/>
                <w:color w:val="000000"/>
                <w:kern w:val="0"/>
                <w:sz w:val="24"/>
                <w:lang w:bidi="ar"/>
              </w:rPr>
              <w:t>1未经批准擅自回采；</w:t>
            </w:r>
            <w:r>
              <w:rPr>
                <w:rFonts w:eastAsia="仿宋"/>
                <w:color w:val="000000"/>
                <w:kern w:val="0"/>
                <w:sz w:val="24"/>
                <w:lang w:bidi="ar"/>
              </w:rPr>
              <w:br w:type="textWrapping"/>
            </w:r>
            <w:r>
              <w:rPr>
                <w:rFonts w:eastAsia="仿宋"/>
                <w:color w:val="000000"/>
                <w:kern w:val="0"/>
                <w:sz w:val="24"/>
                <w:lang w:bidi="ar"/>
              </w:rPr>
              <w:t>2回采方式、顺序、单层开采高度、台阶坡面角不符合设计要求；</w:t>
            </w:r>
            <w:r>
              <w:rPr>
                <w:rFonts w:eastAsia="仿宋"/>
                <w:color w:val="000000"/>
                <w:kern w:val="0"/>
                <w:sz w:val="24"/>
                <w:lang w:bidi="ar"/>
              </w:rPr>
              <w:br w:type="textWrapping"/>
            </w:r>
            <w:r>
              <w:rPr>
                <w:rFonts w:eastAsia="仿宋"/>
                <w:color w:val="000000"/>
                <w:kern w:val="0"/>
                <w:sz w:val="24"/>
                <w:lang w:bidi="ar"/>
              </w:rPr>
              <w:t>3同时进行回采和排放。</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11362D52">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6F093EB4">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0CCAADFE">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7A4A0778">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5FBCFC71">
            <w:pPr>
              <w:topLinePunct/>
              <w:adjustRightInd w:val="0"/>
              <w:snapToGrid w:val="0"/>
              <w:jc w:val="center"/>
              <w:textAlignment w:val="center"/>
              <w:rPr>
                <w:rFonts w:eastAsia="仿宋"/>
                <w:color w:val="000000"/>
                <w:sz w:val="24"/>
              </w:rPr>
            </w:pPr>
            <w:r>
              <w:rPr>
                <w:rFonts w:eastAsia="仿宋"/>
                <w:color w:val="000000"/>
                <w:kern w:val="0"/>
                <w:sz w:val="24"/>
                <w:lang w:bidi="ar"/>
              </w:rPr>
              <w:t>324</w:t>
            </w:r>
          </w:p>
        </w:tc>
        <w:tc>
          <w:tcPr>
            <w:tcW w:w="838" w:type="pct"/>
            <w:tcBorders>
              <w:top w:val="single" w:color="000000" w:sz="4" w:space="0"/>
              <w:left w:val="single" w:color="000000" w:sz="4" w:space="0"/>
              <w:bottom w:val="single" w:color="000000" w:sz="4" w:space="0"/>
              <w:right w:val="single" w:color="000000" w:sz="4" w:space="0"/>
            </w:tcBorders>
            <w:vAlign w:val="center"/>
          </w:tcPr>
          <w:p w14:paraId="1AB1E533">
            <w:pPr>
              <w:topLinePunct/>
              <w:adjustRightInd w:val="0"/>
              <w:snapToGrid w:val="0"/>
              <w:textAlignment w:val="center"/>
              <w:rPr>
                <w:rFonts w:eastAsia="仿宋"/>
                <w:color w:val="000000"/>
                <w:sz w:val="24"/>
              </w:rPr>
            </w:pPr>
            <w:r>
              <w:rPr>
                <w:rFonts w:eastAsia="仿宋"/>
                <w:color w:val="000000"/>
                <w:kern w:val="0"/>
                <w:sz w:val="24"/>
                <w:lang w:bidi="ar"/>
              </w:rPr>
              <w:t>对用以贮存独立选矿厂进行矿石选别后排出尾矿的场所，未按尾矿库实施安全管理的行政处罚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342DDD9A">
            <w:pPr>
              <w:topLinePunct/>
              <w:adjustRightInd w:val="0"/>
              <w:snapToGrid w:val="0"/>
              <w:jc w:val="left"/>
              <w:textAlignment w:val="center"/>
              <w:rPr>
                <w:rFonts w:eastAsia="仿宋"/>
                <w:color w:val="000000"/>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三、尾矿库重大事故隐患</w:t>
            </w:r>
            <w:r>
              <w:rPr>
                <w:rFonts w:eastAsia="仿宋"/>
                <w:color w:val="000000"/>
                <w:kern w:val="0"/>
                <w:sz w:val="24"/>
                <w:lang w:bidi="ar"/>
              </w:rPr>
              <w:br w:type="textWrapping"/>
            </w:r>
            <w:r>
              <w:rPr>
                <w:rFonts w:eastAsia="仿宋"/>
                <w:color w:val="000000"/>
                <w:kern w:val="0"/>
                <w:sz w:val="24"/>
                <w:lang w:bidi="ar"/>
              </w:rPr>
              <w:t>（十八）用以贮存独立选矿厂进行矿石选别后排出尾矿的场所，未按尾矿库实施安全管理的。</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47010631">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4BB9E800">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3A372566">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29E0329C">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39E83078">
            <w:pPr>
              <w:topLinePunct/>
              <w:adjustRightInd w:val="0"/>
              <w:snapToGrid w:val="0"/>
              <w:jc w:val="center"/>
              <w:textAlignment w:val="center"/>
              <w:rPr>
                <w:rFonts w:eastAsia="仿宋"/>
                <w:color w:val="000000"/>
                <w:sz w:val="24"/>
              </w:rPr>
            </w:pPr>
            <w:r>
              <w:rPr>
                <w:rFonts w:eastAsia="仿宋"/>
                <w:color w:val="000000"/>
                <w:kern w:val="0"/>
                <w:sz w:val="24"/>
                <w:lang w:bidi="ar"/>
              </w:rPr>
              <w:t>325</w:t>
            </w:r>
          </w:p>
        </w:tc>
        <w:tc>
          <w:tcPr>
            <w:tcW w:w="838" w:type="pct"/>
            <w:tcBorders>
              <w:top w:val="single" w:color="000000" w:sz="4" w:space="0"/>
              <w:left w:val="single" w:color="000000" w:sz="4" w:space="0"/>
              <w:bottom w:val="single" w:color="000000" w:sz="4" w:space="0"/>
              <w:right w:val="single" w:color="000000" w:sz="4" w:space="0"/>
            </w:tcBorders>
            <w:vAlign w:val="center"/>
          </w:tcPr>
          <w:p w14:paraId="3577B3AF">
            <w:pPr>
              <w:topLinePunct/>
              <w:adjustRightInd w:val="0"/>
              <w:snapToGrid w:val="0"/>
              <w:textAlignment w:val="center"/>
              <w:rPr>
                <w:rFonts w:eastAsia="仿宋"/>
                <w:color w:val="000000"/>
                <w:sz w:val="24"/>
              </w:rPr>
            </w:pPr>
            <w:r>
              <w:rPr>
                <w:rFonts w:eastAsia="仿宋"/>
                <w:color w:val="000000"/>
                <w:kern w:val="0"/>
                <w:sz w:val="24"/>
                <w:lang w:bidi="ar"/>
              </w:rPr>
              <w:t>对于尾矿库未按国家规定配备专职安全生产管理人员、专业技术人员的行政处罚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2CDCE7F0">
            <w:pPr>
              <w:topLinePunct/>
              <w:adjustRightInd w:val="0"/>
              <w:snapToGrid w:val="0"/>
              <w:jc w:val="left"/>
              <w:textAlignment w:val="center"/>
              <w:rPr>
                <w:rFonts w:eastAsia="仿宋"/>
                <w:color w:val="000000"/>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三、尾矿库重大事故隐患</w:t>
            </w:r>
            <w:r>
              <w:rPr>
                <w:rFonts w:eastAsia="仿宋"/>
                <w:color w:val="000000"/>
                <w:kern w:val="0"/>
                <w:sz w:val="24"/>
                <w:lang w:bidi="ar"/>
              </w:rPr>
              <w:br w:type="textWrapping"/>
            </w:r>
            <w:r>
              <w:rPr>
                <w:rFonts w:eastAsia="仿宋"/>
                <w:color w:val="000000"/>
                <w:kern w:val="0"/>
                <w:sz w:val="24"/>
                <w:lang w:bidi="ar"/>
              </w:rPr>
              <w:t>（十九）未按国家规定配备专职安全生产管理人员、专业技术人员和特种作业人员。</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第九十七条第一项  生产经营单位有下列行为之一的，责令限期改正，处十万元以下的罚款；逾期未改正的，责令停产停业整顿，并处十万元以上二十万元以下的罚款，对其直接负责的主管人员和其他直接责任人员处二万元以上五万元以下的罚款：（一）未按照规定设置安全生产管理机构或者配备安全生产管理人员、注册安全工程师的；</w:t>
            </w:r>
          </w:p>
        </w:tc>
        <w:tc>
          <w:tcPr>
            <w:tcW w:w="476" w:type="pct"/>
            <w:tcBorders>
              <w:top w:val="single" w:color="000000" w:sz="4" w:space="0"/>
              <w:left w:val="single" w:color="000000" w:sz="4" w:space="0"/>
              <w:bottom w:val="single" w:color="000000" w:sz="4" w:space="0"/>
              <w:right w:val="single" w:color="000000" w:sz="4" w:space="0"/>
            </w:tcBorders>
            <w:vAlign w:val="center"/>
          </w:tcPr>
          <w:p w14:paraId="3FE19FAD">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27564BDF">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3E5D8342">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456E9062">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7F58E29D">
            <w:pPr>
              <w:topLinePunct/>
              <w:adjustRightInd w:val="0"/>
              <w:snapToGrid w:val="0"/>
              <w:jc w:val="center"/>
              <w:textAlignment w:val="center"/>
              <w:rPr>
                <w:rFonts w:eastAsia="仿宋"/>
                <w:color w:val="000000"/>
                <w:sz w:val="24"/>
              </w:rPr>
            </w:pPr>
            <w:r>
              <w:rPr>
                <w:rFonts w:eastAsia="仿宋"/>
                <w:color w:val="000000"/>
                <w:kern w:val="0"/>
                <w:sz w:val="24"/>
                <w:lang w:bidi="ar"/>
              </w:rPr>
              <w:t>326</w:t>
            </w:r>
          </w:p>
        </w:tc>
        <w:tc>
          <w:tcPr>
            <w:tcW w:w="838" w:type="pct"/>
            <w:tcBorders>
              <w:top w:val="single" w:color="000000" w:sz="4" w:space="0"/>
              <w:left w:val="single" w:color="000000" w:sz="4" w:space="0"/>
              <w:bottom w:val="single" w:color="000000" w:sz="4" w:space="0"/>
              <w:right w:val="single" w:color="000000" w:sz="4" w:space="0"/>
            </w:tcBorders>
            <w:vAlign w:val="center"/>
          </w:tcPr>
          <w:p w14:paraId="3146C4B5">
            <w:pPr>
              <w:topLinePunct/>
              <w:adjustRightInd w:val="0"/>
              <w:snapToGrid w:val="0"/>
              <w:textAlignment w:val="center"/>
              <w:rPr>
                <w:rFonts w:eastAsia="仿宋"/>
                <w:color w:val="000000"/>
                <w:sz w:val="24"/>
              </w:rPr>
            </w:pPr>
            <w:r>
              <w:rPr>
                <w:rFonts w:eastAsia="仿宋"/>
                <w:color w:val="000000"/>
                <w:kern w:val="0"/>
                <w:sz w:val="24"/>
                <w:lang w:bidi="ar"/>
              </w:rPr>
              <w:t>对于尾矿库未按国家规定配备特种作业人员的行政处罚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3A6D5A0F">
            <w:pPr>
              <w:topLinePunct/>
              <w:adjustRightInd w:val="0"/>
              <w:snapToGrid w:val="0"/>
              <w:jc w:val="left"/>
              <w:textAlignment w:val="center"/>
              <w:rPr>
                <w:rFonts w:eastAsia="仿宋"/>
                <w:color w:val="000000"/>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三、尾矿库重大事故隐患</w:t>
            </w:r>
            <w:r>
              <w:rPr>
                <w:rFonts w:eastAsia="仿宋"/>
                <w:color w:val="000000"/>
                <w:kern w:val="0"/>
                <w:sz w:val="24"/>
                <w:lang w:bidi="ar"/>
              </w:rPr>
              <w:br w:type="textWrapping"/>
            </w:r>
            <w:r>
              <w:rPr>
                <w:rFonts w:eastAsia="仿宋"/>
                <w:color w:val="000000"/>
                <w:kern w:val="0"/>
                <w:sz w:val="24"/>
                <w:lang w:bidi="ar"/>
              </w:rPr>
              <w:t>（十九）未按国家规定配备专职安全生产管理人员、专业技术人员和特种作业人员。</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0E2F38CF">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623111B4">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6A9C4619">
            <w:pPr>
              <w:topLinePunct/>
              <w:adjustRightInd w:val="0"/>
              <w:snapToGrid w:val="0"/>
              <w:jc w:val="center"/>
              <w:textAlignment w:val="center"/>
              <w:rPr>
                <w:rFonts w:eastAsia="仿宋"/>
                <w:color w:val="000000"/>
                <w:sz w:val="24"/>
              </w:rPr>
            </w:pPr>
            <w:r>
              <w:rPr>
                <w:rFonts w:hint="eastAsia" w:eastAsia="仿宋"/>
                <w:color w:val="000000"/>
                <w:kern w:val="0"/>
                <w:sz w:val="24"/>
                <w:lang w:eastAsia="zh-CN" w:bidi="ar"/>
              </w:rPr>
              <w:t>县级</w:t>
            </w:r>
          </w:p>
        </w:tc>
      </w:tr>
      <w:tr w14:paraId="155CF869">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7CE5A4DC">
            <w:pPr>
              <w:topLinePunct/>
              <w:adjustRightInd w:val="0"/>
              <w:snapToGrid w:val="0"/>
              <w:jc w:val="center"/>
              <w:textAlignment w:val="center"/>
              <w:rPr>
                <w:rFonts w:eastAsia="仿宋"/>
                <w:color w:val="000000"/>
                <w:sz w:val="24"/>
              </w:rPr>
            </w:pPr>
            <w:r>
              <w:rPr>
                <w:rFonts w:eastAsia="仿宋"/>
                <w:color w:val="000000"/>
                <w:kern w:val="0"/>
                <w:sz w:val="24"/>
                <w:lang w:bidi="ar"/>
              </w:rPr>
              <w:t>327</w:t>
            </w:r>
          </w:p>
        </w:tc>
        <w:tc>
          <w:tcPr>
            <w:tcW w:w="838" w:type="pct"/>
            <w:tcBorders>
              <w:top w:val="single" w:color="000000" w:sz="4" w:space="0"/>
              <w:left w:val="single" w:color="000000" w:sz="4" w:space="0"/>
              <w:bottom w:val="single" w:color="000000" w:sz="4" w:space="0"/>
              <w:right w:val="single" w:color="000000" w:sz="4" w:space="0"/>
            </w:tcBorders>
            <w:vAlign w:val="center"/>
          </w:tcPr>
          <w:p w14:paraId="48FA9178">
            <w:pPr>
              <w:topLinePunct/>
              <w:adjustRightInd w:val="0"/>
              <w:snapToGrid w:val="0"/>
              <w:textAlignment w:val="center"/>
              <w:rPr>
                <w:rFonts w:eastAsia="仿宋"/>
                <w:color w:val="000000"/>
                <w:sz w:val="24"/>
              </w:rPr>
            </w:pPr>
            <w:r>
              <w:rPr>
                <w:rFonts w:eastAsia="仿宋"/>
                <w:color w:val="000000"/>
                <w:kern w:val="0"/>
                <w:sz w:val="24"/>
                <w:lang w:bidi="ar"/>
              </w:rPr>
              <w:t>对尾矿库未编制年度、季度作业计划并严格执行的行政处罚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7BE95F38">
            <w:pPr>
              <w:topLinePunct/>
              <w:adjustRightInd w:val="0"/>
              <w:snapToGrid w:val="0"/>
              <w:jc w:val="left"/>
              <w:textAlignment w:val="center"/>
              <w:rPr>
                <w:rFonts w:eastAsia="仿宋"/>
                <w:color w:val="000000"/>
                <w:sz w:val="24"/>
              </w:rPr>
            </w:pPr>
            <w:r>
              <w:rPr>
                <w:rFonts w:eastAsia="仿宋"/>
                <w:color w:val="000000"/>
                <w:kern w:val="0"/>
                <w:sz w:val="24"/>
                <w:lang w:bidi="ar"/>
              </w:rPr>
              <w:t>1.《尾矿库安全监督管理规定》</w:t>
            </w:r>
            <w:r>
              <w:rPr>
                <w:rFonts w:eastAsia="仿宋"/>
                <w:color w:val="000000"/>
                <w:kern w:val="0"/>
                <w:sz w:val="24"/>
                <w:lang w:bidi="ar"/>
              </w:rPr>
              <w:br w:type="textWrapping"/>
            </w:r>
            <w:r>
              <w:rPr>
                <w:rFonts w:eastAsia="仿宋"/>
                <w:color w:val="000000"/>
                <w:kern w:val="0"/>
                <w:sz w:val="24"/>
                <w:lang w:bidi="ar"/>
              </w:rPr>
              <w:t>第二十二条  生产经营单位应当编制尾矿库年度、季度作业计划，严格按照作业计划生产运行，做好记录并长期保存。</w:t>
            </w:r>
            <w:r>
              <w:rPr>
                <w:rFonts w:eastAsia="仿宋"/>
                <w:color w:val="000000"/>
                <w:kern w:val="0"/>
                <w:sz w:val="24"/>
                <w:lang w:bidi="ar"/>
              </w:rPr>
              <w:br w:type="textWrapping"/>
            </w:r>
            <w:r>
              <w:rPr>
                <w:rFonts w:eastAsia="仿宋"/>
                <w:color w:val="000000"/>
                <w:kern w:val="0"/>
                <w:sz w:val="24"/>
                <w:lang w:bidi="ar"/>
              </w:rPr>
              <w:t>第三十九条第一款  生产经营单位或者尾矿库管理单位违反本规定第八条第二款、第十九条、第二十条、第二十一条、第二十二条、第二十四条、第二十六条、第二十九条第一款规定的，给予警告，并处1万元以上3万元以下的罚款；对主管人员和直接责任人员由其所在单位或者上级主管单位给予行政处分；构成犯罪的，依法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62257699">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6F2D3E7D">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61C3C1A3">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6B15C709">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29A43371">
            <w:pPr>
              <w:topLinePunct/>
              <w:adjustRightInd w:val="0"/>
              <w:snapToGrid w:val="0"/>
              <w:jc w:val="center"/>
              <w:textAlignment w:val="center"/>
              <w:rPr>
                <w:rFonts w:eastAsia="仿宋"/>
                <w:color w:val="000000"/>
                <w:sz w:val="24"/>
              </w:rPr>
            </w:pPr>
            <w:r>
              <w:rPr>
                <w:rFonts w:eastAsia="仿宋"/>
                <w:color w:val="000000"/>
                <w:kern w:val="0"/>
                <w:sz w:val="24"/>
                <w:lang w:bidi="ar"/>
              </w:rPr>
              <w:t>328</w:t>
            </w:r>
          </w:p>
        </w:tc>
        <w:tc>
          <w:tcPr>
            <w:tcW w:w="838" w:type="pct"/>
            <w:tcBorders>
              <w:top w:val="single" w:color="000000" w:sz="4" w:space="0"/>
              <w:left w:val="single" w:color="000000" w:sz="4" w:space="0"/>
              <w:bottom w:val="single" w:color="000000" w:sz="4" w:space="0"/>
              <w:right w:val="single" w:color="000000" w:sz="4" w:space="0"/>
            </w:tcBorders>
            <w:vAlign w:val="center"/>
          </w:tcPr>
          <w:p w14:paraId="59CB8BFA">
            <w:pPr>
              <w:topLinePunct/>
              <w:adjustRightInd w:val="0"/>
              <w:snapToGrid w:val="0"/>
              <w:textAlignment w:val="center"/>
              <w:rPr>
                <w:rFonts w:eastAsia="仿宋"/>
                <w:color w:val="000000"/>
                <w:sz w:val="24"/>
              </w:rPr>
            </w:pPr>
            <w:r>
              <w:rPr>
                <w:rFonts w:eastAsia="仿宋"/>
                <w:color w:val="000000"/>
                <w:kern w:val="0"/>
                <w:sz w:val="24"/>
                <w:lang w:bidi="ar"/>
              </w:rPr>
              <w:t>对尾矿库多种矿石性质不同的尾砂混合排放时，未按设计进行排放的行政处罚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4579AA66">
            <w:pPr>
              <w:topLinePunct/>
              <w:adjustRightInd w:val="0"/>
              <w:snapToGrid w:val="0"/>
              <w:jc w:val="left"/>
              <w:textAlignment w:val="center"/>
              <w:rPr>
                <w:rFonts w:eastAsia="仿宋"/>
                <w:color w:val="000000"/>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三、尾矿库重大事故隐患</w:t>
            </w:r>
            <w:r>
              <w:rPr>
                <w:rFonts w:eastAsia="仿宋"/>
                <w:color w:val="000000"/>
                <w:kern w:val="0"/>
                <w:sz w:val="24"/>
                <w:lang w:bidi="ar"/>
              </w:rPr>
              <w:br w:type="textWrapping"/>
            </w:r>
            <w:r>
              <w:rPr>
                <w:rFonts w:eastAsia="仿宋"/>
                <w:color w:val="000000"/>
                <w:kern w:val="0"/>
                <w:sz w:val="24"/>
                <w:lang w:bidi="ar"/>
              </w:rPr>
              <w:t>（十一）多种矿石性质不同的尾砂混合排放时，未按设计进行排放。</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0FB39EEE">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73D535D9">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0C7B3D1A">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098DC5DD">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3079A700">
            <w:pPr>
              <w:topLinePunct/>
              <w:adjustRightInd w:val="0"/>
              <w:snapToGrid w:val="0"/>
              <w:jc w:val="center"/>
              <w:textAlignment w:val="center"/>
              <w:rPr>
                <w:rFonts w:eastAsia="仿宋"/>
                <w:color w:val="000000"/>
                <w:sz w:val="24"/>
              </w:rPr>
            </w:pPr>
            <w:r>
              <w:rPr>
                <w:rFonts w:eastAsia="仿宋"/>
                <w:color w:val="000000"/>
                <w:kern w:val="0"/>
                <w:sz w:val="24"/>
                <w:lang w:bidi="ar"/>
              </w:rPr>
              <w:t>329</w:t>
            </w:r>
          </w:p>
        </w:tc>
        <w:tc>
          <w:tcPr>
            <w:tcW w:w="838" w:type="pct"/>
            <w:tcBorders>
              <w:top w:val="single" w:color="000000" w:sz="4" w:space="0"/>
              <w:left w:val="single" w:color="000000" w:sz="4" w:space="0"/>
              <w:bottom w:val="single" w:color="000000" w:sz="4" w:space="0"/>
              <w:right w:val="single" w:color="000000" w:sz="4" w:space="0"/>
            </w:tcBorders>
            <w:vAlign w:val="center"/>
          </w:tcPr>
          <w:p w14:paraId="59730FCD">
            <w:pPr>
              <w:topLinePunct/>
              <w:adjustRightInd w:val="0"/>
              <w:snapToGrid w:val="0"/>
              <w:textAlignment w:val="center"/>
              <w:rPr>
                <w:rFonts w:eastAsia="仿宋"/>
                <w:color w:val="000000"/>
                <w:sz w:val="24"/>
              </w:rPr>
            </w:pPr>
            <w:r>
              <w:rPr>
                <w:rFonts w:eastAsia="仿宋"/>
                <w:color w:val="000000"/>
                <w:kern w:val="0"/>
                <w:sz w:val="24"/>
                <w:lang w:bidi="ar"/>
              </w:rPr>
              <w:t>对尾矿库冬季未按设计要求的冰下放矿方式进行放矿作业的行政处罚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39EEC1F7">
            <w:pPr>
              <w:topLinePunct/>
              <w:adjustRightInd w:val="0"/>
              <w:snapToGrid w:val="0"/>
              <w:jc w:val="left"/>
              <w:textAlignment w:val="center"/>
              <w:rPr>
                <w:rFonts w:eastAsia="仿宋"/>
                <w:color w:val="000000"/>
                <w:sz w:val="24"/>
              </w:rPr>
            </w:pPr>
            <w:r>
              <w:rPr>
                <w:rFonts w:eastAsia="仿宋"/>
                <w:color w:val="000000"/>
                <w:kern w:val="0"/>
                <w:sz w:val="24"/>
                <w:lang w:bidi="ar"/>
              </w:rPr>
              <w:t>1.《国家矿山安全监察局关于印发〈金属非金属矿山重大事故隐患判定标准〉的通知》（矿安〔2022〕88号）</w:t>
            </w:r>
            <w:r>
              <w:rPr>
                <w:rFonts w:eastAsia="仿宋"/>
                <w:color w:val="000000"/>
                <w:kern w:val="0"/>
                <w:sz w:val="24"/>
                <w:lang w:bidi="ar"/>
              </w:rPr>
              <w:br w:type="textWrapping"/>
            </w:r>
            <w:r>
              <w:rPr>
                <w:rFonts w:eastAsia="仿宋"/>
                <w:color w:val="000000"/>
                <w:kern w:val="0"/>
                <w:sz w:val="24"/>
                <w:lang w:bidi="ar"/>
              </w:rPr>
              <w:t>三、尾矿库重大事故隐患</w:t>
            </w:r>
            <w:r>
              <w:rPr>
                <w:rFonts w:eastAsia="仿宋"/>
                <w:color w:val="000000"/>
                <w:kern w:val="0"/>
                <w:sz w:val="24"/>
                <w:lang w:bidi="ar"/>
              </w:rPr>
              <w:br w:type="textWrapping"/>
            </w:r>
            <w:r>
              <w:rPr>
                <w:rFonts w:eastAsia="仿宋"/>
                <w:color w:val="000000"/>
                <w:kern w:val="0"/>
                <w:sz w:val="24"/>
                <w:lang w:bidi="ar"/>
              </w:rPr>
              <w:t>（十二）冬季未按设计要求的冰下放矿方式进行放矿作业。</w:t>
            </w:r>
            <w:r>
              <w:rPr>
                <w:rFonts w:eastAsia="仿宋"/>
                <w:color w:val="000000"/>
                <w:kern w:val="0"/>
                <w:sz w:val="24"/>
                <w:lang w:bidi="ar"/>
              </w:rPr>
              <w:br w:type="textWrapping"/>
            </w:r>
            <w:r>
              <w:rPr>
                <w:rFonts w:eastAsia="仿宋"/>
                <w:color w:val="000000"/>
                <w:kern w:val="0"/>
                <w:sz w:val="24"/>
                <w:lang w:bidi="ar"/>
              </w:rPr>
              <w:t>2.《中华人民共和国安全生产法》</w:t>
            </w:r>
            <w:r>
              <w:rPr>
                <w:rFonts w:eastAsia="仿宋"/>
                <w:color w:val="000000"/>
                <w:kern w:val="0"/>
                <w:sz w:val="24"/>
                <w:lang w:bidi="ar"/>
              </w:rPr>
              <w:br w:type="textWrapping"/>
            </w:r>
            <w:r>
              <w:rPr>
                <w:rFonts w:eastAsia="仿宋"/>
                <w:color w:val="000000"/>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2C299624">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3A8F9252">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1CA59399">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64F7B7E7">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2EA369FE">
            <w:pPr>
              <w:topLinePunct/>
              <w:adjustRightInd w:val="0"/>
              <w:snapToGrid w:val="0"/>
              <w:jc w:val="center"/>
              <w:textAlignment w:val="center"/>
              <w:rPr>
                <w:rFonts w:eastAsia="仿宋"/>
                <w:color w:val="000000"/>
                <w:sz w:val="24"/>
              </w:rPr>
            </w:pPr>
            <w:r>
              <w:rPr>
                <w:rFonts w:eastAsia="仿宋"/>
                <w:color w:val="000000"/>
                <w:kern w:val="0"/>
                <w:sz w:val="24"/>
                <w:lang w:bidi="ar"/>
              </w:rPr>
              <w:t>330</w:t>
            </w:r>
          </w:p>
        </w:tc>
        <w:tc>
          <w:tcPr>
            <w:tcW w:w="838" w:type="pct"/>
            <w:tcBorders>
              <w:top w:val="single" w:color="000000" w:sz="4" w:space="0"/>
              <w:left w:val="single" w:color="000000" w:sz="4" w:space="0"/>
              <w:bottom w:val="single" w:color="000000" w:sz="4" w:space="0"/>
              <w:right w:val="single" w:color="000000" w:sz="4" w:space="0"/>
            </w:tcBorders>
            <w:vAlign w:val="center"/>
          </w:tcPr>
          <w:p w14:paraId="7DDFAB09">
            <w:pPr>
              <w:topLinePunct/>
              <w:adjustRightInd w:val="0"/>
              <w:snapToGrid w:val="0"/>
              <w:textAlignment w:val="center"/>
              <w:rPr>
                <w:rFonts w:eastAsia="仿宋"/>
                <w:color w:val="000000"/>
                <w:sz w:val="24"/>
              </w:rPr>
            </w:pPr>
            <w:r>
              <w:rPr>
                <w:rFonts w:eastAsia="仿宋"/>
                <w:color w:val="000000"/>
                <w:kern w:val="0"/>
                <w:sz w:val="24"/>
                <w:lang w:bidi="ar"/>
              </w:rPr>
              <w:t>对尾矿库运行到设计最终标高或者不再进行排尾作业的，未按规定实施闭库的行政处罚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64219192">
            <w:pPr>
              <w:topLinePunct/>
              <w:adjustRightInd w:val="0"/>
              <w:snapToGrid w:val="0"/>
              <w:jc w:val="left"/>
              <w:textAlignment w:val="center"/>
              <w:rPr>
                <w:rFonts w:eastAsia="仿宋"/>
                <w:color w:val="000000"/>
                <w:sz w:val="24"/>
              </w:rPr>
            </w:pPr>
            <w:r>
              <w:rPr>
                <w:rFonts w:eastAsia="仿宋"/>
                <w:color w:val="000000"/>
                <w:kern w:val="0"/>
                <w:sz w:val="24"/>
                <w:lang w:bidi="ar"/>
              </w:rPr>
              <w:t>1.《尾矿库安全监督管理规定》</w:t>
            </w:r>
            <w:r>
              <w:rPr>
                <w:rFonts w:eastAsia="仿宋"/>
                <w:color w:val="000000"/>
                <w:kern w:val="0"/>
                <w:sz w:val="24"/>
                <w:lang w:bidi="ar"/>
              </w:rPr>
              <w:br w:type="textWrapping"/>
            </w:r>
            <w:r>
              <w:rPr>
                <w:rFonts w:eastAsia="仿宋"/>
                <w:color w:val="000000"/>
                <w:kern w:val="0"/>
                <w:sz w:val="24"/>
                <w:lang w:bidi="ar"/>
              </w:rPr>
              <w:t>第二十八条第一款  尾矿库运行到设计最终标高或者不再进行排尾作业的，应当在一年内完成闭库。特殊情况不能按期完成闭库的，应当报经相应的安全生产监督管理部门同意后方可延期，但延长期限不得超过6个月。</w:t>
            </w:r>
            <w:r>
              <w:rPr>
                <w:rFonts w:eastAsia="仿宋"/>
                <w:color w:val="000000"/>
                <w:kern w:val="0"/>
                <w:sz w:val="24"/>
                <w:lang w:bidi="ar"/>
              </w:rPr>
              <w:br w:type="textWrapping"/>
            </w:r>
            <w:r>
              <w:rPr>
                <w:rFonts w:eastAsia="仿宋"/>
                <w:color w:val="000000"/>
                <w:kern w:val="0"/>
                <w:sz w:val="24"/>
                <w:lang w:bidi="ar"/>
              </w:rPr>
              <w:t>第四十一条  生产经营单位违反本规定第二十八条第一款规定不主动实施闭库的，给予警告，并处3万元的罚款。</w:t>
            </w:r>
          </w:p>
        </w:tc>
        <w:tc>
          <w:tcPr>
            <w:tcW w:w="476" w:type="pct"/>
            <w:tcBorders>
              <w:top w:val="single" w:color="000000" w:sz="4" w:space="0"/>
              <w:left w:val="single" w:color="000000" w:sz="4" w:space="0"/>
              <w:bottom w:val="single" w:color="000000" w:sz="4" w:space="0"/>
              <w:right w:val="single" w:color="000000" w:sz="4" w:space="0"/>
            </w:tcBorders>
            <w:vAlign w:val="center"/>
          </w:tcPr>
          <w:p w14:paraId="46727115">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386961C6">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43347806">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36AB9CC3">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70C3329F">
            <w:pPr>
              <w:topLinePunct/>
              <w:adjustRightInd w:val="0"/>
              <w:snapToGrid w:val="0"/>
              <w:jc w:val="center"/>
              <w:textAlignment w:val="center"/>
              <w:rPr>
                <w:rFonts w:eastAsia="仿宋"/>
                <w:color w:val="000000"/>
                <w:sz w:val="24"/>
              </w:rPr>
            </w:pPr>
            <w:r>
              <w:rPr>
                <w:rFonts w:eastAsia="仿宋"/>
                <w:color w:val="000000"/>
                <w:kern w:val="0"/>
                <w:sz w:val="24"/>
                <w:lang w:bidi="ar"/>
              </w:rPr>
              <w:t>331</w:t>
            </w:r>
          </w:p>
        </w:tc>
        <w:tc>
          <w:tcPr>
            <w:tcW w:w="838" w:type="pct"/>
            <w:tcBorders>
              <w:top w:val="single" w:color="000000" w:sz="4" w:space="0"/>
              <w:left w:val="single" w:color="000000" w:sz="4" w:space="0"/>
              <w:bottom w:val="single" w:color="000000" w:sz="4" w:space="0"/>
              <w:right w:val="single" w:color="000000" w:sz="4" w:space="0"/>
            </w:tcBorders>
            <w:vAlign w:val="center"/>
          </w:tcPr>
          <w:p w14:paraId="3C125B85">
            <w:pPr>
              <w:topLinePunct/>
              <w:adjustRightInd w:val="0"/>
              <w:snapToGrid w:val="0"/>
              <w:textAlignment w:val="center"/>
              <w:rPr>
                <w:rFonts w:eastAsia="仿宋"/>
                <w:color w:val="000000"/>
                <w:sz w:val="24"/>
              </w:rPr>
            </w:pPr>
            <w:r>
              <w:rPr>
                <w:rFonts w:eastAsia="仿宋"/>
                <w:color w:val="000000"/>
                <w:kern w:val="0"/>
                <w:sz w:val="24"/>
                <w:lang w:bidi="ar"/>
              </w:rPr>
              <w:t>对尾矿库闭库前未按规定进行安全现状评价和闭库设计的行政处罚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7F323A31">
            <w:pPr>
              <w:topLinePunct/>
              <w:adjustRightInd w:val="0"/>
              <w:snapToGrid w:val="0"/>
              <w:jc w:val="left"/>
              <w:textAlignment w:val="center"/>
              <w:rPr>
                <w:rFonts w:eastAsia="仿宋"/>
                <w:color w:val="000000"/>
                <w:sz w:val="24"/>
              </w:rPr>
            </w:pPr>
            <w:r>
              <w:rPr>
                <w:rFonts w:eastAsia="仿宋"/>
                <w:color w:val="000000"/>
                <w:kern w:val="0"/>
                <w:sz w:val="24"/>
                <w:lang w:bidi="ar"/>
              </w:rPr>
              <w:t>1.《尾矿库安全监督管理规定》</w:t>
            </w:r>
            <w:r>
              <w:rPr>
                <w:rFonts w:eastAsia="仿宋"/>
                <w:color w:val="000000"/>
                <w:kern w:val="0"/>
                <w:sz w:val="24"/>
                <w:lang w:bidi="ar"/>
              </w:rPr>
              <w:br w:type="textWrapping"/>
            </w:r>
            <w:r>
              <w:rPr>
                <w:rFonts w:eastAsia="仿宋"/>
                <w:color w:val="000000"/>
                <w:kern w:val="0"/>
                <w:sz w:val="24"/>
                <w:lang w:bidi="ar"/>
              </w:rPr>
              <w:t>第二十九条第一款  尾矿库运行到设计最终标高的前12个月内，生产经营单位应当进行闭库前的安全现状评价和闭库设计，闭库设计应当包括安全设施设计。</w:t>
            </w:r>
            <w:r>
              <w:rPr>
                <w:rFonts w:eastAsia="仿宋"/>
                <w:color w:val="000000"/>
                <w:kern w:val="0"/>
                <w:sz w:val="24"/>
                <w:lang w:bidi="ar"/>
              </w:rPr>
              <w:br w:type="textWrapping"/>
            </w:r>
            <w:r>
              <w:rPr>
                <w:rFonts w:eastAsia="仿宋"/>
                <w:color w:val="000000"/>
                <w:kern w:val="0"/>
                <w:sz w:val="24"/>
                <w:lang w:bidi="ar"/>
              </w:rPr>
              <w:t>第三十九条第一款  生产经营单位或者尾矿库管理单位违反本规定第八条第二款、第十九条、第二十条、第二十一条、第二十二条、第二十四条、第二十六条、第二十九条第一款规定的，给予警告，并处1万元以上3万元以下的罚款；对主管人员和直接责任人员由其所在单位或者上级主管单位给予行政处分；构成犯罪的，依法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00C315DF">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18D8686B">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2E13B7F1">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11821DE8">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5D83E38B">
            <w:pPr>
              <w:topLinePunct/>
              <w:adjustRightInd w:val="0"/>
              <w:snapToGrid w:val="0"/>
              <w:jc w:val="center"/>
              <w:textAlignment w:val="center"/>
              <w:rPr>
                <w:rFonts w:eastAsia="仿宋"/>
                <w:color w:val="000000"/>
                <w:sz w:val="24"/>
              </w:rPr>
            </w:pPr>
            <w:r>
              <w:rPr>
                <w:rFonts w:eastAsia="仿宋"/>
                <w:color w:val="000000"/>
                <w:kern w:val="0"/>
                <w:sz w:val="24"/>
                <w:lang w:bidi="ar"/>
              </w:rPr>
              <w:t>332</w:t>
            </w:r>
          </w:p>
        </w:tc>
        <w:tc>
          <w:tcPr>
            <w:tcW w:w="838" w:type="pct"/>
            <w:tcBorders>
              <w:top w:val="single" w:color="000000" w:sz="4" w:space="0"/>
              <w:left w:val="single" w:color="000000" w:sz="4" w:space="0"/>
              <w:bottom w:val="single" w:color="000000" w:sz="4" w:space="0"/>
              <w:right w:val="single" w:color="000000" w:sz="4" w:space="0"/>
            </w:tcBorders>
            <w:vAlign w:val="center"/>
          </w:tcPr>
          <w:p w14:paraId="08726C39">
            <w:pPr>
              <w:topLinePunct/>
              <w:adjustRightInd w:val="0"/>
              <w:snapToGrid w:val="0"/>
              <w:textAlignment w:val="center"/>
              <w:rPr>
                <w:rFonts w:eastAsia="仿宋"/>
                <w:color w:val="000000"/>
                <w:sz w:val="24"/>
              </w:rPr>
            </w:pPr>
            <w:r>
              <w:rPr>
                <w:rFonts w:eastAsia="仿宋"/>
                <w:color w:val="000000"/>
                <w:kern w:val="0"/>
                <w:sz w:val="24"/>
                <w:lang w:bidi="ar"/>
              </w:rPr>
              <w:t>对生产经营单位或者尾矿库管理单位未建立健全防汛责任制，实施24小时监测监控和值班值守的行政处罚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38494078">
            <w:pPr>
              <w:topLinePunct/>
              <w:adjustRightInd w:val="0"/>
              <w:snapToGrid w:val="0"/>
              <w:jc w:val="left"/>
              <w:textAlignment w:val="center"/>
              <w:rPr>
                <w:rFonts w:eastAsia="仿宋"/>
                <w:color w:val="000000"/>
                <w:sz w:val="24"/>
              </w:rPr>
            </w:pPr>
            <w:r>
              <w:rPr>
                <w:rFonts w:eastAsia="仿宋"/>
                <w:color w:val="000000"/>
                <w:kern w:val="0"/>
                <w:sz w:val="24"/>
                <w:lang w:bidi="ar"/>
              </w:rPr>
              <w:t>1.《尾矿库安全监督管理规定》</w:t>
            </w:r>
            <w:r>
              <w:rPr>
                <w:rFonts w:eastAsia="仿宋"/>
                <w:color w:val="000000"/>
                <w:kern w:val="0"/>
                <w:sz w:val="24"/>
                <w:lang w:bidi="ar"/>
              </w:rPr>
              <w:br w:type="textWrapping"/>
            </w:r>
            <w:r>
              <w:rPr>
                <w:rFonts w:eastAsia="仿宋"/>
                <w:color w:val="000000"/>
                <w:kern w:val="0"/>
                <w:sz w:val="24"/>
                <w:lang w:bidi="ar"/>
              </w:rPr>
              <w:t>第二十一条第一款  生产经营单位应当建立健全防汛责任制，实施24小时监测监控和值班值守，并针对可能发生的垮坝、漫顶、排洪设施损毁等生产安全事故和影响尾矿库运行的洪水、泥石流、山体滑坡、地震等重大险情制定并及时修订应急救援预案，配备必要的应急救援器材、设备，放置在便于应急时使用的地方。</w:t>
            </w:r>
            <w:r>
              <w:rPr>
                <w:rFonts w:eastAsia="仿宋"/>
                <w:color w:val="000000"/>
                <w:kern w:val="0"/>
                <w:sz w:val="24"/>
                <w:lang w:bidi="ar"/>
              </w:rPr>
              <w:br w:type="textWrapping"/>
            </w:r>
            <w:r>
              <w:rPr>
                <w:rFonts w:eastAsia="仿宋"/>
                <w:color w:val="000000"/>
                <w:kern w:val="0"/>
                <w:sz w:val="24"/>
                <w:lang w:bidi="ar"/>
              </w:rPr>
              <w:t>第三十九条第一款  生产经营单位或者尾矿库管理单位违反本规定第八条第二款、第十九条、第二十条、第二十一条、第二十二条、第二十四条、第二十六条、第二十九条第一款规定的，给予警告，并处1万元以上3万元以下的罚款；对主管人员和直接责任人员由其所在单位或者上级主管单位给予行政处分；构成犯罪的，依法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134BEC43">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78B3246A">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639FFB8D">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3D688084">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10A5D134">
            <w:pPr>
              <w:topLinePunct/>
              <w:adjustRightInd w:val="0"/>
              <w:snapToGrid w:val="0"/>
              <w:jc w:val="center"/>
              <w:textAlignment w:val="center"/>
              <w:rPr>
                <w:rFonts w:eastAsia="仿宋"/>
                <w:color w:val="000000"/>
                <w:sz w:val="24"/>
              </w:rPr>
            </w:pPr>
            <w:r>
              <w:rPr>
                <w:rFonts w:eastAsia="仿宋"/>
                <w:color w:val="000000"/>
                <w:kern w:val="0"/>
                <w:sz w:val="24"/>
                <w:lang w:bidi="ar"/>
              </w:rPr>
              <w:t>333</w:t>
            </w:r>
          </w:p>
        </w:tc>
        <w:tc>
          <w:tcPr>
            <w:tcW w:w="838" w:type="pct"/>
            <w:tcBorders>
              <w:top w:val="single" w:color="000000" w:sz="4" w:space="0"/>
              <w:left w:val="single" w:color="000000" w:sz="4" w:space="0"/>
              <w:bottom w:val="single" w:color="000000" w:sz="4" w:space="0"/>
              <w:right w:val="single" w:color="000000" w:sz="4" w:space="0"/>
            </w:tcBorders>
            <w:vAlign w:val="center"/>
          </w:tcPr>
          <w:p w14:paraId="427F9913">
            <w:pPr>
              <w:topLinePunct/>
              <w:adjustRightInd w:val="0"/>
              <w:snapToGrid w:val="0"/>
              <w:textAlignment w:val="center"/>
              <w:rPr>
                <w:rFonts w:eastAsia="仿宋"/>
                <w:color w:val="000000"/>
                <w:sz w:val="24"/>
              </w:rPr>
            </w:pPr>
            <w:r>
              <w:rPr>
                <w:rFonts w:eastAsia="仿宋"/>
                <w:color w:val="000000"/>
                <w:kern w:val="0"/>
                <w:sz w:val="24"/>
                <w:lang w:bidi="ar"/>
              </w:rPr>
              <w:t>对地质勘探单位有未按规定建立有关安全生产制度和规程等行为的行政处罚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07D39D1F">
            <w:pPr>
              <w:topLinePunct/>
              <w:adjustRightInd w:val="0"/>
              <w:snapToGrid w:val="0"/>
              <w:jc w:val="left"/>
              <w:textAlignment w:val="center"/>
              <w:rPr>
                <w:rFonts w:eastAsia="仿宋"/>
                <w:color w:val="000000"/>
                <w:sz w:val="24"/>
              </w:rPr>
            </w:pPr>
            <w:r>
              <w:rPr>
                <w:rFonts w:eastAsia="仿宋"/>
                <w:color w:val="000000"/>
                <w:kern w:val="0"/>
                <w:sz w:val="24"/>
                <w:lang w:bidi="ar"/>
              </w:rPr>
              <w:t>1.《金属与非金属矿产资源地质勘探安全生产监督管理暂行规定》</w:t>
            </w:r>
            <w:r>
              <w:rPr>
                <w:rFonts w:eastAsia="仿宋"/>
                <w:color w:val="000000"/>
                <w:kern w:val="0"/>
                <w:sz w:val="24"/>
                <w:lang w:bidi="ar"/>
              </w:rPr>
              <w:br w:type="textWrapping"/>
            </w:r>
            <w:r>
              <w:rPr>
                <w:rFonts w:eastAsia="仿宋"/>
                <w:color w:val="000000"/>
                <w:kern w:val="0"/>
                <w:sz w:val="24"/>
                <w:lang w:bidi="ar"/>
              </w:rPr>
              <w:t>第二十六条  地质勘探单位有下列情形之一的，给予警告，并处3万元以下的罚款：（一）未按照本规定建立有关安全生产制度和规程的；（二）未按照规定提取和使用安全生产费用的；（三）坑探工程安全专篇未经安全生产监督管理部门审查同意擅自施工的。</w:t>
            </w:r>
          </w:p>
        </w:tc>
        <w:tc>
          <w:tcPr>
            <w:tcW w:w="476" w:type="pct"/>
            <w:tcBorders>
              <w:top w:val="single" w:color="000000" w:sz="4" w:space="0"/>
              <w:left w:val="single" w:color="000000" w:sz="4" w:space="0"/>
              <w:bottom w:val="single" w:color="000000" w:sz="4" w:space="0"/>
              <w:right w:val="single" w:color="000000" w:sz="4" w:space="0"/>
            </w:tcBorders>
            <w:vAlign w:val="center"/>
          </w:tcPr>
          <w:p w14:paraId="3B7B0CD9">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0E11D197">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164525F3">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5D67F262">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262759A1">
            <w:pPr>
              <w:topLinePunct/>
              <w:adjustRightInd w:val="0"/>
              <w:snapToGrid w:val="0"/>
              <w:jc w:val="center"/>
              <w:textAlignment w:val="center"/>
              <w:rPr>
                <w:rFonts w:eastAsia="仿宋"/>
                <w:color w:val="000000"/>
                <w:sz w:val="24"/>
              </w:rPr>
            </w:pPr>
            <w:r>
              <w:rPr>
                <w:rFonts w:eastAsia="仿宋"/>
                <w:color w:val="000000"/>
                <w:kern w:val="0"/>
                <w:sz w:val="24"/>
                <w:lang w:bidi="ar"/>
              </w:rPr>
              <w:t>334</w:t>
            </w:r>
          </w:p>
        </w:tc>
        <w:tc>
          <w:tcPr>
            <w:tcW w:w="838" w:type="pct"/>
            <w:tcBorders>
              <w:top w:val="single" w:color="000000" w:sz="4" w:space="0"/>
              <w:left w:val="single" w:color="000000" w:sz="4" w:space="0"/>
              <w:bottom w:val="single" w:color="000000" w:sz="4" w:space="0"/>
              <w:right w:val="single" w:color="000000" w:sz="4" w:space="0"/>
            </w:tcBorders>
            <w:vAlign w:val="center"/>
          </w:tcPr>
          <w:p w14:paraId="4B6248EF">
            <w:pPr>
              <w:topLinePunct/>
              <w:adjustRightInd w:val="0"/>
              <w:snapToGrid w:val="0"/>
              <w:textAlignment w:val="center"/>
              <w:rPr>
                <w:rFonts w:eastAsia="仿宋"/>
                <w:color w:val="000000"/>
                <w:sz w:val="24"/>
              </w:rPr>
            </w:pPr>
            <w:r>
              <w:rPr>
                <w:rFonts w:eastAsia="仿宋"/>
                <w:color w:val="000000"/>
                <w:kern w:val="0"/>
                <w:sz w:val="24"/>
                <w:lang w:bidi="ar"/>
              </w:rPr>
              <w:t>对地质勘探单位未按规定进行书面报告的行政处罚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10181E1E">
            <w:pPr>
              <w:topLinePunct/>
              <w:adjustRightInd w:val="0"/>
              <w:snapToGrid w:val="0"/>
              <w:jc w:val="left"/>
              <w:textAlignment w:val="center"/>
              <w:rPr>
                <w:rFonts w:eastAsia="仿宋"/>
                <w:color w:val="000000"/>
                <w:sz w:val="24"/>
              </w:rPr>
            </w:pPr>
            <w:r>
              <w:rPr>
                <w:rFonts w:eastAsia="仿宋"/>
                <w:color w:val="000000"/>
                <w:kern w:val="0"/>
                <w:sz w:val="24"/>
                <w:lang w:bidi="ar"/>
              </w:rPr>
              <w:t>1.《金属与非金属矿产资源地质勘探安全生产监督管理暂行规定》</w:t>
            </w:r>
            <w:r>
              <w:rPr>
                <w:rFonts w:eastAsia="仿宋"/>
                <w:color w:val="000000"/>
                <w:kern w:val="0"/>
                <w:sz w:val="24"/>
                <w:lang w:bidi="ar"/>
              </w:rPr>
              <w:br w:type="textWrapping"/>
            </w:r>
            <w:r>
              <w:rPr>
                <w:rFonts w:eastAsia="仿宋"/>
                <w:color w:val="000000"/>
                <w:kern w:val="0"/>
                <w:sz w:val="24"/>
                <w:lang w:bidi="ar"/>
              </w:rPr>
              <w:t>第二十七条  地质勘探单位未按照规定向工作区域所在地县级安全生产监督管理部门书面报告的，给予警告，并处2万元以下的罚款。</w:t>
            </w:r>
          </w:p>
        </w:tc>
        <w:tc>
          <w:tcPr>
            <w:tcW w:w="476" w:type="pct"/>
            <w:tcBorders>
              <w:top w:val="single" w:color="000000" w:sz="4" w:space="0"/>
              <w:left w:val="single" w:color="000000" w:sz="4" w:space="0"/>
              <w:bottom w:val="single" w:color="000000" w:sz="4" w:space="0"/>
              <w:right w:val="single" w:color="000000" w:sz="4" w:space="0"/>
            </w:tcBorders>
            <w:vAlign w:val="center"/>
          </w:tcPr>
          <w:p w14:paraId="094E5BFC">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466A6D8D">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7876D489">
            <w:pPr>
              <w:topLinePunct/>
              <w:adjustRightInd w:val="0"/>
              <w:snapToGrid w:val="0"/>
              <w:jc w:val="center"/>
              <w:textAlignment w:val="center"/>
              <w:rPr>
                <w:rFonts w:hint="eastAsia" w:eastAsia="仿宋"/>
                <w:color w:val="000000"/>
                <w:sz w:val="24"/>
                <w:lang w:eastAsia="zh-CN"/>
              </w:rPr>
            </w:pPr>
            <w:r>
              <w:rPr>
                <w:rFonts w:eastAsia="仿宋"/>
                <w:color w:val="000000"/>
                <w:kern w:val="0"/>
                <w:sz w:val="24"/>
                <w:lang w:bidi="ar"/>
              </w:rPr>
              <w:t>县级</w:t>
            </w:r>
          </w:p>
        </w:tc>
      </w:tr>
      <w:tr w14:paraId="4B1E5F77">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7AEBB9C6">
            <w:pPr>
              <w:topLinePunct/>
              <w:adjustRightInd w:val="0"/>
              <w:snapToGrid w:val="0"/>
              <w:jc w:val="center"/>
              <w:textAlignment w:val="center"/>
              <w:rPr>
                <w:rFonts w:eastAsia="仿宋"/>
                <w:color w:val="000000"/>
                <w:sz w:val="24"/>
              </w:rPr>
            </w:pPr>
            <w:r>
              <w:rPr>
                <w:rFonts w:eastAsia="仿宋"/>
                <w:color w:val="000000"/>
                <w:kern w:val="0"/>
                <w:sz w:val="24"/>
                <w:lang w:bidi="ar"/>
              </w:rPr>
              <w:t>335</w:t>
            </w:r>
          </w:p>
        </w:tc>
        <w:tc>
          <w:tcPr>
            <w:tcW w:w="838" w:type="pct"/>
            <w:tcBorders>
              <w:top w:val="single" w:color="000000" w:sz="4" w:space="0"/>
              <w:left w:val="single" w:color="000000" w:sz="4" w:space="0"/>
              <w:bottom w:val="single" w:color="000000" w:sz="4" w:space="0"/>
              <w:right w:val="single" w:color="000000" w:sz="4" w:space="0"/>
            </w:tcBorders>
            <w:vAlign w:val="center"/>
          </w:tcPr>
          <w:p w14:paraId="4DCB8C91">
            <w:pPr>
              <w:topLinePunct/>
              <w:adjustRightInd w:val="0"/>
              <w:snapToGrid w:val="0"/>
              <w:textAlignment w:val="center"/>
              <w:rPr>
                <w:rFonts w:eastAsia="仿宋"/>
                <w:color w:val="000000"/>
                <w:sz w:val="24"/>
              </w:rPr>
            </w:pPr>
            <w:r>
              <w:rPr>
                <w:rFonts w:eastAsia="仿宋"/>
                <w:color w:val="000000"/>
                <w:kern w:val="0"/>
                <w:sz w:val="24"/>
                <w:lang w:bidi="ar"/>
              </w:rPr>
              <w:t>对非煤矿山发包单位未按规定对承包单位实施安全生产监督检查或者考核的行政处罚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62DB2E92">
            <w:pPr>
              <w:topLinePunct/>
              <w:adjustRightInd w:val="0"/>
              <w:snapToGrid w:val="0"/>
              <w:jc w:val="left"/>
              <w:textAlignment w:val="center"/>
              <w:rPr>
                <w:rFonts w:eastAsia="仿宋"/>
                <w:color w:val="000000"/>
                <w:sz w:val="24"/>
              </w:rPr>
            </w:pPr>
            <w:r>
              <w:rPr>
                <w:rFonts w:eastAsia="仿宋"/>
                <w:color w:val="000000"/>
                <w:kern w:val="0"/>
                <w:sz w:val="24"/>
                <w:lang w:bidi="ar"/>
              </w:rPr>
              <w:t>1.《非煤矿山外包工程安全管理暂行办法》</w:t>
            </w:r>
            <w:r>
              <w:rPr>
                <w:rFonts w:eastAsia="仿宋"/>
                <w:color w:val="000000"/>
                <w:kern w:val="0"/>
                <w:sz w:val="24"/>
                <w:lang w:bidi="ar"/>
              </w:rPr>
              <w:br w:type="textWrapping"/>
            </w:r>
            <w:r>
              <w:rPr>
                <w:rFonts w:eastAsia="仿宋"/>
                <w:color w:val="000000"/>
                <w:kern w:val="0"/>
                <w:sz w:val="24"/>
                <w:lang w:bidi="ar"/>
              </w:rPr>
              <w:t>第十条  石油天然气总发包单位、分项发包单位以及金属非金属矿山总发包单位，应当每半年对其承包单位的施工资质、安全生产管理机构、规章制度和操作规程、施工现场安全管理和履行本办法第二十七条规定的信息报告义务等情况进行一次检查；发现承包单位存在安全生产问题的，应当督促其立即整改。</w:t>
            </w:r>
            <w:r>
              <w:rPr>
                <w:rFonts w:eastAsia="仿宋"/>
                <w:color w:val="000000"/>
                <w:kern w:val="0"/>
                <w:sz w:val="24"/>
                <w:lang w:bidi="ar"/>
              </w:rPr>
              <w:br w:type="textWrapping"/>
            </w:r>
            <w:r>
              <w:rPr>
                <w:rFonts w:eastAsia="仿宋"/>
                <w:color w:val="000000"/>
                <w:kern w:val="0"/>
                <w:sz w:val="24"/>
                <w:lang w:bidi="ar"/>
              </w:rPr>
              <w:t>第十四条  发包单位应当建立健全外包工程安全生产考核机制，对承包单位每年至少进行一次安全生产考核。</w:t>
            </w:r>
            <w:r>
              <w:rPr>
                <w:rFonts w:eastAsia="仿宋"/>
                <w:color w:val="000000"/>
                <w:kern w:val="0"/>
                <w:sz w:val="24"/>
                <w:lang w:bidi="ar"/>
              </w:rPr>
              <w:br w:type="textWrapping"/>
            </w:r>
            <w:r>
              <w:rPr>
                <w:rFonts w:eastAsia="仿宋"/>
                <w:color w:val="000000"/>
                <w:kern w:val="0"/>
                <w:sz w:val="24"/>
                <w:lang w:bidi="ar"/>
              </w:rPr>
              <w:t>第三十四条第一项  有关发包单位有下列行为之一的，责令限期改正，给予警告，并处1万元以上3万元以下的罚款：（一）违反本办法第十条、第十四条的规定，未对承包单位实施安全生产监督检查或者考核的；</w:t>
            </w:r>
          </w:p>
        </w:tc>
        <w:tc>
          <w:tcPr>
            <w:tcW w:w="476" w:type="pct"/>
            <w:tcBorders>
              <w:top w:val="single" w:color="000000" w:sz="4" w:space="0"/>
              <w:left w:val="single" w:color="000000" w:sz="4" w:space="0"/>
              <w:bottom w:val="single" w:color="000000" w:sz="4" w:space="0"/>
              <w:right w:val="single" w:color="000000" w:sz="4" w:space="0"/>
            </w:tcBorders>
            <w:vAlign w:val="center"/>
          </w:tcPr>
          <w:p w14:paraId="032D9114">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486872F2">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6F242EF4">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7CEC3EC8">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014950BA">
            <w:pPr>
              <w:topLinePunct/>
              <w:adjustRightInd w:val="0"/>
              <w:snapToGrid w:val="0"/>
              <w:jc w:val="center"/>
              <w:textAlignment w:val="center"/>
              <w:rPr>
                <w:rFonts w:eastAsia="仿宋"/>
                <w:color w:val="000000"/>
                <w:sz w:val="24"/>
              </w:rPr>
            </w:pPr>
            <w:r>
              <w:rPr>
                <w:rFonts w:eastAsia="仿宋"/>
                <w:color w:val="000000"/>
                <w:kern w:val="0"/>
                <w:sz w:val="24"/>
                <w:lang w:bidi="ar"/>
              </w:rPr>
              <w:t>336</w:t>
            </w:r>
          </w:p>
        </w:tc>
        <w:tc>
          <w:tcPr>
            <w:tcW w:w="838" w:type="pct"/>
            <w:tcBorders>
              <w:top w:val="single" w:color="000000" w:sz="4" w:space="0"/>
              <w:left w:val="single" w:color="000000" w:sz="4" w:space="0"/>
              <w:bottom w:val="single" w:color="000000" w:sz="4" w:space="0"/>
              <w:right w:val="single" w:color="000000" w:sz="4" w:space="0"/>
            </w:tcBorders>
            <w:vAlign w:val="center"/>
          </w:tcPr>
          <w:p w14:paraId="318745BF">
            <w:pPr>
              <w:topLinePunct/>
              <w:adjustRightInd w:val="0"/>
              <w:snapToGrid w:val="0"/>
              <w:textAlignment w:val="center"/>
              <w:rPr>
                <w:rFonts w:eastAsia="仿宋"/>
                <w:color w:val="000000"/>
                <w:sz w:val="24"/>
              </w:rPr>
            </w:pPr>
            <w:r>
              <w:rPr>
                <w:rFonts w:eastAsia="仿宋"/>
                <w:color w:val="000000"/>
                <w:kern w:val="0"/>
                <w:sz w:val="24"/>
                <w:lang w:bidi="ar"/>
              </w:rPr>
              <w:t>对非煤矿山发包单位未按规定将承包单位及其项目部纳入本单位的安全管理体系统一管理的行政处罚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04B5AA2C">
            <w:pPr>
              <w:topLinePunct/>
              <w:adjustRightInd w:val="0"/>
              <w:snapToGrid w:val="0"/>
              <w:jc w:val="left"/>
              <w:textAlignment w:val="center"/>
              <w:rPr>
                <w:rFonts w:eastAsia="仿宋"/>
                <w:color w:val="000000"/>
                <w:sz w:val="24"/>
              </w:rPr>
            </w:pPr>
            <w:r>
              <w:rPr>
                <w:rFonts w:eastAsia="仿宋"/>
                <w:color w:val="000000"/>
                <w:kern w:val="0"/>
                <w:sz w:val="24"/>
                <w:lang w:bidi="ar"/>
              </w:rPr>
              <w:t>1.《非煤矿山外包工程安全管理暂行办法》</w:t>
            </w:r>
            <w:r>
              <w:rPr>
                <w:rFonts w:eastAsia="仿宋"/>
                <w:color w:val="000000"/>
                <w:kern w:val="0"/>
                <w:sz w:val="24"/>
                <w:lang w:bidi="ar"/>
              </w:rPr>
              <w:br w:type="textWrapping"/>
            </w:r>
            <w:r>
              <w:rPr>
                <w:rFonts w:eastAsia="仿宋"/>
                <w:color w:val="000000"/>
                <w:kern w:val="0"/>
                <w:sz w:val="24"/>
                <w:lang w:bidi="ar"/>
              </w:rPr>
              <w:t>第十一条  金属非金属矿山分项发包单位，应当将承包单位及其项目部纳入本单位的安全管理体系，实行统一管理，重点加强对地下矿山领导带班下井、地下矿山从业人员出入井统计、特种作业人员、民用爆炸物品、隐患排查与治理、职业病防护等管理，并对外包工程的作业现场实施全过程监督检查。</w:t>
            </w:r>
            <w:r>
              <w:rPr>
                <w:rFonts w:eastAsia="仿宋"/>
                <w:color w:val="000000"/>
                <w:kern w:val="0"/>
                <w:sz w:val="24"/>
                <w:lang w:bidi="ar"/>
              </w:rPr>
              <w:br w:type="textWrapping"/>
            </w:r>
            <w:r>
              <w:rPr>
                <w:rFonts w:eastAsia="仿宋"/>
                <w:color w:val="000000"/>
                <w:kern w:val="0"/>
                <w:sz w:val="24"/>
                <w:lang w:bidi="ar"/>
              </w:rPr>
              <w:t>第三十四条第二项  有关发包单位有下列行为之一的，责令限期改正，给予警告，并处1万元以上3万元以下的罚款：（二）违反本办法第十一条的规定，未将承包单位及其项目部纳入本单位的安全管理体系，实行统一管理的；</w:t>
            </w:r>
          </w:p>
        </w:tc>
        <w:tc>
          <w:tcPr>
            <w:tcW w:w="476" w:type="pct"/>
            <w:tcBorders>
              <w:top w:val="single" w:color="000000" w:sz="4" w:space="0"/>
              <w:left w:val="single" w:color="000000" w:sz="4" w:space="0"/>
              <w:bottom w:val="single" w:color="000000" w:sz="4" w:space="0"/>
              <w:right w:val="single" w:color="000000" w:sz="4" w:space="0"/>
            </w:tcBorders>
            <w:vAlign w:val="center"/>
          </w:tcPr>
          <w:p w14:paraId="0D0B564F">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46393618">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3DDB5C17">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1D9D7AC2">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24A7D015">
            <w:pPr>
              <w:topLinePunct/>
              <w:adjustRightInd w:val="0"/>
              <w:snapToGrid w:val="0"/>
              <w:jc w:val="center"/>
              <w:textAlignment w:val="center"/>
              <w:rPr>
                <w:rFonts w:eastAsia="仿宋"/>
                <w:color w:val="000000"/>
                <w:sz w:val="24"/>
              </w:rPr>
            </w:pPr>
            <w:r>
              <w:rPr>
                <w:rFonts w:eastAsia="仿宋"/>
                <w:color w:val="000000"/>
                <w:kern w:val="0"/>
                <w:sz w:val="24"/>
                <w:lang w:bidi="ar"/>
              </w:rPr>
              <w:t>337</w:t>
            </w:r>
          </w:p>
        </w:tc>
        <w:tc>
          <w:tcPr>
            <w:tcW w:w="838" w:type="pct"/>
            <w:tcBorders>
              <w:top w:val="single" w:color="000000" w:sz="4" w:space="0"/>
              <w:left w:val="single" w:color="000000" w:sz="4" w:space="0"/>
              <w:bottom w:val="single" w:color="000000" w:sz="4" w:space="0"/>
              <w:right w:val="single" w:color="000000" w:sz="4" w:space="0"/>
            </w:tcBorders>
            <w:vAlign w:val="center"/>
          </w:tcPr>
          <w:p w14:paraId="215A8874">
            <w:pPr>
              <w:topLinePunct/>
              <w:adjustRightInd w:val="0"/>
              <w:snapToGrid w:val="0"/>
              <w:textAlignment w:val="center"/>
              <w:rPr>
                <w:rFonts w:eastAsia="仿宋"/>
                <w:color w:val="000000"/>
                <w:sz w:val="24"/>
              </w:rPr>
            </w:pPr>
            <w:r>
              <w:rPr>
                <w:rFonts w:eastAsia="仿宋"/>
                <w:color w:val="000000"/>
                <w:kern w:val="0"/>
                <w:sz w:val="24"/>
                <w:lang w:bidi="ar"/>
              </w:rPr>
              <w:t>对非煤矿山发包单位违章指挥或者强令承包单位及其从业人员冒险作业的行政处罚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4A91C838">
            <w:pPr>
              <w:topLinePunct/>
              <w:adjustRightInd w:val="0"/>
              <w:snapToGrid w:val="0"/>
              <w:jc w:val="left"/>
              <w:textAlignment w:val="center"/>
              <w:rPr>
                <w:rFonts w:eastAsia="仿宋"/>
                <w:color w:val="000000"/>
                <w:sz w:val="24"/>
              </w:rPr>
            </w:pPr>
            <w:r>
              <w:rPr>
                <w:rFonts w:eastAsia="仿宋"/>
                <w:color w:val="000000"/>
                <w:kern w:val="0"/>
                <w:sz w:val="24"/>
                <w:lang w:bidi="ar"/>
              </w:rPr>
              <w:t>1.《非煤矿山外包工程安全管理暂行办法》</w:t>
            </w:r>
            <w:r>
              <w:rPr>
                <w:rFonts w:eastAsia="仿宋"/>
                <w:color w:val="000000"/>
                <w:kern w:val="0"/>
                <w:sz w:val="24"/>
                <w:lang w:bidi="ar"/>
              </w:rPr>
              <w:br w:type="textWrapping"/>
            </w:r>
            <w:r>
              <w:rPr>
                <w:rFonts w:eastAsia="仿宋"/>
                <w:color w:val="000000"/>
                <w:kern w:val="0"/>
                <w:sz w:val="24"/>
                <w:lang w:bidi="ar"/>
              </w:rPr>
              <w:t>第六条第二款  发包单位不得擅自压缩外包工程合同约定的工期，不得违章指挥或者强令承包单位及其从业人员冒险作业。</w:t>
            </w:r>
            <w:r>
              <w:rPr>
                <w:rFonts w:eastAsia="仿宋"/>
                <w:color w:val="000000"/>
                <w:kern w:val="0"/>
                <w:sz w:val="24"/>
                <w:lang w:bidi="ar"/>
              </w:rPr>
              <w:br w:type="textWrapping"/>
            </w:r>
            <w:r>
              <w:rPr>
                <w:rFonts w:eastAsia="仿宋"/>
                <w:color w:val="000000"/>
                <w:kern w:val="0"/>
                <w:sz w:val="24"/>
                <w:lang w:bidi="ar"/>
              </w:rPr>
              <w:t>第三十二条  发包单位违反本办法第六条的规定，违章指挥或者强令承包单位及其从业人员冒险作业的，责令改正，处2万元以上3万元以下的罚款；造成损失的，依法承担赔偿责任。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3995A08E">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015BBDDB">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2840AA84">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131A975C">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567B10FD">
            <w:pPr>
              <w:topLinePunct/>
              <w:adjustRightInd w:val="0"/>
              <w:snapToGrid w:val="0"/>
              <w:jc w:val="center"/>
              <w:textAlignment w:val="center"/>
              <w:rPr>
                <w:rFonts w:eastAsia="仿宋"/>
                <w:color w:val="000000"/>
                <w:sz w:val="24"/>
              </w:rPr>
            </w:pPr>
            <w:r>
              <w:rPr>
                <w:rFonts w:eastAsia="仿宋"/>
                <w:color w:val="000000"/>
                <w:kern w:val="0"/>
                <w:sz w:val="24"/>
                <w:lang w:bidi="ar"/>
              </w:rPr>
              <w:t>338</w:t>
            </w:r>
          </w:p>
        </w:tc>
        <w:tc>
          <w:tcPr>
            <w:tcW w:w="838" w:type="pct"/>
            <w:tcBorders>
              <w:top w:val="single" w:color="000000" w:sz="4" w:space="0"/>
              <w:left w:val="single" w:color="000000" w:sz="4" w:space="0"/>
              <w:bottom w:val="single" w:color="000000" w:sz="4" w:space="0"/>
              <w:right w:val="single" w:color="000000" w:sz="4" w:space="0"/>
            </w:tcBorders>
            <w:vAlign w:val="center"/>
          </w:tcPr>
          <w:p w14:paraId="21D5A884">
            <w:pPr>
              <w:topLinePunct/>
              <w:adjustRightInd w:val="0"/>
              <w:snapToGrid w:val="0"/>
              <w:textAlignment w:val="center"/>
              <w:rPr>
                <w:rFonts w:eastAsia="仿宋"/>
                <w:color w:val="000000"/>
                <w:sz w:val="24"/>
              </w:rPr>
            </w:pPr>
            <w:r>
              <w:rPr>
                <w:rFonts w:eastAsia="仿宋"/>
                <w:color w:val="000000"/>
                <w:kern w:val="0"/>
                <w:sz w:val="24"/>
                <w:lang w:bidi="ar"/>
              </w:rPr>
              <w:t>对非煤矿山发包单位未按规定向承包单位进行外包工程技术交底，或者未按约定向承包单位提供有关资料的行政处罚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0AFEBF88">
            <w:pPr>
              <w:topLinePunct/>
              <w:adjustRightInd w:val="0"/>
              <w:snapToGrid w:val="0"/>
              <w:jc w:val="left"/>
              <w:textAlignment w:val="center"/>
              <w:rPr>
                <w:rFonts w:eastAsia="仿宋"/>
                <w:color w:val="000000"/>
                <w:sz w:val="24"/>
              </w:rPr>
            </w:pPr>
            <w:r>
              <w:rPr>
                <w:rFonts w:eastAsia="仿宋"/>
                <w:color w:val="000000"/>
                <w:kern w:val="0"/>
                <w:sz w:val="24"/>
                <w:lang w:bidi="ar"/>
              </w:rPr>
              <w:t>1.《非煤矿山外包工程安全管理暂行办法》</w:t>
            </w:r>
            <w:r>
              <w:rPr>
                <w:rFonts w:eastAsia="仿宋"/>
                <w:color w:val="000000"/>
                <w:kern w:val="0"/>
                <w:sz w:val="24"/>
                <w:lang w:bidi="ar"/>
              </w:rPr>
              <w:br w:type="textWrapping"/>
            </w:r>
            <w:r>
              <w:rPr>
                <w:rFonts w:eastAsia="仿宋"/>
                <w:color w:val="000000"/>
                <w:kern w:val="0"/>
                <w:sz w:val="24"/>
                <w:lang w:bidi="ar"/>
              </w:rPr>
              <w:t xml:space="preserve">    第十三条  发包单位应当向承包单位进行外包工程的技术交底，按照合同约定向承包单位提供与外包工程安全生产相关的勘察、设计、风险评价、检测检验和应急救援等资料，并保证资料的真实性、完整性和有效性。</w:t>
            </w:r>
            <w:r>
              <w:rPr>
                <w:rFonts w:eastAsia="仿宋"/>
                <w:color w:val="000000"/>
                <w:kern w:val="0"/>
                <w:sz w:val="24"/>
                <w:lang w:bidi="ar"/>
              </w:rPr>
              <w:br w:type="textWrapping"/>
            </w:r>
            <w:r>
              <w:rPr>
                <w:rFonts w:eastAsia="仿宋"/>
                <w:color w:val="000000"/>
                <w:kern w:val="0"/>
                <w:sz w:val="24"/>
                <w:lang w:bidi="ar"/>
              </w:rPr>
              <w:t>第三十四条第三项  有关发包单位有下列行为之一的，责令限期改正，给予警告，并处1万元以上3万元以下的罚款：（三）违反本办法第十三条的规定，未向承包单位进行外包工程技术交底，或者未按照合同约定向承包单位提供有关资料的。</w:t>
            </w:r>
          </w:p>
        </w:tc>
        <w:tc>
          <w:tcPr>
            <w:tcW w:w="476" w:type="pct"/>
            <w:tcBorders>
              <w:top w:val="single" w:color="000000" w:sz="4" w:space="0"/>
              <w:left w:val="single" w:color="000000" w:sz="4" w:space="0"/>
              <w:bottom w:val="single" w:color="000000" w:sz="4" w:space="0"/>
              <w:right w:val="single" w:color="000000" w:sz="4" w:space="0"/>
            </w:tcBorders>
            <w:vAlign w:val="center"/>
          </w:tcPr>
          <w:p w14:paraId="51AAE52F">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03B4FC86">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19CBCF1A">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5D5628CB">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7268858A">
            <w:pPr>
              <w:topLinePunct/>
              <w:adjustRightInd w:val="0"/>
              <w:snapToGrid w:val="0"/>
              <w:jc w:val="center"/>
              <w:textAlignment w:val="center"/>
              <w:rPr>
                <w:rFonts w:eastAsia="仿宋"/>
                <w:color w:val="000000"/>
                <w:sz w:val="24"/>
              </w:rPr>
            </w:pPr>
            <w:r>
              <w:rPr>
                <w:rFonts w:eastAsia="仿宋"/>
                <w:color w:val="000000"/>
                <w:kern w:val="0"/>
                <w:sz w:val="24"/>
                <w:lang w:bidi="ar"/>
              </w:rPr>
              <w:t>339</w:t>
            </w:r>
          </w:p>
        </w:tc>
        <w:tc>
          <w:tcPr>
            <w:tcW w:w="838" w:type="pct"/>
            <w:tcBorders>
              <w:top w:val="single" w:color="000000" w:sz="4" w:space="0"/>
              <w:left w:val="single" w:color="000000" w:sz="4" w:space="0"/>
              <w:bottom w:val="single" w:color="000000" w:sz="4" w:space="0"/>
              <w:right w:val="single" w:color="000000" w:sz="4" w:space="0"/>
            </w:tcBorders>
            <w:vAlign w:val="center"/>
          </w:tcPr>
          <w:p w14:paraId="1B8565CF">
            <w:pPr>
              <w:topLinePunct/>
              <w:adjustRightInd w:val="0"/>
              <w:snapToGrid w:val="0"/>
              <w:textAlignment w:val="center"/>
              <w:rPr>
                <w:rFonts w:eastAsia="仿宋"/>
                <w:color w:val="000000"/>
                <w:sz w:val="24"/>
              </w:rPr>
            </w:pPr>
            <w:r>
              <w:rPr>
                <w:rFonts w:eastAsia="仿宋"/>
                <w:color w:val="000000"/>
                <w:kern w:val="0"/>
                <w:sz w:val="24"/>
                <w:lang w:bidi="ar"/>
              </w:rPr>
              <w:t>对承包地下矿山工程项目部负责人兼任其他工程项目部负责人的行政处罚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7EB3A539">
            <w:pPr>
              <w:topLinePunct/>
              <w:adjustRightInd w:val="0"/>
              <w:snapToGrid w:val="0"/>
              <w:jc w:val="left"/>
              <w:textAlignment w:val="center"/>
              <w:rPr>
                <w:rFonts w:eastAsia="仿宋"/>
                <w:color w:val="000000"/>
                <w:sz w:val="24"/>
              </w:rPr>
            </w:pPr>
            <w:r>
              <w:rPr>
                <w:rFonts w:eastAsia="仿宋"/>
                <w:color w:val="000000"/>
                <w:kern w:val="0"/>
                <w:sz w:val="24"/>
                <w:lang w:bidi="ar"/>
              </w:rPr>
              <w:t>1.《非煤矿山外包工程安全管理暂行办法》</w:t>
            </w:r>
            <w:r>
              <w:rPr>
                <w:rFonts w:eastAsia="仿宋"/>
                <w:color w:val="000000"/>
                <w:kern w:val="0"/>
                <w:sz w:val="24"/>
                <w:lang w:bidi="ar"/>
              </w:rPr>
              <w:br w:type="textWrapping"/>
            </w:r>
            <w:r>
              <w:rPr>
                <w:rFonts w:eastAsia="仿宋"/>
                <w:color w:val="000000"/>
                <w:kern w:val="0"/>
                <w:sz w:val="24"/>
                <w:lang w:bidi="ar"/>
              </w:rPr>
              <w:t>第二十一条第三款  项目部负责人应当取得安全生产管理人员安全资格证。承包地下矿山工程的项目部负责人不得同时兼任其他工程的项目部负责人。</w:t>
            </w:r>
            <w:r>
              <w:rPr>
                <w:rFonts w:eastAsia="仿宋"/>
                <w:color w:val="000000"/>
                <w:kern w:val="0"/>
                <w:sz w:val="24"/>
                <w:lang w:bidi="ar"/>
              </w:rPr>
              <w:br w:type="textWrapping"/>
            </w:r>
            <w:r>
              <w:rPr>
                <w:rFonts w:eastAsia="仿宋"/>
                <w:color w:val="000000"/>
                <w:kern w:val="0"/>
                <w:sz w:val="24"/>
                <w:lang w:bidi="ar"/>
              </w:rPr>
              <w:t>第三十六条  承包地下矿山工程的项目部负责人违反本办法第二十一条的规定，同时兼任其他工程的项目部负责人的，责令限期改正，处5000元以上1万元以下罚款。</w:t>
            </w:r>
          </w:p>
        </w:tc>
        <w:tc>
          <w:tcPr>
            <w:tcW w:w="476" w:type="pct"/>
            <w:tcBorders>
              <w:top w:val="single" w:color="000000" w:sz="4" w:space="0"/>
              <w:left w:val="single" w:color="000000" w:sz="4" w:space="0"/>
              <w:bottom w:val="single" w:color="000000" w:sz="4" w:space="0"/>
              <w:right w:val="single" w:color="000000" w:sz="4" w:space="0"/>
            </w:tcBorders>
            <w:vAlign w:val="center"/>
          </w:tcPr>
          <w:p w14:paraId="78D36508">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0069AB9F">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6188D8B4">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13D1ABD9">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389D8F82">
            <w:pPr>
              <w:topLinePunct/>
              <w:adjustRightInd w:val="0"/>
              <w:snapToGrid w:val="0"/>
              <w:jc w:val="center"/>
              <w:textAlignment w:val="center"/>
              <w:rPr>
                <w:rFonts w:eastAsia="仿宋"/>
                <w:color w:val="000000"/>
                <w:sz w:val="24"/>
              </w:rPr>
            </w:pPr>
            <w:r>
              <w:rPr>
                <w:rFonts w:eastAsia="仿宋"/>
                <w:color w:val="000000"/>
                <w:kern w:val="0"/>
                <w:sz w:val="24"/>
                <w:lang w:bidi="ar"/>
              </w:rPr>
              <w:t>340</w:t>
            </w:r>
          </w:p>
        </w:tc>
        <w:tc>
          <w:tcPr>
            <w:tcW w:w="838" w:type="pct"/>
            <w:tcBorders>
              <w:top w:val="single" w:color="000000" w:sz="4" w:space="0"/>
              <w:left w:val="single" w:color="000000" w:sz="4" w:space="0"/>
              <w:bottom w:val="single" w:color="000000" w:sz="4" w:space="0"/>
              <w:right w:val="single" w:color="000000" w:sz="4" w:space="0"/>
            </w:tcBorders>
            <w:vAlign w:val="center"/>
          </w:tcPr>
          <w:p w14:paraId="40889F8D">
            <w:pPr>
              <w:topLinePunct/>
              <w:adjustRightInd w:val="0"/>
              <w:snapToGrid w:val="0"/>
              <w:textAlignment w:val="center"/>
              <w:rPr>
                <w:rFonts w:eastAsia="仿宋"/>
                <w:color w:val="000000"/>
                <w:sz w:val="24"/>
              </w:rPr>
            </w:pPr>
            <w:r>
              <w:rPr>
                <w:rFonts w:eastAsia="仿宋"/>
                <w:color w:val="000000"/>
                <w:kern w:val="0"/>
                <w:sz w:val="24"/>
                <w:lang w:bidi="ar"/>
              </w:rPr>
              <w:t>对非煤矿山承包单位未按规定向作业所在地县级安全生产监督管理部门报告的行政处罚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16C0B335">
            <w:pPr>
              <w:topLinePunct/>
              <w:adjustRightInd w:val="0"/>
              <w:snapToGrid w:val="0"/>
              <w:jc w:val="left"/>
              <w:textAlignment w:val="center"/>
              <w:rPr>
                <w:rFonts w:eastAsia="仿宋"/>
                <w:color w:val="000000"/>
                <w:sz w:val="24"/>
              </w:rPr>
            </w:pPr>
            <w:r>
              <w:rPr>
                <w:rFonts w:eastAsia="仿宋"/>
                <w:color w:val="000000"/>
                <w:kern w:val="0"/>
                <w:sz w:val="24"/>
                <w:lang w:bidi="ar"/>
              </w:rPr>
              <w:t>1.《非煤矿山外包工程安全管理暂行办法》</w:t>
            </w:r>
            <w:r>
              <w:rPr>
                <w:rFonts w:eastAsia="仿宋"/>
                <w:color w:val="000000"/>
                <w:kern w:val="0"/>
                <w:sz w:val="24"/>
                <w:lang w:bidi="ar"/>
              </w:rPr>
              <w:br w:type="textWrapping"/>
            </w:r>
            <w:r>
              <w:rPr>
                <w:rFonts w:eastAsia="仿宋"/>
                <w:color w:val="000000"/>
                <w:kern w:val="0"/>
                <w:sz w:val="24"/>
                <w:lang w:bidi="ar"/>
              </w:rPr>
              <w:t>第二十七条  承包单位在登记注册地以外的省、自治区、直辖市从事施工作业的，应当向作业所在地的县级人民政府安全生产监督管理部门书面报告外包工程概况和本单位资质等级、主要负责人、安全生产管理人员、特种作业人员、主要安全设施设备等情况，并接受其监督检查。</w:t>
            </w:r>
            <w:r>
              <w:rPr>
                <w:rFonts w:eastAsia="仿宋"/>
                <w:color w:val="000000"/>
                <w:kern w:val="0"/>
                <w:sz w:val="24"/>
                <w:lang w:bidi="ar"/>
              </w:rPr>
              <w:br w:type="textWrapping"/>
            </w:r>
            <w:r>
              <w:rPr>
                <w:rFonts w:eastAsia="仿宋"/>
                <w:color w:val="000000"/>
                <w:kern w:val="0"/>
                <w:sz w:val="24"/>
                <w:lang w:bidi="ar"/>
              </w:rPr>
              <w:t>第三十九条  承包单位违反本办法第二十七条的规定，在登记注册的省、自治区、直辖市以外从事施工作业，未向作业所在地县级人民政府安全生产监督管理部门书面报告本单位取得有关许可和施工资质，以及所承包工程情况的，责令限期改正，处1万元以上3万元以下的罚款。</w:t>
            </w:r>
          </w:p>
        </w:tc>
        <w:tc>
          <w:tcPr>
            <w:tcW w:w="476" w:type="pct"/>
            <w:tcBorders>
              <w:top w:val="single" w:color="000000" w:sz="4" w:space="0"/>
              <w:left w:val="single" w:color="000000" w:sz="4" w:space="0"/>
              <w:bottom w:val="single" w:color="000000" w:sz="4" w:space="0"/>
              <w:right w:val="single" w:color="000000" w:sz="4" w:space="0"/>
            </w:tcBorders>
            <w:vAlign w:val="center"/>
          </w:tcPr>
          <w:p w14:paraId="13775811">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2B1E2569">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702BD635">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43F69B92">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495E748E">
            <w:pPr>
              <w:topLinePunct/>
              <w:adjustRightInd w:val="0"/>
              <w:snapToGrid w:val="0"/>
              <w:jc w:val="center"/>
              <w:textAlignment w:val="center"/>
              <w:rPr>
                <w:rFonts w:eastAsia="仿宋"/>
                <w:color w:val="000000"/>
                <w:sz w:val="24"/>
              </w:rPr>
            </w:pPr>
            <w:r>
              <w:rPr>
                <w:rFonts w:eastAsia="仿宋"/>
                <w:color w:val="000000"/>
                <w:kern w:val="0"/>
                <w:sz w:val="24"/>
                <w:lang w:bidi="ar"/>
              </w:rPr>
              <w:t>341</w:t>
            </w:r>
          </w:p>
        </w:tc>
        <w:tc>
          <w:tcPr>
            <w:tcW w:w="838" w:type="pct"/>
            <w:tcBorders>
              <w:top w:val="single" w:color="000000" w:sz="4" w:space="0"/>
              <w:left w:val="single" w:color="000000" w:sz="4" w:space="0"/>
              <w:bottom w:val="single" w:color="000000" w:sz="4" w:space="0"/>
              <w:right w:val="single" w:color="000000" w:sz="4" w:space="0"/>
            </w:tcBorders>
            <w:noWrap/>
            <w:vAlign w:val="center"/>
          </w:tcPr>
          <w:p w14:paraId="7431326F">
            <w:pPr>
              <w:topLinePunct/>
              <w:adjustRightInd w:val="0"/>
              <w:snapToGrid w:val="0"/>
              <w:textAlignment w:val="center"/>
              <w:rPr>
                <w:rFonts w:eastAsia="仿宋"/>
                <w:color w:val="000000"/>
                <w:sz w:val="24"/>
              </w:rPr>
            </w:pPr>
            <w:r>
              <w:rPr>
                <w:rFonts w:eastAsia="仿宋"/>
                <w:color w:val="000000"/>
                <w:kern w:val="0"/>
                <w:sz w:val="24"/>
                <w:lang w:bidi="ar"/>
              </w:rPr>
              <w:t>对非煤矿山承包单位将发包单位投入的安全资金挪作他用的行政处罚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10274E8A">
            <w:pPr>
              <w:topLinePunct/>
              <w:adjustRightInd w:val="0"/>
              <w:snapToGrid w:val="0"/>
              <w:jc w:val="left"/>
              <w:textAlignment w:val="center"/>
              <w:rPr>
                <w:rFonts w:eastAsia="仿宋"/>
                <w:color w:val="000000"/>
                <w:sz w:val="24"/>
              </w:rPr>
            </w:pPr>
            <w:r>
              <w:rPr>
                <w:rFonts w:eastAsia="仿宋"/>
                <w:color w:val="000000"/>
                <w:kern w:val="0"/>
                <w:sz w:val="24"/>
                <w:lang w:bidi="ar"/>
              </w:rPr>
              <w:t>1.《非煤矿山外包工程安全管理暂行办法》</w:t>
            </w:r>
            <w:r>
              <w:rPr>
                <w:rFonts w:eastAsia="仿宋"/>
                <w:color w:val="000000"/>
                <w:kern w:val="0"/>
                <w:sz w:val="24"/>
                <w:lang w:bidi="ar"/>
              </w:rPr>
              <w:br w:type="textWrapping"/>
            </w:r>
            <w:r>
              <w:rPr>
                <w:rFonts w:eastAsia="仿宋"/>
                <w:color w:val="000000"/>
                <w:kern w:val="0"/>
                <w:sz w:val="24"/>
                <w:lang w:bidi="ar"/>
              </w:rPr>
              <w:t>第二十二条  承包单位应当依照法律、法规、规章的规定以及承包合同和安全生产管理协议的约定，及时将发包单位投入的安全资金落实到位，不得挪作他用。</w:t>
            </w:r>
            <w:r>
              <w:rPr>
                <w:rFonts w:eastAsia="仿宋"/>
                <w:color w:val="000000"/>
                <w:kern w:val="0"/>
                <w:sz w:val="24"/>
                <w:lang w:bidi="ar"/>
              </w:rPr>
              <w:br w:type="textWrapping"/>
            </w:r>
            <w:r>
              <w:rPr>
                <w:rFonts w:eastAsia="仿宋"/>
                <w:color w:val="000000"/>
                <w:kern w:val="0"/>
                <w:sz w:val="24"/>
                <w:lang w:bidi="ar"/>
              </w:rPr>
              <w:t>第三十七条第一款  承包单位违反本办法第二十二条的规定，将发包单位投入的安全资金挪作他用的，责令限期改正，给予警告，并处1万元以上3万元以下罚款。</w:t>
            </w:r>
          </w:p>
        </w:tc>
        <w:tc>
          <w:tcPr>
            <w:tcW w:w="476" w:type="pct"/>
            <w:tcBorders>
              <w:top w:val="single" w:color="000000" w:sz="4" w:space="0"/>
              <w:left w:val="single" w:color="000000" w:sz="4" w:space="0"/>
              <w:bottom w:val="single" w:color="000000" w:sz="4" w:space="0"/>
              <w:right w:val="single" w:color="000000" w:sz="4" w:space="0"/>
            </w:tcBorders>
            <w:vAlign w:val="center"/>
          </w:tcPr>
          <w:p w14:paraId="5F974074">
            <w:pPr>
              <w:topLinePunct/>
              <w:adjustRightInd w:val="0"/>
              <w:snapToGrid w:val="0"/>
              <w:jc w:val="left"/>
              <w:textAlignment w:val="center"/>
              <w:rPr>
                <w:rFonts w:eastAsia="仿宋"/>
                <w:color w:val="000000"/>
                <w:sz w:val="24"/>
              </w:rPr>
            </w:pPr>
            <w:r>
              <w:rPr>
                <w:rFonts w:eastAsia="仿宋"/>
                <w:color w:val="000000"/>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4727945F">
            <w:pPr>
              <w:topLinePunct/>
              <w:adjustRightInd w:val="0"/>
              <w:snapToGrid w:val="0"/>
              <w:jc w:val="left"/>
              <w:textAlignment w:val="center"/>
              <w:rPr>
                <w:rFonts w:eastAsia="仿宋"/>
                <w:color w:val="000000"/>
                <w:sz w:val="24"/>
              </w:rPr>
            </w:pPr>
            <w:r>
              <w:rPr>
                <w:rFonts w:eastAsia="仿宋"/>
                <w:color w:val="000000"/>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358401DC">
            <w:pPr>
              <w:topLinePunct/>
              <w:adjustRightInd w:val="0"/>
              <w:snapToGrid w:val="0"/>
              <w:jc w:val="center"/>
              <w:textAlignment w:val="center"/>
              <w:rPr>
                <w:rFonts w:hint="eastAsia" w:eastAsia="仿宋"/>
                <w:color w:val="000000"/>
                <w:sz w:val="24"/>
                <w:lang w:eastAsia="zh-CN"/>
              </w:rPr>
            </w:pPr>
            <w:r>
              <w:rPr>
                <w:rFonts w:hint="eastAsia" w:eastAsia="仿宋"/>
                <w:color w:val="000000"/>
                <w:kern w:val="0"/>
                <w:sz w:val="24"/>
                <w:lang w:eastAsia="zh-CN" w:bidi="ar"/>
              </w:rPr>
              <w:t>县级</w:t>
            </w:r>
          </w:p>
        </w:tc>
      </w:tr>
      <w:tr w14:paraId="560AF564">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358B8F58">
            <w:pPr>
              <w:topLinePunct/>
              <w:adjustRightInd w:val="0"/>
              <w:snapToGrid w:val="0"/>
              <w:jc w:val="center"/>
              <w:textAlignment w:val="center"/>
              <w:rPr>
                <w:rFonts w:eastAsia="仿宋"/>
                <w:color w:val="000000"/>
                <w:sz w:val="24"/>
              </w:rPr>
            </w:pPr>
            <w:r>
              <w:rPr>
                <w:rFonts w:eastAsia="仿宋"/>
                <w:color w:val="000000"/>
                <w:kern w:val="0"/>
                <w:sz w:val="24"/>
                <w:lang w:bidi="ar"/>
              </w:rPr>
              <w:t>342</w:t>
            </w:r>
          </w:p>
        </w:tc>
        <w:tc>
          <w:tcPr>
            <w:tcW w:w="838" w:type="pct"/>
            <w:tcBorders>
              <w:top w:val="single" w:color="000000" w:sz="4" w:space="0"/>
              <w:left w:val="single" w:color="000000" w:sz="4" w:space="0"/>
              <w:bottom w:val="single" w:color="000000" w:sz="4" w:space="0"/>
              <w:right w:val="single" w:color="000000" w:sz="4" w:space="0"/>
            </w:tcBorders>
            <w:vAlign w:val="center"/>
          </w:tcPr>
          <w:p w14:paraId="14B6201D">
            <w:pPr>
              <w:topLinePunct/>
              <w:adjustRightInd w:val="0"/>
              <w:snapToGrid w:val="0"/>
              <w:textAlignment w:val="center"/>
              <w:rPr>
                <w:rFonts w:eastAsia="仿宋"/>
                <w:color w:val="000000"/>
                <w:sz w:val="24"/>
              </w:rPr>
            </w:pPr>
            <w:r>
              <w:rPr>
                <w:rFonts w:eastAsia="仿宋_GB2312"/>
                <w:kern w:val="0"/>
                <w:sz w:val="24"/>
                <w:lang w:bidi="ar"/>
              </w:rPr>
              <w:t>对地表距进风井口和平硐口50m范围内存放油料或其他易燃、易爆材料的行政处罚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6B8D8C46">
            <w:pPr>
              <w:topLinePunct/>
              <w:adjustRightInd w:val="0"/>
              <w:snapToGrid w:val="0"/>
              <w:jc w:val="left"/>
              <w:textAlignment w:val="center"/>
              <w:rPr>
                <w:rFonts w:eastAsia="仿宋"/>
                <w:color w:val="000000"/>
                <w:sz w:val="24"/>
              </w:rPr>
            </w:pPr>
            <w:r>
              <w:rPr>
                <w:rFonts w:eastAsia="仿宋"/>
                <w:kern w:val="0"/>
                <w:sz w:val="24"/>
                <w:lang w:bidi="ar"/>
              </w:rPr>
              <w:t>1.《国家矿山安全监察局关于印发〈金属非金属矿山重大事故隐患判定标准补充情形〉的通知》（矿安〔2024〕41号）</w:t>
            </w:r>
            <w:r>
              <w:rPr>
                <w:rFonts w:eastAsia="仿宋"/>
                <w:kern w:val="0"/>
                <w:sz w:val="24"/>
                <w:lang w:bidi="ar"/>
              </w:rPr>
              <w:br w:type="textWrapping"/>
            </w:r>
            <w:r>
              <w:rPr>
                <w:rFonts w:eastAsia="仿宋"/>
                <w:kern w:val="0"/>
                <w:sz w:val="24"/>
                <w:lang w:bidi="ar"/>
              </w:rPr>
              <w:t>一、金属非金属地下矿山重大事故隐患</w:t>
            </w:r>
            <w:r>
              <w:rPr>
                <w:rFonts w:eastAsia="仿宋"/>
                <w:kern w:val="0"/>
                <w:sz w:val="24"/>
                <w:lang w:bidi="ar"/>
              </w:rPr>
              <w:br w:type="textWrapping"/>
            </w:r>
            <w:r>
              <w:rPr>
                <w:rFonts w:eastAsia="仿宋"/>
                <w:kern w:val="0"/>
                <w:sz w:val="24"/>
                <w:lang w:bidi="ar"/>
              </w:rPr>
              <w:t>（一）地表距进风井口和平硐口50m范围内存放油料或其他易燃、易爆材料。</w:t>
            </w:r>
            <w:r>
              <w:rPr>
                <w:rFonts w:eastAsia="仿宋"/>
                <w:kern w:val="0"/>
                <w:sz w:val="24"/>
                <w:lang w:bidi="ar"/>
              </w:rPr>
              <w:br w:type="textWrapping"/>
            </w:r>
            <w:r>
              <w:rPr>
                <w:rFonts w:eastAsia="仿宋"/>
                <w:kern w:val="0"/>
                <w:sz w:val="24"/>
                <w:lang w:bidi="ar"/>
              </w:rPr>
              <w:t>2.《中华人民共和国安全生产法》</w:t>
            </w:r>
            <w:r>
              <w:rPr>
                <w:rFonts w:eastAsia="仿宋"/>
                <w:kern w:val="0"/>
                <w:sz w:val="24"/>
                <w:lang w:bidi="ar"/>
              </w:rPr>
              <w:br w:type="textWrapping"/>
            </w:r>
            <w:r>
              <w:rPr>
                <w:rFonts w:eastAsia="仿宋"/>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22F3016C">
            <w:pPr>
              <w:topLinePunct/>
              <w:adjustRightInd w:val="0"/>
              <w:snapToGrid w:val="0"/>
              <w:jc w:val="left"/>
              <w:textAlignment w:val="center"/>
              <w:rPr>
                <w:rFonts w:eastAsia="仿宋"/>
                <w:color w:val="000000"/>
                <w:sz w:val="24"/>
              </w:rPr>
            </w:pPr>
            <w:r>
              <w:rPr>
                <w:rFonts w:eastAsia="仿宋"/>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17F54592">
            <w:pPr>
              <w:topLinePunct/>
              <w:adjustRightInd w:val="0"/>
              <w:snapToGrid w:val="0"/>
              <w:jc w:val="left"/>
              <w:textAlignment w:val="center"/>
              <w:rPr>
                <w:rFonts w:eastAsia="仿宋"/>
                <w:color w:val="000000"/>
                <w:sz w:val="24"/>
              </w:rPr>
            </w:pPr>
            <w:r>
              <w:rPr>
                <w:rFonts w:eastAsia="仿宋"/>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6216AAB3">
            <w:pPr>
              <w:topLinePunct/>
              <w:adjustRightInd w:val="0"/>
              <w:snapToGrid w:val="0"/>
              <w:jc w:val="center"/>
              <w:textAlignment w:val="center"/>
              <w:rPr>
                <w:rFonts w:hint="eastAsia" w:eastAsia="仿宋"/>
                <w:color w:val="000000"/>
                <w:sz w:val="24"/>
                <w:lang w:eastAsia="zh-CN"/>
              </w:rPr>
            </w:pPr>
            <w:r>
              <w:rPr>
                <w:rFonts w:hint="eastAsia" w:eastAsia="仿宋"/>
                <w:kern w:val="0"/>
                <w:sz w:val="24"/>
                <w:lang w:eastAsia="zh-CN" w:bidi="ar"/>
              </w:rPr>
              <w:t>县级</w:t>
            </w:r>
          </w:p>
        </w:tc>
      </w:tr>
      <w:tr w14:paraId="51343355">
        <w:tblPrEx>
          <w:tblCellMar>
            <w:top w:w="0" w:type="dxa"/>
            <w:left w:w="108" w:type="dxa"/>
            <w:bottom w:w="0" w:type="dxa"/>
            <w:right w:w="108" w:type="dxa"/>
          </w:tblCellMar>
        </w:tblPrEx>
        <w:trPr>
          <w:trHeight w:val="225"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796A5A06">
            <w:pPr>
              <w:topLinePunct/>
              <w:adjustRightInd w:val="0"/>
              <w:snapToGrid w:val="0"/>
              <w:jc w:val="center"/>
              <w:textAlignment w:val="center"/>
              <w:rPr>
                <w:rFonts w:eastAsia="仿宋"/>
                <w:color w:val="000000"/>
                <w:sz w:val="24"/>
              </w:rPr>
            </w:pPr>
            <w:r>
              <w:rPr>
                <w:rFonts w:eastAsia="仿宋"/>
                <w:color w:val="000000"/>
                <w:kern w:val="0"/>
                <w:sz w:val="24"/>
                <w:lang w:bidi="ar"/>
              </w:rPr>
              <w:t>343</w:t>
            </w:r>
          </w:p>
        </w:tc>
        <w:tc>
          <w:tcPr>
            <w:tcW w:w="838" w:type="pct"/>
            <w:tcBorders>
              <w:top w:val="single" w:color="000000" w:sz="4" w:space="0"/>
              <w:left w:val="single" w:color="000000" w:sz="4" w:space="0"/>
              <w:bottom w:val="single" w:color="000000" w:sz="4" w:space="0"/>
              <w:right w:val="single" w:color="000000" w:sz="4" w:space="0"/>
            </w:tcBorders>
            <w:vAlign w:val="center"/>
          </w:tcPr>
          <w:p w14:paraId="01AF3430">
            <w:pPr>
              <w:topLinePunct/>
              <w:adjustRightInd w:val="0"/>
              <w:snapToGrid w:val="0"/>
              <w:textAlignment w:val="center"/>
              <w:rPr>
                <w:rFonts w:eastAsia="仿宋"/>
                <w:color w:val="000000"/>
                <w:sz w:val="24"/>
              </w:rPr>
            </w:pPr>
            <w:r>
              <w:rPr>
                <w:rFonts w:eastAsia="仿宋"/>
                <w:kern w:val="0"/>
                <w:sz w:val="24"/>
                <w:lang w:bidi="ar"/>
              </w:rPr>
              <w:t>对受地表水威胁的矿井，未查清矿山及周边地面裂缝、废弃井巷、封闭不良钻孔、采空区、水力联系通道等隐蔽致灾因素或者未采取有效治理措施，在井下受威胁区域组织生产建设的行政处罚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51100410">
            <w:pPr>
              <w:topLinePunct/>
              <w:adjustRightInd w:val="0"/>
              <w:snapToGrid w:val="0"/>
              <w:jc w:val="left"/>
              <w:textAlignment w:val="center"/>
              <w:rPr>
                <w:rFonts w:eastAsia="仿宋"/>
                <w:color w:val="000000"/>
                <w:sz w:val="24"/>
              </w:rPr>
            </w:pPr>
            <w:r>
              <w:rPr>
                <w:rFonts w:eastAsia="仿宋"/>
                <w:kern w:val="0"/>
                <w:sz w:val="24"/>
                <w:lang w:bidi="ar"/>
              </w:rPr>
              <w:t>1.《国家矿山安全监察局关于印发〈金属非金属矿山重大事故隐患判定标准补充情形〉的通知》（矿安〔2024〕41号）</w:t>
            </w:r>
            <w:r>
              <w:rPr>
                <w:rFonts w:eastAsia="仿宋"/>
                <w:kern w:val="0"/>
                <w:sz w:val="24"/>
                <w:lang w:bidi="ar"/>
              </w:rPr>
              <w:br w:type="textWrapping"/>
            </w:r>
            <w:r>
              <w:rPr>
                <w:rFonts w:eastAsia="仿宋"/>
                <w:kern w:val="0"/>
                <w:sz w:val="24"/>
                <w:lang w:bidi="ar"/>
              </w:rPr>
              <w:t>一、金属非金属地下矿山重大事故隐患</w:t>
            </w:r>
            <w:r>
              <w:rPr>
                <w:rFonts w:eastAsia="仿宋"/>
                <w:kern w:val="0"/>
                <w:sz w:val="24"/>
                <w:lang w:bidi="ar"/>
              </w:rPr>
              <w:br w:type="textWrapping"/>
            </w:r>
            <w:r>
              <w:rPr>
                <w:rFonts w:eastAsia="仿宋"/>
                <w:kern w:val="0"/>
                <w:sz w:val="24"/>
                <w:lang w:bidi="ar"/>
              </w:rPr>
              <w:t>（二）受地表水威胁的矿井，未查清矿山及周边地面裂缝、废弃井巷、封闭不良钻孔、采空区、水力联系通道等隐蔽致灾因素或者未采取有效治理措施，在井下受威胁区域组织生产建设。</w:t>
            </w:r>
            <w:r>
              <w:rPr>
                <w:rFonts w:eastAsia="仿宋"/>
                <w:kern w:val="0"/>
                <w:sz w:val="24"/>
                <w:lang w:bidi="ar"/>
              </w:rPr>
              <w:br w:type="textWrapping"/>
            </w:r>
            <w:r>
              <w:rPr>
                <w:rFonts w:eastAsia="仿宋"/>
                <w:kern w:val="0"/>
                <w:sz w:val="24"/>
                <w:lang w:bidi="ar"/>
              </w:rPr>
              <w:t>2.《中华人民共和国安全生产法》</w:t>
            </w:r>
            <w:r>
              <w:rPr>
                <w:rFonts w:eastAsia="仿宋"/>
                <w:kern w:val="0"/>
                <w:sz w:val="24"/>
                <w:lang w:bidi="ar"/>
              </w:rPr>
              <w:br w:type="textWrapping"/>
            </w:r>
            <w:r>
              <w:rPr>
                <w:rFonts w:eastAsia="仿宋"/>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79BDF909">
            <w:pPr>
              <w:topLinePunct/>
              <w:adjustRightInd w:val="0"/>
              <w:snapToGrid w:val="0"/>
              <w:jc w:val="left"/>
              <w:textAlignment w:val="center"/>
              <w:rPr>
                <w:rFonts w:eastAsia="仿宋"/>
                <w:color w:val="000000"/>
                <w:sz w:val="24"/>
              </w:rPr>
            </w:pPr>
            <w:r>
              <w:rPr>
                <w:rFonts w:eastAsia="仿宋"/>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79237C03">
            <w:pPr>
              <w:topLinePunct/>
              <w:adjustRightInd w:val="0"/>
              <w:snapToGrid w:val="0"/>
              <w:jc w:val="left"/>
              <w:textAlignment w:val="center"/>
              <w:rPr>
                <w:rFonts w:eastAsia="仿宋"/>
                <w:color w:val="000000"/>
                <w:sz w:val="24"/>
              </w:rPr>
            </w:pPr>
            <w:r>
              <w:rPr>
                <w:rFonts w:eastAsia="仿宋"/>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4705639E">
            <w:pPr>
              <w:topLinePunct/>
              <w:adjustRightInd w:val="0"/>
              <w:snapToGrid w:val="0"/>
              <w:jc w:val="center"/>
              <w:textAlignment w:val="center"/>
              <w:rPr>
                <w:rFonts w:hint="eastAsia" w:eastAsia="仿宋"/>
                <w:color w:val="000000"/>
                <w:sz w:val="24"/>
                <w:lang w:eastAsia="zh-CN"/>
              </w:rPr>
            </w:pPr>
            <w:r>
              <w:rPr>
                <w:rFonts w:hint="eastAsia" w:eastAsia="仿宋"/>
                <w:kern w:val="0"/>
                <w:sz w:val="24"/>
                <w:lang w:eastAsia="zh-CN" w:bidi="ar"/>
              </w:rPr>
              <w:t>县级</w:t>
            </w:r>
          </w:p>
        </w:tc>
      </w:tr>
      <w:tr w14:paraId="7BA162DD">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168EBD32">
            <w:pPr>
              <w:topLinePunct/>
              <w:adjustRightInd w:val="0"/>
              <w:snapToGrid w:val="0"/>
              <w:jc w:val="center"/>
              <w:textAlignment w:val="center"/>
              <w:rPr>
                <w:rFonts w:eastAsia="仿宋"/>
                <w:color w:val="000000"/>
                <w:sz w:val="24"/>
              </w:rPr>
            </w:pPr>
            <w:r>
              <w:rPr>
                <w:rFonts w:eastAsia="仿宋"/>
                <w:color w:val="000000"/>
                <w:kern w:val="0"/>
                <w:sz w:val="24"/>
                <w:lang w:bidi="ar"/>
              </w:rPr>
              <w:t>344</w:t>
            </w:r>
          </w:p>
        </w:tc>
        <w:tc>
          <w:tcPr>
            <w:tcW w:w="838" w:type="pct"/>
            <w:tcBorders>
              <w:top w:val="single" w:color="000000" w:sz="4" w:space="0"/>
              <w:left w:val="single" w:color="000000" w:sz="4" w:space="0"/>
              <w:bottom w:val="single" w:color="000000" w:sz="4" w:space="0"/>
              <w:right w:val="single" w:color="000000" w:sz="4" w:space="0"/>
            </w:tcBorders>
            <w:vAlign w:val="center"/>
          </w:tcPr>
          <w:p w14:paraId="3089A3FF">
            <w:pPr>
              <w:topLinePunct/>
              <w:adjustRightInd w:val="0"/>
              <w:snapToGrid w:val="0"/>
              <w:textAlignment w:val="center"/>
              <w:rPr>
                <w:rFonts w:eastAsia="仿宋"/>
                <w:color w:val="000000"/>
                <w:sz w:val="24"/>
              </w:rPr>
            </w:pPr>
            <w:r>
              <w:rPr>
                <w:rFonts w:eastAsia="仿宋"/>
                <w:kern w:val="0"/>
                <w:sz w:val="24"/>
                <w:lang w:bidi="ar"/>
              </w:rPr>
              <w:t>对办公区、生活区等人员集聚场所设在危崖、塌陷区、崩落区，或洪水、泥石流、滑坡等灾害威胁范围内的行政处罚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1A07CF18">
            <w:pPr>
              <w:topLinePunct/>
              <w:adjustRightInd w:val="0"/>
              <w:snapToGrid w:val="0"/>
              <w:jc w:val="left"/>
              <w:textAlignment w:val="center"/>
              <w:rPr>
                <w:rFonts w:eastAsia="仿宋"/>
                <w:color w:val="000000"/>
                <w:sz w:val="24"/>
              </w:rPr>
            </w:pPr>
            <w:r>
              <w:rPr>
                <w:rFonts w:eastAsia="仿宋"/>
                <w:kern w:val="0"/>
                <w:sz w:val="24"/>
                <w:lang w:bidi="ar"/>
              </w:rPr>
              <w:t>1.《国家矿山安全监察局关于印发〈金属非金属矿山重大事故隐患判定标准补充情形〉的通知》（矿安〔2024〕41号）</w:t>
            </w:r>
            <w:r>
              <w:rPr>
                <w:rFonts w:eastAsia="仿宋"/>
                <w:kern w:val="0"/>
                <w:sz w:val="24"/>
                <w:lang w:bidi="ar"/>
              </w:rPr>
              <w:br w:type="textWrapping"/>
            </w:r>
            <w:r>
              <w:rPr>
                <w:rFonts w:eastAsia="仿宋"/>
                <w:kern w:val="0"/>
                <w:sz w:val="24"/>
                <w:lang w:bidi="ar"/>
              </w:rPr>
              <w:t>一、金属非金属地下矿山重大事故隐患</w:t>
            </w:r>
            <w:r>
              <w:rPr>
                <w:rFonts w:eastAsia="仿宋"/>
                <w:kern w:val="0"/>
                <w:sz w:val="24"/>
                <w:lang w:bidi="ar"/>
              </w:rPr>
              <w:br w:type="textWrapping"/>
            </w:r>
            <w:r>
              <w:rPr>
                <w:rFonts w:eastAsia="仿宋"/>
                <w:kern w:val="0"/>
                <w:sz w:val="24"/>
                <w:lang w:bidi="ar"/>
              </w:rPr>
              <w:t>（三）对地下非煤矿山办公区、生活区等人员集聚场所设在危崖、塌陷区、崩落区，或洪水、泥石流、滑坡等灾害威胁范围内。</w:t>
            </w:r>
            <w:r>
              <w:rPr>
                <w:rFonts w:eastAsia="仿宋"/>
                <w:kern w:val="0"/>
                <w:sz w:val="24"/>
                <w:lang w:bidi="ar"/>
              </w:rPr>
              <w:br w:type="textWrapping"/>
            </w:r>
            <w:r>
              <w:rPr>
                <w:rFonts w:eastAsia="仿宋"/>
                <w:kern w:val="0"/>
                <w:sz w:val="24"/>
                <w:lang w:bidi="ar"/>
              </w:rPr>
              <w:t>2.《中华人民共和国安全生产法》</w:t>
            </w:r>
            <w:r>
              <w:rPr>
                <w:rFonts w:eastAsia="仿宋"/>
                <w:kern w:val="0"/>
                <w:sz w:val="24"/>
                <w:lang w:bidi="ar"/>
              </w:rPr>
              <w:br w:type="textWrapping"/>
            </w:r>
            <w:r>
              <w:rPr>
                <w:rFonts w:eastAsia="仿宋"/>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6592A840">
            <w:pPr>
              <w:topLinePunct/>
              <w:adjustRightInd w:val="0"/>
              <w:snapToGrid w:val="0"/>
              <w:jc w:val="left"/>
              <w:textAlignment w:val="center"/>
              <w:rPr>
                <w:rFonts w:eastAsia="仿宋"/>
                <w:color w:val="000000"/>
                <w:sz w:val="24"/>
              </w:rPr>
            </w:pPr>
            <w:r>
              <w:rPr>
                <w:rFonts w:eastAsia="仿宋"/>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00ECCCA7">
            <w:pPr>
              <w:topLinePunct/>
              <w:adjustRightInd w:val="0"/>
              <w:snapToGrid w:val="0"/>
              <w:jc w:val="left"/>
              <w:textAlignment w:val="center"/>
              <w:rPr>
                <w:rFonts w:eastAsia="仿宋"/>
                <w:color w:val="000000"/>
                <w:sz w:val="24"/>
              </w:rPr>
            </w:pPr>
            <w:r>
              <w:rPr>
                <w:rFonts w:eastAsia="仿宋"/>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19C4F597">
            <w:pPr>
              <w:topLinePunct/>
              <w:adjustRightInd w:val="0"/>
              <w:snapToGrid w:val="0"/>
              <w:jc w:val="center"/>
              <w:textAlignment w:val="center"/>
              <w:rPr>
                <w:rFonts w:hint="eastAsia" w:eastAsia="仿宋"/>
                <w:color w:val="000000"/>
                <w:sz w:val="24"/>
                <w:lang w:eastAsia="zh-CN"/>
              </w:rPr>
            </w:pPr>
            <w:r>
              <w:rPr>
                <w:rFonts w:hint="eastAsia" w:eastAsia="仿宋"/>
                <w:kern w:val="0"/>
                <w:sz w:val="24"/>
                <w:lang w:eastAsia="zh-CN" w:bidi="ar"/>
              </w:rPr>
              <w:t>县级</w:t>
            </w:r>
          </w:p>
        </w:tc>
      </w:tr>
      <w:tr w14:paraId="1A97B939">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72748ED7">
            <w:pPr>
              <w:topLinePunct/>
              <w:adjustRightInd w:val="0"/>
              <w:snapToGrid w:val="0"/>
              <w:jc w:val="center"/>
              <w:textAlignment w:val="center"/>
              <w:rPr>
                <w:rFonts w:eastAsia="仿宋"/>
                <w:color w:val="000000"/>
                <w:sz w:val="24"/>
              </w:rPr>
            </w:pPr>
            <w:r>
              <w:rPr>
                <w:rFonts w:eastAsia="仿宋"/>
                <w:color w:val="000000"/>
                <w:kern w:val="0"/>
                <w:sz w:val="24"/>
                <w:lang w:bidi="ar"/>
              </w:rPr>
              <w:t>345</w:t>
            </w:r>
          </w:p>
        </w:tc>
        <w:tc>
          <w:tcPr>
            <w:tcW w:w="838" w:type="pct"/>
            <w:tcBorders>
              <w:top w:val="single" w:color="000000" w:sz="4" w:space="0"/>
              <w:left w:val="single" w:color="000000" w:sz="4" w:space="0"/>
              <w:bottom w:val="single" w:color="000000" w:sz="4" w:space="0"/>
              <w:right w:val="single" w:color="000000" w:sz="4" w:space="0"/>
            </w:tcBorders>
            <w:vAlign w:val="center"/>
          </w:tcPr>
          <w:p w14:paraId="779881CF">
            <w:pPr>
              <w:topLinePunct/>
              <w:adjustRightInd w:val="0"/>
              <w:snapToGrid w:val="0"/>
              <w:textAlignment w:val="center"/>
              <w:rPr>
                <w:rFonts w:eastAsia="仿宋"/>
                <w:color w:val="000000"/>
                <w:sz w:val="24"/>
              </w:rPr>
            </w:pPr>
            <w:r>
              <w:rPr>
                <w:rFonts w:eastAsia="仿宋"/>
                <w:kern w:val="0"/>
                <w:sz w:val="24"/>
                <w:lang w:bidi="ar"/>
              </w:rPr>
              <w:t>对遇极端天气地下矿山未及时停止作业、撤出现场作业人员的行政处罚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06AB9120">
            <w:pPr>
              <w:topLinePunct/>
              <w:adjustRightInd w:val="0"/>
              <w:snapToGrid w:val="0"/>
              <w:jc w:val="left"/>
              <w:textAlignment w:val="center"/>
              <w:rPr>
                <w:rFonts w:eastAsia="仿宋"/>
                <w:color w:val="000000"/>
                <w:sz w:val="24"/>
              </w:rPr>
            </w:pPr>
            <w:r>
              <w:rPr>
                <w:rFonts w:eastAsia="仿宋"/>
                <w:kern w:val="0"/>
                <w:sz w:val="24"/>
                <w:lang w:bidi="ar"/>
              </w:rPr>
              <w:t>1.《国家矿山安全监察局关于印发〈金属非金属矿山重大事故隐患判定标准补充情形〉的通知》（矿安〔2024〕41号）</w:t>
            </w:r>
            <w:r>
              <w:rPr>
                <w:rFonts w:eastAsia="仿宋"/>
                <w:kern w:val="0"/>
                <w:sz w:val="24"/>
                <w:lang w:bidi="ar"/>
              </w:rPr>
              <w:br w:type="textWrapping"/>
            </w:r>
            <w:r>
              <w:rPr>
                <w:rFonts w:eastAsia="仿宋"/>
                <w:kern w:val="0"/>
                <w:sz w:val="24"/>
                <w:lang w:bidi="ar"/>
              </w:rPr>
              <w:t>一、金属非金属地下矿山重大事故隐患</w:t>
            </w:r>
            <w:r>
              <w:rPr>
                <w:rFonts w:eastAsia="仿宋"/>
                <w:kern w:val="0"/>
                <w:sz w:val="24"/>
                <w:lang w:bidi="ar"/>
              </w:rPr>
              <w:br w:type="textWrapping"/>
            </w:r>
            <w:r>
              <w:rPr>
                <w:rFonts w:eastAsia="仿宋"/>
                <w:kern w:val="0"/>
                <w:sz w:val="24"/>
                <w:lang w:bidi="ar"/>
              </w:rPr>
              <w:t>（四）遇极端天气地下矿山未及时停止作业、撤出现场作业人员。</w:t>
            </w:r>
            <w:r>
              <w:rPr>
                <w:rFonts w:eastAsia="仿宋"/>
                <w:kern w:val="0"/>
                <w:sz w:val="24"/>
                <w:lang w:bidi="ar"/>
              </w:rPr>
              <w:br w:type="textWrapping"/>
            </w:r>
            <w:r>
              <w:rPr>
                <w:rFonts w:eastAsia="仿宋"/>
                <w:kern w:val="0"/>
                <w:sz w:val="24"/>
                <w:lang w:bidi="ar"/>
              </w:rPr>
              <w:t>2.《中华人民共和国安全生产法》</w:t>
            </w:r>
            <w:r>
              <w:rPr>
                <w:rFonts w:eastAsia="仿宋"/>
                <w:kern w:val="0"/>
                <w:sz w:val="24"/>
                <w:lang w:bidi="ar"/>
              </w:rPr>
              <w:br w:type="textWrapping"/>
            </w:r>
            <w:r>
              <w:rPr>
                <w:rFonts w:eastAsia="仿宋"/>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78497F8D">
            <w:pPr>
              <w:topLinePunct/>
              <w:adjustRightInd w:val="0"/>
              <w:snapToGrid w:val="0"/>
              <w:jc w:val="left"/>
              <w:textAlignment w:val="center"/>
              <w:rPr>
                <w:rFonts w:eastAsia="仿宋"/>
                <w:color w:val="000000"/>
                <w:sz w:val="24"/>
              </w:rPr>
            </w:pPr>
            <w:r>
              <w:rPr>
                <w:rFonts w:eastAsia="仿宋"/>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76CC58AF">
            <w:pPr>
              <w:topLinePunct/>
              <w:adjustRightInd w:val="0"/>
              <w:snapToGrid w:val="0"/>
              <w:jc w:val="left"/>
              <w:textAlignment w:val="center"/>
              <w:rPr>
                <w:rFonts w:eastAsia="仿宋"/>
                <w:color w:val="000000"/>
                <w:sz w:val="24"/>
              </w:rPr>
            </w:pPr>
            <w:r>
              <w:rPr>
                <w:rFonts w:eastAsia="仿宋"/>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285ABD6D">
            <w:pPr>
              <w:topLinePunct/>
              <w:adjustRightInd w:val="0"/>
              <w:snapToGrid w:val="0"/>
              <w:jc w:val="center"/>
              <w:textAlignment w:val="center"/>
              <w:rPr>
                <w:rFonts w:hint="eastAsia" w:eastAsia="仿宋"/>
                <w:color w:val="000000"/>
                <w:sz w:val="24"/>
                <w:lang w:eastAsia="zh-CN"/>
              </w:rPr>
            </w:pPr>
            <w:r>
              <w:rPr>
                <w:rFonts w:hint="eastAsia" w:eastAsia="仿宋"/>
                <w:kern w:val="0"/>
                <w:sz w:val="24"/>
                <w:lang w:eastAsia="zh-CN" w:bidi="ar"/>
              </w:rPr>
              <w:t>县级</w:t>
            </w:r>
          </w:p>
        </w:tc>
      </w:tr>
      <w:tr w14:paraId="6FBB3288">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3C61894B">
            <w:pPr>
              <w:topLinePunct/>
              <w:adjustRightInd w:val="0"/>
              <w:snapToGrid w:val="0"/>
              <w:jc w:val="center"/>
              <w:textAlignment w:val="center"/>
              <w:rPr>
                <w:rFonts w:eastAsia="仿宋"/>
                <w:color w:val="000000"/>
                <w:sz w:val="24"/>
              </w:rPr>
            </w:pPr>
            <w:r>
              <w:rPr>
                <w:rFonts w:eastAsia="仿宋"/>
                <w:color w:val="000000"/>
                <w:kern w:val="0"/>
                <w:sz w:val="24"/>
                <w:lang w:bidi="ar"/>
              </w:rPr>
              <w:t>346</w:t>
            </w:r>
          </w:p>
        </w:tc>
        <w:tc>
          <w:tcPr>
            <w:tcW w:w="838" w:type="pct"/>
            <w:tcBorders>
              <w:top w:val="single" w:color="000000" w:sz="4" w:space="0"/>
              <w:left w:val="single" w:color="000000" w:sz="4" w:space="0"/>
              <w:bottom w:val="single" w:color="000000" w:sz="4" w:space="0"/>
              <w:right w:val="single" w:color="000000" w:sz="4" w:space="0"/>
            </w:tcBorders>
            <w:vAlign w:val="center"/>
          </w:tcPr>
          <w:p w14:paraId="64396DD1">
            <w:pPr>
              <w:topLinePunct/>
              <w:adjustRightInd w:val="0"/>
              <w:snapToGrid w:val="0"/>
              <w:textAlignment w:val="center"/>
              <w:rPr>
                <w:rFonts w:eastAsia="仿宋"/>
                <w:color w:val="000000"/>
                <w:sz w:val="24"/>
              </w:rPr>
            </w:pPr>
            <w:r>
              <w:rPr>
                <w:rFonts w:eastAsia="仿宋"/>
                <w:kern w:val="0"/>
                <w:sz w:val="24"/>
                <w:lang w:bidi="ar"/>
              </w:rPr>
              <w:t>对办公区、生活区等人员集聚场所设在危崖、塌陷区、崩落区，或洪水、泥石流、滑坡等灾害威胁范围内的行政处罚。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711704B5">
            <w:pPr>
              <w:topLinePunct/>
              <w:adjustRightInd w:val="0"/>
              <w:snapToGrid w:val="0"/>
              <w:jc w:val="left"/>
              <w:textAlignment w:val="center"/>
              <w:rPr>
                <w:rFonts w:eastAsia="仿宋"/>
                <w:color w:val="000000"/>
                <w:sz w:val="24"/>
              </w:rPr>
            </w:pPr>
            <w:r>
              <w:rPr>
                <w:rFonts w:eastAsia="仿宋"/>
                <w:kern w:val="0"/>
                <w:sz w:val="24"/>
                <w:lang w:bidi="ar"/>
              </w:rPr>
              <w:t>1.《国家矿山安全监察局关于印发〈金属非金属矿山重大事故隐患判定标准补充情形〉的通知》（矿安〔2024〕41号）</w:t>
            </w:r>
            <w:r>
              <w:rPr>
                <w:rFonts w:eastAsia="仿宋"/>
                <w:kern w:val="0"/>
                <w:sz w:val="24"/>
                <w:lang w:bidi="ar"/>
              </w:rPr>
              <w:br w:type="textWrapping"/>
            </w:r>
            <w:r>
              <w:rPr>
                <w:rFonts w:eastAsia="仿宋"/>
                <w:kern w:val="0"/>
                <w:sz w:val="24"/>
                <w:lang w:bidi="ar"/>
              </w:rPr>
              <w:t>二、金属非金属露天矿山重大事故隐患</w:t>
            </w:r>
            <w:r>
              <w:rPr>
                <w:rFonts w:eastAsia="仿宋"/>
                <w:kern w:val="0"/>
                <w:sz w:val="24"/>
                <w:lang w:bidi="ar"/>
              </w:rPr>
              <w:br w:type="textWrapping"/>
            </w:r>
            <w:r>
              <w:rPr>
                <w:rFonts w:eastAsia="仿宋"/>
                <w:kern w:val="0"/>
                <w:sz w:val="24"/>
                <w:lang w:bidi="ar"/>
              </w:rPr>
              <w:t>（一）办公区、生活区等人员集聚场所设在危崖、塌陷区、崩落区，或洪水、泥石流、滑坡等灾害威胁范围内。</w:t>
            </w:r>
            <w:r>
              <w:rPr>
                <w:rFonts w:eastAsia="仿宋"/>
                <w:kern w:val="0"/>
                <w:sz w:val="24"/>
                <w:lang w:bidi="ar"/>
              </w:rPr>
              <w:br w:type="textWrapping"/>
            </w:r>
            <w:r>
              <w:rPr>
                <w:rFonts w:eastAsia="仿宋"/>
                <w:kern w:val="0"/>
                <w:sz w:val="24"/>
                <w:lang w:bidi="ar"/>
              </w:rPr>
              <w:t>2.《中华人民共和国安全生产法》</w:t>
            </w:r>
            <w:r>
              <w:rPr>
                <w:rFonts w:eastAsia="仿宋"/>
                <w:kern w:val="0"/>
                <w:sz w:val="24"/>
                <w:lang w:bidi="ar"/>
              </w:rPr>
              <w:br w:type="textWrapping"/>
            </w:r>
            <w:r>
              <w:rPr>
                <w:rFonts w:eastAsia="仿宋"/>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0DED21D1">
            <w:pPr>
              <w:topLinePunct/>
              <w:adjustRightInd w:val="0"/>
              <w:snapToGrid w:val="0"/>
              <w:jc w:val="left"/>
              <w:textAlignment w:val="center"/>
              <w:rPr>
                <w:rFonts w:eastAsia="仿宋"/>
                <w:color w:val="000000"/>
                <w:sz w:val="24"/>
              </w:rPr>
            </w:pPr>
            <w:r>
              <w:rPr>
                <w:rFonts w:eastAsia="仿宋"/>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73CF8214">
            <w:pPr>
              <w:topLinePunct/>
              <w:adjustRightInd w:val="0"/>
              <w:snapToGrid w:val="0"/>
              <w:jc w:val="left"/>
              <w:textAlignment w:val="center"/>
              <w:rPr>
                <w:rFonts w:eastAsia="仿宋"/>
                <w:color w:val="000000"/>
                <w:sz w:val="24"/>
              </w:rPr>
            </w:pPr>
            <w:r>
              <w:rPr>
                <w:rFonts w:eastAsia="仿宋"/>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66D13F2F">
            <w:pPr>
              <w:topLinePunct/>
              <w:adjustRightInd w:val="0"/>
              <w:snapToGrid w:val="0"/>
              <w:jc w:val="center"/>
              <w:textAlignment w:val="center"/>
              <w:rPr>
                <w:rFonts w:hint="eastAsia" w:eastAsia="仿宋"/>
                <w:color w:val="000000"/>
                <w:sz w:val="24"/>
                <w:lang w:eastAsia="zh-CN"/>
              </w:rPr>
            </w:pPr>
            <w:r>
              <w:rPr>
                <w:rFonts w:hint="eastAsia" w:eastAsia="仿宋"/>
                <w:kern w:val="0"/>
                <w:sz w:val="24"/>
                <w:lang w:eastAsia="zh-CN" w:bidi="ar"/>
              </w:rPr>
              <w:t>县级</w:t>
            </w:r>
          </w:p>
        </w:tc>
      </w:tr>
      <w:tr w14:paraId="63AF6A0D">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0209F654">
            <w:pPr>
              <w:topLinePunct/>
              <w:adjustRightInd w:val="0"/>
              <w:snapToGrid w:val="0"/>
              <w:jc w:val="center"/>
              <w:textAlignment w:val="center"/>
              <w:rPr>
                <w:rFonts w:eastAsia="仿宋"/>
                <w:color w:val="000000"/>
                <w:sz w:val="24"/>
              </w:rPr>
            </w:pPr>
            <w:r>
              <w:rPr>
                <w:rFonts w:eastAsia="仿宋"/>
                <w:color w:val="000000"/>
                <w:kern w:val="0"/>
                <w:sz w:val="24"/>
                <w:lang w:bidi="ar"/>
              </w:rPr>
              <w:t>347</w:t>
            </w:r>
          </w:p>
        </w:tc>
        <w:tc>
          <w:tcPr>
            <w:tcW w:w="838" w:type="pct"/>
            <w:tcBorders>
              <w:top w:val="single" w:color="000000" w:sz="4" w:space="0"/>
              <w:left w:val="single" w:color="000000" w:sz="4" w:space="0"/>
              <w:bottom w:val="single" w:color="000000" w:sz="4" w:space="0"/>
              <w:right w:val="single" w:color="000000" w:sz="4" w:space="0"/>
            </w:tcBorders>
            <w:vAlign w:val="center"/>
          </w:tcPr>
          <w:p w14:paraId="10F97100">
            <w:pPr>
              <w:topLinePunct/>
              <w:adjustRightInd w:val="0"/>
              <w:snapToGrid w:val="0"/>
              <w:textAlignment w:val="center"/>
              <w:rPr>
                <w:rFonts w:eastAsia="仿宋"/>
                <w:color w:val="000000"/>
                <w:sz w:val="24"/>
              </w:rPr>
            </w:pPr>
            <w:r>
              <w:rPr>
                <w:rFonts w:eastAsia="仿宋_GB2312"/>
                <w:kern w:val="0"/>
                <w:sz w:val="24"/>
                <w:lang w:bidi="ar"/>
              </w:rPr>
              <w:t>对遇</w:t>
            </w:r>
            <w:r>
              <w:rPr>
                <w:rFonts w:eastAsia="仿宋"/>
                <w:kern w:val="0"/>
                <w:sz w:val="24"/>
                <w:lang w:bidi="ar"/>
              </w:rPr>
              <w:t>极端天气露天矿山未及时停止作业、撤出现场作业人员的行政处罚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65389BBC">
            <w:pPr>
              <w:topLinePunct/>
              <w:adjustRightInd w:val="0"/>
              <w:snapToGrid w:val="0"/>
              <w:jc w:val="left"/>
              <w:textAlignment w:val="center"/>
              <w:rPr>
                <w:rFonts w:eastAsia="仿宋"/>
                <w:color w:val="000000"/>
                <w:sz w:val="24"/>
              </w:rPr>
            </w:pPr>
            <w:r>
              <w:rPr>
                <w:rFonts w:eastAsia="仿宋"/>
                <w:kern w:val="0"/>
                <w:sz w:val="24"/>
                <w:lang w:bidi="ar"/>
              </w:rPr>
              <w:t>1.《国家矿山安全监察局关于印发〈金属非金属矿山重大事故隐患判定标准补充情形〉的通知》（矿安〔2024〕41号）</w:t>
            </w:r>
            <w:r>
              <w:rPr>
                <w:rFonts w:eastAsia="仿宋"/>
                <w:kern w:val="0"/>
                <w:sz w:val="24"/>
                <w:lang w:bidi="ar"/>
              </w:rPr>
              <w:br w:type="textWrapping"/>
            </w:r>
            <w:r>
              <w:rPr>
                <w:rFonts w:eastAsia="仿宋"/>
                <w:kern w:val="0"/>
                <w:sz w:val="24"/>
                <w:lang w:bidi="ar"/>
              </w:rPr>
              <w:t>二、金属非金属露天矿山重大事故隐患</w:t>
            </w:r>
            <w:r>
              <w:rPr>
                <w:rFonts w:eastAsia="仿宋"/>
                <w:kern w:val="0"/>
                <w:sz w:val="24"/>
                <w:lang w:bidi="ar"/>
              </w:rPr>
              <w:br w:type="textWrapping"/>
            </w:r>
            <w:r>
              <w:rPr>
                <w:rFonts w:eastAsia="仿宋"/>
                <w:kern w:val="0"/>
                <w:sz w:val="24"/>
                <w:lang w:bidi="ar"/>
              </w:rPr>
              <w:t>（二）遇极端天气露天矿山未及时停止作业、撤出现场作业人员</w:t>
            </w:r>
            <w:r>
              <w:rPr>
                <w:rFonts w:eastAsia="仿宋"/>
                <w:kern w:val="0"/>
                <w:sz w:val="24"/>
                <w:lang w:bidi="ar"/>
              </w:rPr>
              <w:br w:type="textWrapping"/>
            </w:r>
            <w:r>
              <w:rPr>
                <w:rFonts w:eastAsia="仿宋"/>
                <w:kern w:val="0"/>
                <w:sz w:val="24"/>
                <w:lang w:bidi="ar"/>
              </w:rPr>
              <w:t>2.《中华人民共和国安全生产法》</w:t>
            </w:r>
            <w:r>
              <w:rPr>
                <w:rFonts w:eastAsia="仿宋"/>
                <w:kern w:val="0"/>
                <w:sz w:val="24"/>
                <w:lang w:bidi="ar"/>
              </w:rPr>
              <w:br w:type="textWrapping"/>
            </w:r>
            <w:r>
              <w:rPr>
                <w:rFonts w:eastAsia="仿宋"/>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7288EB52">
            <w:pPr>
              <w:topLinePunct/>
              <w:adjustRightInd w:val="0"/>
              <w:snapToGrid w:val="0"/>
              <w:jc w:val="left"/>
              <w:textAlignment w:val="center"/>
              <w:rPr>
                <w:rFonts w:eastAsia="仿宋"/>
                <w:color w:val="000000"/>
                <w:sz w:val="24"/>
              </w:rPr>
            </w:pPr>
            <w:r>
              <w:rPr>
                <w:rFonts w:eastAsia="仿宋"/>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3B5B81FD">
            <w:pPr>
              <w:topLinePunct/>
              <w:adjustRightInd w:val="0"/>
              <w:snapToGrid w:val="0"/>
              <w:jc w:val="left"/>
              <w:textAlignment w:val="center"/>
              <w:rPr>
                <w:rFonts w:eastAsia="仿宋"/>
                <w:color w:val="000000"/>
                <w:sz w:val="24"/>
              </w:rPr>
            </w:pPr>
            <w:r>
              <w:rPr>
                <w:rFonts w:eastAsia="仿宋"/>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5B2A49D7">
            <w:pPr>
              <w:topLinePunct/>
              <w:adjustRightInd w:val="0"/>
              <w:snapToGrid w:val="0"/>
              <w:jc w:val="center"/>
              <w:textAlignment w:val="center"/>
              <w:rPr>
                <w:rFonts w:hint="eastAsia" w:eastAsia="仿宋"/>
                <w:color w:val="000000"/>
                <w:sz w:val="24"/>
                <w:lang w:eastAsia="zh-CN"/>
              </w:rPr>
            </w:pPr>
            <w:r>
              <w:rPr>
                <w:rFonts w:hint="eastAsia" w:eastAsia="仿宋"/>
                <w:kern w:val="0"/>
                <w:sz w:val="24"/>
                <w:lang w:eastAsia="zh-CN" w:bidi="ar"/>
              </w:rPr>
              <w:t>县级</w:t>
            </w:r>
          </w:p>
        </w:tc>
      </w:tr>
      <w:tr w14:paraId="4B31D9A1">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16E716E1">
            <w:pPr>
              <w:topLinePunct/>
              <w:adjustRightInd w:val="0"/>
              <w:snapToGrid w:val="0"/>
              <w:jc w:val="center"/>
              <w:textAlignment w:val="center"/>
              <w:rPr>
                <w:rFonts w:eastAsia="仿宋"/>
                <w:color w:val="000000"/>
                <w:sz w:val="24"/>
              </w:rPr>
            </w:pPr>
            <w:r>
              <w:rPr>
                <w:rFonts w:eastAsia="仿宋"/>
                <w:color w:val="000000"/>
                <w:kern w:val="0"/>
                <w:sz w:val="24"/>
                <w:lang w:bidi="ar"/>
              </w:rPr>
              <w:t>348</w:t>
            </w:r>
          </w:p>
        </w:tc>
        <w:tc>
          <w:tcPr>
            <w:tcW w:w="838" w:type="pct"/>
            <w:tcBorders>
              <w:top w:val="single" w:color="000000" w:sz="4" w:space="0"/>
              <w:left w:val="single" w:color="000000" w:sz="4" w:space="0"/>
              <w:bottom w:val="single" w:color="000000" w:sz="4" w:space="0"/>
              <w:right w:val="single" w:color="000000" w:sz="4" w:space="0"/>
            </w:tcBorders>
            <w:vAlign w:val="center"/>
          </w:tcPr>
          <w:p w14:paraId="364F2BA7">
            <w:pPr>
              <w:topLinePunct/>
              <w:adjustRightInd w:val="0"/>
              <w:snapToGrid w:val="0"/>
              <w:textAlignment w:val="center"/>
              <w:rPr>
                <w:rFonts w:eastAsia="仿宋"/>
                <w:color w:val="000000"/>
                <w:sz w:val="24"/>
              </w:rPr>
            </w:pPr>
            <w:r>
              <w:rPr>
                <w:rFonts w:eastAsia="仿宋"/>
                <w:kern w:val="0"/>
                <w:sz w:val="24"/>
                <w:lang w:bidi="ar"/>
              </w:rPr>
              <w:t>对尾矿库排洪构筑物拱板（盖板）与周边结构缝隙未采用设计材料充满充实的，或封堵体设置在井顶、井身段或斜槽顶、槽身段的行政处罚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016ED2E6">
            <w:pPr>
              <w:topLinePunct/>
              <w:adjustRightInd w:val="0"/>
              <w:snapToGrid w:val="0"/>
              <w:jc w:val="left"/>
              <w:textAlignment w:val="center"/>
              <w:rPr>
                <w:rFonts w:eastAsia="仿宋"/>
                <w:color w:val="000000"/>
                <w:sz w:val="24"/>
              </w:rPr>
            </w:pPr>
            <w:r>
              <w:rPr>
                <w:rFonts w:eastAsia="仿宋"/>
                <w:kern w:val="0"/>
                <w:sz w:val="24"/>
                <w:lang w:bidi="ar"/>
              </w:rPr>
              <w:t>1.《国家矿山安全监察局关于印发〈金属非金属矿山重大事故隐患判定标准补充情形〉的通知》（矿安〔2024〕41号）</w:t>
            </w:r>
            <w:r>
              <w:rPr>
                <w:rFonts w:eastAsia="仿宋"/>
                <w:kern w:val="0"/>
                <w:sz w:val="24"/>
                <w:lang w:bidi="ar"/>
              </w:rPr>
              <w:br w:type="textWrapping"/>
            </w:r>
            <w:r>
              <w:rPr>
                <w:rFonts w:eastAsia="仿宋"/>
                <w:kern w:val="0"/>
                <w:sz w:val="24"/>
                <w:lang w:bidi="ar"/>
              </w:rPr>
              <w:t>三、尾矿库重大事故隐患</w:t>
            </w:r>
            <w:r>
              <w:rPr>
                <w:rFonts w:eastAsia="仿宋"/>
                <w:kern w:val="0"/>
                <w:sz w:val="24"/>
                <w:lang w:bidi="ar"/>
              </w:rPr>
              <w:br w:type="textWrapping"/>
            </w:r>
            <w:r>
              <w:rPr>
                <w:rFonts w:eastAsia="仿宋"/>
                <w:kern w:val="0"/>
                <w:sz w:val="24"/>
                <w:lang w:bidi="ar"/>
              </w:rPr>
              <w:t>（一）尾矿库排洪构筑物拱板（盖板）与周边结构缝隙未采用设计材料充满充实的，或封堵体设置在井顶、井身段或斜槽顶、槽身段。</w:t>
            </w:r>
            <w:r>
              <w:rPr>
                <w:rFonts w:eastAsia="仿宋"/>
                <w:kern w:val="0"/>
                <w:sz w:val="24"/>
                <w:lang w:bidi="ar"/>
              </w:rPr>
              <w:br w:type="textWrapping"/>
            </w:r>
            <w:r>
              <w:rPr>
                <w:rFonts w:eastAsia="仿宋"/>
                <w:kern w:val="0"/>
                <w:sz w:val="24"/>
                <w:lang w:bidi="ar"/>
              </w:rPr>
              <w:t>2.《中华人民共和国安全生产法》</w:t>
            </w:r>
            <w:r>
              <w:rPr>
                <w:rFonts w:eastAsia="仿宋"/>
                <w:kern w:val="0"/>
                <w:sz w:val="24"/>
                <w:lang w:bidi="ar"/>
              </w:rPr>
              <w:br w:type="textWrapping"/>
            </w:r>
            <w:r>
              <w:rPr>
                <w:rFonts w:eastAsia="仿宋"/>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34EE0F7D">
            <w:pPr>
              <w:topLinePunct/>
              <w:adjustRightInd w:val="0"/>
              <w:snapToGrid w:val="0"/>
              <w:jc w:val="left"/>
              <w:textAlignment w:val="center"/>
              <w:rPr>
                <w:rFonts w:eastAsia="仿宋"/>
                <w:color w:val="000000"/>
                <w:sz w:val="24"/>
              </w:rPr>
            </w:pPr>
            <w:r>
              <w:rPr>
                <w:rFonts w:eastAsia="仿宋"/>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6BA6E8C5">
            <w:pPr>
              <w:topLinePunct/>
              <w:adjustRightInd w:val="0"/>
              <w:snapToGrid w:val="0"/>
              <w:jc w:val="left"/>
              <w:textAlignment w:val="center"/>
              <w:rPr>
                <w:rFonts w:eastAsia="仿宋"/>
                <w:color w:val="000000"/>
                <w:sz w:val="24"/>
              </w:rPr>
            </w:pPr>
            <w:r>
              <w:rPr>
                <w:rFonts w:eastAsia="仿宋"/>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1117C2E8">
            <w:pPr>
              <w:topLinePunct/>
              <w:adjustRightInd w:val="0"/>
              <w:snapToGrid w:val="0"/>
              <w:jc w:val="center"/>
              <w:textAlignment w:val="center"/>
              <w:rPr>
                <w:rFonts w:hint="eastAsia" w:eastAsia="仿宋"/>
                <w:color w:val="000000"/>
                <w:sz w:val="24"/>
                <w:lang w:eastAsia="zh-CN"/>
              </w:rPr>
            </w:pPr>
            <w:r>
              <w:rPr>
                <w:rFonts w:hint="eastAsia" w:eastAsia="仿宋"/>
                <w:kern w:val="0"/>
                <w:sz w:val="24"/>
                <w:lang w:eastAsia="zh-CN" w:bidi="ar"/>
              </w:rPr>
              <w:t>县级</w:t>
            </w:r>
          </w:p>
        </w:tc>
      </w:tr>
      <w:tr w14:paraId="286B5AFE">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77068248">
            <w:pPr>
              <w:topLinePunct/>
              <w:adjustRightInd w:val="0"/>
              <w:snapToGrid w:val="0"/>
              <w:jc w:val="center"/>
              <w:textAlignment w:val="center"/>
              <w:rPr>
                <w:rFonts w:eastAsia="仿宋"/>
                <w:color w:val="000000"/>
                <w:sz w:val="24"/>
              </w:rPr>
            </w:pPr>
            <w:r>
              <w:rPr>
                <w:rFonts w:eastAsia="仿宋"/>
                <w:color w:val="000000"/>
                <w:kern w:val="0"/>
                <w:sz w:val="24"/>
                <w:lang w:bidi="ar"/>
              </w:rPr>
              <w:t>349</w:t>
            </w:r>
          </w:p>
        </w:tc>
        <w:tc>
          <w:tcPr>
            <w:tcW w:w="838" w:type="pct"/>
            <w:tcBorders>
              <w:top w:val="single" w:color="000000" w:sz="4" w:space="0"/>
              <w:left w:val="single" w:color="000000" w:sz="4" w:space="0"/>
              <w:bottom w:val="single" w:color="000000" w:sz="4" w:space="0"/>
              <w:right w:val="single" w:color="000000" w:sz="4" w:space="0"/>
            </w:tcBorders>
            <w:vAlign w:val="center"/>
          </w:tcPr>
          <w:p w14:paraId="19BA9511">
            <w:pPr>
              <w:topLinePunct/>
              <w:adjustRightInd w:val="0"/>
              <w:snapToGrid w:val="0"/>
              <w:textAlignment w:val="center"/>
              <w:rPr>
                <w:rFonts w:eastAsia="仿宋"/>
                <w:color w:val="000000"/>
                <w:sz w:val="24"/>
              </w:rPr>
            </w:pPr>
            <w:r>
              <w:rPr>
                <w:rFonts w:eastAsia="仿宋"/>
                <w:kern w:val="0"/>
                <w:sz w:val="24"/>
                <w:lang w:bidi="ar"/>
              </w:rPr>
              <w:t>对遇极端天气尾矿库未及时停止作业、撤出现场作业人员的行政处罚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5219C7A8">
            <w:pPr>
              <w:topLinePunct/>
              <w:adjustRightInd w:val="0"/>
              <w:snapToGrid w:val="0"/>
              <w:jc w:val="left"/>
              <w:textAlignment w:val="center"/>
              <w:rPr>
                <w:rFonts w:eastAsia="仿宋"/>
                <w:color w:val="000000"/>
                <w:sz w:val="24"/>
              </w:rPr>
            </w:pPr>
            <w:r>
              <w:rPr>
                <w:rFonts w:eastAsia="仿宋"/>
                <w:kern w:val="0"/>
                <w:sz w:val="24"/>
                <w:lang w:bidi="ar"/>
              </w:rPr>
              <w:t>1.《国家矿山安全监察局关于印发〈金属非金属矿山重大事故隐患判定标准补充情形〉的通知》（矿安〔2024〕41号）</w:t>
            </w:r>
            <w:r>
              <w:rPr>
                <w:rFonts w:eastAsia="仿宋"/>
                <w:kern w:val="0"/>
                <w:sz w:val="24"/>
                <w:lang w:bidi="ar"/>
              </w:rPr>
              <w:br w:type="textWrapping"/>
            </w:r>
            <w:r>
              <w:rPr>
                <w:rFonts w:eastAsia="仿宋"/>
                <w:kern w:val="0"/>
                <w:sz w:val="24"/>
                <w:lang w:bidi="ar"/>
              </w:rPr>
              <w:t>三、尾矿库重大事故隐患</w:t>
            </w:r>
            <w:r>
              <w:rPr>
                <w:rFonts w:eastAsia="仿宋"/>
                <w:kern w:val="0"/>
                <w:sz w:val="24"/>
                <w:lang w:bidi="ar"/>
              </w:rPr>
              <w:br w:type="textWrapping"/>
            </w:r>
            <w:r>
              <w:rPr>
                <w:rFonts w:eastAsia="仿宋"/>
                <w:kern w:val="0"/>
                <w:sz w:val="24"/>
                <w:lang w:bidi="ar"/>
              </w:rPr>
              <w:t>（二）遇极端天气尾矿库未及时停止作业、撤出现场作业人员。</w:t>
            </w:r>
            <w:r>
              <w:rPr>
                <w:rFonts w:eastAsia="仿宋"/>
                <w:kern w:val="0"/>
                <w:sz w:val="24"/>
                <w:lang w:bidi="ar"/>
              </w:rPr>
              <w:br w:type="textWrapping"/>
            </w:r>
            <w:r>
              <w:rPr>
                <w:rFonts w:eastAsia="仿宋"/>
                <w:kern w:val="0"/>
                <w:sz w:val="24"/>
                <w:lang w:bidi="ar"/>
              </w:rPr>
              <w:t>2.《中华人民共和国安全生产法》</w:t>
            </w:r>
            <w:r>
              <w:rPr>
                <w:rFonts w:eastAsia="仿宋"/>
                <w:kern w:val="0"/>
                <w:sz w:val="24"/>
                <w:lang w:bidi="ar"/>
              </w:rPr>
              <w:br w:type="textWrapping"/>
            </w:r>
            <w:r>
              <w:rPr>
                <w:rFonts w:eastAsia="仿宋"/>
                <w:kern w:val="0"/>
                <w:sz w:val="24"/>
                <w:lang w:bidi="ar"/>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4C12EF04">
            <w:pPr>
              <w:topLinePunct/>
              <w:adjustRightInd w:val="0"/>
              <w:snapToGrid w:val="0"/>
              <w:jc w:val="left"/>
              <w:textAlignment w:val="center"/>
              <w:rPr>
                <w:rFonts w:eastAsia="仿宋"/>
                <w:color w:val="000000"/>
                <w:sz w:val="24"/>
              </w:rPr>
            </w:pPr>
            <w:r>
              <w:rPr>
                <w:rFonts w:eastAsia="仿宋"/>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178649D4">
            <w:pPr>
              <w:topLinePunct/>
              <w:adjustRightInd w:val="0"/>
              <w:snapToGrid w:val="0"/>
              <w:jc w:val="left"/>
              <w:textAlignment w:val="center"/>
              <w:rPr>
                <w:rFonts w:eastAsia="仿宋"/>
                <w:color w:val="000000"/>
                <w:sz w:val="24"/>
              </w:rPr>
            </w:pPr>
            <w:r>
              <w:rPr>
                <w:rFonts w:eastAsia="仿宋"/>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51993357">
            <w:pPr>
              <w:topLinePunct/>
              <w:adjustRightInd w:val="0"/>
              <w:snapToGrid w:val="0"/>
              <w:jc w:val="center"/>
              <w:textAlignment w:val="center"/>
              <w:rPr>
                <w:rFonts w:hint="eastAsia" w:eastAsia="仿宋"/>
                <w:color w:val="000000"/>
                <w:sz w:val="24"/>
                <w:lang w:eastAsia="zh-CN"/>
              </w:rPr>
            </w:pPr>
            <w:r>
              <w:rPr>
                <w:rFonts w:hint="eastAsia" w:eastAsia="仿宋"/>
                <w:kern w:val="0"/>
                <w:sz w:val="24"/>
                <w:lang w:eastAsia="zh-CN" w:bidi="ar"/>
              </w:rPr>
              <w:t>县级</w:t>
            </w:r>
          </w:p>
        </w:tc>
      </w:tr>
      <w:tr w14:paraId="70ACD572">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7ADB7077">
            <w:pPr>
              <w:topLinePunct/>
              <w:adjustRightInd w:val="0"/>
              <w:snapToGrid w:val="0"/>
              <w:jc w:val="center"/>
              <w:textAlignment w:val="center"/>
              <w:rPr>
                <w:rFonts w:eastAsia="仿宋"/>
                <w:color w:val="000000"/>
                <w:sz w:val="24"/>
              </w:rPr>
            </w:pPr>
            <w:r>
              <w:rPr>
                <w:rFonts w:eastAsia="仿宋"/>
                <w:color w:val="000000"/>
                <w:kern w:val="0"/>
                <w:sz w:val="24"/>
                <w:lang w:bidi="ar"/>
              </w:rPr>
              <w:t>350</w:t>
            </w:r>
          </w:p>
        </w:tc>
        <w:tc>
          <w:tcPr>
            <w:tcW w:w="838" w:type="pct"/>
            <w:tcBorders>
              <w:top w:val="single" w:color="000000" w:sz="4" w:space="0"/>
              <w:left w:val="single" w:color="000000" w:sz="4" w:space="0"/>
              <w:bottom w:val="single" w:color="000000" w:sz="4" w:space="0"/>
              <w:right w:val="single" w:color="000000" w:sz="4" w:space="0"/>
            </w:tcBorders>
            <w:vAlign w:val="center"/>
          </w:tcPr>
          <w:p w14:paraId="323BB0A3">
            <w:pPr>
              <w:topLinePunct/>
              <w:adjustRightInd w:val="0"/>
              <w:snapToGrid w:val="0"/>
              <w:textAlignment w:val="center"/>
              <w:rPr>
                <w:rFonts w:eastAsia="仿宋"/>
                <w:color w:val="000000"/>
                <w:sz w:val="24"/>
              </w:rPr>
            </w:pPr>
            <w:r>
              <w:rPr>
                <w:rFonts w:eastAsia="仿宋"/>
                <w:kern w:val="0"/>
                <w:sz w:val="24"/>
                <w:lang w:bidi="ar"/>
              </w:rPr>
              <w:t>对尾矿库运营、管理单位未履行安全管理义务，导致可能发生污染环境的生产安全事故的行政处罚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37756EA1">
            <w:pPr>
              <w:topLinePunct/>
              <w:adjustRightInd w:val="0"/>
              <w:snapToGrid w:val="0"/>
              <w:jc w:val="left"/>
              <w:textAlignment w:val="center"/>
              <w:rPr>
                <w:rFonts w:eastAsia="仿宋"/>
                <w:color w:val="000000"/>
                <w:sz w:val="24"/>
              </w:rPr>
            </w:pPr>
            <w:r>
              <w:rPr>
                <w:rFonts w:eastAsia="仿宋"/>
                <w:kern w:val="0"/>
                <w:sz w:val="24"/>
                <w:lang w:bidi="ar"/>
              </w:rPr>
              <w:t>1.《中华人民共和国土壤污染防治法》</w:t>
            </w:r>
            <w:r>
              <w:rPr>
                <w:rFonts w:eastAsia="仿宋"/>
                <w:kern w:val="0"/>
                <w:sz w:val="24"/>
                <w:lang w:bidi="ar"/>
              </w:rPr>
              <w:br w:type="textWrapping"/>
            </w:r>
            <w:r>
              <w:rPr>
                <w:rFonts w:eastAsia="仿宋"/>
                <w:kern w:val="0"/>
                <w:sz w:val="24"/>
                <w:lang w:bidi="ar"/>
              </w:rPr>
              <w:t>第七十九条  地方人民政府安全生产监督管理部门应当监督尾矿库运营、管理单位履行防治土壤污染的法定义务，防止其发生可能污染土壤的事故；地方人民政府生态环境主管部门应当加强对尾矿库土壤污染防治情况的监督检查和定期评估，发现风险隐患的，及时督促尾矿库运营、管理单位采取相应措施。</w:t>
            </w:r>
            <w:r>
              <w:rPr>
                <w:rFonts w:eastAsia="仿宋"/>
                <w:kern w:val="0"/>
                <w:sz w:val="24"/>
                <w:lang w:bidi="ar"/>
              </w:rPr>
              <w:br w:type="textWrapping"/>
            </w:r>
            <w:r>
              <w:rPr>
                <w:rFonts w:eastAsia="仿宋"/>
                <w:kern w:val="0"/>
                <w:sz w:val="24"/>
                <w:lang w:bidi="ar"/>
              </w:rPr>
              <w:t>地方人民政府及其有关部门应当依法加强对向沙漠、滩涂、盐碱地、沼泽地等未利用地非法排放有毒有害物质等行为的监督检查。</w:t>
            </w:r>
            <w:r>
              <w:rPr>
                <w:rFonts w:eastAsia="仿宋"/>
                <w:kern w:val="0"/>
                <w:sz w:val="24"/>
                <w:lang w:bidi="ar"/>
              </w:rPr>
              <w:br w:type="textWrapping"/>
            </w:r>
            <w:r>
              <w:rPr>
                <w:rFonts w:eastAsia="仿宋"/>
                <w:kern w:val="0"/>
                <w:sz w:val="24"/>
                <w:lang w:bidi="ar"/>
              </w:rPr>
              <w:t>第八十六条第一款第五项、第二款  违反本法规定，有下列行为之一的，由地方人民政府生态环境主管部门或者其他负有土壤污染防治监督管理职责的部门责令改正，处以罚款；拒不改正的，责令停产整治：（五）尾矿库运营、管理单位未按照规定采取措施防止土壤污染的；</w:t>
            </w:r>
            <w:r>
              <w:rPr>
                <w:rFonts w:eastAsia="仿宋"/>
                <w:kern w:val="0"/>
                <w:sz w:val="24"/>
                <w:lang w:bidi="ar"/>
              </w:rPr>
              <w:br w:type="textWrapping"/>
            </w:r>
            <w:r>
              <w:rPr>
                <w:rFonts w:eastAsia="仿宋"/>
                <w:kern w:val="0"/>
                <w:sz w:val="24"/>
                <w:lang w:bidi="ar"/>
              </w:rPr>
              <w:t>有前款规定行为之一的，处二万元以上二十万元以下的罚款；有前款第二项、第四项、第五项、第七项规定行为之一，造成严重后果的，处二十万元以上二百万元以下的罚款。</w:t>
            </w:r>
          </w:p>
        </w:tc>
        <w:tc>
          <w:tcPr>
            <w:tcW w:w="476" w:type="pct"/>
            <w:tcBorders>
              <w:top w:val="single" w:color="000000" w:sz="4" w:space="0"/>
              <w:left w:val="single" w:color="000000" w:sz="4" w:space="0"/>
              <w:bottom w:val="single" w:color="000000" w:sz="4" w:space="0"/>
              <w:right w:val="single" w:color="000000" w:sz="4" w:space="0"/>
            </w:tcBorders>
            <w:vAlign w:val="center"/>
          </w:tcPr>
          <w:p w14:paraId="0386A0E2">
            <w:pPr>
              <w:topLinePunct/>
              <w:adjustRightInd w:val="0"/>
              <w:snapToGrid w:val="0"/>
              <w:jc w:val="left"/>
              <w:textAlignment w:val="center"/>
              <w:rPr>
                <w:rFonts w:eastAsia="仿宋"/>
                <w:color w:val="000000"/>
                <w:sz w:val="24"/>
              </w:rPr>
            </w:pPr>
            <w:r>
              <w:rPr>
                <w:rFonts w:eastAsia="仿宋"/>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66D2AAA3">
            <w:pPr>
              <w:topLinePunct/>
              <w:adjustRightInd w:val="0"/>
              <w:snapToGrid w:val="0"/>
              <w:jc w:val="left"/>
              <w:textAlignment w:val="center"/>
              <w:rPr>
                <w:rFonts w:eastAsia="仿宋"/>
                <w:color w:val="000000"/>
                <w:sz w:val="24"/>
              </w:rPr>
            </w:pPr>
            <w:r>
              <w:rPr>
                <w:rFonts w:eastAsia="仿宋"/>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0E5BB933">
            <w:pPr>
              <w:topLinePunct/>
              <w:adjustRightInd w:val="0"/>
              <w:snapToGrid w:val="0"/>
              <w:jc w:val="center"/>
              <w:textAlignment w:val="center"/>
              <w:rPr>
                <w:rFonts w:hint="eastAsia" w:eastAsia="仿宋"/>
                <w:color w:val="000000"/>
                <w:sz w:val="24"/>
                <w:lang w:eastAsia="zh-CN"/>
              </w:rPr>
            </w:pPr>
            <w:r>
              <w:rPr>
                <w:rFonts w:hint="eastAsia" w:eastAsia="仿宋"/>
                <w:kern w:val="0"/>
                <w:sz w:val="24"/>
                <w:lang w:eastAsia="zh-CN" w:bidi="ar"/>
              </w:rPr>
              <w:t>县级</w:t>
            </w:r>
          </w:p>
        </w:tc>
      </w:tr>
      <w:tr w14:paraId="1885BBED">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6592E94E">
            <w:pPr>
              <w:topLinePunct/>
              <w:adjustRightInd w:val="0"/>
              <w:snapToGrid w:val="0"/>
              <w:jc w:val="center"/>
              <w:textAlignment w:val="center"/>
              <w:rPr>
                <w:rFonts w:eastAsia="仿宋"/>
                <w:color w:val="000000"/>
                <w:sz w:val="24"/>
              </w:rPr>
            </w:pPr>
            <w:r>
              <w:rPr>
                <w:rFonts w:eastAsia="仿宋"/>
                <w:color w:val="000000"/>
                <w:kern w:val="0"/>
                <w:sz w:val="24"/>
                <w:lang w:bidi="ar"/>
              </w:rPr>
              <w:t>351</w:t>
            </w:r>
          </w:p>
        </w:tc>
        <w:tc>
          <w:tcPr>
            <w:tcW w:w="838" w:type="pct"/>
            <w:tcBorders>
              <w:top w:val="single" w:color="000000" w:sz="4" w:space="0"/>
              <w:left w:val="single" w:color="000000" w:sz="4" w:space="0"/>
              <w:bottom w:val="single" w:color="000000" w:sz="4" w:space="0"/>
              <w:right w:val="single" w:color="000000" w:sz="4" w:space="0"/>
            </w:tcBorders>
            <w:vAlign w:val="center"/>
          </w:tcPr>
          <w:p w14:paraId="782EA46A">
            <w:pPr>
              <w:topLinePunct/>
              <w:adjustRightInd w:val="0"/>
              <w:snapToGrid w:val="0"/>
              <w:textAlignment w:val="center"/>
              <w:rPr>
                <w:rFonts w:eastAsia="仿宋"/>
                <w:color w:val="000000"/>
                <w:sz w:val="24"/>
              </w:rPr>
            </w:pPr>
            <w:r>
              <w:rPr>
                <w:rFonts w:eastAsia="仿宋"/>
                <w:kern w:val="0"/>
                <w:sz w:val="24"/>
                <w:lang w:bidi="ar"/>
              </w:rPr>
              <w:t>对煤矿有超能力、超强度或者超定员组织生产等重大安全生产隐患和行为的行政处罚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72033A20">
            <w:pPr>
              <w:topLinePunct/>
              <w:adjustRightInd w:val="0"/>
              <w:snapToGrid w:val="0"/>
              <w:jc w:val="left"/>
              <w:textAlignment w:val="center"/>
              <w:rPr>
                <w:rFonts w:eastAsia="仿宋"/>
                <w:color w:val="000000"/>
                <w:sz w:val="24"/>
              </w:rPr>
            </w:pPr>
            <w:r>
              <w:rPr>
                <w:rFonts w:eastAsia="仿宋"/>
                <w:kern w:val="0"/>
                <w:sz w:val="24"/>
                <w:lang w:bidi="ar"/>
              </w:rPr>
              <w:t>1.《煤矿安全生产条例》</w:t>
            </w:r>
            <w:r>
              <w:rPr>
                <w:rFonts w:eastAsia="仿宋"/>
                <w:kern w:val="0"/>
                <w:sz w:val="24"/>
                <w:lang w:bidi="ar"/>
              </w:rPr>
              <w:br w:type="textWrapping"/>
            </w:r>
            <w:r>
              <w:rPr>
                <w:rFonts w:eastAsia="仿宋"/>
                <w:kern w:val="0"/>
                <w:sz w:val="24"/>
                <w:lang w:bidi="ar"/>
              </w:rPr>
              <w:t>第三十六条 煤矿企业有下列情形之一的，属于重 在改大事故隐患，应当立即停止受影响区域生产、建设，并规定及时消除事故隐患：</w:t>
            </w:r>
            <w:r>
              <w:rPr>
                <w:rFonts w:eastAsia="仿宋"/>
                <w:kern w:val="0"/>
                <w:sz w:val="24"/>
                <w:lang w:bidi="ar"/>
              </w:rPr>
              <w:br w:type="textWrapping"/>
            </w:r>
            <w:r>
              <w:rPr>
                <w:rFonts w:eastAsia="仿宋"/>
                <w:kern w:val="0"/>
                <w:sz w:val="24"/>
                <w:lang w:bidi="ar"/>
              </w:rPr>
              <w:t>（一）超能力、超强度或者超定员组织生产的；（二）瓦斯超限作业的；（三）煤（岩）与瓦斯（二氧化碳）突出矿井未按照规定实施防突措施的；（四）煤（岩）与瓦斯（二氧化碳）突出矿井、高瓦斯矿井未按照规定建立瓦斯抽采系统，或者系统不能正常运行的；（五）通风系统不完善、不可靠的；（六）超层、越界开采的；（七）有严重水患，未采取有效措施；（八）有冲击地压险，未采取有效措施的；（九）自然发火严重，未采取有效措施的；（十）使用应当淘汰的危及生产安全的设备、工艺的；（十一）未按照规定建立监控与通讯系统，或者系统不能正常运行的；（十二）露天煤矿边坡角大于设计最大值或者边坡发生严重变形，未采取有效措施的；（十三）未按照规定采用双回路供电系统的；（十四）新建煤矿边建设边生产，煤矿改扩建期间，在改扩建的区域生产，或者在其他区域的生产超出设计规定的范围和规模的；（十五）实行整体承包生产经营后，未重新取得或者及时变更安全生产许可证而从事生产，或者承包方再次转包，以及将井下采掘工作面和井巷维修作业外包的；（十六）改制、合并、分立期间，未明确安全生产责任人和安全生产管理机构，或者在完成改制、合并、分立后，未重新取得或者及时变更安全生产许可证等的；（十七）有其他重大事故隐患的。</w:t>
            </w:r>
            <w:r>
              <w:rPr>
                <w:rFonts w:eastAsia="仿宋"/>
                <w:kern w:val="0"/>
                <w:sz w:val="24"/>
                <w:lang w:bidi="ar"/>
              </w:rPr>
              <w:br w:type="textWrapping"/>
            </w:r>
            <w:r>
              <w:rPr>
                <w:rFonts w:eastAsia="仿宋"/>
                <w:kern w:val="0"/>
                <w:sz w:val="24"/>
                <w:lang w:bidi="ar"/>
              </w:rPr>
              <w:t>2.《煤矿安全生产条例》</w:t>
            </w:r>
            <w:r>
              <w:rPr>
                <w:rFonts w:eastAsia="仿宋"/>
                <w:kern w:val="0"/>
                <w:sz w:val="24"/>
                <w:lang w:bidi="ar"/>
              </w:rPr>
              <w:br w:type="textWrapping"/>
            </w:r>
            <w:r>
              <w:rPr>
                <w:rFonts w:eastAsia="仿宋"/>
                <w:kern w:val="0"/>
                <w:sz w:val="24"/>
                <w:lang w:bidi="ar"/>
              </w:rPr>
              <w:t>第六十四条 对存在重大事故隐患仍然进行生产的煤矿企业，责令停产整顿，明确整顿的内容、时间等具体要求，并处 50 万元以上 200 万元以下的罚款；对煤矿企业主要负责人处 3 万元以上 15 万元以下的罚</w:t>
            </w:r>
            <w:r>
              <w:rPr>
                <w:rFonts w:eastAsia="仿宋"/>
                <w:kern w:val="0"/>
                <w:sz w:val="24"/>
                <w:lang w:bidi="ar"/>
              </w:rPr>
              <w:br w:type="textWrapping"/>
            </w:r>
            <w:r>
              <w:rPr>
                <w:rFonts w:eastAsia="仿宋"/>
                <w:kern w:val="0"/>
                <w:sz w:val="24"/>
                <w:lang w:bidi="ar"/>
              </w:rPr>
              <w:t>款。</w:t>
            </w:r>
          </w:p>
        </w:tc>
        <w:tc>
          <w:tcPr>
            <w:tcW w:w="476" w:type="pct"/>
            <w:tcBorders>
              <w:top w:val="single" w:color="000000" w:sz="4" w:space="0"/>
              <w:left w:val="single" w:color="000000" w:sz="4" w:space="0"/>
              <w:bottom w:val="single" w:color="000000" w:sz="4" w:space="0"/>
              <w:right w:val="single" w:color="000000" w:sz="4" w:space="0"/>
            </w:tcBorders>
            <w:vAlign w:val="center"/>
          </w:tcPr>
          <w:p w14:paraId="2966608C">
            <w:pPr>
              <w:topLinePunct/>
              <w:adjustRightInd w:val="0"/>
              <w:snapToGrid w:val="0"/>
              <w:jc w:val="left"/>
              <w:textAlignment w:val="center"/>
              <w:rPr>
                <w:rFonts w:eastAsia="仿宋"/>
                <w:color w:val="000000"/>
                <w:sz w:val="24"/>
              </w:rPr>
            </w:pPr>
            <w:r>
              <w:rPr>
                <w:rFonts w:eastAsia="仿宋"/>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5AE9726E">
            <w:pPr>
              <w:topLinePunct/>
              <w:adjustRightInd w:val="0"/>
              <w:snapToGrid w:val="0"/>
              <w:jc w:val="left"/>
              <w:textAlignment w:val="center"/>
              <w:rPr>
                <w:rFonts w:eastAsia="仿宋"/>
                <w:color w:val="000000"/>
                <w:sz w:val="24"/>
              </w:rPr>
            </w:pPr>
            <w:r>
              <w:rPr>
                <w:rFonts w:eastAsia="仿宋"/>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5F3A9B4B">
            <w:pPr>
              <w:topLinePunct/>
              <w:adjustRightInd w:val="0"/>
              <w:snapToGrid w:val="0"/>
              <w:jc w:val="center"/>
              <w:textAlignment w:val="center"/>
              <w:rPr>
                <w:rFonts w:eastAsia="仿宋"/>
                <w:color w:val="000000"/>
                <w:sz w:val="24"/>
              </w:rPr>
            </w:pPr>
            <w:r>
              <w:rPr>
                <w:rFonts w:hint="eastAsia" w:eastAsia="仿宋"/>
                <w:kern w:val="0"/>
                <w:sz w:val="24"/>
                <w:lang w:eastAsia="zh-CN" w:bidi="ar"/>
              </w:rPr>
              <w:t>县级</w:t>
            </w:r>
          </w:p>
        </w:tc>
      </w:tr>
      <w:tr w14:paraId="7661DA5C">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2DA6793F">
            <w:pPr>
              <w:topLinePunct/>
              <w:adjustRightInd w:val="0"/>
              <w:snapToGrid w:val="0"/>
              <w:jc w:val="center"/>
              <w:textAlignment w:val="center"/>
              <w:rPr>
                <w:rFonts w:eastAsia="仿宋"/>
                <w:color w:val="000000"/>
                <w:sz w:val="24"/>
              </w:rPr>
            </w:pPr>
            <w:r>
              <w:rPr>
                <w:rFonts w:eastAsia="仿宋"/>
                <w:color w:val="000000"/>
                <w:kern w:val="0"/>
                <w:sz w:val="24"/>
                <w:lang w:bidi="ar"/>
              </w:rPr>
              <w:t>352</w:t>
            </w:r>
          </w:p>
        </w:tc>
        <w:tc>
          <w:tcPr>
            <w:tcW w:w="838" w:type="pct"/>
            <w:tcBorders>
              <w:top w:val="single" w:color="000000" w:sz="4" w:space="0"/>
              <w:left w:val="single" w:color="000000" w:sz="4" w:space="0"/>
              <w:bottom w:val="single" w:color="000000" w:sz="4" w:space="0"/>
              <w:right w:val="single" w:color="000000" w:sz="4" w:space="0"/>
            </w:tcBorders>
            <w:vAlign w:val="center"/>
          </w:tcPr>
          <w:p w14:paraId="4DF1A8F8">
            <w:pPr>
              <w:topLinePunct/>
              <w:adjustRightInd w:val="0"/>
              <w:snapToGrid w:val="0"/>
              <w:textAlignment w:val="center"/>
              <w:rPr>
                <w:rFonts w:eastAsia="仿宋"/>
                <w:color w:val="000000"/>
                <w:sz w:val="24"/>
              </w:rPr>
            </w:pPr>
            <w:r>
              <w:rPr>
                <w:rFonts w:eastAsia="仿宋"/>
                <w:kern w:val="0"/>
                <w:sz w:val="24"/>
                <w:lang w:bidi="ar"/>
              </w:rPr>
              <w:t>煤矿对生产安全事故负有责任的罚款</w:t>
            </w:r>
          </w:p>
        </w:tc>
        <w:tc>
          <w:tcPr>
            <w:tcW w:w="2453" w:type="pct"/>
            <w:tcBorders>
              <w:top w:val="single" w:color="000000" w:sz="4" w:space="0"/>
              <w:left w:val="single" w:color="000000" w:sz="4" w:space="0"/>
              <w:bottom w:val="single" w:color="000000" w:sz="4" w:space="0"/>
              <w:right w:val="single" w:color="000000" w:sz="4" w:space="0"/>
            </w:tcBorders>
            <w:vAlign w:val="center"/>
          </w:tcPr>
          <w:p w14:paraId="6CAEF13B">
            <w:pPr>
              <w:topLinePunct/>
              <w:adjustRightInd w:val="0"/>
              <w:snapToGrid w:val="0"/>
              <w:jc w:val="left"/>
              <w:textAlignment w:val="center"/>
              <w:rPr>
                <w:rFonts w:eastAsia="仿宋"/>
                <w:color w:val="000000"/>
                <w:sz w:val="24"/>
              </w:rPr>
            </w:pPr>
            <w:r>
              <w:rPr>
                <w:rFonts w:eastAsia="仿宋"/>
                <w:kern w:val="0"/>
                <w:sz w:val="24"/>
                <w:lang w:bidi="ar"/>
              </w:rPr>
              <w:t>1.《中华人民共和国安全生产法》</w:t>
            </w:r>
            <w:r>
              <w:rPr>
                <w:rFonts w:eastAsia="仿宋"/>
                <w:kern w:val="0"/>
                <w:sz w:val="24"/>
                <w:lang w:bidi="ar"/>
              </w:rPr>
              <w:br w:type="textWrapping"/>
            </w:r>
            <w:r>
              <w:rPr>
                <w:rFonts w:eastAsia="仿宋"/>
                <w:kern w:val="0"/>
                <w:sz w:val="24"/>
                <w:lang w:bidi="ar"/>
              </w:rPr>
              <w:t>第十六条 国家实行生产安全事故责任追究制度，依照本法和有关法律、法规的规定，追究生产安全事故责任单位和责任人员的法律责任。</w:t>
            </w:r>
            <w:r>
              <w:rPr>
                <w:rFonts w:eastAsia="仿宋"/>
                <w:kern w:val="0"/>
                <w:sz w:val="24"/>
                <w:lang w:bidi="ar"/>
              </w:rPr>
              <w:br w:type="textWrapping"/>
            </w:r>
            <w:r>
              <w:rPr>
                <w:rFonts w:eastAsia="仿宋"/>
                <w:kern w:val="0"/>
                <w:sz w:val="24"/>
                <w:lang w:bidi="ar"/>
              </w:rPr>
              <w:t>2.《安煤矿安全生产条例》</w:t>
            </w:r>
            <w:r>
              <w:rPr>
                <w:rFonts w:eastAsia="仿宋"/>
                <w:kern w:val="0"/>
                <w:sz w:val="24"/>
                <w:lang w:bidi="ar"/>
              </w:rPr>
              <w:br w:type="textWrapping"/>
            </w:r>
            <w:r>
              <w:rPr>
                <w:rFonts w:eastAsia="仿宋"/>
                <w:kern w:val="0"/>
                <w:sz w:val="24"/>
                <w:lang w:bidi="ar"/>
              </w:rPr>
              <w:t>第六十七条 发生煤矿生产安全事故，对负有责任的煤矿企业除要求其依法承担相应的赔偿等责任外，依照下列规定处以罚款：（一）发生一般事故的，处50万元以上100万元以下的罚款；（二）发生较大事故的，处150万元以上200万元以下的罚款；（三）发生重大事故的，处500万元以上1000万元以下的罚款；（四）发生特别重大事故的，处1000万元以上2000万元以下的罚款。</w:t>
            </w:r>
          </w:p>
        </w:tc>
        <w:tc>
          <w:tcPr>
            <w:tcW w:w="476" w:type="pct"/>
            <w:tcBorders>
              <w:top w:val="single" w:color="000000" w:sz="4" w:space="0"/>
              <w:left w:val="single" w:color="000000" w:sz="4" w:space="0"/>
              <w:bottom w:val="single" w:color="000000" w:sz="4" w:space="0"/>
              <w:right w:val="single" w:color="000000" w:sz="4" w:space="0"/>
            </w:tcBorders>
            <w:vAlign w:val="center"/>
          </w:tcPr>
          <w:p w14:paraId="4539AD81">
            <w:pPr>
              <w:topLinePunct/>
              <w:adjustRightInd w:val="0"/>
              <w:snapToGrid w:val="0"/>
              <w:jc w:val="left"/>
              <w:textAlignment w:val="center"/>
              <w:rPr>
                <w:rFonts w:eastAsia="仿宋"/>
                <w:color w:val="000000"/>
                <w:sz w:val="24"/>
              </w:rPr>
            </w:pPr>
            <w:r>
              <w:rPr>
                <w:rFonts w:eastAsia="仿宋"/>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7A655C00">
            <w:pPr>
              <w:topLinePunct/>
              <w:adjustRightInd w:val="0"/>
              <w:snapToGrid w:val="0"/>
              <w:jc w:val="left"/>
              <w:textAlignment w:val="center"/>
              <w:rPr>
                <w:rFonts w:eastAsia="仿宋"/>
                <w:color w:val="000000"/>
                <w:sz w:val="24"/>
              </w:rPr>
            </w:pPr>
            <w:r>
              <w:rPr>
                <w:rFonts w:eastAsia="仿宋"/>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06BAF46E">
            <w:pPr>
              <w:topLinePunct/>
              <w:adjustRightInd w:val="0"/>
              <w:snapToGrid w:val="0"/>
              <w:jc w:val="center"/>
              <w:textAlignment w:val="center"/>
              <w:rPr>
                <w:rFonts w:hint="eastAsia" w:eastAsia="仿宋"/>
                <w:color w:val="000000"/>
                <w:sz w:val="24"/>
                <w:lang w:eastAsia="zh-CN"/>
              </w:rPr>
            </w:pPr>
            <w:r>
              <w:rPr>
                <w:rFonts w:eastAsia="仿宋"/>
                <w:kern w:val="0"/>
                <w:sz w:val="24"/>
                <w:lang w:bidi="ar"/>
              </w:rPr>
              <w:t>县级</w:t>
            </w:r>
          </w:p>
        </w:tc>
      </w:tr>
      <w:tr w14:paraId="0C877D34">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3A976D46">
            <w:pPr>
              <w:topLinePunct/>
              <w:adjustRightInd w:val="0"/>
              <w:snapToGrid w:val="0"/>
              <w:jc w:val="center"/>
              <w:textAlignment w:val="center"/>
              <w:rPr>
                <w:rFonts w:eastAsia="仿宋"/>
                <w:color w:val="000000"/>
                <w:sz w:val="24"/>
              </w:rPr>
            </w:pPr>
            <w:r>
              <w:rPr>
                <w:rFonts w:eastAsia="仿宋"/>
                <w:color w:val="000000"/>
                <w:kern w:val="0"/>
                <w:sz w:val="24"/>
                <w:lang w:bidi="ar"/>
              </w:rPr>
              <w:t>353</w:t>
            </w:r>
          </w:p>
        </w:tc>
        <w:tc>
          <w:tcPr>
            <w:tcW w:w="838" w:type="pct"/>
            <w:tcBorders>
              <w:top w:val="single" w:color="000000" w:sz="4" w:space="0"/>
              <w:left w:val="single" w:color="000000" w:sz="4" w:space="0"/>
              <w:bottom w:val="single" w:color="000000" w:sz="4" w:space="0"/>
              <w:right w:val="single" w:color="000000" w:sz="4" w:space="0"/>
            </w:tcBorders>
            <w:vAlign w:val="center"/>
          </w:tcPr>
          <w:p w14:paraId="5A19EF05">
            <w:pPr>
              <w:topLinePunct/>
              <w:adjustRightInd w:val="0"/>
              <w:snapToGrid w:val="0"/>
              <w:textAlignment w:val="center"/>
              <w:rPr>
                <w:rFonts w:eastAsia="仿宋"/>
                <w:color w:val="000000"/>
                <w:sz w:val="24"/>
              </w:rPr>
            </w:pPr>
            <w:r>
              <w:rPr>
                <w:rFonts w:eastAsia="仿宋"/>
                <w:kern w:val="0"/>
                <w:sz w:val="24"/>
                <w:lang w:bidi="ar"/>
              </w:rPr>
              <w:t>未按照规定制定并落实领导带班等制度的</w:t>
            </w:r>
          </w:p>
        </w:tc>
        <w:tc>
          <w:tcPr>
            <w:tcW w:w="2453" w:type="pct"/>
            <w:tcBorders>
              <w:top w:val="single" w:color="000000" w:sz="4" w:space="0"/>
              <w:left w:val="single" w:color="000000" w:sz="4" w:space="0"/>
              <w:bottom w:val="single" w:color="000000" w:sz="4" w:space="0"/>
              <w:right w:val="single" w:color="000000" w:sz="4" w:space="0"/>
            </w:tcBorders>
            <w:vAlign w:val="center"/>
          </w:tcPr>
          <w:p w14:paraId="730FA8ED">
            <w:pPr>
              <w:topLinePunct/>
              <w:adjustRightInd w:val="0"/>
              <w:snapToGrid w:val="0"/>
              <w:jc w:val="left"/>
              <w:textAlignment w:val="center"/>
              <w:rPr>
                <w:rFonts w:eastAsia="仿宋"/>
                <w:color w:val="000000"/>
                <w:sz w:val="24"/>
              </w:rPr>
            </w:pPr>
            <w:r>
              <w:rPr>
                <w:rFonts w:eastAsia="仿宋"/>
                <w:kern w:val="0"/>
                <w:sz w:val="24"/>
                <w:lang w:bidi="ar"/>
              </w:rPr>
              <w:t>1.《煤矿安全生产条例》</w:t>
            </w:r>
            <w:r>
              <w:rPr>
                <w:rFonts w:eastAsia="仿宋"/>
                <w:kern w:val="0"/>
                <w:sz w:val="24"/>
                <w:lang w:bidi="ar"/>
              </w:rPr>
              <w:br w:type="textWrapping"/>
            </w:r>
            <w:r>
              <w:rPr>
                <w:rFonts w:eastAsia="仿宋"/>
                <w:kern w:val="0"/>
                <w:sz w:val="24"/>
                <w:lang w:bidi="ar"/>
              </w:rPr>
              <w:t>第二十三条 煤矿企业应当按照国家有关规定建立健全领导带班制度并严格考核。井工煤矿企业的负责人和生产经营管理人员应当轮流带班下井，并建立下井登记档案。</w:t>
            </w:r>
            <w:r>
              <w:rPr>
                <w:rFonts w:eastAsia="仿宋"/>
                <w:kern w:val="0"/>
                <w:sz w:val="24"/>
                <w:lang w:bidi="ar"/>
              </w:rPr>
              <w:br w:type="textWrapping"/>
            </w:r>
            <w:r>
              <w:rPr>
                <w:rFonts w:eastAsia="仿宋"/>
                <w:kern w:val="0"/>
                <w:sz w:val="24"/>
                <w:lang w:bidi="ar"/>
              </w:rPr>
              <w:t>第六十三条 煤矿企业有下列行为之一的，责令限期改正，处 10 万元以上 20 万元以下的罚款；逾期未改正的，责令停产整顿，并处 20 万元以上 50 万元以下的罚款，对其直接负责的主管人员和其他直接责任人</w:t>
            </w:r>
            <w:r>
              <w:rPr>
                <w:rFonts w:eastAsia="仿宋"/>
                <w:kern w:val="0"/>
                <w:sz w:val="24"/>
                <w:lang w:bidi="ar"/>
              </w:rPr>
              <w:br w:type="textWrapping"/>
            </w:r>
            <w:r>
              <w:rPr>
                <w:rFonts w:eastAsia="仿宋"/>
                <w:kern w:val="0"/>
                <w:sz w:val="24"/>
                <w:lang w:bidi="ar"/>
              </w:rPr>
              <w:t>员处 3 万元以上 5 万元以下的罚款：（一）未按照规定制定并落实全员安全生产责任制和领导带班等安全生产规章制度的。</w:t>
            </w:r>
          </w:p>
        </w:tc>
        <w:tc>
          <w:tcPr>
            <w:tcW w:w="476" w:type="pct"/>
            <w:tcBorders>
              <w:top w:val="single" w:color="000000" w:sz="4" w:space="0"/>
              <w:left w:val="single" w:color="000000" w:sz="4" w:space="0"/>
              <w:bottom w:val="single" w:color="000000" w:sz="4" w:space="0"/>
              <w:right w:val="single" w:color="000000" w:sz="4" w:space="0"/>
            </w:tcBorders>
            <w:vAlign w:val="center"/>
          </w:tcPr>
          <w:p w14:paraId="789E3BBA">
            <w:pPr>
              <w:topLinePunct/>
              <w:adjustRightInd w:val="0"/>
              <w:snapToGrid w:val="0"/>
              <w:jc w:val="left"/>
              <w:textAlignment w:val="center"/>
              <w:rPr>
                <w:rFonts w:eastAsia="仿宋"/>
                <w:color w:val="000000"/>
                <w:sz w:val="24"/>
              </w:rPr>
            </w:pPr>
            <w:r>
              <w:rPr>
                <w:rFonts w:eastAsia="仿宋"/>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687FC57C">
            <w:pPr>
              <w:topLinePunct/>
              <w:adjustRightInd w:val="0"/>
              <w:snapToGrid w:val="0"/>
              <w:jc w:val="left"/>
              <w:textAlignment w:val="center"/>
              <w:rPr>
                <w:rFonts w:eastAsia="仿宋"/>
                <w:color w:val="000000"/>
                <w:sz w:val="24"/>
              </w:rPr>
            </w:pPr>
            <w:r>
              <w:rPr>
                <w:rFonts w:eastAsia="仿宋"/>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4C66D7F9">
            <w:pPr>
              <w:topLinePunct/>
              <w:adjustRightInd w:val="0"/>
              <w:snapToGrid w:val="0"/>
              <w:jc w:val="center"/>
              <w:textAlignment w:val="center"/>
              <w:rPr>
                <w:rFonts w:hint="eastAsia" w:eastAsia="仿宋"/>
                <w:color w:val="000000"/>
                <w:sz w:val="24"/>
                <w:lang w:eastAsia="zh-CN"/>
              </w:rPr>
            </w:pPr>
            <w:r>
              <w:rPr>
                <w:rFonts w:hint="eastAsia" w:eastAsia="仿宋"/>
                <w:kern w:val="0"/>
                <w:sz w:val="24"/>
                <w:lang w:eastAsia="zh-CN" w:bidi="ar"/>
              </w:rPr>
              <w:t>县级</w:t>
            </w:r>
          </w:p>
        </w:tc>
      </w:tr>
      <w:tr w14:paraId="682F1AA9">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53D22CF7">
            <w:pPr>
              <w:topLinePunct/>
              <w:adjustRightInd w:val="0"/>
              <w:snapToGrid w:val="0"/>
              <w:jc w:val="center"/>
              <w:textAlignment w:val="center"/>
              <w:rPr>
                <w:rFonts w:eastAsia="仿宋"/>
                <w:color w:val="000000"/>
                <w:sz w:val="24"/>
              </w:rPr>
            </w:pPr>
            <w:r>
              <w:rPr>
                <w:rFonts w:eastAsia="仿宋"/>
                <w:color w:val="000000"/>
                <w:kern w:val="0"/>
                <w:sz w:val="24"/>
                <w:lang w:bidi="ar"/>
              </w:rPr>
              <w:t>354</w:t>
            </w:r>
          </w:p>
        </w:tc>
        <w:tc>
          <w:tcPr>
            <w:tcW w:w="838" w:type="pct"/>
            <w:tcBorders>
              <w:top w:val="single" w:color="000000" w:sz="4" w:space="0"/>
              <w:left w:val="single" w:color="000000" w:sz="4" w:space="0"/>
              <w:bottom w:val="single" w:color="000000" w:sz="4" w:space="0"/>
              <w:right w:val="single" w:color="000000" w:sz="4" w:space="0"/>
            </w:tcBorders>
            <w:vAlign w:val="center"/>
          </w:tcPr>
          <w:p w14:paraId="133C09BF">
            <w:pPr>
              <w:topLinePunct/>
              <w:adjustRightInd w:val="0"/>
              <w:snapToGrid w:val="0"/>
              <w:textAlignment w:val="center"/>
              <w:rPr>
                <w:rFonts w:eastAsia="仿宋"/>
                <w:color w:val="000000"/>
                <w:sz w:val="24"/>
              </w:rPr>
            </w:pPr>
            <w:r>
              <w:rPr>
                <w:rFonts w:eastAsia="仿宋"/>
                <w:kern w:val="0"/>
                <w:sz w:val="24"/>
                <w:lang w:bidi="ar"/>
              </w:rPr>
              <w:t>采用可能危及相邻煤矿生产安全的决水、爆破、贯通巷道等危险方法进行采矿作业等违法行为的行政处罚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057913D8">
            <w:pPr>
              <w:topLinePunct/>
              <w:adjustRightInd w:val="0"/>
              <w:snapToGrid w:val="0"/>
              <w:jc w:val="left"/>
              <w:textAlignment w:val="center"/>
              <w:rPr>
                <w:rFonts w:eastAsia="仿宋"/>
                <w:color w:val="000000"/>
                <w:sz w:val="24"/>
              </w:rPr>
            </w:pPr>
            <w:r>
              <w:rPr>
                <w:rFonts w:eastAsia="仿宋"/>
                <w:kern w:val="0"/>
                <w:sz w:val="24"/>
                <w:lang w:bidi="ar"/>
              </w:rPr>
              <w:t>1.《煤矿安全生产条例》</w:t>
            </w:r>
            <w:r>
              <w:rPr>
                <w:rFonts w:eastAsia="仿宋"/>
                <w:kern w:val="0"/>
                <w:sz w:val="24"/>
                <w:lang w:bidi="ar"/>
              </w:rPr>
              <w:br w:type="textWrapping"/>
            </w:r>
            <w:r>
              <w:rPr>
                <w:rFonts w:eastAsia="仿宋"/>
                <w:kern w:val="0"/>
                <w:sz w:val="24"/>
                <w:lang w:bidi="ar"/>
              </w:rPr>
              <w:t>第六十五条第二款：擅自开采保安煤柱或者采用可能危及相邻煤矿生产安全的决水、爆破、贯通巷道等危险方法进行采矿作业的，责令立即停止作业，没收违法所得；违法所得在10万元以上的，并处违法所得2倍以上5倍以下的罚款；没有违法所得或者违法所得不足10万元的，并处10万元以上20万元以下的罚款；造成损失的，依法承担赔偿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574619BE">
            <w:pPr>
              <w:topLinePunct/>
              <w:adjustRightInd w:val="0"/>
              <w:snapToGrid w:val="0"/>
              <w:jc w:val="left"/>
              <w:textAlignment w:val="center"/>
              <w:rPr>
                <w:rFonts w:eastAsia="仿宋"/>
                <w:color w:val="000000"/>
                <w:sz w:val="24"/>
              </w:rPr>
            </w:pPr>
            <w:r>
              <w:rPr>
                <w:rFonts w:eastAsia="仿宋"/>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597BF2C7">
            <w:pPr>
              <w:topLinePunct/>
              <w:adjustRightInd w:val="0"/>
              <w:snapToGrid w:val="0"/>
              <w:jc w:val="left"/>
              <w:textAlignment w:val="center"/>
              <w:rPr>
                <w:rFonts w:eastAsia="仿宋"/>
                <w:color w:val="000000"/>
                <w:sz w:val="24"/>
              </w:rPr>
            </w:pPr>
            <w:r>
              <w:rPr>
                <w:rFonts w:eastAsia="仿宋"/>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452D8D3F">
            <w:pPr>
              <w:topLinePunct/>
              <w:adjustRightInd w:val="0"/>
              <w:snapToGrid w:val="0"/>
              <w:jc w:val="center"/>
              <w:textAlignment w:val="center"/>
              <w:rPr>
                <w:rFonts w:hint="eastAsia" w:eastAsia="仿宋"/>
                <w:color w:val="000000"/>
                <w:sz w:val="24"/>
                <w:lang w:eastAsia="zh-CN"/>
              </w:rPr>
            </w:pPr>
            <w:r>
              <w:rPr>
                <w:rFonts w:hint="eastAsia" w:eastAsia="仿宋"/>
                <w:kern w:val="0"/>
                <w:sz w:val="24"/>
                <w:lang w:eastAsia="zh-CN" w:bidi="ar"/>
              </w:rPr>
              <w:t>县级</w:t>
            </w:r>
          </w:p>
        </w:tc>
      </w:tr>
      <w:tr w14:paraId="5BCCA9A4">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2D584E33">
            <w:pPr>
              <w:topLinePunct/>
              <w:adjustRightInd w:val="0"/>
              <w:snapToGrid w:val="0"/>
              <w:jc w:val="center"/>
              <w:textAlignment w:val="center"/>
              <w:rPr>
                <w:rFonts w:eastAsia="仿宋"/>
                <w:color w:val="000000"/>
                <w:sz w:val="24"/>
              </w:rPr>
            </w:pPr>
            <w:r>
              <w:rPr>
                <w:rFonts w:eastAsia="仿宋"/>
                <w:color w:val="000000"/>
                <w:kern w:val="0"/>
                <w:sz w:val="24"/>
                <w:lang w:bidi="ar"/>
              </w:rPr>
              <w:t>355</w:t>
            </w:r>
          </w:p>
        </w:tc>
        <w:tc>
          <w:tcPr>
            <w:tcW w:w="838" w:type="pct"/>
            <w:tcBorders>
              <w:top w:val="single" w:color="000000" w:sz="4" w:space="0"/>
              <w:left w:val="single" w:color="000000" w:sz="4" w:space="0"/>
              <w:bottom w:val="single" w:color="000000" w:sz="4" w:space="0"/>
              <w:right w:val="single" w:color="000000" w:sz="4" w:space="0"/>
            </w:tcBorders>
            <w:vAlign w:val="center"/>
          </w:tcPr>
          <w:p w14:paraId="6E7E5CE6">
            <w:pPr>
              <w:topLinePunct/>
              <w:adjustRightInd w:val="0"/>
              <w:snapToGrid w:val="0"/>
              <w:textAlignment w:val="center"/>
              <w:rPr>
                <w:rFonts w:eastAsia="仿宋"/>
                <w:color w:val="000000"/>
                <w:sz w:val="24"/>
              </w:rPr>
            </w:pPr>
            <w:r>
              <w:rPr>
                <w:rFonts w:eastAsia="仿宋"/>
                <w:kern w:val="0"/>
                <w:sz w:val="24"/>
                <w:lang w:bidi="ar"/>
              </w:rPr>
              <w:t>煤矿企业主要负责人未履行安全生产管理职责导致事故发生的行政处罚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656D0096">
            <w:pPr>
              <w:topLinePunct/>
              <w:adjustRightInd w:val="0"/>
              <w:snapToGrid w:val="0"/>
              <w:jc w:val="left"/>
              <w:textAlignment w:val="center"/>
              <w:rPr>
                <w:rFonts w:eastAsia="仿宋"/>
                <w:color w:val="000000"/>
                <w:sz w:val="24"/>
              </w:rPr>
            </w:pPr>
            <w:r>
              <w:rPr>
                <w:rFonts w:eastAsia="仿宋"/>
                <w:kern w:val="0"/>
                <w:sz w:val="24"/>
                <w:lang w:bidi="ar"/>
              </w:rPr>
              <w:t>1.《煤矿安全生产条例》</w:t>
            </w:r>
            <w:r>
              <w:rPr>
                <w:rFonts w:eastAsia="仿宋"/>
                <w:kern w:val="0"/>
                <w:sz w:val="24"/>
                <w:lang w:bidi="ar"/>
              </w:rPr>
              <w:br w:type="textWrapping"/>
            </w:r>
            <w:r>
              <w:rPr>
                <w:rFonts w:eastAsia="仿宋"/>
                <w:kern w:val="0"/>
                <w:sz w:val="24"/>
                <w:lang w:bidi="ar"/>
              </w:rPr>
              <w:t>第六十八条第二款 煤矿企业主要负责人未依法履行安全生产管理职责，导致发生煤矿生产安全事故的，依照下列规定处以罚款：（一）发生一般事故的，处上一年年收入40%的罚款；（二）发生较大事故的，处上一年年收入60%的罚款；（三）发生重大事故的，处上一年年收入80%的罚款；（四）发生特别重大事故的，处上一年年收入100%的罚款。</w:t>
            </w:r>
          </w:p>
        </w:tc>
        <w:tc>
          <w:tcPr>
            <w:tcW w:w="476" w:type="pct"/>
            <w:tcBorders>
              <w:top w:val="single" w:color="000000" w:sz="4" w:space="0"/>
              <w:left w:val="single" w:color="000000" w:sz="4" w:space="0"/>
              <w:bottom w:val="single" w:color="000000" w:sz="4" w:space="0"/>
              <w:right w:val="single" w:color="000000" w:sz="4" w:space="0"/>
            </w:tcBorders>
            <w:vAlign w:val="center"/>
          </w:tcPr>
          <w:p w14:paraId="4A2F6539">
            <w:pPr>
              <w:topLinePunct/>
              <w:adjustRightInd w:val="0"/>
              <w:snapToGrid w:val="0"/>
              <w:jc w:val="left"/>
              <w:textAlignment w:val="center"/>
              <w:rPr>
                <w:rFonts w:eastAsia="仿宋"/>
                <w:color w:val="000000"/>
                <w:sz w:val="24"/>
              </w:rPr>
            </w:pPr>
            <w:r>
              <w:rPr>
                <w:rFonts w:eastAsia="仿宋"/>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6CE32FE8">
            <w:pPr>
              <w:topLinePunct/>
              <w:adjustRightInd w:val="0"/>
              <w:snapToGrid w:val="0"/>
              <w:jc w:val="left"/>
              <w:textAlignment w:val="center"/>
              <w:rPr>
                <w:rFonts w:eastAsia="仿宋"/>
                <w:color w:val="000000"/>
                <w:sz w:val="24"/>
              </w:rPr>
            </w:pPr>
            <w:r>
              <w:rPr>
                <w:rFonts w:eastAsia="仿宋"/>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58B4D855">
            <w:pPr>
              <w:topLinePunct/>
              <w:adjustRightInd w:val="0"/>
              <w:snapToGrid w:val="0"/>
              <w:jc w:val="center"/>
              <w:textAlignment w:val="center"/>
              <w:rPr>
                <w:rFonts w:hint="eastAsia" w:eastAsia="仿宋"/>
                <w:color w:val="000000"/>
                <w:sz w:val="24"/>
                <w:lang w:eastAsia="zh-CN"/>
              </w:rPr>
            </w:pPr>
            <w:r>
              <w:rPr>
                <w:rFonts w:hint="eastAsia" w:eastAsia="仿宋"/>
                <w:kern w:val="0"/>
                <w:sz w:val="24"/>
                <w:lang w:eastAsia="zh-CN" w:bidi="ar"/>
              </w:rPr>
              <w:t>县级</w:t>
            </w:r>
          </w:p>
        </w:tc>
      </w:tr>
      <w:tr w14:paraId="39AA9C8A">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5CB34779">
            <w:pPr>
              <w:topLinePunct/>
              <w:adjustRightInd w:val="0"/>
              <w:snapToGrid w:val="0"/>
              <w:jc w:val="center"/>
              <w:textAlignment w:val="center"/>
              <w:rPr>
                <w:rFonts w:eastAsia="仿宋"/>
                <w:color w:val="000000"/>
                <w:sz w:val="24"/>
              </w:rPr>
            </w:pPr>
            <w:r>
              <w:rPr>
                <w:rFonts w:eastAsia="仿宋"/>
                <w:color w:val="000000"/>
                <w:kern w:val="0"/>
                <w:sz w:val="24"/>
                <w:lang w:bidi="ar"/>
              </w:rPr>
              <w:t>356</w:t>
            </w:r>
          </w:p>
        </w:tc>
        <w:tc>
          <w:tcPr>
            <w:tcW w:w="838" w:type="pct"/>
            <w:tcBorders>
              <w:top w:val="single" w:color="000000" w:sz="4" w:space="0"/>
              <w:left w:val="single" w:color="000000" w:sz="4" w:space="0"/>
              <w:bottom w:val="single" w:color="000000" w:sz="4" w:space="0"/>
              <w:right w:val="single" w:color="000000" w:sz="4" w:space="0"/>
            </w:tcBorders>
            <w:vAlign w:val="center"/>
          </w:tcPr>
          <w:p w14:paraId="67DE19D4">
            <w:pPr>
              <w:topLinePunct/>
              <w:adjustRightInd w:val="0"/>
              <w:snapToGrid w:val="0"/>
              <w:textAlignment w:val="center"/>
              <w:rPr>
                <w:rFonts w:eastAsia="仿宋"/>
                <w:color w:val="000000"/>
                <w:sz w:val="24"/>
              </w:rPr>
            </w:pPr>
            <w:r>
              <w:rPr>
                <w:rFonts w:eastAsia="仿宋"/>
                <w:kern w:val="0"/>
                <w:sz w:val="24"/>
                <w:lang w:bidi="ar"/>
              </w:rPr>
              <w:t>煤矿企业违章指挥或者强令冒险作业、违反规程的行政处罚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29739D9D">
            <w:pPr>
              <w:topLinePunct/>
              <w:adjustRightInd w:val="0"/>
              <w:snapToGrid w:val="0"/>
              <w:jc w:val="left"/>
              <w:textAlignment w:val="center"/>
              <w:rPr>
                <w:rFonts w:eastAsia="仿宋"/>
                <w:color w:val="000000"/>
                <w:sz w:val="24"/>
              </w:rPr>
            </w:pPr>
            <w:r>
              <w:rPr>
                <w:rFonts w:eastAsia="仿宋"/>
                <w:kern w:val="0"/>
                <w:sz w:val="24"/>
                <w:lang w:bidi="ar"/>
              </w:rPr>
              <w:t>1.《煤矿安全生产条例》第六十三条  煤矿企业有下列行为之一的，责令限期改正，处10万元以上20万元以下的罚款；逾期未改正的，责令停产整顿，并处20万元以上50万元以下的罚款，对其直接负责的主管人员和其他直接责任人员处3万元以上5万元以下的罚款：（七）违章指挥或者强令冒险作业，违反规程的。</w:t>
            </w:r>
          </w:p>
        </w:tc>
        <w:tc>
          <w:tcPr>
            <w:tcW w:w="476" w:type="pct"/>
            <w:tcBorders>
              <w:top w:val="single" w:color="000000" w:sz="4" w:space="0"/>
              <w:left w:val="single" w:color="000000" w:sz="4" w:space="0"/>
              <w:bottom w:val="single" w:color="000000" w:sz="4" w:space="0"/>
              <w:right w:val="single" w:color="000000" w:sz="4" w:space="0"/>
            </w:tcBorders>
            <w:vAlign w:val="center"/>
          </w:tcPr>
          <w:p w14:paraId="5B180BB9">
            <w:pPr>
              <w:topLinePunct/>
              <w:adjustRightInd w:val="0"/>
              <w:snapToGrid w:val="0"/>
              <w:jc w:val="left"/>
              <w:textAlignment w:val="center"/>
              <w:rPr>
                <w:rFonts w:eastAsia="仿宋"/>
                <w:color w:val="000000"/>
                <w:sz w:val="24"/>
              </w:rPr>
            </w:pPr>
            <w:r>
              <w:rPr>
                <w:rFonts w:eastAsia="仿宋"/>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01023317">
            <w:pPr>
              <w:topLinePunct/>
              <w:adjustRightInd w:val="0"/>
              <w:snapToGrid w:val="0"/>
              <w:jc w:val="left"/>
              <w:textAlignment w:val="center"/>
              <w:rPr>
                <w:rFonts w:eastAsia="仿宋"/>
                <w:color w:val="000000"/>
                <w:sz w:val="24"/>
              </w:rPr>
            </w:pPr>
            <w:r>
              <w:rPr>
                <w:rFonts w:eastAsia="仿宋"/>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5F634D77">
            <w:pPr>
              <w:topLinePunct/>
              <w:adjustRightInd w:val="0"/>
              <w:snapToGrid w:val="0"/>
              <w:jc w:val="center"/>
              <w:textAlignment w:val="center"/>
              <w:rPr>
                <w:rFonts w:hint="eastAsia" w:eastAsia="仿宋"/>
                <w:color w:val="000000"/>
                <w:sz w:val="24"/>
                <w:lang w:eastAsia="zh-CN"/>
              </w:rPr>
            </w:pPr>
            <w:r>
              <w:rPr>
                <w:rFonts w:hint="eastAsia" w:eastAsia="仿宋"/>
                <w:kern w:val="0"/>
                <w:sz w:val="24"/>
                <w:lang w:eastAsia="zh-CN" w:bidi="ar"/>
              </w:rPr>
              <w:t>县级</w:t>
            </w:r>
          </w:p>
        </w:tc>
      </w:tr>
      <w:tr w14:paraId="11EE8195">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34FD8049">
            <w:pPr>
              <w:topLinePunct/>
              <w:adjustRightInd w:val="0"/>
              <w:snapToGrid w:val="0"/>
              <w:jc w:val="center"/>
              <w:textAlignment w:val="center"/>
              <w:rPr>
                <w:rFonts w:eastAsia="仿宋"/>
                <w:color w:val="000000"/>
                <w:sz w:val="24"/>
              </w:rPr>
            </w:pPr>
            <w:r>
              <w:rPr>
                <w:rFonts w:eastAsia="仿宋"/>
                <w:color w:val="000000"/>
                <w:kern w:val="0"/>
                <w:sz w:val="24"/>
                <w:lang w:bidi="ar"/>
              </w:rPr>
              <w:t>357</w:t>
            </w:r>
          </w:p>
        </w:tc>
        <w:tc>
          <w:tcPr>
            <w:tcW w:w="838" w:type="pct"/>
            <w:tcBorders>
              <w:top w:val="single" w:color="000000" w:sz="4" w:space="0"/>
              <w:left w:val="single" w:color="000000" w:sz="4" w:space="0"/>
              <w:bottom w:val="single" w:color="000000" w:sz="4" w:space="0"/>
              <w:right w:val="single" w:color="000000" w:sz="4" w:space="0"/>
            </w:tcBorders>
            <w:vAlign w:val="center"/>
          </w:tcPr>
          <w:p w14:paraId="4B89FCAE">
            <w:pPr>
              <w:topLinePunct/>
              <w:adjustRightInd w:val="0"/>
              <w:snapToGrid w:val="0"/>
              <w:textAlignment w:val="center"/>
              <w:rPr>
                <w:rFonts w:eastAsia="仿宋"/>
                <w:color w:val="000000"/>
                <w:sz w:val="24"/>
              </w:rPr>
            </w:pPr>
            <w:r>
              <w:rPr>
                <w:rFonts w:eastAsia="仿宋"/>
                <w:kern w:val="0"/>
                <w:sz w:val="24"/>
                <w:lang w:bidi="ar"/>
              </w:rPr>
              <w:t>对煤矿企业未建立安全培训管理制度或者未制定年度安全培训计划等行为的行政处罚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08B74F50">
            <w:pPr>
              <w:topLinePunct/>
              <w:adjustRightInd w:val="0"/>
              <w:snapToGrid w:val="0"/>
              <w:jc w:val="left"/>
              <w:textAlignment w:val="center"/>
              <w:rPr>
                <w:rFonts w:eastAsia="仿宋"/>
                <w:color w:val="000000"/>
                <w:sz w:val="24"/>
              </w:rPr>
            </w:pPr>
            <w:r>
              <w:rPr>
                <w:rFonts w:eastAsia="仿宋"/>
                <w:kern w:val="0"/>
                <w:sz w:val="24"/>
                <w:lang w:bidi="ar"/>
              </w:rPr>
              <w:t>1.《煤矿安全培训规定》</w:t>
            </w:r>
            <w:r>
              <w:rPr>
                <w:rFonts w:eastAsia="仿宋"/>
                <w:kern w:val="0"/>
                <w:sz w:val="24"/>
                <w:lang w:bidi="ar"/>
              </w:rPr>
              <w:br w:type="textWrapping"/>
            </w:r>
            <w:r>
              <w:rPr>
                <w:rFonts w:eastAsia="仿宋"/>
                <w:kern w:val="0"/>
                <w:sz w:val="24"/>
                <w:lang w:bidi="ar"/>
              </w:rPr>
              <w:t>第四十八条  煤矿安全培训主管部门或者煤矿安全监察机构发现煤矿企业有下列行为之一的，责令其限期改正，可以处一万元以上三万元以下的罚款：（一）未建立安全培训管理制度或者未制定年度安全培训计划的；（二）未明确负责安全培训工作的机构，或者未配备专兼职安全培训管理人员的；（三）用于安全培训的资金不符合本规定的；（四）未按照统一的培训大纲组织培训的；（五）不具备安全培训条件进行自主培训，或者委托不具备安全培训条件机构进行培训的。</w:t>
            </w:r>
            <w:r>
              <w:rPr>
                <w:rFonts w:eastAsia="仿宋"/>
                <w:kern w:val="0"/>
                <w:sz w:val="24"/>
                <w:lang w:bidi="ar"/>
              </w:rPr>
              <w:br w:type="textWrapping"/>
            </w:r>
            <w:r>
              <w:rPr>
                <w:rFonts w:eastAsia="仿宋"/>
                <w:kern w:val="0"/>
                <w:sz w:val="24"/>
                <w:lang w:bidi="ar"/>
              </w:rPr>
              <w:t>具备安全培训条件的机构未按照规定的培训大纲进行安全培训，或者未经安全培训并考试合格颁发有关培训合格证明的，依照前款规定给予行政处罚。</w:t>
            </w:r>
          </w:p>
        </w:tc>
        <w:tc>
          <w:tcPr>
            <w:tcW w:w="476" w:type="pct"/>
            <w:tcBorders>
              <w:top w:val="single" w:color="000000" w:sz="4" w:space="0"/>
              <w:left w:val="single" w:color="000000" w:sz="4" w:space="0"/>
              <w:bottom w:val="single" w:color="000000" w:sz="4" w:space="0"/>
              <w:right w:val="single" w:color="000000" w:sz="4" w:space="0"/>
            </w:tcBorders>
            <w:vAlign w:val="center"/>
          </w:tcPr>
          <w:p w14:paraId="43AC89F8">
            <w:pPr>
              <w:topLinePunct/>
              <w:adjustRightInd w:val="0"/>
              <w:snapToGrid w:val="0"/>
              <w:jc w:val="left"/>
              <w:textAlignment w:val="center"/>
              <w:rPr>
                <w:rFonts w:eastAsia="仿宋"/>
                <w:color w:val="000000"/>
                <w:sz w:val="24"/>
              </w:rPr>
            </w:pPr>
            <w:r>
              <w:rPr>
                <w:rFonts w:eastAsia="仿宋"/>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2950DE86">
            <w:pPr>
              <w:topLinePunct/>
              <w:adjustRightInd w:val="0"/>
              <w:snapToGrid w:val="0"/>
              <w:jc w:val="left"/>
              <w:textAlignment w:val="center"/>
              <w:rPr>
                <w:rFonts w:eastAsia="仿宋"/>
                <w:color w:val="000000"/>
                <w:sz w:val="24"/>
              </w:rPr>
            </w:pPr>
            <w:r>
              <w:rPr>
                <w:rFonts w:eastAsia="仿宋"/>
                <w:kern w:val="0"/>
                <w:sz w:val="24"/>
                <w:lang w:bidi="ar"/>
              </w:rPr>
              <w:t>省级、市级、县级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3360BB01">
            <w:pPr>
              <w:topLinePunct/>
              <w:adjustRightInd w:val="0"/>
              <w:snapToGrid w:val="0"/>
              <w:jc w:val="center"/>
              <w:textAlignment w:val="center"/>
              <w:rPr>
                <w:rFonts w:hint="eastAsia" w:eastAsia="仿宋"/>
                <w:color w:val="000000"/>
                <w:sz w:val="24"/>
                <w:lang w:eastAsia="zh-CN"/>
              </w:rPr>
            </w:pPr>
            <w:r>
              <w:rPr>
                <w:rFonts w:hint="eastAsia" w:eastAsia="仿宋"/>
                <w:kern w:val="0"/>
                <w:sz w:val="24"/>
                <w:lang w:eastAsia="zh-CN" w:bidi="ar"/>
              </w:rPr>
              <w:t>县级</w:t>
            </w:r>
          </w:p>
        </w:tc>
      </w:tr>
      <w:tr w14:paraId="52FDF3DE">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41B4BD5F">
            <w:pPr>
              <w:topLinePunct/>
              <w:adjustRightInd w:val="0"/>
              <w:snapToGrid w:val="0"/>
              <w:jc w:val="center"/>
              <w:textAlignment w:val="center"/>
              <w:rPr>
                <w:rFonts w:eastAsia="仿宋"/>
                <w:color w:val="000000"/>
                <w:sz w:val="24"/>
              </w:rPr>
            </w:pPr>
            <w:r>
              <w:rPr>
                <w:rFonts w:eastAsia="仿宋"/>
                <w:color w:val="000000"/>
                <w:kern w:val="0"/>
                <w:sz w:val="24"/>
                <w:lang w:bidi="ar"/>
              </w:rPr>
              <w:t>358</w:t>
            </w:r>
          </w:p>
        </w:tc>
        <w:tc>
          <w:tcPr>
            <w:tcW w:w="838" w:type="pct"/>
            <w:tcBorders>
              <w:top w:val="single" w:color="000000" w:sz="4" w:space="0"/>
              <w:left w:val="single" w:color="000000" w:sz="4" w:space="0"/>
              <w:bottom w:val="single" w:color="000000" w:sz="4" w:space="0"/>
              <w:right w:val="single" w:color="000000" w:sz="4" w:space="0"/>
            </w:tcBorders>
            <w:vAlign w:val="center"/>
          </w:tcPr>
          <w:p w14:paraId="01B040ED">
            <w:pPr>
              <w:topLinePunct/>
              <w:adjustRightInd w:val="0"/>
              <w:snapToGrid w:val="0"/>
              <w:textAlignment w:val="center"/>
              <w:rPr>
                <w:rFonts w:eastAsia="仿宋"/>
                <w:color w:val="000000"/>
                <w:sz w:val="24"/>
              </w:rPr>
            </w:pPr>
            <w:r>
              <w:rPr>
                <w:rFonts w:eastAsia="仿宋"/>
                <w:kern w:val="0"/>
                <w:sz w:val="24"/>
                <w:lang w:bidi="ar"/>
              </w:rPr>
              <w:t>对有侵占、毁损、拆除或者擅自移动地震监测设施等行为的行政处罚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4990F827">
            <w:pPr>
              <w:topLinePunct/>
              <w:adjustRightInd w:val="0"/>
              <w:snapToGrid w:val="0"/>
              <w:jc w:val="left"/>
              <w:textAlignment w:val="center"/>
              <w:rPr>
                <w:rFonts w:eastAsia="仿宋"/>
                <w:kern w:val="0"/>
                <w:sz w:val="24"/>
                <w:lang w:bidi="ar"/>
              </w:rPr>
            </w:pPr>
            <w:r>
              <w:rPr>
                <w:rFonts w:eastAsia="仿宋"/>
                <w:kern w:val="0"/>
                <w:sz w:val="24"/>
                <w:lang w:bidi="ar"/>
              </w:rPr>
              <w:t>1.《中华人民共和国防震减灾法》</w:t>
            </w:r>
          </w:p>
          <w:p w14:paraId="1ABE034D">
            <w:pPr>
              <w:topLinePunct/>
              <w:adjustRightInd w:val="0"/>
              <w:snapToGrid w:val="0"/>
              <w:jc w:val="left"/>
              <w:textAlignment w:val="center"/>
              <w:rPr>
                <w:rFonts w:eastAsia="仿宋"/>
                <w:kern w:val="0"/>
                <w:sz w:val="24"/>
                <w:lang w:bidi="ar"/>
              </w:rPr>
            </w:pPr>
            <w:r>
              <w:rPr>
                <w:rFonts w:eastAsia="仿宋"/>
                <w:kern w:val="0"/>
                <w:sz w:val="24"/>
                <w:lang w:bidi="ar"/>
              </w:rPr>
              <w:t>第八十四条第一款第一项、第二项、第二款违反本法规定，有下列行为之一的，由国务院地震工作主管部门或者县级以上地方人民政府负责管理地震工作的部门或者机构责令停止违法行为，恢复原状或者采取其他补救措施；造成损失的，依法承担赔偿责任：(一)侵占、毁损、拆除或者擅自移动地震监测设施的；(二)危害地震观测环境的；</w:t>
            </w:r>
          </w:p>
          <w:p w14:paraId="1F491B08">
            <w:pPr>
              <w:topLinePunct/>
              <w:adjustRightInd w:val="0"/>
              <w:snapToGrid w:val="0"/>
              <w:jc w:val="left"/>
              <w:textAlignment w:val="center"/>
              <w:rPr>
                <w:rFonts w:eastAsia="仿宋"/>
                <w:kern w:val="0"/>
                <w:sz w:val="24"/>
                <w:lang w:bidi="ar"/>
              </w:rPr>
            </w:pPr>
            <w:r>
              <w:rPr>
                <w:rFonts w:eastAsia="仿宋"/>
                <w:kern w:val="0"/>
                <w:sz w:val="24"/>
                <w:lang w:bidi="ar"/>
              </w:rPr>
              <w:t>单位有前款所列违法行为，情节严重的，处二万元以上二十万元以下的罚款；个人有前款所列违法行为，情节严重的，处二千元以下的罚款。构成违反治安管理行为的，由公安机关依法给予处罚。</w:t>
            </w:r>
          </w:p>
          <w:p w14:paraId="6986F8EC">
            <w:pPr>
              <w:topLinePunct/>
              <w:adjustRightInd w:val="0"/>
              <w:snapToGrid w:val="0"/>
              <w:jc w:val="left"/>
              <w:textAlignment w:val="center"/>
              <w:rPr>
                <w:rFonts w:eastAsia="仿宋"/>
                <w:kern w:val="0"/>
                <w:sz w:val="24"/>
                <w:lang w:bidi="ar"/>
              </w:rPr>
            </w:pPr>
            <w:r>
              <w:rPr>
                <w:rFonts w:eastAsia="仿宋"/>
                <w:kern w:val="0"/>
                <w:sz w:val="24"/>
                <w:lang w:bidi="ar"/>
              </w:rPr>
              <w:t>2.《地震监测管理条例》</w:t>
            </w:r>
          </w:p>
          <w:p w14:paraId="71B185BD">
            <w:pPr>
              <w:topLinePunct/>
              <w:adjustRightInd w:val="0"/>
              <w:snapToGrid w:val="0"/>
              <w:jc w:val="left"/>
              <w:textAlignment w:val="center"/>
              <w:rPr>
                <w:rFonts w:eastAsia="仿宋"/>
                <w:kern w:val="0"/>
                <w:sz w:val="24"/>
                <w:lang w:bidi="ar"/>
              </w:rPr>
            </w:pPr>
            <w:r>
              <w:rPr>
                <w:rFonts w:eastAsia="仿宋"/>
                <w:kern w:val="0"/>
                <w:sz w:val="24"/>
                <w:lang w:bidi="ar"/>
              </w:rPr>
              <w:t>第二十六条禁止占用、拆除、损坏下列地震监测设施：(一)地震监测仪器、设备和装置；(二)供地震监测使用的山洞、观测井(泉)；(三)地震监测台网中心、中继站、遥测点的用房；(四)地震监测标志；(五)地震监测专用无线通信频段、信道和通信设施；(六)用于地震监测的供电、供水设施。</w:t>
            </w:r>
          </w:p>
          <w:p w14:paraId="4ACD6FEC">
            <w:pPr>
              <w:topLinePunct/>
              <w:adjustRightInd w:val="0"/>
              <w:snapToGrid w:val="0"/>
              <w:jc w:val="left"/>
              <w:textAlignment w:val="center"/>
              <w:rPr>
                <w:rFonts w:eastAsia="仿宋"/>
                <w:color w:val="000000"/>
                <w:sz w:val="24"/>
              </w:rPr>
            </w:pPr>
            <w:r>
              <w:rPr>
                <w:rFonts w:eastAsia="仿宋"/>
                <w:kern w:val="0"/>
                <w:sz w:val="24"/>
                <w:lang w:bidi="ar"/>
              </w:rPr>
              <w:t>第二十八条除依法从事本条例第三十二条、第三十三条规定的建设活动外，禁止在已划定的地震观测环境保护范围内从事下列活动：(一)爆破、采矿、采石、钻井、抽水、注水；(二)在测震观测环境保护范围内设置无线信号发射装置、进行振动作业和往复机械运动；(三)在电磁观测环境保护范围内铺设金属管线、电力电缆线路、堆放磁性物品和设置高频电磁辐射装置；(四)在地形变观测环境保护范围内进行振动作业；(五)在地下流体观测环境保护范围内堆积和填埋垃圾、进行污水处理；(六)在观测线和观测标志周围设置障碍物或者擅自移动地震观测标志。</w:t>
            </w:r>
          </w:p>
        </w:tc>
        <w:tc>
          <w:tcPr>
            <w:tcW w:w="476" w:type="pct"/>
            <w:tcBorders>
              <w:top w:val="single" w:color="000000" w:sz="4" w:space="0"/>
              <w:left w:val="single" w:color="000000" w:sz="4" w:space="0"/>
              <w:bottom w:val="single" w:color="000000" w:sz="4" w:space="0"/>
              <w:right w:val="single" w:color="000000" w:sz="4" w:space="0"/>
            </w:tcBorders>
            <w:vAlign w:val="center"/>
          </w:tcPr>
          <w:p w14:paraId="79582475">
            <w:pPr>
              <w:topLinePunct/>
              <w:adjustRightInd w:val="0"/>
              <w:snapToGrid w:val="0"/>
              <w:jc w:val="left"/>
              <w:textAlignment w:val="center"/>
              <w:rPr>
                <w:rFonts w:eastAsia="仿宋"/>
                <w:color w:val="000000"/>
                <w:sz w:val="24"/>
              </w:rPr>
            </w:pPr>
            <w:r>
              <w:rPr>
                <w:rFonts w:eastAsia="仿宋"/>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689E72CF">
            <w:pPr>
              <w:topLinePunct/>
              <w:adjustRightInd w:val="0"/>
              <w:snapToGrid w:val="0"/>
              <w:jc w:val="left"/>
              <w:textAlignment w:val="center"/>
              <w:rPr>
                <w:rFonts w:eastAsia="仿宋"/>
                <w:color w:val="000000"/>
                <w:sz w:val="24"/>
              </w:rPr>
            </w:pPr>
            <w:r>
              <w:rPr>
                <w:rFonts w:eastAsia="仿宋"/>
                <w:kern w:val="0"/>
                <w:sz w:val="24"/>
                <w:lang w:bidi="ar"/>
              </w:rPr>
              <w:t>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71A89C4E">
            <w:pPr>
              <w:topLinePunct/>
              <w:adjustRightInd w:val="0"/>
              <w:snapToGrid w:val="0"/>
              <w:jc w:val="center"/>
              <w:textAlignment w:val="center"/>
              <w:rPr>
                <w:rFonts w:hint="eastAsia" w:eastAsia="仿宋"/>
                <w:color w:val="000000"/>
                <w:sz w:val="24"/>
                <w:lang w:eastAsia="zh-CN"/>
              </w:rPr>
            </w:pPr>
            <w:r>
              <w:rPr>
                <w:rFonts w:hint="eastAsia" w:eastAsia="仿宋"/>
                <w:kern w:val="0"/>
                <w:sz w:val="24"/>
                <w:lang w:eastAsia="zh-CN" w:bidi="ar"/>
              </w:rPr>
              <w:t>县级</w:t>
            </w:r>
          </w:p>
        </w:tc>
      </w:tr>
      <w:tr w14:paraId="1564973E">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7FBD4617">
            <w:pPr>
              <w:topLinePunct/>
              <w:adjustRightInd w:val="0"/>
              <w:snapToGrid w:val="0"/>
              <w:jc w:val="center"/>
              <w:textAlignment w:val="center"/>
              <w:rPr>
                <w:rFonts w:eastAsia="仿宋"/>
                <w:sz w:val="24"/>
              </w:rPr>
            </w:pPr>
            <w:r>
              <w:rPr>
                <w:rFonts w:eastAsia="仿宋"/>
                <w:kern w:val="0"/>
                <w:sz w:val="24"/>
                <w:lang w:bidi="ar"/>
              </w:rPr>
              <w:t>359</w:t>
            </w:r>
          </w:p>
        </w:tc>
        <w:tc>
          <w:tcPr>
            <w:tcW w:w="838" w:type="pct"/>
            <w:tcBorders>
              <w:top w:val="single" w:color="000000" w:sz="4" w:space="0"/>
              <w:left w:val="single" w:color="000000" w:sz="4" w:space="0"/>
              <w:bottom w:val="single" w:color="000000" w:sz="4" w:space="0"/>
              <w:right w:val="single" w:color="000000" w:sz="4" w:space="0"/>
            </w:tcBorders>
            <w:vAlign w:val="center"/>
          </w:tcPr>
          <w:p w14:paraId="3A9E3FF0">
            <w:pPr>
              <w:topLinePunct/>
              <w:adjustRightInd w:val="0"/>
              <w:snapToGrid w:val="0"/>
              <w:jc w:val="center"/>
              <w:textAlignment w:val="center"/>
              <w:rPr>
                <w:rFonts w:eastAsia="仿宋_GB2312"/>
                <w:b/>
                <w:bCs/>
                <w:sz w:val="24"/>
              </w:rPr>
            </w:pPr>
            <w:r>
              <w:rPr>
                <w:rFonts w:eastAsia="仿宋"/>
                <w:kern w:val="0"/>
                <w:sz w:val="24"/>
                <w:lang w:bidi="ar"/>
              </w:rPr>
              <w:t>对破坏典型地震遗址、遗迹行为的行政处罚</w:t>
            </w:r>
          </w:p>
        </w:tc>
        <w:tc>
          <w:tcPr>
            <w:tcW w:w="2453" w:type="pct"/>
            <w:tcBorders>
              <w:top w:val="single" w:color="000000" w:sz="4" w:space="0"/>
              <w:left w:val="single" w:color="000000" w:sz="4" w:space="0"/>
              <w:bottom w:val="single" w:color="000000" w:sz="4" w:space="0"/>
              <w:right w:val="single" w:color="000000" w:sz="4" w:space="0"/>
            </w:tcBorders>
          </w:tcPr>
          <w:p w14:paraId="74B502F3">
            <w:pPr>
              <w:topLinePunct/>
              <w:adjustRightInd w:val="0"/>
              <w:snapToGrid w:val="0"/>
              <w:jc w:val="left"/>
              <w:textAlignment w:val="center"/>
              <w:rPr>
                <w:rFonts w:eastAsia="仿宋"/>
                <w:kern w:val="0"/>
                <w:sz w:val="24"/>
                <w:lang w:bidi="ar"/>
              </w:rPr>
            </w:pPr>
            <w:r>
              <w:rPr>
                <w:rFonts w:eastAsia="仿宋"/>
                <w:kern w:val="0"/>
                <w:sz w:val="24"/>
                <w:lang w:bidi="ar"/>
              </w:rPr>
              <w:t>1.《中华人民共和国防震减灾法》</w:t>
            </w:r>
          </w:p>
          <w:p w14:paraId="5E448081">
            <w:pPr>
              <w:topLinePunct/>
              <w:adjustRightInd w:val="0"/>
              <w:snapToGrid w:val="0"/>
              <w:jc w:val="left"/>
              <w:textAlignment w:val="center"/>
              <w:rPr>
                <w:rFonts w:eastAsia="仿宋"/>
                <w:kern w:val="0"/>
                <w:sz w:val="24"/>
                <w:lang w:bidi="ar"/>
              </w:rPr>
            </w:pPr>
            <w:r>
              <w:rPr>
                <w:rFonts w:eastAsia="仿宋"/>
                <w:kern w:val="0"/>
                <w:sz w:val="24"/>
                <w:lang w:bidi="ar"/>
              </w:rPr>
              <w:t>第八十四条第一款第三项、第二款违反本法规定，有下列行为之一的，由国务院地震工作主管部门或者县级以上地方人民政府负责管理地震工作的部门或者机构责令停止违法行为，恢复原状或者采取其他补救措施；造成损失的，依法承担赔偿责任：(三)破坏典型地震遗址、遗迹的。</w:t>
            </w:r>
          </w:p>
          <w:p w14:paraId="0D31DB12">
            <w:pPr>
              <w:topLinePunct/>
              <w:adjustRightInd w:val="0"/>
              <w:snapToGrid w:val="0"/>
              <w:jc w:val="left"/>
              <w:textAlignment w:val="center"/>
              <w:rPr>
                <w:rFonts w:eastAsia="仿宋"/>
                <w:sz w:val="24"/>
              </w:rPr>
            </w:pPr>
            <w:r>
              <w:rPr>
                <w:rFonts w:eastAsia="仿宋"/>
                <w:kern w:val="0"/>
                <w:sz w:val="24"/>
                <w:lang w:bidi="ar"/>
              </w:rPr>
              <w:t>单位有前款所列违法行为，情节严重的，处二万元以上二十万元以下的罚款；个人有前款所列违法行为，情节严重的，处二千元以下的罚款。构成违反治安管理行为的，由公安机关依法给予处罚。</w:t>
            </w:r>
          </w:p>
        </w:tc>
        <w:tc>
          <w:tcPr>
            <w:tcW w:w="476" w:type="pct"/>
            <w:tcBorders>
              <w:top w:val="single" w:color="000000" w:sz="4" w:space="0"/>
              <w:left w:val="single" w:color="000000" w:sz="4" w:space="0"/>
              <w:bottom w:val="single" w:color="000000" w:sz="4" w:space="0"/>
              <w:right w:val="single" w:color="000000" w:sz="4" w:space="0"/>
            </w:tcBorders>
            <w:vAlign w:val="center"/>
          </w:tcPr>
          <w:p w14:paraId="7AC66E8D">
            <w:pPr>
              <w:topLinePunct/>
              <w:adjustRightInd w:val="0"/>
              <w:snapToGrid w:val="0"/>
              <w:jc w:val="left"/>
              <w:textAlignment w:val="center"/>
              <w:rPr>
                <w:rFonts w:eastAsia="仿宋"/>
                <w:sz w:val="24"/>
              </w:rPr>
            </w:pPr>
            <w:r>
              <w:rPr>
                <w:rFonts w:eastAsia="仿宋"/>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03439121">
            <w:pPr>
              <w:topLinePunct/>
              <w:adjustRightInd w:val="0"/>
              <w:snapToGrid w:val="0"/>
              <w:jc w:val="left"/>
              <w:textAlignment w:val="center"/>
              <w:rPr>
                <w:rFonts w:eastAsia="仿宋"/>
                <w:sz w:val="24"/>
              </w:rPr>
            </w:pPr>
            <w:r>
              <w:rPr>
                <w:rFonts w:eastAsia="仿宋"/>
                <w:kern w:val="0"/>
                <w:sz w:val="24"/>
                <w:lang w:bidi="ar"/>
              </w:rPr>
              <w:t>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6AAB316A">
            <w:pPr>
              <w:topLinePunct/>
              <w:adjustRightInd w:val="0"/>
              <w:snapToGrid w:val="0"/>
              <w:jc w:val="center"/>
              <w:textAlignment w:val="center"/>
              <w:rPr>
                <w:rFonts w:hint="eastAsia" w:eastAsia="仿宋"/>
                <w:sz w:val="24"/>
                <w:lang w:eastAsia="zh-CN"/>
              </w:rPr>
            </w:pPr>
            <w:r>
              <w:rPr>
                <w:rFonts w:hint="eastAsia" w:eastAsia="仿宋"/>
                <w:kern w:val="0"/>
                <w:sz w:val="24"/>
                <w:lang w:eastAsia="zh-CN" w:bidi="ar"/>
              </w:rPr>
              <w:t>县级</w:t>
            </w:r>
          </w:p>
        </w:tc>
      </w:tr>
      <w:tr w14:paraId="4972EA24">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6D4DC92F">
            <w:pPr>
              <w:topLinePunct/>
              <w:adjustRightInd w:val="0"/>
              <w:snapToGrid w:val="0"/>
              <w:jc w:val="center"/>
              <w:textAlignment w:val="center"/>
              <w:rPr>
                <w:rFonts w:eastAsia="仿宋"/>
                <w:sz w:val="24"/>
              </w:rPr>
            </w:pPr>
            <w:r>
              <w:rPr>
                <w:rFonts w:eastAsia="仿宋"/>
                <w:kern w:val="0"/>
                <w:sz w:val="24"/>
                <w:lang w:bidi="ar"/>
              </w:rPr>
              <w:t>360</w:t>
            </w:r>
          </w:p>
        </w:tc>
        <w:tc>
          <w:tcPr>
            <w:tcW w:w="838" w:type="pct"/>
            <w:tcBorders>
              <w:top w:val="single" w:color="000000" w:sz="4" w:space="0"/>
              <w:left w:val="single" w:color="000000" w:sz="4" w:space="0"/>
              <w:bottom w:val="single" w:color="000000" w:sz="4" w:space="0"/>
              <w:right w:val="single" w:color="000000" w:sz="4" w:space="0"/>
            </w:tcBorders>
            <w:vAlign w:val="center"/>
          </w:tcPr>
          <w:p w14:paraId="0FF5F7EF">
            <w:pPr>
              <w:topLinePunct/>
              <w:adjustRightInd w:val="0"/>
              <w:snapToGrid w:val="0"/>
              <w:textAlignment w:val="center"/>
              <w:rPr>
                <w:rFonts w:eastAsia="仿宋"/>
                <w:sz w:val="24"/>
              </w:rPr>
            </w:pPr>
            <w:r>
              <w:rPr>
                <w:rFonts w:eastAsia="仿宋"/>
                <w:kern w:val="0"/>
                <w:sz w:val="24"/>
                <w:lang w:bidi="ar"/>
              </w:rPr>
              <w:t>对未按照要求建抗干扰设施或者地震监测设施行为的行政处罚</w:t>
            </w:r>
          </w:p>
        </w:tc>
        <w:tc>
          <w:tcPr>
            <w:tcW w:w="2453" w:type="pct"/>
            <w:tcBorders>
              <w:top w:val="single" w:color="000000" w:sz="4" w:space="0"/>
              <w:left w:val="single" w:color="000000" w:sz="4" w:space="0"/>
              <w:bottom w:val="single" w:color="000000" w:sz="4" w:space="0"/>
              <w:right w:val="single" w:color="000000" w:sz="4" w:space="0"/>
            </w:tcBorders>
          </w:tcPr>
          <w:p w14:paraId="3494648B">
            <w:pPr>
              <w:topLinePunct/>
              <w:adjustRightInd w:val="0"/>
              <w:snapToGrid w:val="0"/>
              <w:jc w:val="left"/>
              <w:textAlignment w:val="center"/>
              <w:rPr>
                <w:rFonts w:eastAsia="仿宋"/>
                <w:kern w:val="0"/>
                <w:sz w:val="24"/>
                <w:lang w:bidi="ar"/>
              </w:rPr>
            </w:pPr>
            <w:r>
              <w:rPr>
                <w:rFonts w:eastAsia="仿宋"/>
                <w:kern w:val="0"/>
                <w:sz w:val="24"/>
                <w:lang w:bidi="ar"/>
              </w:rPr>
              <w:t>1.《中华人民共和国防震减灾法》</w:t>
            </w:r>
          </w:p>
          <w:p w14:paraId="049CD682">
            <w:pPr>
              <w:topLinePunct/>
              <w:adjustRightInd w:val="0"/>
              <w:snapToGrid w:val="0"/>
              <w:jc w:val="left"/>
              <w:textAlignment w:val="center"/>
              <w:rPr>
                <w:rFonts w:eastAsia="仿宋"/>
                <w:kern w:val="0"/>
                <w:sz w:val="24"/>
                <w:lang w:bidi="ar"/>
              </w:rPr>
            </w:pPr>
            <w:r>
              <w:rPr>
                <w:rFonts w:eastAsia="仿宋"/>
                <w:kern w:val="0"/>
                <w:sz w:val="24"/>
                <w:lang w:bidi="ar"/>
              </w:rPr>
              <w:t>第八十五条违反本法规定，未按照要求增建抗干扰设施或者新建地震监测设施的，由国务院地震工作主管部门或者县级以上地方人民政府负责管理地震工作的部门或者机构责令限期改正；逾期不改正的，处二万元以上二十万元以下的罚款；造成损失的，依法承担赔偿责任。</w:t>
            </w:r>
          </w:p>
          <w:p w14:paraId="3EC3B32D">
            <w:pPr>
              <w:topLinePunct/>
              <w:adjustRightInd w:val="0"/>
              <w:snapToGrid w:val="0"/>
              <w:jc w:val="left"/>
              <w:textAlignment w:val="center"/>
              <w:rPr>
                <w:rFonts w:eastAsia="仿宋"/>
                <w:kern w:val="0"/>
                <w:sz w:val="24"/>
                <w:lang w:bidi="ar"/>
              </w:rPr>
            </w:pPr>
            <w:r>
              <w:rPr>
                <w:rFonts w:eastAsia="仿宋"/>
                <w:kern w:val="0"/>
                <w:sz w:val="24"/>
                <w:lang w:bidi="ar"/>
              </w:rPr>
              <w:t>2.《地震监测管理条例》</w:t>
            </w:r>
          </w:p>
          <w:p w14:paraId="36208F67">
            <w:pPr>
              <w:topLinePunct/>
              <w:adjustRightInd w:val="0"/>
              <w:snapToGrid w:val="0"/>
              <w:jc w:val="left"/>
              <w:textAlignment w:val="center"/>
              <w:rPr>
                <w:rFonts w:eastAsia="仿宋"/>
                <w:sz w:val="24"/>
              </w:rPr>
            </w:pPr>
            <w:r>
              <w:rPr>
                <w:rFonts w:eastAsia="仿宋"/>
                <w:kern w:val="0"/>
                <w:sz w:val="24"/>
                <w:lang w:bidi="ar"/>
              </w:rPr>
              <w:t>第三十七条违反本条例的规定，建设单位从事建设活动时，未按照要求增建抗干扰设施或者新建地震监测设施，对地震监测设施或者地震观测环境造成破坏的，由国务院地震工作主管部门或者县级以上地方人民政府负责管理地震工作的部门或者机构责令改正，限期恢复原状或者采取相应的补救措施；情节严重的，依照《中华人民共和国防震减灾法》第八十五条的规定处以罚款；构成犯罪的，依法追究刑事责任；造成损失的，依法承担赔偿责任。</w:t>
            </w:r>
          </w:p>
        </w:tc>
        <w:tc>
          <w:tcPr>
            <w:tcW w:w="476" w:type="pct"/>
            <w:tcBorders>
              <w:top w:val="single" w:color="000000" w:sz="4" w:space="0"/>
              <w:left w:val="single" w:color="000000" w:sz="4" w:space="0"/>
              <w:bottom w:val="single" w:color="000000" w:sz="4" w:space="0"/>
              <w:right w:val="single" w:color="000000" w:sz="4" w:space="0"/>
            </w:tcBorders>
            <w:vAlign w:val="center"/>
          </w:tcPr>
          <w:p w14:paraId="0B4471C4">
            <w:pPr>
              <w:topLinePunct/>
              <w:adjustRightInd w:val="0"/>
              <w:snapToGrid w:val="0"/>
              <w:jc w:val="left"/>
              <w:textAlignment w:val="center"/>
              <w:rPr>
                <w:rFonts w:eastAsia="仿宋"/>
                <w:sz w:val="24"/>
              </w:rPr>
            </w:pPr>
            <w:r>
              <w:rPr>
                <w:rFonts w:eastAsia="仿宋"/>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139F7819">
            <w:pPr>
              <w:topLinePunct/>
              <w:adjustRightInd w:val="0"/>
              <w:snapToGrid w:val="0"/>
              <w:jc w:val="left"/>
              <w:textAlignment w:val="center"/>
              <w:rPr>
                <w:rFonts w:eastAsia="仿宋"/>
                <w:sz w:val="24"/>
              </w:rPr>
            </w:pPr>
            <w:r>
              <w:rPr>
                <w:rFonts w:eastAsia="仿宋"/>
                <w:kern w:val="0"/>
                <w:sz w:val="24"/>
                <w:lang w:bidi="ar"/>
              </w:rPr>
              <w:t>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4ABE7A70">
            <w:pPr>
              <w:topLinePunct/>
              <w:adjustRightInd w:val="0"/>
              <w:snapToGrid w:val="0"/>
              <w:jc w:val="center"/>
              <w:textAlignment w:val="center"/>
              <w:rPr>
                <w:rFonts w:hint="eastAsia" w:eastAsia="仿宋"/>
                <w:sz w:val="24"/>
                <w:lang w:eastAsia="zh-CN"/>
              </w:rPr>
            </w:pPr>
            <w:r>
              <w:rPr>
                <w:rFonts w:hint="eastAsia" w:eastAsia="仿宋"/>
                <w:kern w:val="0"/>
                <w:sz w:val="24"/>
                <w:lang w:eastAsia="zh-CN" w:bidi="ar"/>
              </w:rPr>
              <w:t>县级</w:t>
            </w:r>
          </w:p>
        </w:tc>
      </w:tr>
      <w:tr w14:paraId="5A68A3AB">
        <w:tblPrEx>
          <w:tblCellMar>
            <w:top w:w="0" w:type="dxa"/>
            <w:left w:w="108" w:type="dxa"/>
            <w:bottom w:w="0" w:type="dxa"/>
            <w:right w:w="108" w:type="dxa"/>
          </w:tblCellMar>
        </w:tblPrEx>
        <w:trPr>
          <w:trHeight w:val="2025"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66BA3DB0">
            <w:pPr>
              <w:topLinePunct/>
              <w:adjustRightInd w:val="0"/>
              <w:snapToGrid w:val="0"/>
              <w:jc w:val="center"/>
              <w:textAlignment w:val="center"/>
              <w:rPr>
                <w:rFonts w:eastAsia="仿宋"/>
                <w:sz w:val="24"/>
              </w:rPr>
            </w:pPr>
            <w:r>
              <w:rPr>
                <w:rFonts w:eastAsia="仿宋"/>
                <w:kern w:val="0"/>
                <w:sz w:val="24"/>
                <w:lang w:bidi="ar"/>
              </w:rPr>
              <w:t>361</w:t>
            </w:r>
          </w:p>
        </w:tc>
        <w:tc>
          <w:tcPr>
            <w:tcW w:w="838" w:type="pct"/>
            <w:tcBorders>
              <w:top w:val="single" w:color="000000" w:sz="4" w:space="0"/>
              <w:left w:val="single" w:color="000000" w:sz="4" w:space="0"/>
              <w:bottom w:val="single" w:color="000000" w:sz="4" w:space="0"/>
              <w:right w:val="single" w:color="000000" w:sz="4" w:space="0"/>
            </w:tcBorders>
          </w:tcPr>
          <w:p w14:paraId="3E1F6C63">
            <w:pPr>
              <w:topLinePunct/>
              <w:adjustRightInd w:val="0"/>
              <w:snapToGrid w:val="0"/>
              <w:textAlignment w:val="center"/>
              <w:rPr>
                <w:rFonts w:eastAsia="仿宋"/>
                <w:sz w:val="24"/>
              </w:rPr>
            </w:pPr>
            <w:r>
              <w:rPr>
                <w:rFonts w:eastAsia="仿宋"/>
                <w:kern w:val="0"/>
                <w:sz w:val="24"/>
                <w:lang w:bidi="ar"/>
              </w:rPr>
              <w:t>对未依法进行地震安全性评价、未按照地震安全性评价报告所确定的抗震设防要求进行抗震设防的行政处罚</w:t>
            </w:r>
          </w:p>
        </w:tc>
        <w:tc>
          <w:tcPr>
            <w:tcW w:w="2453" w:type="pct"/>
            <w:tcBorders>
              <w:top w:val="single" w:color="000000" w:sz="4" w:space="0"/>
              <w:left w:val="single" w:color="000000" w:sz="4" w:space="0"/>
              <w:bottom w:val="single" w:color="000000" w:sz="4" w:space="0"/>
              <w:right w:val="single" w:color="000000" w:sz="4" w:space="0"/>
            </w:tcBorders>
          </w:tcPr>
          <w:p w14:paraId="50425FEB">
            <w:pPr>
              <w:topLinePunct/>
              <w:adjustRightInd w:val="0"/>
              <w:snapToGrid w:val="0"/>
              <w:jc w:val="left"/>
              <w:textAlignment w:val="center"/>
              <w:rPr>
                <w:rFonts w:eastAsia="仿宋"/>
                <w:kern w:val="0"/>
                <w:sz w:val="24"/>
                <w:lang w:bidi="ar"/>
              </w:rPr>
            </w:pPr>
            <w:r>
              <w:rPr>
                <w:rFonts w:eastAsia="仿宋"/>
                <w:kern w:val="0"/>
                <w:sz w:val="24"/>
                <w:lang w:bidi="ar"/>
              </w:rPr>
              <w:t>1.《中华人民共和国防震减灾法》</w:t>
            </w:r>
          </w:p>
          <w:p w14:paraId="59B351AB">
            <w:pPr>
              <w:topLinePunct/>
              <w:adjustRightInd w:val="0"/>
              <w:snapToGrid w:val="0"/>
              <w:jc w:val="left"/>
              <w:textAlignment w:val="center"/>
              <w:rPr>
                <w:rFonts w:eastAsia="仿宋"/>
                <w:sz w:val="24"/>
              </w:rPr>
            </w:pPr>
            <w:r>
              <w:rPr>
                <w:rFonts w:eastAsia="仿宋"/>
                <w:kern w:val="0"/>
                <w:sz w:val="24"/>
                <w:lang w:bidi="ar"/>
              </w:rPr>
              <w:t>第八十七条 未依法进行地震安全性评价，或者未按照地震安全性评价报告所确定的抗震设防要求进行抗震设防的，由国务院地震工作主管部门或者县级以上地方人民政府负责管理地震工作的部门或者机构责令限期改正；逾期不改正的，处三万元以上三十万元以下的罚款。</w:t>
            </w:r>
          </w:p>
        </w:tc>
        <w:tc>
          <w:tcPr>
            <w:tcW w:w="476" w:type="pct"/>
            <w:tcBorders>
              <w:top w:val="single" w:color="000000" w:sz="4" w:space="0"/>
              <w:left w:val="single" w:color="000000" w:sz="4" w:space="0"/>
              <w:bottom w:val="single" w:color="000000" w:sz="4" w:space="0"/>
              <w:right w:val="single" w:color="000000" w:sz="4" w:space="0"/>
            </w:tcBorders>
            <w:vAlign w:val="center"/>
          </w:tcPr>
          <w:p w14:paraId="78C50742">
            <w:pPr>
              <w:topLinePunct/>
              <w:adjustRightInd w:val="0"/>
              <w:snapToGrid w:val="0"/>
              <w:jc w:val="left"/>
              <w:textAlignment w:val="center"/>
              <w:rPr>
                <w:rFonts w:eastAsia="仿宋"/>
                <w:sz w:val="24"/>
              </w:rPr>
            </w:pPr>
            <w:r>
              <w:rPr>
                <w:rFonts w:eastAsia="仿宋"/>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1015B9FF">
            <w:pPr>
              <w:topLinePunct/>
              <w:adjustRightInd w:val="0"/>
              <w:snapToGrid w:val="0"/>
              <w:jc w:val="left"/>
              <w:textAlignment w:val="center"/>
              <w:rPr>
                <w:rFonts w:eastAsia="仿宋"/>
                <w:sz w:val="24"/>
              </w:rPr>
            </w:pPr>
            <w:r>
              <w:rPr>
                <w:rFonts w:eastAsia="仿宋"/>
                <w:kern w:val="0"/>
                <w:sz w:val="24"/>
                <w:lang w:bidi="ar"/>
              </w:rPr>
              <w:t>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664FE7F1">
            <w:pPr>
              <w:topLinePunct/>
              <w:adjustRightInd w:val="0"/>
              <w:snapToGrid w:val="0"/>
              <w:jc w:val="center"/>
              <w:textAlignment w:val="center"/>
              <w:rPr>
                <w:rFonts w:hint="eastAsia" w:eastAsia="仿宋"/>
                <w:sz w:val="24"/>
                <w:lang w:eastAsia="zh-CN"/>
              </w:rPr>
            </w:pPr>
            <w:r>
              <w:rPr>
                <w:rFonts w:hint="eastAsia" w:eastAsia="仿宋"/>
                <w:kern w:val="0"/>
                <w:sz w:val="24"/>
                <w:lang w:eastAsia="zh-CN" w:bidi="ar"/>
              </w:rPr>
              <w:t>县级</w:t>
            </w:r>
          </w:p>
        </w:tc>
      </w:tr>
      <w:tr w14:paraId="501B09A0">
        <w:tblPrEx>
          <w:tblCellMar>
            <w:top w:w="0" w:type="dxa"/>
            <w:left w:w="108" w:type="dxa"/>
            <w:bottom w:w="0" w:type="dxa"/>
            <w:right w:w="108" w:type="dxa"/>
          </w:tblCellMar>
        </w:tblPrEx>
        <w:trPr>
          <w:trHeight w:val="600" w:hRule="atLeast"/>
          <w:jc w:val="center"/>
        </w:trPr>
        <w:tc>
          <w:tcPr>
            <w:tcW w:w="243" w:type="pct"/>
            <w:tcBorders>
              <w:top w:val="single" w:color="000000" w:sz="4" w:space="0"/>
              <w:left w:val="single" w:color="000000" w:sz="4" w:space="0"/>
              <w:bottom w:val="single" w:color="000000" w:sz="4" w:space="0"/>
              <w:right w:val="single" w:color="000000" w:sz="4" w:space="0"/>
            </w:tcBorders>
            <w:vAlign w:val="center"/>
          </w:tcPr>
          <w:p w14:paraId="64DB0D2E">
            <w:pPr>
              <w:topLinePunct/>
              <w:adjustRightInd w:val="0"/>
              <w:snapToGrid w:val="0"/>
              <w:jc w:val="center"/>
              <w:textAlignment w:val="center"/>
              <w:rPr>
                <w:rFonts w:eastAsia="仿宋"/>
                <w:sz w:val="24"/>
              </w:rPr>
            </w:pPr>
            <w:r>
              <w:rPr>
                <w:rFonts w:eastAsia="仿宋"/>
                <w:kern w:val="0"/>
                <w:sz w:val="24"/>
                <w:lang w:bidi="ar"/>
              </w:rPr>
              <w:t>362</w:t>
            </w:r>
          </w:p>
        </w:tc>
        <w:tc>
          <w:tcPr>
            <w:tcW w:w="838" w:type="pct"/>
            <w:tcBorders>
              <w:top w:val="single" w:color="000000" w:sz="4" w:space="0"/>
              <w:left w:val="single" w:color="000000" w:sz="4" w:space="0"/>
              <w:bottom w:val="single" w:color="000000" w:sz="4" w:space="0"/>
              <w:right w:val="single" w:color="000000" w:sz="4" w:space="0"/>
            </w:tcBorders>
            <w:vAlign w:val="center"/>
          </w:tcPr>
          <w:p w14:paraId="01998451">
            <w:pPr>
              <w:topLinePunct/>
              <w:adjustRightInd w:val="0"/>
              <w:snapToGrid w:val="0"/>
              <w:textAlignment w:val="center"/>
              <w:rPr>
                <w:rFonts w:eastAsia="仿宋"/>
                <w:b/>
                <w:bCs/>
                <w:sz w:val="24"/>
              </w:rPr>
            </w:pPr>
            <w:r>
              <w:rPr>
                <w:rFonts w:eastAsia="仿宋"/>
                <w:kern w:val="0"/>
                <w:sz w:val="24"/>
                <w:lang w:bidi="ar"/>
              </w:rPr>
              <w:t>对地震安全性评价单位有以其他地震安全性评价单位的名义承揽地震安全性评价业务等行为的行政处罚</w:t>
            </w:r>
          </w:p>
        </w:tc>
        <w:tc>
          <w:tcPr>
            <w:tcW w:w="2453" w:type="pct"/>
            <w:tcBorders>
              <w:top w:val="single" w:color="000000" w:sz="4" w:space="0"/>
              <w:left w:val="single" w:color="000000" w:sz="4" w:space="0"/>
              <w:bottom w:val="single" w:color="000000" w:sz="4" w:space="0"/>
              <w:right w:val="single" w:color="000000" w:sz="4" w:space="0"/>
            </w:tcBorders>
            <w:vAlign w:val="center"/>
          </w:tcPr>
          <w:p w14:paraId="06CF7438">
            <w:pPr>
              <w:topLinePunct/>
              <w:adjustRightInd w:val="0"/>
              <w:snapToGrid w:val="0"/>
              <w:jc w:val="left"/>
              <w:textAlignment w:val="center"/>
              <w:rPr>
                <w:rFonts w:eastAsia="仿宋"/>
                <w:kern w:val="0"/>
                <w:sz w:val="24"/>
                <w:lang w:bidi="ar"/>
              </w:rPr>
            </w:pPr>
            <w:r>
              <w:rPr>
                <w:rFonts w:eastAsia="仿宋"/>
                <w:kern w:val="0"/>
                <w:sz w:val="24"/>
                <w:lang w:bidi="ar"/>
              </w:rPr>
              <w:t>1.《地震安全性评价管理条例》</w:t>
            </w:r>
          </w:p>
          <w:p w14:paraId="59821F66">
            <w:pPr>
              <w:topLinePunct/>
              <w:adjustRightInd w:val="0"/>
              <w:snapToGrid w:val="0"/>
              <w:jc w:val="left"/>
              <w:textAlignment w:val="center"/>
              <w:rPr>
                <w:rFonts w:eastAsia="仿宋"/>
                <w:sz w:val="24"/>
              </w:rPr>
            </w:pPr>
            <w:r>
              <w:rPr>
                <w:rFonts w:eastAsia="仿宋"/>
                <w:kern w:val="0"/>
                <w:sz w:val="24"/>
                <w:lang w:bidi="ar"/>
              </w:rPr>
              <w:t>第十七条违反本条例的规定，地震安全性评价单位有下列行为之一的，由国务院地震工作主管部门或者县级以上地方人民政府负责管理地震工作的部门或者机构依据职权，责令改正，没收违法所得，并处1万元以上5万元以下的罚款：(一)以其他地震安全性评价单位的名义承揽地震安全性评价业务的；(二)允许其他单位以本单位名义承揽地震安全性评价业务的。</w:t>
            </w:r>
          </w:p>
        </w:tc>
        <w:tc>
          <w:tcPr>
            <w:tcW w:w="476" w:type="pct"/>
            <w:tcBorders>
              <w:top w:val="single" w:color="000000" w:sz="4" w:space="0"/>
              <w:left w:val="single" w:color="000000" w:sz="4" w:space="0"/>
              <w:bottom w:val="single" w:color="000000" w:sz="4" w:space="0"/>
              <w:right w:val="single" w:color="000000" w:sz="4" w:space="0"/>
            </w:tcBorders>
            <w:vAlign w:val="center"/>
          </w:tcPr>
          <w:p w14:paraId="02153D0E">
            <w:pPr>
              <w:topLinePunct/>
              <w:adjustRightInd w:val="0"/>
              <w:snapToGrid w:val="0"/>
              <w:jc w:val="left"/>
              <w:textAlignment w:val="center"/>
              <w:rPr>
                <w:rFonts w:eastAsia="仿宋"/>
                <w:sz w:val="24"/>
              </w:rPr>
            </w:pPr>
            <w:r>
              <w:rPr>
                <w:rFonts w:eastAsia="仿宋"/>
                <w:kern w:val="0"/>
                <w:sz w:val="24"/>
                <w:lang w:bidi="ar"/>
              </w:rPr>
              <w:t>应急管理部门</w:t>
            </w:r>
          </w:p>
        </w:tc>
        <w:tc>
          <w:tcPr>
            <w:tcW w:w="538" w:type="pct"/>
            <w:tcBorders>
              <w:top w:val="single" w:color="000000" w:sz="4" w:space="0"/>
              <w:left w:val="single" w:color="000000" w:sz="4" w:space="0"/>
              <w:bottom w:val="single" w:color="000000" w:sz="4" w:space="0"/>
              <w:right w:val="single" w:color="000000" w:sz="4" w:space="0"/>
            </w:tcBorders>
            <w:vAlign w:val="center"/>
          </w:tcPr>
          <w:p w14:paraId="0B360D49">
            <w:pPr>
              <w:topLinePunct/>
              <w:adjustRightInd w:val="0"/>
              <w:snapToGrid w:val="0"/>
              <w:jc w:val="left"/>
              <w:textAlignment w:val="center"/>
              <w:rPr>
                <w:rFonts w:eastAsia="仿宋"/>
                <w:sz w:val="24"/>
              </w:rPr>
            </w:pPr>
            <w:r>
              <w:rPr>
                <w:rFonts w:eastAsia="仿宋"/>
                <w:kern w:val="0"/>
                <w:sz w:val="24"/>
                <w:lang w:bidi="ar"/>
              </w:rPr>
              <w:t>市级、县级</w:t>
            </w:r>
          </w:p>
        </w:tc>
        <w:tc>
          <w:tcPr>
            <w:tcW w:w="449" w:type="pct"/>
            <w:tcBorders>
              <w:top w:val="single" w:color="000000" w:sz="4" w:space="0"/>
              <w:left w:val="single" w:color="000000" w:sz="4" w:space="0"/>
              <w:bottom w:val="single" w:color="000000" w:sz="4" w:space="0"/>
              <w:right w:val="single" w:color="000000" w:sz="4" w:space="0"/>
            </w:tcBorders>
            <w:vAlign w:val="center"/>
          </w:tcPr>
          <w:p w14:paraId="4E09C7B6">
            <w:pPr>
              <w:topLinePunct/>
              <w:adjustRightInd w:val="0"/>
              <w:snapToGrid w:val="0"/>
              <w:jc w:val="center"/>
              <w:textAlignment w:val="center"/>
              <w:rPr>
                <w:rFonts w:hint="eastAsia" w:eastAsia="仿宋"/>
                <w:sz w:val="24"/>
                <w:lang w:eastAsia="zh-CN"/>
              </w:rPr>
            </w:pPr>
            <w:r>
              <w:rPr>
                <w:rFonts w:hint="eastAsia" w:eastAsia="仿宋"/>
                <w:kern w:val="0"/>
                <w:sz w:val="24"/>
                <w:lang w:eastAsia="zh-CN" w:bidi="ar"/>
              </w:rPr>
              <w:t>县级</w:t>
            </w:r>
          </w:p>
        </w:tc>
      </w:tr>
    </w:tbl>
    <w:p w14:paraId="22A78384">
      <w:pPr>
        <w:pStyle w:val="2"/>
        <w:rPr>
          <w:rFonts w:hint="eastAsia" w:ascii="仿宋" w:hAnsi="仿宋" w:eastAsia="仿宋" w:cs="仿宋"/>
          <w:sz w:val="28"/>
          <w:szCs w:val="28"/>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212335"/>
    <w:rsid w:val="069C5CE8"/>
    <w:rsid w:val="1F3400A3"/>
    <w:rsid w:val="34DB6100"/>
    <w:rsid w:val="4CF23295"/>
    <w:rsid w:val="548321A3"/>
    <w:rsid w:val="559E3310"/>
    <w:rsid w:val="579A68C4"/>
    <w:rsid w:val="57B12789"/>
    <w:rsid w:val="57D41D25"/>
    <w:rsid w:val="57FF3273"/>
    <w:rsid w:val="5A212335"/>
    <w:rsid w:val="616F72CF"/>
    <w:rsid w:val="696806D4"/>
    <w:rsid w:val="697049D2"/>
    <w:rsid w:val="7EC069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样式2"/>
    <w:qFormat/>
    <w:uiPriority w:val="99"/>
    <w:pPr>
      <w:shd w:val="clear" w:color="auto" w:fill="FFFFFF"/>
      <w:adjustRightInd w:val="0"/>
      <w:snapToGrid w:val="0"/>
      <w:spacing w:before="100" w:beforeAutospacing="1" w:after="100" w:afterAutospacing="1"/>
      <w:ind w:left="562"/>
      <w:jc w:val="center"/>
    </w:pPr>
    <w:rPr>
      <w:rFonts w:ascii="宋体" w:hAnsi="宋体" w:eastAsia="宋体" w:cs="Times New Roman"/>
      <w:b/>
      <w:bCs/>
      <w:sz w:val="22"/>
      <w:szCs w:val="21"/>
      <w:lang w:val="en-US" w:eastAsia="zh-CN" w:bidi="ar-SA"/>
    </w:rPr>
  </w:style>
  <w:style w:type="paragraph" w:customStyle="1" w:styleId="8">
    <w:name w:val="正文首行缩进1"/>
    <w:basedOn w:val="1"/>
    <w:qFormat/>
    <w:uiPriority w:val="0"/>
    <w:pPr>
      <w:spacing w:after="120"/>
      <w:ind w:firstLine="420" w:firstLineChars="1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200</Pages>
  <Words>14414</Words>
  <Characters>14482</Characters>
  <Lines>0</Lines>
  <Paragraphs>0</Paragraphs>
  <TotalTime>4</TotalTime>
  <ScaleCrop>false</ScaleCrop>
  <LinksUpToDate>false</LinksUpToDate>
  <CharactersWithSpaces>14621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2025-03-12T07:47:00Z</dcterms:created>
  <dc:creator>Administrator</dc:creator>
  <cp:lastModifiedBy>风华</cp:lastModifiedBy>
  <dcterms:modified xsi:type="dcterms:W3CDTF">2025-04-17T07:45:19Z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C8264F2B39E24ED3BD71C80B6A3CAFE0_13</vt:lpwstr>
  </property>
  <property fmtid="{D5CDD505-2E9C-101B-9397-08002B2CF9AE}" pid="4" name="KSOTemplateDocerSaveRecord">
    <vt:lpwstr>eyJoZGlkIjoiZTE1NDI3YzljODU0NTAzMzIxZmViZWMxOGU3ODIxMDQiLCJ1c2VySWQiOiI3ODEyMDUzMjcifQ==</vt:lpwstr>
  </property>
</Properties>
</file>